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DCEE5" w14:textId="77777777" w:rsidR="00354C87" w:rsidRPr="0093420D" w:rsidRDefault="00354C87" w:rsidP="00354C87">
      <w:pPr>
        <w:rPr>
          <w:color w:val="FF0000"/>
        </w:rPr>
      </w:pPr>
    </w:p>
    <w:p w14:paraId="5C970E24" w14:textId="77777777" w:rsidR="00354C87" w:rsidRPr="0093420D" w:rsidRDefault="00354C87" w:rsidP="00354C87">
      <w:pPr>
        <w:pStyle w:val="Normlnywebov"/>
        <w:jc w:val="center"/>
        <w:rPr>
          <w:color w:val="FF0000"/>
        </w:rPr>
      </w:pPr>
    </w:p>
    <w:p w14:paraId="2A066AF3" w14:textId="77777777" w:rsidR="00354C87" w:rsidRPr="0093420D" w:rsidRDefault="00354C87" w:rsidP="00354C87">
      <w:pPr>
        <w:pStyle w:val="Normlnywebov"/>
        <w:jc w:val="center"/>
        <w:rPr>
          <w:color w:val="FF0000"/>
        </w:rPr>
      </w:pPr>
    </w:p>
    <w:p w14:paraId="5341A705" w14:textId="77777777" w:rsidR="00354C87" w:rsidRPr="001D77FC" w:rsidRDefault="00211C2A" w:rsidP="00354C87">
      <w:pPr>
        <w:pStyle w:val="Normlnywebov"/>
        <w:jc w:val="center"/>
        <w:rPr>
          <w:color w:val="FF0000"/>
          <w:highlight w:val="yellow"/>
        </w:rPr>
      </w:pPr>
      <w:r w:rsidRPr="0082341D">
        <w:rPr>
          <w:noProof/>
          <w:color w:val="FF0000"/>
        </w:rPr>
        <w:drawing>
          <wp:inline distT="0" distB="0" distL="0" distR="0" wp14:anchorId="6837B1F8" wp14:editId="3BB36384">
            <wp:extent cx="1419225" cy="1695450"/>
            <wp:effectExtent l="0" t="0" r="0" b="0"/>
            <wp:docPr id="1" name="Obrázok 56" descr="Popis: štátny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6" descr="Popis: štátny zna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695450"/>
                    </a:xfrm>
                    <a:prstGeom prst="rect">
                      <a:avLst/>
                    </a:prstGeom>
                    <a:noFill/>
                    <a:ln>
                      <a:noFill/>
                    </a:ln>
                  </pic:spPr>
                </pic:pic>
              </a:graphicData>
            </a:graphic>
          </wp:inline>
        </w:drawing>
      </w:r>
    </w:p>
    <w:p w14:paraId="18B1543E" w14:textId="77777777" w:rsidR="00354C87" w:rsidRPr="001D77FC" w:rsidRDefault="00354C87" w:rsidP="00354C87">
      <w:pPr>
        <w:rPr>
          <w:color w:val="FF0000"/>
          <w:highlight w:val="yellow"/>
        </w:rPr>
      </w:pPr>
    </w:p>
    <w:p w14:paraId="65F997CD" w14:textId="77777777" w:rsidR="00354C87" w:rsidRPr="001D77FC" w:rsidRDefault="00354C87" w:rsidP="00354C87">
      <w:pPr>
        <w:rPr>
          <w:color w:val="FF0000"/>
          <w:highlight w:val="yellow"/>
        </w:rPr>
      </w:pPr>
    </w:p>
    <w:p w14:paraId="3341860A" w14:textId="77777777" w:rsidR="00354C87" w:rsidRPr="001D77FC" w:rsidRDefault="00354C87" w:rsidP="00354C87">
      <w:pPr>
        <w:rPr>
          <w:color w:val="FF0000"/>
          <w:highlight w:val="yellow"/>
        </w:rPr>
      </w:pPr>
    </w:p>
    <w:p w14:paraId="73BFFD0E" w14:textId="77777777" w:rsidR="00354C87" w:rsidRPr="001D77FC" w:rsidRDefault="00354C87" w:rsidP="00354C87">
      <w:pPr>
        <w:rPr>
          <w:color w:val="FF0000"/>
          <w:highlight w:val="yellow"/>
        </w:rPr>
      </w:pPr>
    </w:p>
    <w:p w14:paraId="275BF09B" w14:textId="77777777" w:rsidR="00354C87" w:rsidRPr="0082341D" w:rsidRDefault="00354C87" w:rsidP="00354C87">
      <w:pPr>
        <w:jc w:val="center"/>
        <w:rPr>
          <w:b/>
          <w:sz w:val="40"/>
          <w:szCs w:val="40"/>
        </w:rPr>
      </w:pPr>
      <w:r w:rsidRPr="0082341D">
        <w:rPr>
          <w:b/>
          <w:sz w:val="40"/>
          <w:szCs w:val="40"/>
        </w:rPr>
        <w:t>Súhrnná výročná správa</w:t>
      </w:r>
    </w:p>
    <w:p w14:paraId="0D2A4127" w14:textId="77777777" w:rsidR="00354C87" w:rsidRPr="0082341D" w:rsidRDefault="00354C87" w:rsidP="00354C87">
      <w:pPr>
        <w:jc w:val="center"/>
        <w:rPr>
          <w:b/>
          <w:sz w:val="40"/>
          <w:szCs w:val="40"/>
        </w:rPr>
      </w:pPr>
      <w:r w:rsidRPr="0082341D">
        <w:rPr>
          <w:b/>
          <w:sz w:val="40"/>
          <w:szCs w:val="40"/>
        </w:rPr>
        <w:t>Slovenskej republiky</w:t>
      </w:r>
    </w:p>
    <w:p w14:paraId="29123CA7" w14:textId="66935F7C" w:rsidR="00354C87" w:rsidRPr="0082341D" w:rsidRDefault="00354C87" w:rsidP="00354C87">
      <w:pPr>
        <w:jc w:val="center"/>
        <w:rPr>
          <w:b/>
          <w:sz w:val="40"/>
          <w:szCs w:val="40"/>
        </w:rPr>
      </w:pPr>
      <w:r w:rsidRPr="0082341D">
        <w:rPr>
          <w:b/>
          <w:sz w:val="40"/>
          <w:szCs w:val="40"/>
        </w:rPr>
        <w:t>za rok 20</w:t>
      </w:r>
      <w:r w:rsidR="001D77FC" w:rsidRPr="0082341D">
        <w:rPr>
          <w:b/>
          <w:sz w:val="40"/>
          <w:szCs w:val="40"/>
        </w:rPr>
        <w:t>20</w:t>
      </w:r>
    </w:p>
    <w:p w14:paraId="3BAD9115" w14:textId="77777777" w:rsidR="00354C87" w:rsidRPr="001D77FC" w:rsidRDefault="00354C87" w:rsidP="00354C87">
      <w:pPr>
        <w:rPr>
          <w:sz w:val="40"/>
          <w:szCs w:val="40"/>
          <w:highlight w:val="yellow"/>
        </w:rPr>
      </w:pPr>
    </w:p>
    <w:p w14:paraId="0CA3B83C" w14:textId="77777777" w:rsidR="00354C87" w:rsidRPr="001D77FC" w:rsidRDefault="00354C87" w:rsidP="00354C87">
      <w:pPr>
        <w:rPr>
          <w:highlight w:val="yellow"/>
        </w:rPr>
      </w:pPr>
    </w:p>
    <w:p w14:paraId="7FDF94F5" w14:textId="77777777" w:rsidR="00354C87" w:rsidRPr="001D77FC" w:rsidRDefault="00354C87" w:rsidP="00354C87">
      <w:pPr>
        <w:rPr>
          <w:highlight w:val="yellow"/>
        </w:rPr>
      </w:pPr>
    </w:p>
    <w:p w14:paraId="3F627FED" w14:textId="77777777" w:rsidR="00354C87" w:rsidRPr="001D77FC" w:rsidRDefault="00354C87" w:rsidP="00354C87">
      <w:pPr>
        <w:rPr>
          <w:highlight w:val="yellow"/>
        </w:rPr>
      </w:pPr>
    </w:p>
    <w:p w14:paraId="40D289EE" w14:textId="77777777" w:rsidR="00354C87" w:rsidRPr="001D77FC" w:rsidRDefault="00354C87" w:rsidP="00354C87">
      <w:pPr>
        <w:rPr>
          <w:highlight w:val="yellow"/>
        </w:rPr>
      </w:pPr>
    </w:p>
    <w:p w14:paraId="68023957" w14:textId="77777777" w:rsidR="00354C87" w:rsidRPr="001D77FC" w:rsidRDefault="00354C87" w:rsidP="00354C87">
      <w:pPr>
        <w:rPr>
          <w:highlight w:val="yellow"/>
        </w:rPr>
      </w:pPr>
    </w:p>
    <w:p w14:paraId="385E9C31" w14:textId="77777777" w:rsidR="00354C87" w:rsidRPr="001D77FC" w:rsidRDefault="00354C87" w:rsidP="00354C87">
      <w:pPr>
        <w:rPr>
          <w:highlight w:val="yellow"/>
        </w:rPr>
      </w:pPr>
    </w:p>
    <w:p w14:paraId="209AD89F" w14:textId="77777777" w:rsidR="00354C87" w:rsidRPr="001D77FC" w:rsidRDefault="00354C87" w:rsidP="00354C87">
      <w:pPr>
        <w:rPr>
          <w:highlight w:val="yellow"/>
        </w:rPr>
      </w:pPr>
    </w:p>
    <w:p w14:paraId="6F7516EA" w14:textId="5CABAAC0" w:rsidR="00651A0E" w:rsidRPr="0082341D" w:rsidRDefault="00C32B83" w:rsidP="00651A0E">
      <w:pPr>
        <w:tabs>
          <w:tab w:val="left" w:pos="0"/>
          <w:tab w:val="left" w:pos="284"/>
        </w:tabs>
        <w:spacing w:before="120" w:after="120" w:line="360" w:lineRule="auto"/>
        <w:jc w:val="center"/>
        <w:rPr>
          <w:b/>
          <w:sz w:val="32"/>
          <w:szCs w:val="32"/>
        </w:rPr>
        <w:sectPr w:rsidR="00651A0E" w:rsidRPr="0082341D" w:rsidSect="00DD253A">
          <w:footerReference w:type="default" r:id="rId9"/>
          <w:pgSz w:w="11906" w:h="16838" w:code="9"/>
          <w:pgMar w:top="1418" w:right="1134" w:bottom="1418" w:left="1134" w:header="709" w:footer="709" w:gutter="567"/>
          <w:cols w:space="708"/>
          <w:docGrid w:linePitch="360"/>
        </w:sectPr>
      </w:pPr>
      <w:r w:rsidRPr="0082341D">
        <w:rPr>
          <w:b/>
          <w:sz w:val="32"/>
          <w:szCs w:val="32"/>
        </w:rPr>
        <w:t>O</w:t>
      </w:r>
      <w:r w:rsidR="00354C87" w:rsidRPr="0082341D">
        <w:rPr>
          <w:b/>
          <w:sz w:val="32"/>
          <w:szCs w:val="32"/>
        </w:rPr>
        <w:t>któber 20</w:t>
      </w:r>
      <w:r w:rsidR="0033338B" w:rsidRPr="0082341D">
        <w:rPr>
          <w:b/>
          <w:sz w:val="32"/>
          <w:szCs w:val="32"/>
        </w:rPr>
        <w:t>2</w:t>
      </w:r>
      <w:r w:rsidR="001D77FC" w:rsidRPr="0082341D">
        <w:rPr>
          <w:b/>
          <w:sz w:val="32"/>
          <w:szCs w:val="32"/>
        </w:rPr>
        <w:t>1</w:t>
      </w:r>
    </w:p>
    <w:p w14:paraId="79FCEFF6" w14:textId="77777777" w:rsidR="00B34B9C" w:rsidRPr="00A41C68" w:rsidRDefault="00B34B9C" w:rsidP="00894E53">
      <w:pPr>
        <w:spacing w:after="0" w:line="336" w:lineRule="auto"/>
        <w:rPr>
          <w:b/>
          <w:sz w:val="26"/>
          <w:szCs w:val="26"/>
        </w:rPr>
      </w:pPr>
      <w:bookmarkStart w:id="0" w:name="_Toc401920003"/>
      <w:bookmarkStart w:id="1" w:name="_Toc399324354"/>
      <w:r w:rsidRPr="00A41C68">
        <w:rPr>
          <w:b/>
          <w:sz w:val="26"/>
          <w:szCs w:val="26"/>
        </w:rPr>
        <w:lastRenderedPageBreak/>
        <w:t>Obsah</w:t>
      </w:r>
    </w:p>
    <w:p w14:paraId="420D8205" w14:textId="72314735" w:rsidR="00182A70" w:rsidRPr="00182A70" w:rsidRDefault="00F74AB3">
      <w:pPr>
        <w:pStyle w:val="Obsah1"/>
        <w:rPr>
          <w:rFonts w:asciiTheme="minorHAnsi" w:eastAsiaTheme="minorEastAsia" w:hAnsiTheme="minorHAnsi" w:cstheme="minorBidi"/>
          <w:noProof/>
          <w:sz w:val="22"/>
          <w:szCs w:val="22"/>
          <w:lang w:eastAsia="sk-SK"/>
        </w:rPr>
      </w:pPr>
      <w:r w:rsidRPr="00182A70">
        <w:rPr>
          <w:rFonts w:cs="Times New Roman"/>
          <w:sz w:val="22"/>
          <w:szCs w:val="22"/>
        </w:rPr>
        <w:fldChar w:fldCharType="begin"/>
      </w:r>
      <w:r w:rsidRPr="00182A70">
        <w:rPr>
          <w:rFonts w:cs="Times New Roman"/>
          <w:sz w:val="22"/>
          <w:szCs w:val="22"/>
        </w:rPr>
        <w:instrText xml:space="preserve"> TOC \o "1-3" \u </w:instrText>
      </w:r>
      <w:r w:rsidRPr="00182A70">
        <w:rPr>
          <w:rFonts w:cs="Times New Roman"/>
          <w:sz w:val="22"/>
          <w:szCs w:val="22"/>
        </w:rPr>
        <w:fldChar w:fldCharType="separate"/>
      </w:r>
      <w:r w:rsidR="00182A70" w:rsidRPr="00182A70">
        <w:rPr>
          <w:noProof/>
          <w:sz w:val="22"/>
          <w:szCs w:val="22"/>
        </w:rPr>
        <w:t>Úvod</w:t>
      </w:r>
      <w:r w:rsidR="00182A70" w:rsidRPr="00182A70">
        <w:rPr>
          <w:noProof/>
          <w:sz w:val="22"/>
          <w:szCs w:val="22"/>
        </w:rPr>
        <w:tab/>
      </w:r>
      <w:r w:rsidR="00182A70" w:rsidRPr="00182A70">
        <w:rPr>
          <w:noProof/>
          <w:sz w:val="22"/>
          <w:szCs w:val="22"/>
        </w:rPr>
        <w:fldChar w:fldCharType="begin"/>
      </w:r>
      <w:r w:rsidR="00182A70" w:rsidRPr="00182A70">
        <w:rPr>
          <w:noProof/>
          <w:sz w:val="22"/>
          <w:szCs w:val="22"/>
        </w:rPr>
        <w:instrText xml:space="preserve"> PAGEREF _Toc85718890 \h </w:instrText>
      </w:r>
      <w:r w:rsidR="00182A70" w:rsidRPr="00182A70">
        <w:rPr>
          <w:noProof/>
          <w:sz w:val="22"/>
          <w:szCs w:val="22"/>
        </w:rPr>
      </w:r>
      <w:r w:rsidR="00182A70" w:rsidRPr="00182A70">
        <w:rPr>
          <w:noProof/>
          <w:sz w:val="22"/>
          <w:szCs w:val="22"/>
        </w:rPr>
        <w:fldChar w:fldCharType="separate"/>
      </w:r>
      <w:r w:rsidR="008940FD">
        <w:rPr>
          <w:noProof/>
          <w:sz w:val="22"/>
          <w:szCs w:val="22"/>
        </w:rPr>
        <w:t>2</w:t>
      </w:r>
      <w:r w:rsidR="00182A70" w:rsidRPr="00182A70">
        <w:rPr>
          <w:noProof/>
          <w:sz w:val="22"/>
          <w:szCs w:val="22"/>
        </w:rPr>
        <w:fldChar w:fldCharType="end"/>
      </w:r>
    </w:p>
    <w:p w14:paraId="1B41C1AD" w14:textId="0E797ED3" w:rsidR="00182A70" w:rsidRPr="00182A70" w:rsidRDefault="00182A70">
      <w:pPr>
        <w:pStyle w:val="Obsah1"/>
        <w:rPr>
          <w:rFonts w:asciiTheme="minorHAnsi" w:eastAsiaTheme="minorEastAsia" w:hAnsiTheme="minorHAnsi" w:cstheme="minorBidi"/>
          <w:noProof/>
          <w:sz w:val="22"/>
          <w:szCs w:val="22"/>
          <w:lang w:eastAsia="sk-SK"/>
        </w:rPr>
      </w:pPr>
      <w:r w:rsidRPr="00182A70">
        <w:rPr>
          <w:noProof/>
          <w:sz w:val="22"/>
          <w:szCs w:val="22"/>
        </w:rPr>
        <w:t>Zhrnutie</w:t>
      </w:r>
      <w:r w:rsidRPr="00182A70">
        <w:rPr>
          <w:noProof/>
          <w:sz w:val="22"/>
          <w:szCs w:val="22"/>
        </w:rPr>
        <w:tab/>
      </w:r>
      <w:r w:rsidRPr="00182A70">
        <w:rPr>
          <w:noProof/>
          <w:sz w:val="22"/>
          <w:szCs w:val="22"/>
        </w:rPr>
        <w:fldChar w:fldCharType="begin"/>
      </w:r>
      <w:r w:rsidRPr="00182A70">
        <w:rPr>
          <w:noProof/>
          <w:sz w:val="22"/>
          <w:szCs w:val="22"/>
        </w:rPr>
        <w:instrText xml:space="preserve"> PAGEREF _Toc85718891 \h </w:instrText>
      </w:r>
      <w:r w:rsidRPr="00182A70">
        <w:rPr>
          <w:noProof/>
          <w:sz w:val="22"/>
          <w:szCs w:val="22"/>
        </w:rPr>
      </w:r>
      <w:r w:rsidRPr="00182A70">
        <w:rPr>
          <w:noProof/>
          <w:sz w:val="22"/>
          <w:szCs w:val="22"/>
        </w:rPr>
        <w:fldChar w:fldCharType="separate"/>
      </w:r>
      <w:r w:rsidR="008940FD">
        <w:rPr>
          <w:noProof/>
          <w:sz w:val="22"/>
          <w:szCs w:val="22"/>
        </w:rPr>
        <w:t>5</w:t>
      </w:r>
      <w:r w:rsidRPr="00182A70">
        <w:rPr>
          <w:noProof/>
          <w:sz w:val="22"/>
          <w:szCs w:val="22"/>
        </w:rPr>
        <w:fldChar w:fldCharType="end"/>
      </w:r>
    </w:p>
    <w:p w14:paraId="44AFC4BE" w14:textId="23173541" w:rsidR="00182A70" w:rsidRPr="00182A70" w:rsidRDefault="00182A70">
      <w:pPr>
        <w:pStyle w:val="Obsah1"/>
        <w:rPr>
          <w:rFonts w:asciiTheme="minorHAnsi" w:eastAsiaTheme="minorEastAsia" w:hAnsiTheme="minorHAnsi" w:cstheme="minorBidi"/>
          <w:noProof/>
          <w:sz w:val="22"/>
          <w:szCs w:val="22"/>
          <w:lang w:eastAsia="sk-SK"/>
        </w:rPr>
      </w:pPr>
      <w:r w:rsidRPr="00182A70">
        <w:rPr>
          <w:noProof/>
          <w:sz w:val="22"/>
          <w:szCs w:val="22"/>
        </w:rPr>
        <w:t>1.</w:t>
      </w:r>
      <w:r w:rsidRPr="00182A70">
        <w:rPr>
          <w:rFonts w:asciiTheme="minorHAnsi" w:eastAsiaTheme="minorEastAsia" w:hAnsiTheme="minorHAnsi" w:cstheme="minorBidi"/>
          <w:noProof/>
          <w:sz w:val="22"/>
          <w:szCs w:val="22"/>
          <w:lang w:eastAsia="sk-SK"/>
        </w:rPr>
        <w:tab/>
      </w:r>
      <w:r w:rsidRPr="00182A70">
        <w:rPr>
          <w:noProof/>
          <w:sz w:val="22"/>
          <w:szCs w:val="22"/>
        </w:rPr>
        <w:t>Hospodárenie verejnej správy v metodike ESA2010</w:t>
      </w:r>
      <w:r w:rsidRPr="00182A70">
        <w:rPr>
          <w:noProof/>
          <w:sz w:val="22"/>
          <w:szCs w:val="22"/>
        </w:rPr>
        <w:tab/>
      </w:r>
      <w:r w:rsidRPr="00182A70">
        <w:rPr>
          <w:noProof/>
          <w:sz w:val="22"/>
          <w:szCs w:val="22"/>
        </w:rPr>
        <w:fldChar w:fldCharType="begin"/>
      </w:r>
      <w:r w:rsidRPr="00182A70">
        <w:rPr>
          <w:noProof/>
          <w:sz w:val="22"/>
          <w:szCs w:val="22"/>
        </w:rPr>
        <w:instrText xml:space="preserve"> PAGEREF _Toc85718892 \h </w:instrText>
      </w:r>
      <w:r w:rsidRPr="00182A70">
        <w:rPr>
          <w:noProof/>
          <w:sz w:val="22"/>
          <w:szCs w:val="22"/>
        </w:rPr>
      </w:r>
      <w:r w:rsidRPr="00182A70">
        <w:rPr>
          <w:noProof/>
          <w:sz w:val="22"/>
          <w:szCs w:val="22"/>
        </w:rPr>
        <w:fldChar w:fldCharType="separate"/>
      </w:r>
      <w:r w:rsidR="008940FD">
        <w:rPr>
          <w:noProof/>
          <w:sz w:val="22"/>
          <w:szCs w:val="22"/>
        </w:rPr>
        <w:t>6</w:t>
      </w:r>
      <w:r w:rsidRPr="00182A70">
        <w:rPr>
          <w:noProof/>
          <w:sz w:val="22"/>
          <w:szCs w:val="22"/>
        </w:rPr>
        <w:fldChar w:fldCharType="end"/>
      </w:r>
    </w:p>
    <w:p w14:paraId="261B7E06" w14:textId="01D28878" w:rsidR="00182A70" w:rsidRPr="00182A70" w:rsidRDefault="00182A70">
      <w:pPr>
        <w:pStyle w:val="Obsah2"/>
        <w:rPr>
          <w:rFonts w:asciiTheme="minorHAnsi" w:eastAsiaTheme="minorEastAsia" w:hAnsiTheme="minorHAnsi" w:cstheme="minorBidi"/>
          <w:noProof/>
          <w:szCs w:val="22"/>
          <w:lang w:eastAsia="sk-SK"/>
        </w:rPr>
      </w:pPr>
      <w:r w:rsidRPr="00182A70">
        <w:rPr>
          <w:noProof/>
          <w:szCs w:val="22"/>
        </w:rPr>
        <w:t>1.1.</w:t>
      </w:r>
      <w:r w:rsidRPr="00182A70">
        <w:rPr>
          <w:rFonts w:asciiTheme="minorHAnsi" w:eastAsiaTheme="minorEastAsia" w:hAnsiTheme="minorHAnsi" w:cstheme="minorBidi"/>
          <w:noProof/>
          <w:szCs w:val="22"/>
          <w:lang w:eastAsia="sk-SK"/>
        </w:rPr>
        <w:tab/>
      </w:r>
      <w:r w:rsidRPr="00182A70">
        <w:rPr>
          <w:noProof/>
          <w:szCs w:val="22"/>
        </w:rPr>
        <w:t>Rozdiely medzi októbrovou a aprílovou notifikáciou údajov</w:t>
      </w:r>
      <w:r w:rsidRPr="00182A70">
        <w:rPr>
          <w:noProof/>
          <w:szCs w:val="22"/>
        </w:rPr>
        <w:tab/>
      </w:r>
      <w:r w:rsidRPr="00182A70">
        <w:rPr>
          <w:noProof/>
          <w:szCs w:val="22"/>
        </w:rPr>
        <w:fldChar w:fldCharType="begin"/>
      </w:r>
      <w:r w:rsidRPr="00182A70">
        <w:rPr>
          <w:noProof/>
          <w:szCs w:val="22"/>
        </w:rPr>
        <w:instrText xml:space="preserve"> PAGEREF _Toc85718893 \h </w:instrText>
      </w:r>
      <w:r w:rsidRPr="00182A70">
        <w:rPr>
          <w:noProof/>
          <w:szCs w:val="22"/>
        </w:rPr>
      </w:r>
      <w:r w:rsidRPr="00182A70">
        <w:rPr>
          <w:noProof/>
          <w:szCs w:val="22"/>
        </w:rPr>
        <w:fldChar w:fldCharType="separate"/>
      </w:r>
      <w:r w:rsidR="008940FD">
        <w:rPr>
          <w:noProof/>
          <w:szCs w:val="22"/>
        </w:rPr>
        <w:t>6</w:t>
      </w:r>
      <w:r w:rsidRPr="00182A70">
        <w:rPr>
          <w:noProof/>
          <w:szCs w:val="22"/>
        </w:rPr>
        <w:fldChar w:fldCharType="end"/>
      </w:r>
    </w:p>
    <w:p w14:paraId="07BE6D39" w14:textId="5A0326C5" w:rsidR="00182A70" w:rsidRPr="00182A70" w:rsidRDefault="00182A70">
      <w:pPr>
        <w:pStyle w:val="Obsah2"/>
        <w:rPr>
          <w:rFonts w:asciiTheme="minorHAnsi" w:eastAsiaTheme="minorEastAsia" w:hAnsiTheme="minorHAnsi" w:cstheme="minorBidi"/>
          <w:noProof/>
          <w:szCs w:val="22"/>
          <w:lang w:eastAsia="sk-SK"/>
        </w:rPr>
      </w:pPr>
      <w:r w:rsidRPr="00182A70">
        <w:rPr>
          <w:noProof/>
          <w:szCs w:val="22"/>
        </w:rPr>
        <w:t xml:space="preserve">1.2. </w:t>
      </w:r>
      <w:r w:rsidRPr="00182A70">
        <w:rPr>
          <w:rFonts w:asciiTheme="minorHAnsi" w:eastAsiaTheme="minorEastAsia" w:hAnsiTheme="minorHAnsi" w:cstheme="minorBidi"/>
          <w:noProof/>
          <w:szCs w:val="22"/>
          <w:lang w:eastAsia="sk-SK"/>
        </w:rPr>
        <w:tab/>
      </w:r>
      <w:r w:rsidRPr="00182A70">
        <w:rPr>
          <w:noProof/>
          <w:szCs w:val="22"/>
        </w:rPr>
        <w:t>Saldo verejnej správy</w:t>
      </w:r>
      <w:r w:rsidRPr="00182A70">
        <w:rPr>
          <w:noProof/>
          <w:szCs w:val="22"/>
        </w:rPr>
        <w:tab/>
      </w:r>
      <w:r w:rsidRPr="00182A70">
        <w:rPr>
          <w:noProof/>
          <w:szCs w:val="22"/>
        </w:rPr>
        <w:fldChar w:fldCharType="begin"/>
      </w:r>
      <w:r w:rsidRPr="00182A70">
        <w:rPr>
          <w:noProof/>
          <w:szCs w:val="22"/>
        </w:rPr>
        <w:instrText xml:space="preserve"> PAGEREF _Toc85718894 \h </w:instrText>
      </w:r>
      <w:r w:rsidRPr="00182A70">
        <w:rPr>
          <w:noProof/>
          <w:szCs w:val="22"/>
        </w:rPr>
      </w:r>
      <w:r w:rsidRPr="00182A70">
        <w:rPr>
          <w:noProof/>
          <w:szCs w:val="22"/>
        </w:rPr>
        <w:fldChar w:fldCharType="separate"/>
      </w:r>
      <w:r w:rsidR="008940FD">
        <w:rPr>
          <w:noProof/>
          <w:szCs w:val="22"/>
        </w:rPr>
        <w:t>11</w:t>
      </w:r>
      <w:r w:rsidRPr="00182A70">
        <w:rPr>
          <w:noProof/>
          <w:szCs w:val="22"/>
        </w:rPr>
        <w:fldChar w:fldCharType="end"/>
      </w:r>
    </w:p>
    <w:p w14:paraId="2F70CA4C" w14:textId="1EC51190" w:rsidR="00182A70" w:rsidRPr="00182A70" w:rsidRDefault="00182A70">
      <w:pPr>
        <w:pStyle w:val="Obsah2"/>
        <w:rPr>
          <w:rFonts w:asciiTheme="minorHAnsi" w:eastAsiaTheme="minorEastAsia" w:hAnsiTheme="minorHAnsi" w:cstheme="minorBidi"/>
          <w:noProof/>
          <w:szCs w:val="22"/>
          <w:lang w:eastAsia="sk-SK"/>
        </w:rPr>
      </w:pPr>
      <w:r w:rsidRPr="00182A70">
        <w:rPr>
          <w:noProof/>
          <w:szCs w:val="22"/>
        </w:rPr>
        <w:t>1.3.</w:t>
      </w:r>
      <w:r w:rsidRPr="00182A70">
        <w:rPr>
          <w:rFonts w:asciiTheme="minorHAnsi" w:eastAsiaTheme="minorEastAsia" w:hAnsiTheme="minorHAnsi" w:cstheme="minorBidi"/>
          <w:noProof/>
          <w:szCs w:val="22"/>
          <w:lang w:eastAsia="sk-SK"/>
        </w:rPr>
        <w:tab/>
      </w:r>
      <w:r w:rsidRPr="00182A70">
        <w:rPr>
          <w:noProof/>
          <w:szCs w:val="22"/>
        </w:rPr>
        <w:t>Dlh verejnej správy</w:t>
      </w:r>
      <w:r w:rsidRPr="00182A70">
        <w:rPr>
          <w:noProof/>
          <w:szCs w:val="22"/>
        </w:rPr>
        <w:tab/>
      </w:r>
      <w:r w:rsidRPr="00182A70">
        <w:rPr>
          <w:noProof/>
          <w:szCs w:val="22"/>
        </w:rPr>
        <w:fldChar w:fldCharType="begin"/>
      </w:r>
      <w:r w:rsidRPr="00182A70">
        <w:rPr>
          <w:noProof/>
          <w:szCs w:val="22"/>
        </w:rPr>
        <w:instrText xml:space="preserve"> PAGEREF _Toc85718895 \h </w:instrText>
      </w:r>
      <w:r w:rsidRPr="00182A70">
        <w:rPr>
          <w:noProof/>
          <w:szCs w:val="22"/>
        </w:rPr>
      </w:r>
      <w:r w:rsidRPr="00182A70">
        <w:rPr>
          <w:noProof/>
          <w:szCs w:val="22"/>
        </w:rPr>
        <w:fldChar w:fldCharType="separate"/>
      </w:r>
      <w:r w:rsidR="008940FD">
        <w:rPr>
          <w:noProof/>
          <w:szCs w:val="22"/>
        </w:rPr>
        <w:t>24</w:t>
      </w:r>
      <w:r w:rsidRPr="00182A70">
        <w:rPr>
          <w:noProof/>
          <w:szCs w:val="22"/>
        </w:rPr>
        <w:fldChar w:fldCharType="end"/>
      </w:r>
    </w:p>
    <w:p w14:paraId="150D8DFE" w14:textId="63E02A80" w:rsidR="00182A70" w:rsidRPr="00182A70" w:rsidRDefault="00182A70">
      <w:pPr>
        <w:pStyle w:val="Obsah2"/>
        <w:rPr>
          <w:rFonts w:asciiTheme="minorHAnsi" w:eastAsiaTheme="minorEastAsia" w:hAnsiTheme="minorHAnsi" w:cstheme="minorBidi"/>
          <w:noProof/>
          <w:szCs w:val="22"/>
          <w:lang w:eastAsia="sk-SK"/>
        </w:rPr>
      </w:pPr>
      <w:r w:rsidRPr="00182A70">
        <w:rPr>
          <w:noProof/>
          <w:szCs w:val="22"/>
        </w:rPr>
        <w:t>1.4.</w:t>
      </w:r>
      <w:r w:rsidRPr="00182A70">
        <w:rPr>
          <w:rFonts w:asciiTheme="minorHAnsi" w:eastAsiaTheme="minorEastAsia" w:hAnsiTheme="minorHAnsi" w:cstheme="minorBidi"/>
          <w:noProof/>
          <w:szCs w:val="22"/>
          <w:lang w:eastAsia="sk-SK"/>
        </w:rPr>
        <w:tab/>
      </w:r>
      <w:r w:rsidRPr="00182A70">
        <w:rPr>
          <w:noProof/>
          <w:szCs w:val="22"/>
        </w:rPr>
        <w:t>Čistý dlh verejnej správy</w:t>
      </w:r>
      <w:r w:rsidRPr="00182A70">
        <w:rPr>
          <w:noProof/>
          <w:szCs w:val="22"/>
        </w:rPr>
        <w:tab/>
      </w:r>
      <w:r w:rsidRPr="00182A70">
        <w:rPr>
          <w:noProof/>
          <w:szCs w:val="22"/>
        </w:rPr>
        <w:fldChar w:fldCharType="begin"/>
      </w:r>
      <w:r w:rsidRPr="00182A70">
        <w:rPr>
          <w:noProof/>
          <w:szCs w:val="22"/>
        </w:rPr>
        <w:instrText xml:space="preserve"> PAGEREF _Toc85718896 \h </w:instrText>
      </w:r>
      <w:r w:rsidRPr="00182A70">
        <w:rPr>
          <w:noProof/>
          <w:szCs w:val="22"/>
        </w:rPr>
      </w:r>
      <w:r w:rsidRPr="00182A70">
        <w:rPr>
          <w:noProof/>
          <w:szCs w:val="22"/>
        </w:rPr>
        <w:fldChar w:fldCharType="separate"/>
      </w:r>
      <w:r w:rsidR="008940FD">
        <w:rPr>
          <w:noProof/>
          <w:szCs w:val="22"/>
        </w:rPr>
        <w:t>26</w:t>
      </w:r>
      <w:r w:rsidRPr="00182A70">
        <w:rPr>
          <w:noProof/>
          <w:szCs w:val="22"/>
        </w:rPr>
        <w:fldChar w:fldCharType="end"/>
      </w:r>
    </w:p>
    <w:p w14:paraId="440D0E95" w14:textId="784E6D7F" w:rsidR="00182A70" w:rsidRPr="00182A70" w:rsidRDefault="00182A70">
      <w:pPr>
        <w:pStyle w:val="Obsah2"/>
        <w:rPr>
          <w:rFonts w:asciiTheme="minorHAnsi" w:eastAsiaTheme="minorEastAsia" w:hAnsiTheme="minorHAnsi" w:cstheme="minorBidi"/>
          <w:noProof/>
          <w:szCs w:val="22"/>
          <w:lang w:eastAsia="sk-SK"/>
        </w:rPr>
      </w:pPr>
      <w:r w:rsidRPr="00182A70">
        <w:rPr>
          <w:noProof/>
          <w:szCs w:val="22"/>
        </w:rPr>
        <w:t>1.5.</w:t>
      </w:r>
      <w:r w:rsidRPr="00182A70">
        <w:rPr>
          <w:rFonts w:asciiTheme="minorHAnsi" w:eastAsiaTheme="minorEastAsia" w:hAnsiTheme="minorHAnsi" w:cstheme="minorBidi"/>
          <w:noProof/>
          <w:szCs w:val="22"/>
          <w:lang w:eastAsia="sk-SK"/>
        </w:rPr>
        <w:tab/>
      </w:r>
      <w:r w:rsidRPr="00182A70">
        <w:rPr>
          <w:noProof/>
          <w:szCs w:val="22"/>
        </w:rPr>
        <w:t>Porovnanie salda a dlhu verejnej správy v rámci Európskej únie</w:t>
      </w:r>
      <w:r w:rsidRPr="00182A70">
        <w:rPr>
          <w:noProof/>
          <w:szCs w:val="22"/>
        </w:rPr>
        <w:tab/>
      </w:r>
      <w:r w:rsidRPr="00182A70">
        <w:rPr>
          <w:noProof/>
          <w:szCs w:val="22"/>
        </w:rPr>
        <w:fldChar w:fldCharType="begin"/>
      </w:r>
      <w:r w:rsidRPr="00182A70">
        <w:rPr>
          <w:noProof/>
          <w:szCs w:val="22"/>
        </w:rPr>
        <w:instrText xml:space="preserve"> PAGEREF _Toc85718897 \h </w:instrText>
      </w:r>
      <w:r w:rsidRPr="00182A70">
        <w:rPr>
          <w:noProof/>
          <w:szCs w:val="22"/>
        </w:rPr>
      </w:r>
      <w:r w:rsidRPr="00182A70">
        <w:rPr>
          <w:noProof/>
          <w:szCs w:val="22"/>
        </w:rPr>
        <w:fldChar w:fldCharType="separate"/>
      </w:r>
      <w:r w:rsidR="008940FD">
        <w:rPr>
          <w:noProof/>
          <w:szCs w:val="22"/>
        </w:rPr>
        <w:t>28</w:t>
      </w:r>
      <w:r w:rsidRPr="00182A70">
        <w:rPr>
          <w:noProof/>
          <w:szCs w:val="22"/>
        </w:rPr>
        <w:fldChar w:fldCharType="end"/>
      </w:r>
    </w:p>
    <w:p w14:paraId="600DA6DA" w14:textId="77777777" w:rsidR="003F0DD4" w:rsidRDefault="00182A70">
      <w:pPr>
        <w:pStyle w:val="Obsah1"/>
        <w:rPr>
          <w:noProof/>
          <w:sz w:val="22"/>
          <w:szCs w:val="22"/>
        </w:rPr>
      </w:pPr>
      <w:r w:rsidRPr="00182A70">
        <w:rPr>
          <w:noProof/>
          <w:sz w:val="22"/>
          <w:szCs w:val="22"/>
        </w:rPr>
        <w:t>2.</w:t>
      </w:r>
      <w:r w:rsidRPr="00182A70">
        <w:rPr>
          <w:rFonts w:asciiTheme="minorHAnsi" w:eastAsiaTheme="minorEastAsia" w:hAnsiTheme="minorHAnsi" w:cstheme="minorBidi"/>
          <w:noProof/>
          <w:sz w:val="22"/>
          <w:szCs w:val="22"/>
          <w:lang w:eastAsia="sk-SK"/>
        </w:rPr>
        <w:tab/>
      </w:r>
      <w:r w:rsidRPr="00182A70">
        <w:rPr>
          <w:noProof/>
          <w:sz w:val="22"/>
          <w:szCs w:val="22"/>
        </w:rPr>
        <w:t>Hospodárenie verejnej správ</w:t>
      </w:r>
      <w:r w:rsidR="003F0DD4">
        <w:rPr>
          <w:noProof/>
          <w:sz w:val="22"/>
          <w:szCs w:val="22"/>
        </w:rPr>
        <w:t>y – požiadavky ústavného zákona</w:t>
      </w:r>
    </w:p>
    <w:p w14:paraId="43F544A4" w14:textId="654CE01C" w:rsidR="00182A70" w:rsidRPr="00182A70" w:rsidRDefault="00182A70" w:rsidP="003F0DD4">
      <w:pPr>
        <w:pStyle w:val="Obsah1"/>
        <w:ind w:firstLine="426"/>
        <w:rPr>
          <w:rFonts w:asciiTheme="minorHAnsi" w:eastAsiaTheme="minorEastAsia" w:hAnsiTheme="minorHAnsi" w:cstheme="minorBidi"/>
          <w:noProof/>
          <w:sz w:val="22"/>
          <w:szCs w:val="22"/>
          <w:lang w:eastAsia="sk-SK"/>
        </w:rPr>
      </w:pPr>
      <w:r w:rsidRPr="00182A70">
        <w:rPr>
          <w:noProof/>
          <w:sz w:val="22"/>
          <w:szCs w:val="22"/>
        </w:rPr>
        <w:t>o rozpočtovej zodpovednosti</w:t>
      </w:r>
      <w:r w:rsidRPr="00182A70">
        <w:rPr>
          <w:noProof/>
          <w:sz w:val="22"/>
          <w:szCs w:val="22"/>
        </w:rPr>
        <w:tab/>
      </w:r>
      <w:r w:rsidRPr="00182A70">
        <w:rPr>
          <w:noProof/>
          <w:sz w:val="22"/>
          <w:szCs w:val="22"/>
        </w:rPr>
        <w:fldChar w:fldCharType="begin"/>
      </w:r>
      <w:r w:rsidRPr="00182A70">
        <w:rPr>
          <w:noProof/>
          <w:sz w:val="22"/>
          <w:szCs w:val="22"/>
        </w:rPr>
        <w:instrText xml:space="preserve"> PAGEREF _Toc85718898 \h </w:instrText>
      </w:r>
      <w:r w:rsidRPr="00182A70">
        <w:rPr>
          <w:noProof/>
          <w:sz w:val="22"/>
          <w:szCs w:val="22"/>
        </w:rPr>
      </w:r>
      <w:r w:rsidRPr="00182A70">
        <w:rPr>
          <w:noProof/>
          <w:sz w:val="22"/>
          <w:szCs w:val="22"/>
        </w:rPr>
        <w:fldChar w:fldCharType="separate"/>
      </w:r>
      <w:r w:rsidR="008940FD">
        <w:rPr>
          <w:noProof/>
          <w:sz w:val="22"/>
          <w:szCs w:val="22"/>
        </w:rPr>
        <w:t>29</w:t>
      </w:r>
      <w:r w:rsidRPr="00182A70">
        <w:rPr>
          <w:noProof/>
          <w:sz w:val="22"/>
          <w:szCs w:val="22"/>
        </w:rPr>
        <w:fldChar w:fldCharType="end"/>
      </w:r>
    </w:p>
    <w:p w14:paraId="3357319A" w14:textId="664ED7E5" w:rsidR="00182A70" w:rsidRPr="00182A70" w:rsidRDefault="00182A70">
      <w:pPr>
        <w:pStyle w:val="Obsah2"/>
        <w:rPr>
          <w:rFonts w:asciiTheme="minorHAnsi" w:eastAsiaTheme="minorEastAsia" w:hAnsiTheme="minorHAnsi" w:cstheme="minorBidi"/>
          <w:noProof/>
          <w:szCs w:val="22"/>
          <w:lang w:eastAsia="sk-SK"/>
        </w:rPr>
      </w:pPr>
      <w:r w:rsidRPr="00182A70">
        <w:rPr>
          <w:noProof/>
          <w:szCs w:val="22"/>
        </w:rPr>
        <w:t>2.1.</w:t>
      </w:r>
      <w:r w:rsidRPr="00182A70">
        <w:rPr>
          <w:rFonts w:asciiTheme="minorHAnsi" w:eastAsiaTheme="minorEastAsia" w:hAnsiTheme="minorHAnsi" w:cstheme="minorBidi"/>
          <w:noProof/>
          <w:szCs w:val="22"/>
          <w:lang w:eastAsia="sk-SK"/>
        </w:rPr>
        <w:tab/>
      </w:r>
      <w:r w:rsidRPr="00182A70">
        <w:rPr>
          <w:noProof/>
          <w:szCs w:val="22"/>
        </w:rPr>
        <w:t>Bilancia rozpočtu verejnej správy</w:t>
      </w:r>
      <w:r w:rsidRPr="00182A70">
        <w:rPr>
          <w:noProof/>
          <w:szCs w:val="22"/>
        </w:rPr>
        <w:tab/>
      </w:r>
      <w:r w:rsidRPr="00182A70">
        <w:rPr>
          <w:noProof/>
          <w:szCs w:val="22"/>
        </w:rPr>
        <w:fldChar w:fldCharType="begin"/>
      </w:r>
      <w:r w:rsidRPr="00182A70">
        <w:rPr>
          <w:noProof/>
          <w:szCs w:val="22"/>
        </w:rPr>
        <w:instrText xml:space="preserve"> PAGEREF _Toc85718899 \h </w:instrText>
      </w:r>
      <w:r w:rsidRPr="00182A70">
        <w:rPr>
          <w:noProof/>
          <w:szCs w:val="22"/>
        </w:rPr>
      </w:r>
      <w:r w:rsidRPr="00182A70">
        <w:rPr>
          <w:noProof/>
          <w:szCs w:val="22"/>
        </w:rPr>
        <w:fldChar w:fldCharType="separate"/>
      </w:r>
      <w:r w:rsidR="008940FD">
        <w:rPr>
          <w:noProof/>
          <w:szCs w:val="22"/>
        </w:rPr>
        <w:t>29</w:t>
      </w:r>
      <w:r w:rsidRPr="00182A70">
        <w:rPr>
          <w:noProof/>
          <w:szCs w:val="22"/>
        </w:rPr>
        <w:fldChar w:fldCharType="end"/>
      </w:r>
    </w:p>
    <w:p w14:paraId="3316BB9C" w14:textId="6D73AFBB" w:rsidR="00182A70" w:rsidRPr="00182A70" w:rsidRDefault="00182A70">
      <w:pPr>
        <w:pStyle w:val="Obsah3"/>
        <w:rPr>
          <w:rFonts w:asciiTheme="minorHAnsi" w:eastAsiaTheme="minorEastAsia" w:hAnsiTheme="minorHAnsi" w:cstheme="minorBidi"/>
          <w:noProof/>
          <w:szCs w:val="22"/>
          <w:lang w:eastAsia="sk-SK"/>
        </w:rPr>
      </w:pPr>
      <w:r w:rsidRPr="00182A70">
        <w:rPr>
          <w:noProof/>
          <w:szCs w:val="22"/>
        </w:rPr>
        <w:t>2.1.1.</w:t>
      </w:r>
      <w:r w:rsidRPr="00182A70">
        <w:rPr>
          <w:rFonts w:asciiTheme="minorHAnsi" w:eastAsiaTheme="minorEastAsia" w:hAnsiTheme="minorHAnsi" w:cstheme="minorBidi"/>
          <w:noProof/>
          <w:szCs w:val="22"/>
          <w:lang w:eastAsia="sk-SK"/>
        </w:rPr>
        <w:tab/>
      </w:r>
      <w:r w:rsidRPr="00182A70">
        <w:rPr>
          <w:noProof/>
          <w:szCs w:val="22"/>
        </w:rPr>
        <w:t>Príjmy verejnej správy</w:t>
      </w:r>
      <w:r w:rsidRPr="00182A70">
        <w:rPr>
          <w:noProof/>
          <w:szCs w:val="22"/>
        </w:rPr>
        <w:tab/>
      </w:r>
      <w:r w:rsidRPr="00182A70">
        <w:rPr>
          <w:noProof/>
          <w:szCs w:val="22"/>
        </w:rPr>
        <w:fldChar w:fldCharType="begin"/>
      </w:r>
      <w:r w:rsidRPr="00182A70">
        <w:rPr>
          <w:noProof/>
          <w:szCs w:val="22"/>
        </w:rPr>
        <w:instrText xml:space="preserve"> PAGEREF _Toc85718900 \h </w:instrText>
      </w:r>
      <w:r w:rsidRPr="00182A70">
        <w:rPr>
          <w:noProof/>
          <w:szCs w:val="22"/>
        </w:rPr>
      </w:r>
      <w:r w:rsidRPr="00182A70">
        <w:rPr>
          <w:noProof/>
          <w:szCs w:val="22"/>
        </w:rPr>
        <w:fldChar w:fldCharType="separate"/>
      </w:r>
      <w:r w:rsidR="008940FD">
        <w:rPr>
          <w:noProof/>
          <w:szCs w:val="22"/>
        </w:rPr>
        <w:t>30</w:t>
      </w:r>
      <w:r w:rsidRPr="00182A70">
        <w:rPr>
          <w:noProof/>
          <w:szCs w:val="22"/>
        </w:rPr>
        <w:fldChar w:fldCharType="end"/>
      </w:r>
    </w:p>
    <w:p w14:paraId="0A282146" w14:textId="76BCBE4A" w:rsidR="00182A70" w:rsidRPr="00182A70" w:rsidRDefault="00182A70">
      <w:pPr>
        <w:pStyle w:val="Obsah3"/>
        <w:rPr>
          <w:rFonts w:asciiTheme="minorHAnsi" w:eastAsiaTheme="minorEastAsia" w:hAnsiTheme="minorHAnsi" w:cstheme="minorBidi"/>
          <w:noProof/>
          <w:szCs w:val="22"/>
          <w:lang w:eastAsia="sk-SK"/>
        </w:rPr>
      </w:pPr>
      <w:r w:rsidRPr="00182A70">
        <w:rPr>
          <w:noProof/>
          <w:szCs w:val="22"/>
        </w:rPr>
        <w:t xml:space="preserve">2.1.2. </w:t>
      </w:r>
      <w:r w:rsidRPr="00182A70">
        <w:rPr>
          <w:rFonts w:asciiTheme="minorHAnsi" w:eastAsiaTheme="minorEastAsia" w:hAnsiTheme="minorHAnsi" w:cstheme="minorBidi"/>
          <w:noProof/>
          <w:szCs w:val="22"/>
          <w:lang w:eastAsia="sk-SK"/>
        </w:rPr>
        <w:tab/>
      </w:r>
      <w:r w:rsidRPr="00182A70">
        <w:rPr>
          <w:noProof/>
          <w:szCs w:val="22"/>
        </w:rPr>
        <w:t>Výdavky verejnej správy</w:t>
      </w:r>
      <w:r w:rsidRPr="00182A70">
        <w:rPr>
          <w:noProof/>
          <w:szCs w:val="22"/>
        </w:rPr>
        <w:tab/>
      </w:r>
      <w:r w:rsidRPr="00182A70">
        <w:rPr>
          <w:noProof/>
          <w:szCs w:val="22"/>
        </w:rPr>
        <w:fldChar w:fldCharType="begin"/>
      </w:r>
      <w:r w:rsidRPr="00182A70">
        <w:rPr>
          <w:noProof/>
          <w:szCs w:val="22"/>
        </w:rPr>
        <w:instrText xml:space="preserve"> PAGEREF _Toc85718901 \h </w:instrText>
      </w:r>
      <w:r w:rsidRPr="00182A70">
        <w:rPr>
          <w:noProof/>
          <w:szCs w:val="22"/>
        </w:rPr>
      </w:r>
      <w:r w:rsidRPr="00182A70">
        <w:rPr>
          <w:noProof/>
          <w:szCs w:val="22"/>
        </w:rPr>
        <w:fldChar w:fldCharType="separate"/>
      </w:r>
      <w:r w:rsidR="008940FD">
        <w:rPr>
          <w:noProof/>
          <w:szCs w:val="22"/>
        </w:rPr>
        <w:t>34</w:t>
      </w:r>
      <w:r w:rsidRPr="00182A70">
        <w:rPr>
          <w:noProof/>
          <w:szCs w:val="22"/>
        </w:rPr>
        <w:fldChar w:fldCharType="end"/>
      </w:r>
    </w:p>
    <w:p w14:paraId="4091267D" w14:textId="5983D464" w:rsidR="00182A70" w:rsidRPr="00182A70" w:rsidRDefault="00182A70">
      <w:pPr>
        <w:pStyle w:val="Obsah2"/>
        <w:rPr>
          <w:rFonts w:asciiTheme="minorHAnsi" w:eastAsiaTheme="minorEastAsia" w:hAnsiTheme="minorHAnsi" w:cstheme="minorBidi"/>
          <w:noProof/>
          <w:szCs w:val="22"/>
          <w:lang w:eastAsia="sk-SK"/>
        </w:rPr>
      </w:pPr>
      <w:r w:rsidRPr="00182A70">
        <w:rPr>
          <w:noProof/>
          <w:szCs w:val="22"/>
        </w:rPr>
        <w:t>2.2.</w:t>
      </w:r>
      <w:r w:rsidRPr="00182A70">
        <w:rPr>
          <w:rFonts w:asciiTheme="minorHAnsi" w:eastAsiaTheme="minorEastAsia" w:hAnsiTheme="minorHAnsi" w:cstheme="minorBidi"/>
          <w:noProof/>
          <w:szCs w:val="22"/>
          <w:lang w:eastAsia="sk-SK"/>
        </w:rPr>
        <w:tab/>
      </w:r>
      <w:r w:rsidRPr="00182A70">
        <w:rPr>
          <w:noProof/>
          <w:szCs w:val="22"/>
        </w:rPr>
        <w:t>Štrukturálne saldo, cyklická zložka a jednorazové vplyvy</w:t>
      </w:r>
      <w:r w:rsidRPr="00182A70">
        <w:rPr>
          <w:noProof/>
          <w:szCs w:val="22"/>
        </w:rPr>
        <w:tab/>
      </w:r>
      <w:r w:rsidRPr="00182A70">
        <w:rPr>
          <w:noProof/>
          <w:szCs w:val="22"/>
        </w:rPr>
        <w:fldChar w:fldCharType="begin"/>
      </w:r>
      <w:r w:rsidRPr="00182A70">
        <w:rPr>
          <w:noProof/>
          <w:szCs w:val="22"/>
        </w:rPr>
        <w:instrText xml:space="preserve"> PAGEREF _Toc85718902 \h </w:instrText>
      </w:r>
      <w:r w:rsidRPr="00182A70">
        <w:rPr>
          <w:noProof/>
          <w:szCs w:val="22"/>
        </w:rPr>
      </w:r>
      <w:r w:rsidRPr="00182A70">
        <w:rPr>
          <w:noProof/>
          <w:szCs w:val="22"/>
        </w:rPr>
        <w:fldChar w:fldCharType="separate"/>
      </w:r>
      <w:r w:rsidR="008940FD">
        <w:rPr>
          <w:noProof/>
          <w:szCs w:val="22"/>
        </w:rPr>
        <w:t>37</w:t>
      </w:r>
      <w:r w:rsidRPr="00182A70">
        <w:rPr>
          <w:noProof/>
          <w:szCs w:val="22"/>
        </w:rPr>
        <w:fldChar w:fldCharType="end"/>
      </w:r>
    </w:p>
    <w:p w14:paraId="1B7E5BC2" w14:textId="6199EB85" w:rsidR="00182A70" w:rsidRPr="00182A70" w:rsidRDefault="00182A70">
      <w:pPr>
        <w:pStyle w:val="Obsah2"/>
        <w:rPr>
          <w:rFonts w:asciiTheme="minorHAnsi" w:eastAsiaTheme="minorEastAsia" w:hAnsiTheme="minorHAnsi" w:cstheme="minorBidi"/>
          <w:noProof/>
          <w:szCs w:val="22"/>
          <w:lang w:eastAsia="sk-SK"/>
        </w:rPr>
      </w:pPr>
      <w:r w:rsidRPr="00182A70">
        <w:rPr>
          <w:noProof/>
          <w:szCs w:val="22"/>
        </w:rPr>
        <w:t>2.3.</w:t>
      </w:r>
      <w:r w:rsidRPr="00182A70">
        <w:rPr>
          <w:rFonts w:asciiTheme="minorHAnsi" w:eastAsiaTheme="minorEastAsia" w:hAnsiTheme="minorHAnsi" w:cstheme="minorBidi"/>
          <w:noProof/>
          <w:szCs w:val="22"/>
          <w:lang w:eastAsia="sk-SK"/>
        </w:rPr>
        <w:tab/>
      </w:r>
      <w:r w:rsidRPr="00182A70">
        <w:rPr>
          <w:noProof/>
          <w:szCs w:val="22"/>
        </w:rPr>
        <w:t>Vyhodnotenie plnenia cieľov stratégie riadenia štátneho dlhu</w:t>
      </w:r>
      <w:r w:rsidRPr="00182A70">
        <w:rPr>
          <w:noProof/>
          <w:szCs w:val="22"/>
        </w:rPr>
        <w:tab/>
      </w:r>
      <w:r w:rsidRPr="00182A70">
        <w:rPr>
          <w:noProof/>
          <w:szCs w:val="22"/>
        </w:rPr>
        <w:fldChar w:fldCharType="begin"/>
      </w:r>
      <w:r w:rsidRPr="00182A70">
        <w:rPr>
          <w:noProof/>
          <w:szCs w:val="22"/>
        </w:rPr>
        <w:instrText xml:space="preserve"> PAGEREF _Toc85718903 \h </w:instrText>
      </w:r>
      <w:r w:rsidRPr="00182A70">
        <w:rPr>
          <w:noProof/>
          <w:szCs w:val="22"/>
        </w:rPr>
      </w:r>
      <w:r w:rsidRPr="00182A70">
        <w:rPr>
          <w:noProof/>
          <w:szCs w:val="22"/>
        </w:rPr>
        <w:fldChar w:fldCharType="separate"/>
      </w:r>
      <w:r w:rsidR="008940FD">
        <w:rPr>
          <w:noProof/>
          <w:szCs w:val="22"/>
        </w:rPr>
        <w:t>39</w:t>
      </w:r>
      <w:r w:rsidRPr="00182A70">
        <w:rPr>
          <w:noProof/>
          <w:szCs w:val="22"/>
        </w:rPr>
        <w:fldChar w:fldCharType="end"/>
      </w:r>
    </w:p>
    <w:p w14:paraId="5992ECDA" w14:textId="6EB047EE" w:rsidR="00182A70" w:rsidRPr="00182A70" w:rsidRDefault="00182A70">
      <w:pPr>
        <w:pStyle w:val="Obsah3"/>
        <w:rPr>
          <w:rFonts w:asciiTheme="minorHAnsi" w:eastAsiaTheme="minorEastAsia" w:hAnsiTheme="minorHAnsi" w:cstheme="minorBidi"/>
          <w:noProof/>
          <w:szCs w:val="22"/>
          <w:lang w:eastAsia="sk-SK"/>
        </w:rPr>
      </w:pPr>
      <w:r w:rsidRPr="00182A70">
        <w:rPr>
          <w:noProof/>
          <w:szCs w:val="22"/>
        </w:rPr>
        <w:t>2.3.1.</w:t>
      </w:r>
      <w:r w:rsidRPr="00182A70">
        <w:rPr>
          <w:rFonts w:asciiTheme="minorHAnsi" w:eastAsiaTheme="minorEastAsia" w:hAnsiTheme="minorHAnsi" w:cstheme="minorBidi"/>
          <w:noProof/>
          <w:szCs w:val="22"/>
          <w:lang w:eastAsia="sk-SK"/>
        </w:rPr>
        <w:tab/>
      </w:r>
      <w:r w:rsidRPr="00182A70">
        <w:rPr>
          <w:noProof/>
          <w:szCs w:val="22"/>
        </w:rPr>
        <w:t>Vyhodnotenie plnenia cieľov stratégie riadenia štátneho dlhu</w:t>
      </w:r>
      <w:r w:rsidRPr="00182A70">
        <w:rPr>
          <w:noProof/>
          <w:szCs w:val="22"/>
        </w:rPr>
        <w:tab/>
      </w:r>
      <w:r w:rsidRPr="00182A70">
        <w:rPr>
          <w:noProof/>
          <w:szCs w:val="22"/>
        </w:rPr>
        <w:fldChar w:fldCharType="begin"/>
      </w:r>
      <w:r w:rsidRPr="00182A70">
        <w:rPr>
          <w:noProof/>
          <w:szCs w:val="22"/>
        </w:rPr>
        <w:instrText xml:space="preserve"> PAGEREF _Toc85718904 \h </w:instrText>
      </w:r>
      <w:r w:rsidRPr="00182A70">
        <w:rPr>
          <w:noProof/>
          <w:szCs w:val="22"/>
        </w:rPr>
      </w:r>
      <w:r w:rsidRPr="00182A70">
        <w:rPr>
          <w:noProof/>
          <w:szCs w:val="22"/>
        </w:rPr>
        <w:fldChar w:fldCharType="separate"/>
      </w:r>
      <w:r w:rsidR="008940FD">
        <w:rPr>
          <w:noProof/>
          <w:szCs w:val="22"/>
        </w:rPr>
        <w:t>40</w:t>
      </w:r>
      <w:r w:rsidRPr="00182A70">
        <w:rPr>
          <w:noProof/>
          <w:szCs w:val="22"/>
        </w:rPr>
        <w:fldChar w:fldCharType="end"/>
      </w:r>
    </w:p>
    <w:p w14:paraId="74955D0E" w14:textId="3AC8EDBE" w:rsidR="00182A70" w:rsidRPr="00182A70" w:rsidRDefault="00182A70">
      <w:pPr>
        <w:pStyle w:val="Obsah3"/>
        <w:rPr>
          <w:rFonts w:asciiTheme="minorHAnsi" w:eastAsiaTheme="minorEastAsia" w:hAnsiTheme="minorHAnsi" w:cstheme="minorBidi"/>
          <w:noProof/>
          <w:szCs w:val="22"/>
          <w:lang w:eastAsia="sk-SK"/>
        </w:rPr>
      </w:pPr>
      <w:r w:rsidRPr="00182A70">
        <w:rPr>
          <w:noProof/>
          <w:szCs w:val="22"/>
        </w:rPr>
        <w:t>2.3.2.</w:t>
      </w:r>
      <w:r w:rsidRPr="00182A70">
        <w:rPr>
          <w:rFonts w:asciiTheme="minorHAnsi" w:eastAsiaTheme="minorEastAsia" w:hAnsiTheme="minorHAnsi" w:cstheme="minorBidi"/>
          <w:noProof/>
          <w:szCs w:val="22"/>
          <w:lang w:eastAsia="sk-SK"/>
        </w:rPr>
        <w:tab/>
      </w:r>
      <w:r w:rsidRPr="00182A70">
        <w:rPr>
          <w:noProof/>
          <w:szCs w:val="22"/>
        </w:rPr>
        <w:t>Riadenie štátneho dlhu v roku 2020</w:t>
      </w:r>
      <w:r w:rsidRPr="00182A70">
        <w:rPr>
          <w:noProof/>
          <w:szCs w:val="22"/>
        </w:rPr>
        <w:tab/>
      </w:r>
      <w:r w:rsidRPr="00182A70">
        <w:rPr>
          <w:noProof/>
          <w:szCs w:val="22"/>
        </w:rPr>
        <w:fldChar w:fldCharType="begin"/>
      </w:r>
      <w:r w:rsidRPr="00182A70">
        <w:rPr>
          <w:noProof/>
          <w:szCs w:val="22"/>
        </w:rPr>
        <w:instrText xml:space="preserve"> PAGEREF _Toc85718905 \h </w:instrText>
      </w:r>
      <w:r w:rsidRPr="00182A70">
        <w:rPr>
          <w:noProof/>
          <w:szCs w:val="22"/>
        </w:rPr>
      </w:r>
      <w:r w:rsidRPr="00182A70">
        <w:rPr>
          <w:noProof/>
          <w:szCs w:val="22"/>
        </w:rPr>
        <w:fldChar w:fldCharType="separate"/>
      </w:r>
      <w:r w:rsidR="008940FD">
        <w:rPr>
          <w:noProof/>
          <w:szCs w:val="22"/>
        </w:rPr>
        <w:t>40</w:t>
      </w:r>
      <w:r w:rsidRPr="00182A70">
        <w:rPr>
          <w:noProof/>
          <w:szCs w:val="22"/>
        </w:rPr>
        <w:fldChar w:fldCharType="end"/>
      </w:r>
    </w:p>
    <w:p w14:paraId="211FD793" w14:textId="6EEF39BF" w:rsidR="00182A70" w:rsidRPr="00182A70" w:rsidRDefault="00182A70">
      <w:pPr>
        <w:pStyle w:val="Obsah1"/>
        <w:rPr>
          <w:rFonts w:asciiTheme="minorHAnsi" w:eastAsiaTheme="minorEastAsia" w:hAnsiTheme="minorHAnsi" w:cstheme="minorBidi"/>
          <w:noProof/>
          <w:sz w:val="22"/>
          <w:szCs w:val="22"/>
          <w:lang w:eastAsia="sk-SK"/>
        </w:rPr>
      </w:pPr>
      <w:r w:rsidRPr="00182A70">
        <w:rPr>
          <w:noProof/>
          <w:sz w:val="22"/>
          <w:szCs w:val="22"/>
        </w:rPr>
        <w:t>3. Čisté bohatstvo</w:t>
      </w:r>
      <w:r w:rsidRPr="00182A70">
        <w:rPr>
          <w:noProof/>
          <w:sz w:val="22"/>
          <w:szCs w:val="22"/>
        </w:rPr>
        <w:tab/>
      </w:r>
      <w:r w:rsidRPr="00182A70">
        <w:rPr>
          <w:noProof/>
          <w:sz w:val="22"/>
          <w:szCs w:val="22"/>
        </w:rPr>
        <w:fldChar w:fldCharType="begin"/>
      </w:r>
      <w:r w:rsidRPr="00182A70">
        <w:rPr>
          <w:noProof/>
          <w:sz w:val="22"/>
          <w:szCs w:val="22"/>
        </w:rPr>
        <w:instrText xml:space="preserve"> PAGEREF _Toc85718906 \h </w:instrText>
      </w:r>
      <w:r w:rsidRPr="00182A70">
        <w:rPr>
          <w:noProof/>
          <w:sz w:val="22"/>
          <w:szCs w:val="22"/>
        </w:rPr>
      </w:r>
      <w:r w:rsidRPr="00182A70">
        <w:rPr>
          <w:noProof/>
          <w:sz w:val="22"/>
          <w:szCs w:val="22"/>
        </w:rPr>
        <w:fldChar w:fldCharType="separate"/>
      </w:r>
      <w:r w:rsidR="008940FD">
        <w:rPr>
          <w:noProof/>
          <w:sz w:val="22"/>
          <w:szCs w:val="22"/>
        </w:rPr>
        <w:t>41</w:t>
      </w:r>
      <w:r w:rsidRPr="00182A70">
        <w:rPr>
          <w:noProof/>
          <w:sz w:val="22"/>
          <w:szCs w:val="22"/>
        </w:rPr>
        <w:fldChar w:fldCharType="end"/>
      </w:r>
    </w:p>
    <w:p w14:paraId="5D9DF50C" w14:textId="6127603E" w:rsidR="00182A70" w:rsidRPr="00182A70" w:rsidRDefault="00182A70">
      <w:pPr>
        <w:pStyle w:val="Obsah2"/>
        <w:rPr>
          <w:rFonts w:asciiTheme="minorHAnsi" w:eastAsiaTheme="minorEastAsia" w:hAnsiTheme="minorHAnsi" w:cstheme="minorBidi"/>
          <w:noProof/>
          <w:szCs w:val="22"/>
          <w:lang w:eastAsia="sk-SK"/>
        </w:rPr>
      </w:pPr>
      <w:r w:rsidRPr="00182A70">
        <w:rPr>
          <w:noProof/>
          <w:szCs w:val="22"/>
        </w:rPr>
        <w:t>3.1.</w:t>
      </w:r>
      <w:r w:rsidRPr="00182A70">
        <w:rPr>
          <w:rFonts w:asciiTheme="minorHAnsi" w:eastAsiaTheme="minorEastAsia" w:hAnsiTheme="minorHAnsi" w:cstheme="minorBidi"/>
          <w:noProof/>
          <w:szCs w:val="22"/>
          <w:lang w:eastAsia="sk-SK"/>
        </w:rPr>
        <w:tab/>
      </w:r>
      <w:r w:rsidRPr="00182A70">
        <w:rPr>
          <w:noProof/>
          <w:szCs w:val="22"/>
        </w:rPr>
        <w:t>Koncept čistého bohatstva</w:t>
      </w:r>
      <w:r w:rsidRPr="00182A70">
        <w:rPr>
          <w:noProof/>
          <w:szCs w:val="22"/>
        </w:rPr>
        <w:tab/>
      </w:r>
      <w:r w:rsidRPr="00182A70">
        <w:rPr>
          <w:noProof/>
          <w:szCs w:val="22"/>
        </w:rPr>
        <w:fldChar w:fldCharType="begin"/>
      </w:r>
      <w:r w:rsidRPr="00182A70">
        <w:rPr>
          <w:noProof/>
          <w:szCs w:val="22"/>
        </w:rPr>
        <w:instrText xml:space="preserve"> PAGEREF _Toc85718907 \h </w:instrText>
      </w:r>
      <w:r w:rsidRPr="00182A70">
        <w:rPr>
          <w:noProof/>
          <w:szCs w:val="22"/>
        </w:rPr>
      </w:r>
      <w:r w:rsidRPr="00182A70">
        <w:rPr>
          <w:noProof/>
          <w:szCs w:val="22"/>
        </w:rPr>
        <w:fldChar w:fldCharType="separate"/>
      </w:r>
      <w:r w:rsidR="008940FD">
        <w:rPr>
          <w:noProof/>
          <w:szCs w:val="22"/>
        </w:rPr>
        <w:t>41</w:t>
      </w:r>
      <w:r w:rsidRPr="00182A70">
        <w:rPr>
          <w:noProof/>
          <w:szCs w:val="22"/>
        </w:rPr>
        <w:fldChar w:fldCharType="end"/>
      </w:r>
    </w:p>
    <w:p w14:paraId="0FCEB49D" w14:textId="39A66326" w:rsidR="00182A70" w:rsidRPr="00182A70" w:rsidRDefault="00182A70">
      <w:pPr>
        <w:pStyle w:val="Obsah2"/>
        <w:rPr>
          <w:rFonts w:asciiTheme="minorHAnsi" w:eastAsiaTheme="minorEastAsia" w:hAnsiTheme="minorHAnsi" w:cstheme="minorBidi"/>
          <w:noProof/>
          <w:szCs w:val="22"/>
          <w:lang w:eastAsia="sk-SK"/>
        </w:rPr>
      </w:pPr>
      <w:r w:rsidRPr="00182A70">
        <w:rPr>
          <w:noProof/>
          <w:szCs w:val="22"/>
        </w:rPr>
        <w:t>3.2.</w:t>
      </w:r>
      <w:r w:rsidRPr="00182A70">
        <w:rPr>
          <w:rFonts w:asciiTheme="minorHAnsi" w:eastAsiaTheme="minorEastAsia" w:hAnsiTheme="minorHAnsi" w:cstheme="minorBidi"/>
          <w:noProof/>
          <w:szCs w:val="22"/>
          <w:lang w:eastAsia="sk-SK"/>
        </w:rPr>
        <w:tab/>
      </w:r>
      <w:r w:rsidRPr="00182A70">
        <w:rPr>
          <w:noProof/>
          <w:szCs w:val="22"/>
        </w:rPr>
        <w:t>Odhad čistého bohatstva za rok 2020</w:t>
      </w:r>
      <w:r w:rsidRPr="00182A70">
        <w:rPr>
          <w:noProof/>
          <w:szCs w:val="22"/>
        </w:rPr>
        <w:tab/>
      </w:r>
      <w:r w:rsidRPr="00182A70">
        <w:rPr>
          <w:noProof/>
          <w:szCs w:val="22"/>
        </w:rPr>
        <w:fldChar w:fldCharType="begin"/>
      </w:r>
      <w:r w:rsidRPr="00182A70">
        <w:rPr>
          <w:noProof/>
          <w:szCs w:val="22"/>
        </w:rPr>
        <w:instrText xml:space="preserve"> PAGEREF _Toc85718908 \h </w:instrText>
      </w:r>
      <w:r w:rsidRPr="00182A70">
        <w:rPr>
          <w:noProof/>
          <w:szCs w:val="22"/>
        </w:rPr>
      </w:r>
      <w:r w:rsidRPr="00182A70">
        <w:rPr>
          <w:noProof/>
          <w:szCs w:val="22"/>
        </w:rPr>
        <w:fldChar w:fldCharType="separate"/>
      </w:r>
      <w:r w:rsidR="008940FD">
        <w:rPr>
          <w:noProof/>
          <w:szCs w:val="22"/>
        </w:rPr>
        <w:t>42</w:t>
      </w:r>
      <w:r w:rsidRPr="00182A70">
        <w:rPr>
          <w:noProof/>
          <w:szCs w:val="22"/>
        </w:rPr>
        <w:fldChar w:fldCharType="end"/>
      </w:r>
    </w:p>
    <w:p w14:paraId="07F3AA0E" w14:textId="2A66D84B" w:rsidR="00182A70" w:rsidRPr="00182A70" w:rsidRDefault="00182A70">
      <w:pPr>
        <w:pStyle w:val="Obsah3"/>
        <w:rPr>
          <w:rFonts w:asciiTheme="minorHAnsi" w:eastAsiaTheme="minorEastAsia" w:hAnsiTheme="minorHAnsi" w:cstheme="minorBidi"/>
          <w:noProof/>
          <w:szCs w:val="22"/>
          <w:lang w:eastAsia="sk-SK"/>
        </w:rPr>
      </w:pPr>
      <w:r w:rsidRPr="00182A70">
        <w:rPr>
          <w:noProof/>
          <w:szCs w:val="22"/>
        </w:rPr>
        <w:t>3.2.1.</w:t>
      </w:r>
      <w:r w:rsidRPr="00182A70">
        <w:rPr>
          <w:rFonts w:asciiTheme="minorHAnsi" w:eastAsiaTheme="minorEastAsia" w:hAnsiTheme="minorHAnsi" w:cstheme="minorBidi"/>
          <w:noProof/>
          <w:szCs w:val="22"/>
          <w:lang w:eastAsia="sk-SK"/>
        </w:rPr>
        <w:tab/>
      </w:r>
      <w:r w:rsidRPr="00182A70">
        <w:rPr>
          <w:noProof/>
          <w:szCs w:val="22"/>
        </w:rPr>
        <w:t>Vlastné imanie súhrnného celku verejnej správy</w:t>
      </w:r>
      <w:r w:rsidRPr="00182A70">
        <w:rPr>
          <w:noProof/>
          <w:szCs w:val="22"/>
        </w:rPr>
        <w:tab/>
      </w:r>
      <w:r w:rsidRPr="00182A70">
        <w:rPr>
          <w:noProof/>
          <w:szCs w:val="22"/>
        </w:rPr>
        <w:fldChar w:fldCharType="begin"/>
      </w:r>
      <w:r w:rsidRPr="00182A70">
        <w:rPr>
          <w:noProof/>
          <w:szCs w:val="22"/>
        </w:rPr>
        <w:instrText xml:space="preserve"> PAGEREF _Toc85718909 \h </w:instrText>
      </w:r>
      <w:r w:rsidRPr="00182A70">
        <w:rPr>
          <w:noProof/>
          <w:szCs w:val="22"/>
        </w:rPr>
      </w:r>
      <w:r w:rsidRPr="00182A70">
        <w:rPr>
          <w:noProof/>
          <w:szCs w:val="22"/>
        </w:rPr>
        <w:fldChar w:fldCharType="separate"/>
      </w:r>
      <w:r w:rsidR="008940FD">
        <w:rPr>
          <w:noProof/>
          <w:szCs w:val="22"/>
        </w:rPr>
        <w:t>43</w:t>
      </w:r>
      <w:r w:rsidRPr="00182A70">
        <w:rPr>
          <w:noProof/>
          <w:szCs w:val="22"/>
        </w:rPr>
        <w:fldChar w:fldCharType="end"/>
      </w:r>
    </w:p>
    <w:p w14:paraId="29CF8559" w14:textId="6601F5B5" w:rsidR="00182A70" w:rsidRPr="00182A70" w:rsidRDefault="00182A70">
      <w:pPr>
        <w:pStyle w:val="Obsah3"/>
        <w:rPr>
          <w:rFonts w:asciiTheme="minorHAnsi" w:eastAsiaTheme="minorEastAsia" w:hAnsiTheme="minorHAnsi" w:cstheme="minorBidi"/>
          <w:noProof/>
          <w:szCs w:val="22"/>
          <w:lang w:eastAsia="sk-SK"/>
        </w:rPr>
      </w:pPr>
      <w:r w:rsidRPr="00182A70">
        <w:rPr>
          <w:noProof/>
          <w:szCs w:val="22"/>
        </w:rPr>
        <w:t>3.2.2.</w:t>
      </w:r>
      <w:r w:rsidRPr="00182A70">
        <w:rPr>
          <w:rFonts w:asciiTheme="minorHAnsi" w:eastAsiaTheme="minorEastAsia" w:hAnsiTheme="minorHAnsi" w:cstheme="minorBidi"/>
          <w:noProof/>
          <w:szCs w:val="22"/>
          <w:lang w:eastAsia="sk-SK"/>
        </w:rPr>
        <w:tab/>
      </w:r>
      <w:r w:rsidRPr="00182A70">
        <w:rPr>
          <w:noProof/>
          <w:szCs w:val="22"/>
        </w:rPr>
        <w:t>Vlastné imanie podnikov štátnej správy</w:t>
      </w:r>
      <w:r w:rsidRPr="00182A70">
        <w:rPr>
          <w:noProof/>
          <w:szCs w:val="22"/>
        </w:rPr>
        <w:tab/>
      </w:r>
      <w:r w:rsidRPr="00182A70">
        <w:rPr>
          <w:noProof/>
          <w:szCs w:val="22"/>
        </w:rPr>
        <w:fldChar w:fldCharType="begin"/>
      </w:r>
      <w:r w:rsidRPr="00182A70">
        <w:rPr>
          <w:noProof/>
          <w:szCs w:val="22"/>
        </w:rPr>
        <w:instrText xml:space="preserve"> PAGEREF _Toc85718910 \h </w:instrText>
      </w:r>
      <w:r w:rsidRPr="00182A70">
        <w:rPr>
          <w:noProof/>
          <w:szCs w:val="22"/>
        </w:rPr>
      </w:r>
      <w:r w:rsidRPr="00182A70">
        <w:rPr>
          <w:noProof/>
          <w:szCs w:val="22"/>
        </w:rPr>
        <w:fldChar w:fldCharType="separate"/>
      </w:r>
      <w:r w:rsidR="008940FD">
        <w:rPr>
          <w:noProof/>
          <w:szCs w:val="22"/>
        </w:rPr>
        <w:t>45</w:t>
      </w:r>
      <w:r w:rsidRPr="00182A70">
        <w:rPr>
          <w:noProof/>
          <w:szCs w:val="22"/>
        </w:rPr>
        <w:fldChar w:fldCharType="end"/>
      </w:r>
    </w:p>
    <w:p w14:paraId="193B6BE5" w14:textId="3D0EFF1F" w:rsidR="00182A70" w:rsidRPr="00182A70" w:rsidRDefault="00182A70">
      <w:pPr>
        <w:pStyle w:val="Obsah3"/>
        <w:rPr>
          <w:rFonts w:asciiTheme="minorHAnsi" w:eastAsiaTheme="minorEastAsia" w:hAnsiTheme="minorHAnsi" w:cstheme="minorBidi"/>
          <w:noProof/>
          <w:szCs w:val="22"/>
          <w:lang w:eastAsia="sk-SK"/>
        </w:rPr>
      </w:pPr>
      <w:r w:rsidRPr="00182A70">
        <w:rPr>
          <w:noProof/>
          <w:szCs w:val="22"/>
        </w:rPr>
        <w:t>3.2.3.</w:t>
      </w:r>
      <w:r w:rsidRPr="00182A70">
        <w:rPr>
          <w:rFonts w:asciiTheme="minorHAnsi" w:eastAsiaTheme="minorEastAsia" w:hAnsiTheme="minorHAnsi" w:cstheme="minorBidi"/>
          <w:noProof/>
          <w:szCs w:val="22"/>
          <w:lang w:eastAsia="sk-SK"/>
        </w:rPr>
        <w:tab/>
      </w:r>
      <w:r w:rsidRPr="00182A70">
        <w:rPr>
          <w:rFonts w:eastAsiaTheme="minorHAnsi"/>
          <w:noProof/>
          <w:szCs w:val="22"/>
        </w:rPr>
        <w:t>Vlastné imanie Národnej banky Slovenska</w:t>
      </w:r>
      <w:r w:rsidRPr="00182A70">
        <w:rPr>
          <w:noProof/>
          <w:szCs w:val="22"/>
        </w:rPr>
        <w:tab/>
      </w:r>
      <w:r w:rsidRPr="00182A70">
        <w:rPr>
          <w:noProof/>
          <w:szCs w:val="22"/>
        </w:rPr>
        <w:fldChar w:fldCharType="begin"/>
      </w:r>
      <w:r w:rsidRPr="00182A70">
        <w:rPr>
          <w:noProof/>
          <w:szCs w:val="22"/>
        </w:rPr>
        <w:instrText xml:space="preserve"> PAGEREF _Toc85718911 \h </w:instrText>
      </w:r>
      <w:r w:rsidRPr="00182A70">
        <w:rPr>
          <w:noProof/>
          <w:szCs w:val="22"/>
        </w:rPr>
      </w:r>
      <w:r w:rsidRPr="00182A70">
        <w:rPr>
          <w:noProof/>
          <w:szCs w:val="22"/>
        </w:rPr>
        <w:fldChar w:fldCharType="separate"/>
      </w:r>
      <w:r w:rsidR="008940FD">
        <w:rPr>
          <w:noProof/>
          <w:szCs w:val="22"/>
        </w:rPr>
        <w:t>53</w:t>
      </w:r>
      <w:r w:rsidRPr="00182A70">
        <w:rPr>
          <w:noProof/>
          <w:szCs w:val="22"/>
        </w:rPr>
        <w:fldChar w:fldCharType="end"/>
      </w:r>
    </w:p>
    <w:p w14:paraId="17A6EB63" w14:textId="4E8B42E4" w:rsidR="00182A70" w:rsidRPr="00182A70" w:rsidRDefault="00182A70">
      <w:pPr>
        <w:pStyle w:val="Obsah3"/>
        <w:rPr>
          <w:rFonts w:asciiTheme="minorHAnsi" w:eastAsiaTheme="minorEastAsia" w:hAnsiTheme="minorHAnsi" w:cstheme="minorBidi"/>
          <w:noProof/>
          <w:szCs w:val="22"/>
          <w:lang w:eastAsia="sk-SK"/>
        </w:rPr>
      </w:pPr>
      <w:r w:rsidRPr="00182A70">
        <w:rPr>
          <w:rFonts w:eastAsiaTheme="minorHAnsi"/>
          <w:noProof/>
          <w:szCs w:val="22"/>
        </w:rPr>
        <w:t>3.2.4. Vývoj stavu vlastného imania podnikov štátnej správy za 10 rokov</w:t>
      </w:r>
      <w:r w:rsidRPr="00182A70">
        <w:rPr>
          <w:noProof/>
          <w:szCs w:val="22"/>
        </w:rPr>
        <w:tab/>
      </w:r>
      <w:r w:rsidRPr="00182A70">
        <w:rPr>
          <w:noProof/>
          <w:szCs w:val="22"/>
        </w:rPr>
        <w:fldChar w:fldCharType="begin"/>
      </w:r>
      <w:r w:rsidRPr="00182A70">
        <w:rPr>
          <w:noProof/>
          <w:szCs w:val="22"/>
        </w:rPr>
        <w:instrText xml:space="preserve"> PAGEREF _Toc85718912 \h </w:instrText>
      </w:r>
      <w:r w:rsidRPr="00182A70">
        <w:rPr>
          <w:noProof/>
          <w:szCs w:val="22"/>
        </w:rPr>
      </w:r>
      <w:r w:rsidRPr="00182A70">
        <w:rPr>
          <w:noProof/>
          <w:szCs w:val="22"/>
        </w:rPr>
        <w:fldChar w:fldCharType="separate"/>
      </w:r>
      <w:r w:rsidR="008940FD">
        <w:rPr>
          <w:noProof/>
          <w:szCs w:val="22"/>
        </w:rPr>
        <w:t>55</w:t>
      </w:r>
      <w:r w:rsidRPr="00182A70">
        <w:rPr>
          <w:noProof/>
          <w:szCs w:val="22"/>
        </w:rPr>
        <w:fldChar w:fldCharType="end"/>
      </w:r>
    </w:p>
    <w:p w14:paraId="79A0FB78" w14:textId="2FE0AC6A" w:rsidR="00182A70" w:rsidRPr="00182A70" w:rsidRDefault="00182A70">
      <w:pPr>
        <w:pStyle w:val="Obsah3"/>
        <w:rPr>
          <w:rFonts w:asciiTheme="minorHAnsi" w:eastAsiaTheme="minorEastAsia" w:hAnsiTheme="minorHAnsi" w:cstheme="minorBidi"/>
          <w:noProof/>
          <w:szCs w:val="22"/>
          <w:lang w:eastAsia="sk-SK"/>
        </w:rPr>
      </w:pPr>
      <w:r w:rsidRPr="00182A70">
        <w:rPr>
          <w:noProof/>
          <w:szCs w:val="22"/>
        </w:rPr>
        <w:t>3.2.5.</w:t>
      </w:r>
      <w:r w:rsidRPr="00182A70">
        <w:rPr>
          <w:rFonts w:asciiTheme="minorHAnsi" w:eastAsiaTheme="minorEastAsia" w:hAnsiTheme="minorHAnsi" w:cstheme="minorBidi"/>
          <w:noProof/>
          <w:szCs w:val="22"/>
          <w:lang w:eastAsia="sk-SK"/>
        </w:rPr>
        <w:tab/>
      </w:r>
      <w:r w:rsidRPr="00182A70">
        <w:rPr>
          <w:noProof/>
          <w:szCs w:val="22"/>
        </w:rPr>
        <w:t>Implicitné záväzky</w:t>
      </w:r>
      <w:r w:rsidRPr="00182A70">
        <w:rPr>
          <w:noProof/>
          <w:szCs w:val="22"/>
        </w:rPr>
        <w:tab/>
      </w:r>
      <w:r w:rsidRPr="00182A70">
        <w:rPr>
          <w:noProof/>
          <w:szCs w:val="22"/>
        </w:rPr>
        <w:fldChar w:fldCharType="begin"/>
      </w:r>
      <w:r w:rsidRPr="00182A70">
        <w:rPr>
          <w:noProof/>
          <w:szCs w:val="22"/>
        </w:rPr>
        <w:instrText xml:space="preserve"> PAGEREF _Toc85718913 \h </w:instrText>
      </w:r>
      <w:r w:rsidRPr="00182A70">
        <w:rPr>
          <w:noProof/>
          <w:szCs w:val="22"/>
        </w:rPr>
      </w:r>
      <w:r w:rsidRPr="00182A70">
        <w:rPr>
          <w:noProof/>
          <w:szCs w:val="22"/>
        </w:rPr>
        <w:fldChar w:fldCharType="separate"/>
      </w:r>
      <w:r w:rsidR="008940FD">
        <w:rPr>
          <w:noProof/>
          <w:szCs w:val="22"/>
        </w:rPr>
        <w:t>57</w:t>
      </w:r>
      <w:r w:rsidRPr="00182A70">
        <w:rPr>
          <w:noProof/>
          <w:szCs w:val="22"/>
        </w:rPr>
        <w:fldChar w:fldCharType="end"/>
      </w:r>
    </w:p>
    <w:p w14:paraId="2FDC27E0" w14:textId="00295ECA" w:rsidR="00182A70" w:rsidRPr="00182A70" w:rsidRDefault="00182A70">
      <w:pPr>
        <w:pStyle w:val="Obsah3"/>
        <w:rPr>
          <w:rFonts w:asciiTheme="minorHAnsi" w:eastAsiaTheme="minorEastAsia" w:hAnsiTheme="minorHAnsi" w:cstheme="minorBidi"/>
          <w:noProof/>
          <w:szCs w:val="22"/>
          <w:lang w:eastAsia="sk-SK"/>
        </w:rPr>
      </w:pPr>
      <w:r w:rsidRPr="00182A70">
        <w:rPr>
          <w:noProof/>
          <w:szCs w:val="22"/>
        </w:rPr>
        <w:t>3.2.6.</w:t>
      </w:r>
      <w:r w:rsidRPr="00182A70">
        <w:rPr>
          <w:rFonts w:asciiTheme="minorHAnsi" w:eastAsiaTheme="minorEastAsia" w:hAnsiTheme="minorHAnsi" w:cstheme="minorBidi"/>
          <w:noProof/>
          <w:szCs w:val="22"/>
          <w:lang w:eastAsia="sk-SK"/>
        </w:rPr>
        <w:tab/>
      </w:r>
      <w:r w:rsidRPr="00182A70">
        <w:rPr>
          <w:noProof/>
          <w:szCs w:val="22"/>
        </w:rPr>
        <w:t>Podmienené záväzky</w:t>
      </w:r>
      <w:r w:rsidRPr="00182A70">
        <w:rPr>
          <w:noProof/>
          <w:szCs w:val="22"/>
        </w:rPr>
        <w:tab/>
      </w:r>
      <w:r w:rsidRPr="00182A70">
        <w:rPr>
          <w:noProof/>
          <w:szCs w:val="22"/>
        </w:rPr>
        <w:fldChar w:fldCharType="begin"/>
      </w:r>
      <w:r w:rsidRPr="00182A70">
        <w:rPr>
          <w:noProof/>
          <w:szCs w:val="22"/>
        </w:rPr>
        <w:instrText xml:space="preserve"> PAGEREF _Toc85718914 \h </w:instrText>
      </w:r>
      <w:r w:rsidRPr="00182A70">
        <w:rPr>
          <w:noProof/>
          <w:szCs w:val="22"/>
        </w:rPr>
      </w:r>
      <w:r w:rsidRPr="00182A70">
        <w:rPr>
          <w:noProof/>
          <w:szCs w:val="22"/>
        </w:rPr>
        <w:fldChar w:fldCharType="separate"/>
      </w:r>
      <w:r w:rsidR="008940FD">
        <w:rPr>
          <w:noProof/>
          <w:szCs w:val="22"/>
        </w:rPr>
        <w:t>60</w:t>
      </w:r>
      <w:r w:rsidRPr="00182A70">
        <w:rPr>
          <w:noProof/>
          <w:szCs w:val="22"/>
        </w:rPr>
        <w:fldChar w:fldCharType="end"/>
      </w:r>
    </w:p>
    <w:p w14:paraId="2BF28AD4" w14:textId="24EB4D15" w:rsidR="00182A70" w:rsidRPr="00182A70" w:rsidRDefault="00182A70">
      <w:pPr>
        <w:pStyle w:val="Obsah3"/>
        <w:rPr>
          <w:rFonts w:asciiTheme="minorHAnsi" w:eastAsiaTheme="minorEastAsia" w:hAnsiTheme="minorHAnsi" w:cstheme="minorBidi"/>
          <w:noProof/>
          <w:szCs w:val="22"/>
          <w:lang w:eastAsia="sk-SK"/>
        </w:rPr>
      </w:pPr>
      <w:r w:rsidRPr="00182A70">
        <w:rPr>
          <w:noProof/>
          <w:szCs w:val="22"/>
        </w:rPr>
        <w:t>3.2.7.</w:t>
      </w:r>
      <w:r w:rsidRPr="00182A70">
        <w:rPr>
          <w:rFonts w:asciiTheme="minorHAnsi" w:eastAsiaTheme="minorEastAsia" w:hAnsiTheme="minorHAnsi" w:cstheme="minorBidi"/>
          <w:noProof/>
          <w:szCs w:val="22"/>
          <w:lang w:eastAsia="sk-SK"/>
        </w:rPr>
        <w:tab/>
      </w:r>
      <w:r w:rsidRPr="00182A70">
        <w:rPr>
          <w:noProof/>
          <w:szCs w:val="22"/>
        </w:rPr>
        <w:t>Iné aktíva ako súčasť čistého bohatstva</w:t>
      </w:r>
      <w:r w:rsidRPr="00182A70">
        <w:rPr>
          <w:noProof/>
          <w:szCs w:val="22"/>
        </w:rPr>
        <w:tab/>
      </w:r>
      <w:r w:rsidRPr="00182A70">
        <w:rPr>
          <w:noProof/>
          <w:szCs w:val="22"/>
        </w:rPr>
        <w:fldChar w:fldCharType="begin"/>
      </w:r>
      <w:r w:rsidRPr="00182A70">
        <w:rPr>
          <w:noProof/>
          <w:szCs w:val="22"/>
        </w:rPr>
        <w:instrText xml:space="preserve"> PAGEREF _Toc85718915 \h </w:instrText>
      </w:r>
      <w:r w:rsidRPr="00182A70">
        <w:rPr>
          <w:noProof/>
          <w:szCs w:val="22"/>
        </w:rPr>
      </w:r>
      <w:r w:rsidRPr="00182A70">
        <w:rPr>
          <w:noProof/>
          <w:szCs w:val="22"/>
        </w:rPr>
        <w:fldChar w:fldCharType="separate"/>
      </w:r>
      <w:r w:rsidR="008940FD">
        <w:rPr>
          <w:noProof/>
          <w:szCs w:val="22"/>
        </w:rPr>
        <w:t>66</w:t>
      </w:r>
      <w:r w:rsidRPr="00182A70">
        <w:rPr>
          <w:noProof/>
          <w:szCs w:val="22"/>
        </w:rPr>
        <w:fldChar w:fldCharType="end"/>
      </w:r>
    </w:p>
    <w:p w14:paraId="12C4A150" w14:textId="768C2ED5" w:rsidR="00182A70" w:rsidRPr="00182A70" w:rsidRDefault="00182A70">
      <w:pPr>
        <w:pStyle w:val="Obsah1"/>
        <w:rPr>
          <w:rFonts w:asciiTheme="minorHAnsi" w:eastAsiaTheme="minorEastAsia" w:hAnsiTheme="minorHAnsi" w:cstheme="minorBidi"/>
          <w:noProof/>
          <w:sz w:val="22"/>
          <w:szCs w:val="22"/>
          <w:lang w:eastAsia="sk-SK"/>
        </w:rPr>
      </w:pPr>
      <w:r w:rsidRPr="00182A70">
        <w:rPr>
          <w:noProof/>
          <w:sz w:val="22"/>
          <w:szCs w:val="22"/>
        </w:rPr>
        <w:t>Zoznam skratiek</w:t>
      </w:r>
      <w:r w:rsidRPr="00182A70">
        <w:rPr>
          <w:noProof/>
          <w:sz w:val="22"/>
          <w:szCs w:val="22"/>
        </w:rPr>
        <w:tab/>
      </w:r>
      <w:r w:rsidRPr="00182A70">
        <w:rPr>
          <w:noProof/>
          <w:sz w:val="22"/>
          <w:szCs w:val="22"/>
        </w:rPr>
        <w:fldChar w:fldCharType="begin"/>
      </w:r>
      <w:r w:rsidRPr="00182A70">
        <w:rPr>
          <w:noProof/>
          <w:sz w:val="22"/>
          <w:szCs w:val="22"/>
        </w:rPr>
        <w:instrText xml:space="preserve"> PAGEREF _Toc85718916 \h </w:instrText>
      </w:r>
      <w:r w:rsidRPr="00182A70">
        <w:rPr>
          <w:noProof/>
          <w:sz w:val="22"/>
          <w:szCs w:val="22"/>
        </w:rPr>
      </w:r>
      <w:r w:rsidRPr="00182A70">
        <w:rPr>
          <w:noProof/>
          <w:sz w:val="22"/>
          <w:szCs w:val="22"/>
        </w:rPr>
        <w:fldChar w:fldCharType="separate"/>
      </w:r>
      <w:r w:rsidR="008940FD">
        <w:rPr>
          <w:noProof/>
          <w:sz w:val="22"/>
          <w:szCs w:val="22"/>
        </w:rPr>
        <w:t>69</w:t>
      </w:r>
      <w:r w:rsidRPr="00182A70">
        <w:rPr>
          <w:noProof/>
          <w:sz w:val="22"/>
          <w:szCs w:val="22"/>
        </w:rPr>
        <w:fldChar w:fldCharType="end"/>
      </w:r>
    </w:p>
    <w:p w14:paraId="1C6D39AE" w14:textId="0900A705" w:rsidR="00182A70" w:rsidRPr="00182A70" w:rsidRDefault="00182A70">
      <w:pPr>
        <w:pStyle w:val="Obsah1"/>
        <w:rPr>
          <w:rFonts w:asciiTheme="minorHAnsi" w:eastAsiaTheme="minorEastAsia" w:hAnsiTheme="minorHAnsi" w:cstheme="minorBidi"/>
          <w:noProof/>
          <w:sz w:val="22"/>
          <w:szCs w:val="22"/>
          <w:lang w:eastAsia="sk-SK"/>
        </w:rPr>
      </w:pPr>
      <w:r w:rsidRPr="00182A70">
        <w:rPr>
          <w:noProof/>
          <w:sz w:val="22"/>
          <w:szCs w:val="22"/>
        </w:rPr>
        <w:t>Slovník odborných pojmov</w:t>
      </w:r>
      <w:r w:rsidRPr="00182A70">
        <w:rPr>
          <w:noProof/>
          <w:sz w:val="22"/>
          <w:szCs w:val="22"/>
        </w:rPr>
        <w:tab/>
      </w:r>
      <w:r w:rsidRPr="00182A70">
        <w:rPr>
          <w:noProof/>
          <w:sz w:val="22"/>
          <w:szCs w:val="22"/>
        </w:rPr>
        <w:fldChar w:fldCharType="begin"/>
      </w:r>
      <w:r w:rsidRPr="00182A70">
        <w:rPr>
          <w:noProof/>
          <w:sz w:val="22"/>
          <w:szCs w:val="22"/>
        </w:rPr>
        <w:instrText xml:space="preserve"> PAGEREF _Toc85718917 \h </w:instrText>
      </w:r>
      <w:r w:rsidRPr="00182A70">
        <w:rPr>
          <w:noProof/>
          <w:sz w:val="22"/>
          <w:szCs w:val="22"/>
        </w:rPr>
      </w:r>
      <w:r w:rsidRPr="00182A70">
        <w:rPr>
          <w:noProof/>
          <w:sz w:val="22"/>
          <w:szCs w:val="22"/>
        </w:rPr>
        <w:fldChar w:fldCharType="separate"/>
      </w:r>
      <w:r w:rsidR="008940FD">
        <w:rPr>
          <w:noProof/>
          <w:sz w:val="22"/>
          <w:szCs w:val="22"/>
        </w:rPr>
        <w:t>70</w:t>
      </w:r>
      <w:r w:rsidRPr="00182A70">
        <w:rPr>
          <w:noProof/>
          <w:sz w:val="22"/>
          <w:szCs w:val="22"/>
        </w:rPr>
        <w:fldChar w:fldCharType="end"/>
      </w:r>
    </w:p>
    <w:p w14:paraId="4250B670" w14:textId="20C85FBC" w:rsidR="005A1C55" w:rsidRPr="0068099F" w:rsidRDefault="00F74AB3" w:rsidP="0009732B">
      <w:pPr>
        <w:spacing w:after="0" w:line="336" w:lineRule="auto"/>
        <w:rPr>
          <w:szCs w:val="22"/>
        </w:rPr>
      </w:pPr>
      <w:r w:rsidRPr="00182A70">
        <w:rPr>
          <w:szCs w:val="22"/>
        </w:rPr>
        <w:fldChar w:fldCharType="end"/>
      </w:r>
    </w:p>
    <w:p w14:paraId="6A20C968" w14:textId="06DB9239" w:rsidR="00872FE7" w:rsidRPr="0068099F" w:rsidRDefault="00872FE7" w:rsidP="0009732B">
      <w:pPr>
        <w:spacing w:after="0" w:line="336" w:lineRule="auto"/>
        <w:rPr>
          <w:szCs w:val="22"/>
        </w:rPr>
      </w:pPr>
      <w:r w:rsidRPr="0068099F">
        <w:rPr>
          <w:szCs w:val="22"/>
        </w:rPr>
        <w:t>Prílohy:</w:t>
      </w:r>
    </w:p>
    <w:p w14:paraId="2D73C39A" w14:textId="77777777" w:rsidR="0009732B" w:rsidRPr="0068099F" w:rsidRDefault="0009732B" w:rsidP="0009732B">
      <w:pPr>
        <w:spacing w:after="0" w:line="336" w:lineRule="auto"/>
        <w:rPr>
          <w:szCs w:val="22"/>
        </w:rPr>
      </w:pPr>
      <w:r w:rsidRPr="0068099F">
        <w:rPr>
          <w:szCs w:val="22"/>
        </w:rPr>
        <w:t>Príloha č. 1 Prehľad hospodá</w:t>
      </w:r>
      <w:r w:rsidR="00706FC1" w:rsidRPr="0068099F">
        <w:rPr>
          <w:szCs w:val="22"/>
        </w:rPr>
        <w:t>renia podn</w:t>
      </w:r>
      <w:bookmarkStart w:id="2" w:name="_GoBack"/>
      <w:bookmarkEnd w:id="2"/>
      <w:r w:rsidR="00706FC1" w:rsidRPr="0068099F">
        <w:rPr>
          <w:szCs w:val="22"/>
        </w:rPr>
        <w:t>ikov štátnej správy</w:t>
      </w:r>
    </w:p>
    <w:p w14:paraId="4D23A769" w14:textId="504A2FD4" w:rsidR="00651A0E" w:rsidRPr="0068099F" w:rsidRDefault="0009732B" w:rsidP="00651A0E">
      <w:pPr>
        <w:spacing w:after="0" w:line="336" w:lineRule="auto"/>
        <w:rPr>
          <w:szCs w:val="22"/>
        </w:rPr>
      </w:pPr>
      <w:r w:rsidRPr="0068099F">
        <w:rPr>
          <w:szCs w:val="22"/>
        </w:rPr>
        <w:t xml:space="preserve">Príloha č. 2 </w:t>
      </w:r>
      <w:r w:rsidR="00DA243F" w:rsidRPr="0068099F">
        <w:rPr>
          <w:szCs w:val="22"/>
        </w:rPr>
        <w:t>Vlastné imanie podnikov štátnej správy</w:t>
      </w:r>
    </w:p>
    <w:p w14:paraId="6D099216" w14:textId="3CEB8DAF" w:rsidR="001960E5" w:rsidRPr="0068099F" w:rsidRDefault="001960E5" w:rsidP="00651A0E">
      <w:pPr>
        <w:spacing w:after="0" w:line="336" w:lineRule="auto"/>
        <w:rPr>
          <w:szCs w:val="22"/>
        </w:rPr>
      </w:pPr>
      <w:r w:rsidRPr="0068099F">
        <w:rPr>
          <w:szCs w:val="22"/>
        </w:rPr>
        <w:t>Príloha č. 3 Súhrnná účtovná závierka verejnej správy SR za rok 20</w:t>
      </w:r>
      <w:r w:rsidR="0068099F" w:rsidRPr="0068099F">
        <w:rPr>
          <w:szCs w:val="22"/>
        </w:rPr>
        <w:t>20</w:t>
      </w:r>
    </w:p>
    <w:p w14:paraId="6BDA5762" w14:textId="77777777" w:rsidR="00651A0E" w:rsidRPr="001D77FC" w:rsidRDefault="00651A0E">
      <w:pPr>
        <w:rPr>
          <w:color w:val="FF0000"/>
          <w:szCs w:val="22"/>
          <w:highlight w:val="yellow"/>
        </w:rPr>
      </w:pPr>
      <w:r w:rsidRPr="001D77FC">
        <w:rPr>
          <w:color w:val="FF0000"/>
          <w:szCs w:val="22"/>
          <w:highlight w:val="yellow"/>
        </w:rPr>
        <w:br w:type="page"/>
      </w:r>
    </w:p>
    <w:p w14:paraId="3EE12ECB" w14:textId="3A0E5B9A" w:rsidR="00183FF7" w:rsidRPr="00C1166B" w:rsidRDefault="00183FF7" w:rsidP="00183FF7">
      <w:pPr>
        <w:pStyle w:val="Nadpis1"/>
        <w:numPr>
          <w:ilvl w:val="0"/>
          <w:numId w:val="0"/>
        </w:numPr>
        <w:spacing w:after="120" w:line="336" w:lineRule="auto"/>
      </w:pPr>
      <w:bookmarkStart w:id="3" w:name="_Toc399324355"/>
      <w:bookmarkStart w:id="4" w:name="_Toc401920004"/>
      <w:bookmarkStart w:id="5" w:name="_Toc465255006"/>
      <w:bookmarkStart w:id="6" w:name="_Toc495990479"/>
      <w:bookmarkStart w:id="7" w:name="_Toc85718890"/>
      <w:bookmarkStart w:id="8" w:name="_Toc399324356"/>
      <w:bookmarkStart w:id="9" w:name="_Toc401920005"/>
      <w:bookmarkEnd w:id="0"/>
      <w:bookmarkEnd w:id="1"/>
      <w:r w:rsidRPr="00C1166B">
        <w:lastRenderedPageBreak/>
        <w:t>Úvod</w:t>
      </w:r>
      <w:bookmarkEnd w:id="3"/>
      <w:bookmarkEnd w:id="4"/>
      <w:bookmarkEnd w:id="5"/>
      <w:bookmarkEnd w:id="6"/>
      <w:bookmarkEnd w:id="7"/>
    </w:p>
    <w:p w14:paraId="637E3BDF" w14:textId="07B9F23F" w:rsidR="0081354D" w:rsidRPr="007E539C" w:rsidRDefault="00183FF7" w:rsidP="0027100E">
      <w:pPr>
        <w:spacing w:after="0" w:line="240" w:lineRule="auto"/>
        <w:jc w:val="both"/>
        <w:rPr>
          <w:lang w:eastAsia="cs-CZ"/>
        </w:rPr>
      </w:pPr>
      <w:r w:rsidRPr="0039640B">
        <w:rPr>
          <w:b/>
          <w:color w:val="0070C0"/>
          <w:lang w:eastAsia="cs-CZ"/>
        </w:rPr>
        <w:t xml:space="preserve">Súhrnná výročná správa Slovenskej republiky </w:t>
      </w:r>
      <w:r w:rsidRPr="00D2173A">
        <w:rPr>
          <w:lang w:eastAsia="cs-CZ"/>
        </w:rPr>
        <w:t>(ďalej aj „správa“)</w:t>
      </w:r>
      <w:r w:rsidR="003D46DF" w:rsidRPr="00D2173A">
        <w:rPr>
          <w:lang w:eastAsia="cs-CZ"/>
        </w:rPr>
        <w:t xml:space="preserve"> </w:t>
      </w:r>
      <w:r w:rsidR="00946EA4" w:rsidRPr="00D2173A">
        <w:rPr>
          <w:lang w:eastAsia="cs-CZ"/>
        </w:rPr>
        <w:t xml:space="preserve">je </w:t>
      </w:r>
      <w:r w:rsidR="00946EA4">
        <w:rPr>
          <w:lang w:eastAsia="cs-CZ"/>
        </w:rPr>
        <w:t>dokument o hospodárení</w:t>
      </w:r>
      <w:r w:rsidR="00946EA4">
        <w:rPr>
          <w:lang w:eastAsia="cs-CZ"/>
        </w:rPr>
        <w:br/>
      </w:r>
      <w:r w:rsidR="00D03BE4" w:rsidRPr="00C1166B">
        <w:rPr>
          <w:lang w:eastAsia="cs-CZ"/>
        </w:rPr>
        <w:t xml:space="preserve">s </w:t>
      </w:r>
      <w:r w:rsidRPr="00C1166B">
        <w:rPr>
          <w:lang w:eastAsia="cs-CZ"/>
        </w:rPr>
        <w:t>verejný</w:t>
      </w:r>
      <w:r w:rsidR="00D03BE4" w:rsidRPr="00C1166B">
        <w:rPr>
          <w:lang w:eastAsia="cs-CZ"/>
        </w:rPr>
        <w:t>mi</w:t>
      </w:r>
      <w:r w:rsidRPr="00C1166B">
        <w:rPr>
          <w:lang w:eastAsia="cs-CZ"/>
        </w:rPr>
        <w:t xml:space="preserve"> financi</w:t>
      </w:r>
      <w:r w:rsidR="00D03BE4" w:rsidRPr="00C1166B">
        <w:rPr>
          <w:lang w:eastAsia="cs-CZ"/>
        </w:rPr>
        <w:t>ami</w:t>
      </w:r>
      <w:r w:rsidRPr="00C1166B">
        <w:rPr>
          <w:lang w:eastAsia="cs-CZ"/>
        </w:rPr>
        <w:t xml:space="preserve"> </w:t>
      </w:r>
      <w:r w:rsidR="00D03BE4" w:rsidRPr="00C1166B">
        <w:rPr>
          <w:lang w:eastAsia="cs-CZ"/>
        </w:rPr>
        <w:t>krajiny</w:t>
      </w:r>
      <w:r w:rsidR="0081354D" w:rsidRPr="00C1166B">
        <w:rPr>
          <w:lang w:eastAsia="cs-CZ"/>
        </w:rPr>
        <w:t>, ktorý zostavuje a verejnosti prináša Ministerstvo financií SR už 10. rok.</w:t>
      </w:r>
      <w:r w:rsidR="00F45416" w:rsidRPr="00C1166B">
        <w:rPr>
          <w:lang w:eastAsia="cs-CZ"/>
        </w:rPr>
        <w:t xml:space="preserve"> </w:t>
      </w:r>
      <w:r w:rsidR="00F45416" w:rsidRPr="007E539C">
        <w:rPr>
          <w:lang w:eastAsia="cs-CZ"/>
        </w:rPr>
        <w:t xml:space="preserve">Vôbec prvá správa tohto typu za verejný sektor </w:t>
      </w:r>
      <w:r w:rsidR="00D03BE4" w:rsidRPr="007E539C">
        <w:rPr>
          <w:lang w:eastAsia="cs-CZ"/>
        </w:rPr>
        <w:t xml:space="preserve">Slovenska </w:t>
      </w:r>
      <w:r w:rsidR="00F45416" w:rsidRPr="007E539C">
        <w:rPr>
          <w:lang w:eastAsia="cs-CZ"/>
        </w:rPr>
        <w:t xml:space="preserve">bola zostavená </w:t>
      </w:r>
      <w:r w:rsidR="00704C77" w:rsidRPr="007E539C">
        <w:rPr>
          <w:lang w:eastAsia="cs-CZ"/>
        </w:rPr>
        <w:t xml:space="preserve">v roku 2012 </w:t>
      </w:r>
      <w:r w:rsidR="00F45416" w:rsidRPr="007E539C">
        <w:rPr>
          <w:lang w:eastAsia="cs-CZ"/>
        </w:rPr>
        <w:t>za účtovné ob</w:t>
      </w:r>
      <w:r w:rsidR="00D03BE4" w:rsidRPr="007E539C">
        <w:rPr>
          <w:lang w:eastAsia="cs-CZ"/>
        </w:rPr>
        <w:t xml:space="preserve">dobie roku 2011. Cieľom bolo zmeniť dovtedy zaužívanú prax v štátnom </w:t>
      </w:r>
      <w:proofErr w:type="spellStart"/>
      <w:r w:rsidR="00D03BE4" w:rsidRPr="007E539C">
        <w:rPr>
          <w:lang w:eastAsia="cs-CZ"/>
        </w:rPr>
        <w:t>reportingu</w:t>
      </w:r>
      <w:proofErr w:type="spellEnd"/>
      <w:r w:rsidR="00D03BE4" w:rsidRPr="007E539C">
        <w:rPr>
          <w:lang w:eastAsia="cs-CZ"/>
        </w:rPr>
        <w:t xml:space="preserve">, orientovanom </w:t>
      </w:r>
      <w:r w:rsidR="00CE79BC" w:rsidRPr="007E539C">
        <w:rPr>
          <w:lang w:eastAsia="cs-CZ"/>
        </w:rPr>
        <w:t xml:space="preserve">zväčša </w:t>
      </w:r>
      <w:r w:rsidR="00D03BE4" w:rsidRPr="007E539C">
        <w:rPr>
          <w:lang w:eastAsia="cs-CZ"/>
        </w:rPr>
        <w:t>na</w:t>
      </w:r>
      <w:r w:rsidR="00CE79BC" w:rsidRPr="007E539C">
        <w:rPr>
          <w:lang w:eastAsia="cs-CZ"/>
        </w:rPr>
        <w:t xml:space="preserve"> </w:t>
      </w:r>
      <w:r w:rsidR="00C1166B" w:rsidRPr="007E539C">
        <w:rPr>
          <w:lang w:eastAsia="cs-CZ"/>
        </w:rPr>
        <w:t>hodnotenie</w:t>
      </w:r>
      <w:r w:rsidR="00D03BE4" w:rsidRPr="007E539C">
        <w:rPr>
          <w:lang w:eastAsia="cs-CZ"/>
        </w:rPr>
        <w:t xml:space="preserve"> skutočnos</w:t>
      </w:r>
      <w:r w:rsidR="00C1166B" w:rsidRPr="007E539C">
        <w:rPr>
          <w:lang w:eastAsia="cs-CZ"/>
        </w:rPr>
        <w:t>ti</w:t>
      </w:r>
      <w:r w:rsidR="00216CD8">
        <w:rPr>
          <w:lang w:eastAsia="cs-CZ"/>
        </w:rPr>
        <w:t xml:space="preserve"> rozpočtu</w:t>
      </w:r>
      <w:r w:rsidR="00D03BE4" w:rsidRPr="007E539C">
        <w:rPr>
          <w:lang w:eastAsia="cs-CZ"/>
        </w:rPr>
        <w:t xml:space="preserve"> </w:t>
      </w:r>
      <w:r w:rsidR="00CE79BC" w:rsidRPr="007E539C">
        <w:rPr>
          <w:lang w:eastAsia="cs-CZ"/>
        </w:rPr>
        <w:t xml:space="preserve">na hotovostnej báze. Ako každá výročná správa o hospodárení, aj Súhrnná výročná správa obsahuje (súhrnnú) účtovnú závierku, ktorá sa začala pravidelne zostavovať </w:t>
      </w:r>
      <w:r w:rsidR="0078187F" w:rsidRPr="007E539C">
        <w:rPr>
          <w:lang w:eastAsia="cs-CZ"/>
        </w:rPr>
        <w:t xml:space="preserve">takisto </w:t>
      </w:r>
      <w:r w:rsidR="00CE79BC" w:rsidRPr="007E539C">
        <w:rPr>
          <w:lang w:eastAsia="cs-CZ"/>
        </w:rPr>
        <w:t>od roku</w:t>
      </w:r>
      <w:r w:rsidR="00D96B1D" w:rsidRPr="007E539C">
        <w:rPr>
          <w:lang w:eastAsia="cs-CZ"/>
        </w:rPr>
        <w:t xml:space="preserve"> 2011</w:t>
      </w:r>
      <w:r w:rsidR="00216CD8">
        <w:rPr>
          <w:lang w:eastAsia="cs-CZ"/>
        </w:rPr>
        <w:t>,</w:t>
      </w:r>
      <w:r w:rsidR="00CE79BC" w:rsidRPr="007E539C">
        <w:rPr>
          <w:lang w:eastAsia="cs-CZ"/>
        </w:rPr>
        <w:t xml:space="preserve"> a</w:t>
      </w:r>
      <w:r w:rsidR="003608A6" w:rsidRPr="007E539C">
        <w:rPr>
          <w:lang w:eastAsia="cs-CZ"/>
        </w:rPr>
        <w:t xml:space="preserve"> ktorá </w:t>
      </w:r>
      <w:r w:rsidR="00CE79BC" w:rsidRPr="007E539C">
        <w:rPr>
          <w:lang w:eastAsia="cs-CZ"/>
        </w:rPr>
        <w:t xml:space="preserve">je výsledkom reformy účtovníctva a výkazníctva štátu v predchádzajúcich rokoch.  </w:t>
      </w:r>
      <w:r w:rsidR="00D03BE4" w:rsidRPr="007E539C">
        <w:rPr>
          <w:lang w:eastAsia="cs-CZ"/>
        </w:rPr>
        <w:t xml:space="preserve"> </w:t>
      </w:r>
    </w:p>
    <w:p w14:paraId="603E32EE" w14:textId="77777777" w:rsidR="0027100E" w:rsidRDefault="0027100E" w:rsidP="0027100E">
      <w:pPr>
        <w:spacing w:after="0" w:line="240" w:lineRule="auto"/>
        <w:jc w:val="both"/>
      </w:pPr>
    </w:p>
    <w:p w14:paraId="3BE2F25B" w14:textId="3DC1D3B4" w:rsidR="00A121CA" w:rsidRDefault="00A121CA" w:rsidP="0027100E">
      <w:pPr>
        <w:spacing w:after="0" w:line="240" w:lineRule="auto"/>
        <w:jc w:val="both"/>
      </w:pPr>
      <w:r w:rsidRPr="007E539C">
        <w:t>Súhrnná výročná správa SR za rok 2020 je v poradí 10. výročnou správou, ktorá podáva informácie o stave a vývoji verejných financií na základe troch prelínajúcich sa zákonných noriem:</w:t>
      </w:r>
    </w:p>
    <w:p w14:paraId="4FE378A8" w14:textId="77777777" w:rsidR="00C32AD3" w:rsidRPr="007E539C" w:rsidRDefault="00C32AD3" w:rsidP="0027100E">
      <w:pPr>
        <w:spacing w:after="0" w:line="240" w:lineRule="auto"/>
        <w:jc w:val="both"/>
      </w:pPr>
    </w:p>
    <w:p w14:paraId="67B61D11" w14:textId="77777777" w:rsidR="006A38EE" w:rsidRDefault="00A121CA" w:rsidP="004E5304">
      <w:pPr>
        <w:numPr>
          <w:ilvl w:val="0"/>
          <w:numId w:val="28"/>
        </w:numPr>
        <w:spacing w:before="120" w:after="120" w:line="240" w:lineRule="auto"/>
        <w:contextualSpacing/>
        <w:jc w:val="both"/>
      </w:pPr>
      <w:r w:rsidRPr="006A38EE">
        <w:rPr>
          <w:u w:val="single"/>
        </w:rPr>
        <w:t>zákon č. 523/2004 Z. z.</w:t>
      </w:r>
      <w:r w:rsidRPr="007E539C">
        <w:t xml:space="preserve"> o rozpočtových pravidlách verejnej správy a o zmene a doplnení niektorých zákonov v znení neskorších predpisov pokiaľ ide o vymedzenie jej obsahu a termínov spracovania a predloženia </w:t>
      </w:r>
      <w:r w:rsidR="00A62AAA">
        <w:t xml:space="preserve">na schválenie </w:t>
      </w:r>
      <w:r w:rsidRPr="007E539C">
        <w:t>vláde a</w:t>
      </w:r>
      <w:r w:rsidR="00A62AAA">
        <w:t> na informáciu Národnej rade SR</w:t>
      </w:r>
      <w:r w:rsidR="00A62AAA">
        <w:br/>
      </w:r>
      <w:r w:rsidR="006A38EE">
        <w:t>(§ 29a),</w:t>
      </w:r>
    </w:p>
    <w:p w14:paraId="02B9EF9A" w14:textId="1EBD8578" w:rsidR="00A121CA" w:rsidRPr="007E539C" w:rsidRDefault="00A121CA" w:rsidP="004E5304">
      <w:pPr>
        <w:numPr>
          <w:ilvl w:val="0"/>
          <w:numId w:val="28"/>
        </w:numPr>
        <w:spacing w:before="120" w:after="120" w:line="240" w:lineRule="auto"/>
        <w:contextualSpacing/>
        <w:jc w:val="both"/>
      </w:pPr>
      <w:r w:rsidRPr="006A38EE">
        <w:rPr>
          <w:u w:val="single"/>
        </w:rPr>
        <w:t>zákon č. 431/2002 Z. z.</w:t>
      </w:r>
      <w:r w:rsidRPr="007E539C">
        <w:t xml:space="preserve"> o účtovníctve v znení neskorších predpisov, ktorý pre </w:t>
      </w:r>
      <w:r w:rsidRPr="006A38EE">
        <w:rPr>
          <w:bCs/>
        </w:rPr>
        <w:t>účtovné jednotky verejnej správy,</w:t>
      </w:r>
      <w:r w:rsidRPr="007E539C">
        <w:t xml:space="preserve"> ktorými sú kapitoly štátneho rozpočtu, obce a vyššie územné celky, ustanovuje povinnosť zostaviť konsolidovanú účtovnú závierku, pre Ministerstvo financií SR povinnosť zostaviť konsolidovanú účtovnú závierku ústrednej správy a súhrnnú účtovnú z</w:t>
      </w:r>
      <w:r w:rsidR="006A38EE">
        <w:t>ávierku verejnej správy (§ 22a),</w:t>
      </w:r>
    </w:p>
    <w:p w14:paraId="5C8D61CE" w14:textId="77777777" w:rsidR="006A38EE" w:rsidRDefault="00A121CA" w:rsidP="004E5304">
      <w:pPr>
        <w:numPr>
          <w:ilvl w:val="0"/>
          <w:numId w:val="28"/>
        </w:numPr>
        <w:spacing w:before="120" w:after="120" w:line="240" w:lineRule="auto"/>
        <w:ind w:left="714" w:hanging="357"/>
        <w:contextualSpacing/>
        <w:jc w:val="both"/>
        <w:rPr>
          <w:color w:val="4B4B4B"/>
        </w:rPr>
      </w:pPr>
      <w:r w:rsidRPr="007E539C">
        <w:rPr>
          <w:u w:val="single"/>
        </w:rPr>
        <w:t>ústavný zákon č. 493/2011 Z. z.</w:t>
      </w:r>
      <w:r w:rsidRPr="007E539C">
        <w:t xml:space="preserve">  o rozpočtovej zodpovednosti, ktorý okrem údajov podľa zákona o rozpočtových pravidlách verejnej správy ustanovuje aj ďalšie údaje, ktoré má súhrnná výročná správa obsahovať (čl. 9 ods. 5).</w:t>
      </w:r>
    </w:p>
    <w:p w14:paraId="51C1F6C3" w14:textId="77777777" w:rsidR="0027100E" w:rsidRDefault="0027100E" w:rsidP="006A38EE">
      <w:pPr>
        <w:spacing w:before="120" w:after="120" w:line="240" w:lineRule="auto"/>
        <w:contextualSpacing/>
        <w:jc w:val="both"/>
      </w:pPr>
    </w:p>
    <w:p w14:paraId="273B875C" w14:textId="3DD93B3A" w:rsidR="006A38EE" w:rsidRDefault="00BE3E80" w:rsidP="006A38EE">
      <w:pPr>
        <w:spacing w:before="120" w:after="120" w:line="240" w:lineRule="auto"/>
        <w:contextualSpacing/>
        <w:jc w:val="both"/>
        <w:rPr>
          <w:color w:val="4B4B4B"/>
        </w:rPr>
      </w:pPr>
      <w:r w:rsidRPr="007E539C">
        <w:t>V správe sa</w:t>
      </w:r>
      <w:r w:rsidR="00A121CA" w:rsidRPr="007E539C">
        <w:t xml:space="preserve"> prezentujú okrem salda a dlhu verejnej správy </w:t>
      </w:r>
      <w:r w:rsidR="00216CD8">
        <w:t xml:space="preserve">kvantifikovanom v </w:t>
      </w:r>
      <w:r w:rsidR="00A121CA" w:rsidRPr="007E539C">
        <w:t>metodike ESA aj ďalšie dôležité veličiny ako sú jednorazové vplyvy, štrukturálne saldo, čisté bohatstvo, čistý dlh, podmienené pasíva a podmienené aktíva, súhrnná účtovná závierka, hospodárenie podnikov štátnej správy.</w:t>
      </w:r>
      <w:r w:rsidR="00B609A0">
        <w:br/>
      </w:r>
      <w:r w:rsidR="00B83219" w:rsidRPr="007E539C">
        <w:t>Za uplynulé roky vzrástol objem poskytovaných údajov a rozšírila sa paleta dokumentov pojednávajúca o verejných financiách, pribudlo napríklad hodnotenie pravidla vyrovnaného rozpočtu na základe tzv. fiškálneho kompaktu</w:t>
      </w:r>
      <w:r w:rsidR="00B83219" w:rsidRPr="007E539C">
        <w:rPr>
          <w:rStyle w:val="Odkaznapoznmkupodiarou"/>
        </w:rPr>
        <w:footnoteReference w:id="1"/>
      </w:r>
      <w:r w:rsidR="00030A6A" w:rsidRPr="007E539C">
        <w:t>,</w:t>
      </w:r>
      <w:r w:rsidR="00477F29">
        <w:t xml:space="preserve"> návrh rozpočtového plánu,</w:t>
      </w:r>
      <w:r w:rsidR="00030A6A" w:rsidRPr="007E539C">
        <w:t xml:space="preserve"> ale aj ,,rozpočet pre ľudí“ a správa o očakávanej skutočnosti za príslušný rozpočtový rok.</w:t>
      </w:r>
      <w:r w:rsidR="00C1166B" w:rsidRPr="007E539C">
        <w:t xml:space="preserve"> Zvyšujúce sa požiadavky na včasnosť, presnosť, spoľahlivosť a otvorenosť dát nesie so sebou aj dôraz na zrozumiteľnosť a vypovedaciu hodnotu dokumentov zaoberajúcich sa verejnými financiami. K tomuto trendu mala prispieť aj samotná Súhrnná výročná správa.</w:t>
      </w:r>
    </w:p>
    <w:p w14:paraId="781480D0" w14:textId="77777777" w:rsidR="006A38EE" w:rsidRDefault="006A38EE" w:rsidP="006A38EE">
      <w:pPr>
        <w:spacing w:after="0" w:line="240" w:lineRule="auto"/>
        <w:contextualSpacing/>
        <w:jc w:val="both"/>
        <w:rPr>
          <w:color w:val="4B4B4B"/>
        </w:rPr>
      </w:pPr>
    </w:p>
    <w:p w14:paraId="11A59C7A" w14:textId="6C0E3502" w:rsidR="00B962A2" w:rsidRPr="006A38EE" w:rsidRDefault="00C1166B" w:rsidP="006A38EE">
      <w:pPr>
        <w:spacing w:before="120" w:after="120" w:line="240" w:lineRule="auto"/>
        <w:contextualSpacing/>
        <w:jc w:val="both"/>
        <w:rPr>
          <w:color w:val="4B4B4B"/>
        </w:rPr>
      </w:pPr>
      <w:r w:rsidRPr="007E539C">
        <w:rPr>
          <w:lang w:eastAsia="cs-CZ"/>
        </w:rPr>
        <w:t xml:space="preserve">Osobitnú časť tejto správy vždy </w:t>
      </w:r>
      <w:r w:rsidR="00612351" w:rsidRPr="007E539C">
        <w:rPr>
          <w:lang w:eastAsia="cs-CZ"/>
        </w:rPr>
        <w:t xml:space="preserve">tvorí </w:t>
      </w:r>
      <w:r w:rsidRPr="007E539C">
        <w:rPr>
          <w:lang w:eastAsia="cs-CZ"/>
        </w:rPr>
        <w:t xml:space="preserve">súhrnná účtovná závierka. Ide o typ závierky, ktorá sa nezverejňuje v žiadnom inom dokumente a je založená na </w:t>
      </w:r>
      <w:proofErr w:type="spellStart"/>
      <w:r w:rsidRPr="007E539C">
        <w:rPr>
          <w:lang w:eastAsia="cs-CZ"/>
        </w:rPr>
        <w:t>agregácii</w:t>
      </w:r>
      <w:proofErr w:type="spellEnd"/>
      <w:r w:rsidRPr="007E539C">
        <w:rPr>
          <w:lang w:eastAsia="cs-CZ"/>
        </w:rPr>
        <w:t xml:space="preserve"> účtovných závierok a následnej konsolidácii vzájomných vzťahov medzi subjektmi verejnej správy. Aj keď konsolidácia nie je úplná (nie je možné vždy eliminovať všetky vzájomné vzťahy vzhľadom na ich početnosť), v prípade majetku a rozhodujúcich položiek záväzkov, nákladov a výnosov ide o</w:t>
      </w:r>
      <w:r w:rsidR="00CC78D4" w:rsidRPr="007E539C">
        <w:rPr>
          <w:lang w:eastAsia="cs-CZ"/>
        </w:rPr>
        <w:t xml:space="preserve"> ich </w:t>
      </w:r>
      <w:r w:rsidR="00493390" w:rsidRPr="007E539C">
        <w:rPr>
          <w:lang w:eastAsia="cs-CZ"/>
        </w:rPr>
        <w:t xml:space="preserve">účtovnú hodnotu </w:t>
      </w:r>
      <w:r w:rsidRPr="007E539C">
        <w:rPr>
          <w:lang w:eastAsia="cs-CZ"/>
        </w:rPr>
        <w:t xml:space="preserve">za takmer 8 000 organizácií súhrnného celku. V rámci neho sa vykazujú aj subjekty verejnej správy, aj finančné a nefinančné korporácie vlastnené štátom </w:t>
      </w:r>
      <w:r w:rsidR="00493390" w:rsidRPr="007E539C">
        <w:rPr>
          <w:lang w:eastAsia="cs-CZ"/>
        </w:rPr>
        <w:t>či</w:t>
      </w:r>
      <w:r w:rsidRPr="007E539C">
        <w:rPr>
          <w:lang w:eastAsia="cs-CZ"/>
        </w:rPr>
        <w:t> územnou samosprávou.</w:t>
      </w:r>
      <w:r w:rsidR="00366350" w:rsidRPr="007E539C">
        <w:rPr>
          <w:lang w:eastAsia="cs-CZ"/>
        </w:rPr>
        <w:t xml:space="preserve"> Výstupom zo súhrnnej účtovnej závierky</w:t>
      </w:r>
      <w:r w:rsidR="00CC78D4" w:rsidRPr="007E539C">
        <w:rPr>
          <w:lang w:eastAsia="cs-CZ"/>
        </w:rPr>
        <w:t xml:space="preserve"> pre účely odhadu čistého bohatstva je vlastné imanie súhrnného celku a podmienené pasíva a podmienené aktíva.</w:t>
      </w:r>
      <w:r w:rsidRPr="007E539C">
        <w:rPr>
          <w:lang w:eastAsia="cs-CZ"/>
        </w:rPr>
        <w:t> </w:t>
      </w:r>
      <w:r w:rsidR="00CC78D4" w:rsidRPr="007E539C">
        <w:t>Za rok 2020 je súhrnná účtovná závierka rozšírená o viaceré položky, s cieľom prezentovať rozhodujúce</w:t>
      </w:r>
      <w:r w:rsidR="00CC78D4">
        <w:t xml:space="preserve"> objemy majetku a záväzkov a ich ,,nositeľov“ v podobe konkrétnych organizácií </w:t>
      </w:r>
      <w:r w:rsidR="00E9395A">
        <w:t xml:space="preserve">(alebo ich skupín) </w:t>
      </w:r>
      <w:r w:rsidR="00CC78D4">
        <w:t xml:space="preserve">štátu. </w:t>
      </w:r>
    </w:p>
    <w:p w14:paraId="6BA9793B" w14:textId="77777777" w:rsidR="006A38EE" w:rsidRDefault="006A38EE" w:rsidP="006A38EE">
      <w:pPr>
        <w:spacing w:after="0" w:line="240" w:lineRule="auto"/>
        <w:jc w:val="both"/>
      </w:pPr>
    </w:p>
    <w:p w14:paraId="5D4A668D" w14:textId="77777777" w:rsidR="00A73D7C" w:rsidRDefault="00A73D7C">
      <w:r>
        <w:br w:type="page"/>
      </w:r>
    </w:p>
    <w:p w14:paraId="26D8943F" w14:textId="212D2DFF" w:rsidR="00A121CA" w:rsidRDefault="00A121CA" w:rsidP="00A73D7C">
      <w:pPr>
        <w:spacing w:after="0" w:line="240" w:lineRule="auto"/>
        <w:jc w:val="both"/>
      </w:pPr>
      <w:r>
        <w:lastRenderedPageBreak/>
        <w:t xml:space="preserve">Súhrnná výročná správa sa každoročne zostavuje v období druhého kola (september-október) </w:t>
      </w:r>
      <w:r w:rsidR="009C2F6F">
        <w:t xml:space="preserve">notifikácie </w:t>
      </w:r>
      <w:r>
        <w:t>výsledkov hospodárenia verejnej správy za predchádzajúci rok. V danom čase dochádza k spresňovaniu údajov na základe auditovaných účtovných závierok</w:t>
      </w:r>
      <w:r w:rsidR="009C2F6F">
        <w:t xml:space="preserve"> </w:t>
      </w:r>
      <w:r>
        <w:t xml:space="preserve">veľkej časti subjektov verejnej správy </w:t>
      </w:r>
      <w:r w:rsidR="009C2F6F">
        <w:t xml:space="preserve">(najmä o vplyv zmeny stavu pohľadávok a záväzkov) </w:t>
      </w:r>
      <w:r>
        <w:t xml:space="preserve">ako aj na základe pravidelných či </w:t>
      </w:r>
      <w:proofErr w:type="spellStart"/>
      <w:r>
        <w:t>benčmarkových</w:t>
      </w:r>
      <w:proofErr w:type="spellEnd"/>
      <w:r>
        <w:t xml:space="preserve"> revízií podľa metodiky ESA</w:t>
      </w:r>
      <w:r w:rsidR="00E154AC">
        <w:t xml:space="preserve">, prípadne </w:t>
      </w:r>
      <w:r w:rsidR="0035426D">
        <w:t xml:space="preserve">o </w:t>
      </w:r>
      <w:r w:rsidR="00E154AC">
        <w:t xml:space="preserve">zapracované zistenia z dialógovej misie </w:t>
      </w:r>
      <w:proofErr w:type="spellStart"/>
      <w:r w:rsidR="00E154AC">
        <w:t>Eurostatu</w:t>
      </w:r>
      <w:proofErr w:type="spellEnd"/>
      <w:r w:rsidR="002502E0">
        <w:t xml:space="preserve"> prebiehajúcej </w:t>
      </w:r>
      <w:r w:rsidR="00B921C4">
        <w:t xml:space="preserve">zväčša </w:t>
      </w:r>
      <w:r w:rsidR="002502E0">
        <w:t>po jarnej notifikácii každý druhý rok</w:t>
      </w:r>
      <w:r>
        <w:t>.</w:t>
      </w:r>
    </w:p>
    <w:p w14:paraId="22FB67C8" w14:textId="77777777" w:rsidR="00A73D7C" w:rsidRDefault="00A73D7C" w:rsidP="00A73D7C">
      <w:pPr>
        <w:spacing w:after="0" w:line="240" w:lineRule="auto"/>
        <w:jc w:val="both"/>
      </w:pPr>
    </w:p>
    <w:p w14:paraId="5DBC03C9" w14:textId="446CF4E2" w:rsidR="00A121CA" w:rsidRDefault="00A121CA" w:rsidP="00A73D7C">
      <w:pPr>
        <w:spacing w:after="0" w:line="240" w:lineRule="auto"/>
        <w:jc w:val="both"/>
      </w:pPr>
      <w:r>
        <w:t xml:space="preserve">Aj z tohto dôvodu sa Súhrnná výročná správa vo svojom porovnávaní orientuje primárne na medziročný vývoj skutočnosti, pričom odpočet hospodárenia oproti plánovanému rozpočtu je ponechaný na Štátny záverečný účet SR (zostavovaný v prvej polovici roka). </w:t>
      </w:r>
    </w:p>
    <w:p w14:paraId="23EA2124" w14:textId="77777777" w:rsidR="00A73D7C" w:rsidRDefault="00A73D7C" w:rsidP="00A73D7C">
      <w:pPr>
        <w:spacing w:after="0" w:line="240" w:lineRule="auto"/>
        <w:jc w:val="both"/>
      </w:pPr>
    </w:p>
    <w:p w14:paraId="10EA1A20" w14:textId="4B80B69A" w:rsidR="00A121CA" w:rsidRDefault="00204AB1" w:rsidP="00A73D7C">
      <w:pPr>
        <w:spacing w:after="0" w:line="240" w:lineRule="auto"/>
        <w:jc w:val="both"/>
      </w:pPr>
      <w:r>
        <w:t>P</w:t>
      </w:r>
      <w:r w:rsidR="00A121CA">
        <w:t xml:space="preserve">redložená správa na viacerých miestach faktografickým spôsobom jednorazovo dokumentuje vývoj sledovaných veličín za uplynulých 10 rokov, vrátane ich revízií a podľa aktuálne platných metodík. </w:t>
      </w:r>
    </w:p>
    <w:p w14:paraId="302C66EB" w14:textId="77777777" w:rsidR="00A73D7C" w:rsidRDefault="00A73D7C" w:rsidP="00A73D7C">
      <w:pPr>
        <w:spacing w:after="0" w:line="240" w:lineRule="auto"/>
        <w:jc w:val="both"/>
      </w:pPr>
    </w:p>
    <w:p w14:paraId="7FF90ADF" w14:textId="1645343C" w:rsidR="00A121CA" w:rsidRDefault="00A121CA" w:rsidP="00A73D7C">
      <w:pPr>
        <w:spacing w:after="0" w:line="240" w:lineRule="auto"/>
        <w:jc w:val="both"/>
      </w:pPr>
      <w:r>
        <w:t>Rok 2020 bol štatisticky významný v podobe bezpreceden</w:t>
      </w:r>
      <w:r w:rsidR="00950649">
        <w:t>tného vplyvu pandémie COVID-19.</w:t>
      </w:r>
      <w:r w:rsidR="00950649">
        <w:br/>
      </w:r>
      <w:r>
        <w:t xml:space="preserve">Došlo k silnému poklesu ekonomickej a spoločenskej aktivity, k poklesu príjmov smerujúcich do rozpočtu verejnej správy, k rastu verejných výdavkov na podporné schémy a nástroje, k rastu nezamestnanosti a k ,,prepísaniu“ rozpočtových východísk na nasledujúce roky. Z tohto dôvodu je porovnávanie bilancie verejnej správy medzi rokmi 2019 a 2020 silne poznačené neštandardným ekonomickým vývojom pod vplyvom externých faktorov.  </w:t>
      </w:r>
    </w:p>
    <w:p w14:paraId="657742A8" w14:textId="77777777" w:rsidR="00B97A5B" w:rsidRDefault="00B97A5B" w:rsidP="00183FF7">
      <w:pPr>
        <w:spacing w:after="120" w:line="336" w:lineRule="auto"/>
        <w:jc w:val="both"/>
        <w:rPr>
          <w:rFonts w:eastAsia="Calibri"/>
          <w:b/>
        </w:rPr>
      </w:pPr>
      <w:bookmarkStart w:id="10" w:name="f_5629755"/>
      <w:bookmarkStart w:id="11" w:name="f_5629756"/>
      <w:bookmarkStart w:id="12" w:name="f_5629757"/>
      <w:bookmarkEnd w:id="10"/>
      <w:bookmarkEnd w:id="11"/>
      <w:bookmarkEnd w:id="12"/>
    </w:p>
    <w:p w14:paraId="3EDDFDEA" w14:textId="77777777" w:rsidR="00B97A5B" w:rsidRDefault="00B97A5B">
      <w:pPr>
        <w:rPr>
          <w:rFonts w:eastAsia="Calibri"/>
          <w:b/>
        </w:rPr>
      </w:pPr>
      <w:r>
        <w:rPr>
          <w:rFonts w:eastAsia="Calibri"/>
          <w:b/>
        </w:rPr>
        <w:br w:type="page"/>
      </w:r>
    </w:p>
    <w:p w14:paraId="7AE3A0B9" w14:textId="61D596E4" w:rsidR="00183FF7" w:rsidRPr="001D66EC" w:rsidRDefault="00183FF7" w:rsidP="00183FF7">
      <w:pPr>
        <w:spacing w:after="120" w:line="336" w:lineRule="auto"/>
        <w:jc w:val="both"/>
        <w:rPr>
          <w:rFonts w:eastAsia="Calibri"/>
          <w:b/>
          <w:sz w:val="26"/>
          <w:szCs w:val="26"/>
        </w:rPr>
      </w:pPr>
      <w:r w:rsidRPr="001D66EC">
        <w:rPr>
          <w:rFonts w:eastAsia="Calibri"/>
          <w:b/>
          <w:sz w:val="26"/>
          <w:szCs w:val="26"/>
        </w:rPr>
        <w:lastRenderedPageBreak/>
        <w:t>Štruktúra dokumentu:</w:t>
      </w:r>
    </w:p>
    <w:p w14:paraId="0999D824" w14:textId="71D0FE31" w:rsidR="00183FF7" w:rsidRDefault="00183FF7" w:rsidP="00B97A5B">
      <w:pPr>
        <w:numPr>
          <w:ilvl w:val="0"/>
          <w:numId w:val="7"/>
        </w:numPr>
        <w:spacing w:after="0" w:line="240" w:lineRule="auto"/>
        <w:ind w:left="426" w:hanging="426"/>
        <w:jc w:val="both"/>
        <w:rPr>
          <w:rFonts w:cs="Book Antiqua"/>
          <w:lang w:eastAsia="sk-SK"/>
        </w:rPr>
      </w:pPr>
      <w:r w:rsidRPr="007B2034">
        <w:rPr>
          <w:rFonts w:cs="Book Antiqua"/>
          <w:i/>
          <w:lang w:eastAsia="sk-SK"/>
        </w:rPr>
        <w:t>Zhrnutie</w:t>
      </w:r>
      <w:r w:rsidRPr="007B2034">
        <w:rPr>
          <w:rFonts w:cs="Book Antiqua"/>
          <w:lang w:eastAsia="sk-SK"/>
        </w:rPr>
        <w:t xml:space="preserve"> prezentuje najdôležitejšie údaje o hospodárení verejných financií Slovenskej republiky </w:t>
      </w:r>
      <w:r w:rsidR="00962300" w:rsidRPr="007B2034">
        <w:rPr>
          <w:rFonts w:cs="Book Antiqua"/>
          <w:lang w:eastAsia="sk-SK"/>
        </w:rPr>
        <w:t>za </w:t>
      </w:r>
      <w:r w:rsidRPr="007B2034">
        <w:rPr>
          <w:rFonts w:cs="Book Antiqua"/>
          <w:lang w:eastAsia="sk-SK"/>
        </w:rPr>
        <w:t>rok 20</w:t>
      </w:r>
      <w:r w:rsidR="0086315B" w:rsidRPr="007B2034">
        <w:rPr>
          <w:rFonts w:cs="Book Antiqua"/>
          <w:lang w:eastAsia="sk-SK"/>
        </w:rPr>
        <w:t>20.</w:t>
      </w:r>
      <w:r w:rsidRPr="007B2034">
        <w:rPr>
          <w:rFonts w:cs="Book Antiqua"/>
          <w:lang w:eastAsia="sk-SK"/>
        </w:rPr>
        <w:t xml:space="preserve"> Detailnejšie informácie možno nájsť v jednotlivých kapitolách správy. </w:t>
      </w:r>
    </w:p>
    <w:p w14:paraId="79B485DF" w14:textId="77777777" w:rsidR="00B97A5B" w:rsidRPr="007B2034" w:rsidRDefault="00B97A5B" w:rsidP="00B97A5B">
      <w:pPr>
        <w:spacing w:after="0" w:line="240" w:lineRule="auto"/>
        <w:ind w:left="426"/>
        <w:jc w:val="both"/>
        <w:rPr>
          <w:rFonts w:cs="Book Antiqua"/>
          <w:lang w:eastAsia="sk-SK"/>
        </w:rPr>
      </w:pPr>
    </w:p>
    <w:p w14:paraId="6E05852A" w14:textId="591FD300" w:rsidR="00183FF7" w:rsidRDefault="00183FF7" w:rsidP="00B97A5B">
      <w:pPr>
        <w:numPr>
          <w:ilvl w:val="0"/>
          <w:numId w:val="7"/>
        </w:numPr>
        <w:spacing w:after="0" w:line="240" w:lineRule="auto"/>
        <w:ind w:left="426" w:hanging="426"/>
        <w:jc w:val="both"/>
        <w:rPr>
          <w:rFonts w:cs="Book Antiqua"/>
          <w:lang w:eastAsia="sk-SK"/>
        </w:rPr>
      </w:pPr>
      <w:r w:rsidRPr="007B2034">
        <w:rPr>
          <w:rFonts w:cs="Book Antiqua"/>
          <w:i/>
          <w:lang w:eastAsia="sk-SK"/>
        </w:rPr>
        <w:t>Prvá kapitola</w:t>
      </w:r>
      <w:r w:rsidRPr="007B2034">
        <w:rPr>
          <w:rFonts w:cs="Book Antiqua"/>
          <w:lang w:eastAsia="sk-SK"/>
        </w:rPr>
        <w:t xml:space="preserve"> prezentuje verejné financie z pohľadu sektorového členenia verejnej správy podľa metodiky ESA2010. Dôraz sa kladie na príspevok jednotlivých </w:t>
      </w:r>
      <w:r w:rsidR="000D6907" w:rsidRPr="007B2034">
        <w:rPr>
          <w:rFonts w:cs="Book Antiqua"/>
          <w:lang w:eastAsia="sk-SK"/>
        </w:rPr>
        <w:t>(</w:t>
      </w:r>
      <w:r w:rsidRPr="007B2034">
        <w:rPr>
          <w:rFonts w:cs="Book Antiqua"/>
          <w:lang w:eastAsia="sk-SK"/>
        </w:rPr>
        <w:t>skupín</w:t>
      </w:r>
      <w:r w:rsidR="000D6907" w:rsidRPr="007B2034">
        <w:rPr>
          <w:rFonts w:cs="Book Antiqua"/>
          <w:lang w:eastAsia="sk-SK"/>
        </w:rPr>
        <w:t>)</w:t>
      </w:r>
      <w:r w:rsidRPr="007B2034">
        <w:rPr>
          <w:rFonts w:cs="Book Antiqua"/>
          <w:lang w:eastAsia="sk-SK"/>
        </w:rPr>
        <w:t xml:space="preserve"> subjektov verejnej správy k výsledku rozpočtového hospodárenia verejnej správy</w:t>
      </w:r>
      <w:r w:rsidR="000D6907" w:rsidRPr="007B2034">
        <w:rPr>
          <w:rFonts w:cs="Book Antiqua"/>
          <w:lang w:eastAsia="sk-SK"/>
        </w:rPr>
        <w:t xml:space="preserve"> a k jeho medziročnej zmene</w:t>
      </w:r>
      <w:r w:rsidRPr="007B2034">
        <w:rPr>
          <w:rFonts w:cs="Book Antiqua"/>
          <w:lang w:eastAsia="sk-SK"/>
        </w:rPr>
        <w:t>. Hlavnými údajmi tejto časti sú saldo a dlh verejnej správy podľa maastrichtských kritérií.</w:t>
      </w:r>
    </w:p>
    <w:p w14:paraId="34EE9F60" w14:textId="394B8249" w:rsidR="00B97A5B" w:rsidRPr="007B2034" w:rsidRDefault="00B97A5B" w:rsidP="00B97A5B">
      <w:pPr>
        <w:spacing w:after="0" w:line="240" w:lineRule="auto"/>
        <w:jc w:val="both"/>
        <w:rPr>
          <w:rFonts w:cs="Book Antiqua"/>
          <w:lang w:eastAsia="sk-SK"/>
        </w:rPr>
      </w:pPr>
    </w:p>
    <w:p w14:paraId="64D27CEA" w14:textId="52B4795A" w:rsidR="00183FF7" w:rsidRDefault="00183FF7" w:rsidP="00B97A5B">
      <w:pPr>
        <w:numPr>
          <w:ilvl w:val="0"/>
          <w:numId w:val="7"/>
        </w:numPr>
        <w:spacing w:after="0" w:line="240" w:lineRule="auto"/>
        <w:ind w:left="426" w:hanging="426"/>
        <w:jc w:val="both"/>
        <w:rPr>
          <w:rFonts w:cs="Book Antiqua"/>
          <w:lang w:eastAsia="sk-SK"/>
        </w:rPr>
      </w:pPr>
      <w:r w:rsidRPr="00C61344">
        <w:rPr>
          <w:rFonts w:cs="Book Antiqua"/>
          <w:i/>
          <w:lang w:eastAsia="sk-SK"/>
        </w:rPr>
        <w:t>Druhá kapitola</w:t>
      </w:r>
      <w:r w:rsidRPr="00C61344">
        <w:rPr>
          <w:rFonts w:cs="Book Antiqua"/>
          <w:lang w:eastAsia="sk-SK"/>
        </w:rPr>
        <w:t xml:space="preserve"> nadväzuje na prvú v hodnotení verejných financií z pohľadu sektora verejnej správy. Pokiaľ sa však prvá kapitola zameriava s</w:t>
      </w:r>
      <w:r w:rsidR="000D6907" w:rsidRPr="00C61344">
        <w:rPr>
          <w:rFonts w:cs="Book Antiqua"/>
          <w:lang w:eastAsia="sk-SK"/>
        </w:rPr>
        <w:t>triktne na údaje v metodike ESA</w:t>
      </w:r>
      <w:r w:rsidRPr="00C61344">
        <w:rPr>
          <w:rFonts w:cs="Book Antiqua"/>
          <w:lang w:eastAsia="sk-SK"/>
        </w:rPr>
        <w:t>2010</w:t>
      </w:r>
      <w:r w:rsidR="000D6907" w:rsidRPr="00C61344">
        <w:rPr>
          <w:rFonts w:cs="Book Antiqua"/>
          <w:lang w:eastAsia="sk-SK"/>
        </w:rPr>
        <w:t xml:space="preserve"> a na </w:t>
      </w:r>
      <w:r w:rsidR="000D6907" w:rsidRPr="00C61344">
        <w:rPr>
          <w:rFonts w:cs="Book Antiqua"/>
          <w:u w:val="single"/>
          <w:lang w:eastAsia="sk-SK"/>
        </w:rPr>
        <w:t>medziročné porovnanie dosiahnutej skutočnosti</w:t>
      </w:r>
      <w:r w:rsidRPr="00C61344">
        <w:rPr>
          <w:rFonts w:cs="Book Antiqua"/>
          <w:lang w:eastAsia="sk-SK"/>
        </w:rPr>
        <w:t>, druhá kapitola hodnotí vývoj verejnej správy najmä z pohľadu údajov, ktoré má obsahovať súhrnná správa na základe ústavného zákona o rozpočtovej zodpovednosti. Tieto údaje prehlbujú analytický pohľad na hospodárenie verejnej správy.</w:t>
      </w:r>
    </w:p>
    <w:p w14:paraId="70A04C81" w14:textId="722E4F9D" w:rsidR="00B97A5B" w:rsidRPr="00C61344" w:rsidRDefault="00B97A5B" w:rsidP="00B97A5B">
      <w:pPr>
        <w:spacing w:after="0" w:line="240" w:lineRule="auto"/>
        <w:jc w:val="both"/>
        <w:rPr>
          <w:rFonts w:cs="Book Antiqua"/>
          <w:lang w:eastAsia="sk-SK"/>
        </w:rPr>
      </w:pPr>
    </w:p>
    <w:p w14:paraId="7A0F0322" w14:textId="4CB2224B" w:rsidR="00183FF7" w:rsidRDefault="00183FF7" w:rsidP="00B97A5B">
      <w:pPr>
        <w:numPr>
          <w:ilvl w:val="0"/>
          <w:numId w:val="7"/>
        </w:numPr>
        <w:spacing w:after="0" w:line="240" w:lineRule="auto"/>
        <w:ind w:left="426" w:hanging="426"/>
        <w:jc w:val="both"/>
        <w:rPr>
          <w:rFonts w:cs="Book Antiqua"/>
          <w:lang w:eastAsia="sk-SK"/>
        </w:rPr>
      </w:pPr>
      <w:r w:rsidRPr="00C61344">
        <w:rPr>
          <w:rFonts w:cs="Book Antiqua"/>
          <w:i/>
          <w:lang w:eastAsia="sk-SK"/>
        </w:rPr>
        <w:t xml:space="preserve">Tretia </w:t>
      </w:r>
      <w:r w:rsidRPr="00C61344">
        <w:rPr>
          <w:rFonts w:eastAsia="Cambria" w:cs="Book Antiqua"/>
          <w:i/>
          <w:lang w:eastAsia="sk-SK"/>
        </w:rPr>
        <w:t>kapitola</w:t>
      </w:r>
      <w:r w:rsidRPr="00C61344">
        <w:rPr>
          <w:rFonts w:eastAsia="Cambria" w:cs="Book Antiqua"/>
          <w:lang w:eastAsia="sk-SK"/>
        </w:rPr>
        <w:t xml:space="preserve"> rozširuje pohľad na verejné financie z verejnej správy na verejný sektor a jeho hlavný ukazovateľ čisté bohatstvo.</w:t>
      </w:r>
      <w:r w:rsidRPr="00C61344">
        <w:rPr>
          <w:rFonts w:cs="Book Antiqua"/>
          <w:lang w:eastAsia="sk-SK"/>
        </w:rPr>
        <w:t xml:space="preserve"> V tejto časti je popísaná štruktúra a medziročné zmeny čistého bohatstva, v súlade s ústavným zákonom o rozpočtovej zodpovednosti je dôraz kladený na popis hospodárenia podnikov štátnej správy.</w:t>
      </w:r>
    </w:p>
    <w:p w14:paraId="68DA77FA" w14:textId="0DAEA347" w:rsidR="00B97A5B" w:rsidRPr="00C61344" w:rsidRDefault="00B97A5B" w:rsidP="00B97A5B">
      <w:pPr>
        <w:spacing w:after="0" w:line="240" w:lineRule="auto"/>
        <w:jc w:val="both"/>
        <w:rPr>
          <w:rFonts w:cs="Book Antiqua"/>
          <w:lang w:eastAsia="sk-SK"/>
        </w:rPr>
      </w:pPr>
    </w:p>
    <w:p w14:paraId="2CF81F4C" w14:textId="57FAC29E" w:rsidR="00183FF7" w:rsidRDefault="00183FF7" w:rsidP="00B97A5B">
      <w:pPr>
        <w:numPr>
          <w:ilvl w:val="0"/>
          <w:numId w:val="7"/>
        </w:numPr>
        <w:spacing w:after="0" w:line="240" w:lineRule="auto"/>
        <w:ind w:left="426" w:hanging="426"/>
        <w:jc w:val="both"/>
        <w:rPr>
          <w:rFonts w:cs="Book Antiqua"/>
          <w:lang w:eastAsia="sk-SK"/>
        </w:rPr>
      </w:pPr>
      <w:r w:rsidRPr="00C61344">
        <w:rPr>
          <w:rFonts w:cs="Book Antiqua"/>
          <w:i/>
          <w:lang w:eastAsia="sk-SK"/>
        </w:rPr>
        <w:t>Príloha č. 1</w:t>
      </w:r>
      <w:r w:rsidRPr="00C61344">
        <w:rPr>
          <w:rFonts w:cs="Book Antiqua"/>
          <w:lang w:eastAsia="sk-SK"/>
        </w:rPr>
        <w:t xml:space="preserve"> má tabuľkovú podobu a viaže sa k tretej kapitole. Obsahuje zoznam podnikov štátnej správy s údajmi o ich výsledku hospodárenia, výške vlastného imania za posledné tri roky a o výške vlastníckeho podielu štátu v podnikoch.</w:t>
      </w:r>
    </w:p>
    <w:p w14:paraId="4A08FA45" w14:textId="1A5619C2" w:rsidR="00B97A5B" w:rsidRPr="00C61344" w:rsidRDefault="00B97A5B" w:rsidP="00B97A5B">
      <w:pPr>
        <w:spacing w:after="0" w:line="240" w:lineRule="auto"/>
        <w:jc w:val="both"/>
        <w:rPr>
          <w:rFonts w:cs="Book Antiqua"/>
          <w:lang w:eastAsia="sk-SK"/>
        </w:rPr>
      </w:pPr>
    </w:p>
    <w:p w14:paraId="45D56879" w14:textId="7D25D384" w:rsidR="00183FF7" w:rsidRPr="00B97A5B" w:rsidRDefault="00183FF7" w:rsidP="00B97A5B">
      <w:pPr>
        <w:numPr>
          <w:ilvl w:val="0"/>
          <w:numId w:val="7"/>
        </w:numPr>
        <w:spacing w:after="0" w:line="240" w:lineRule="auto"/>
        <w:ind w:left="426" w:hanging="426"/>
        <w:jc w:val="both"/>
        <w:rPr>
          <w:lang w:eastAsia="cs-CZ"/>
        </w:rPr>
      </w:pPr>
      <w:r w:rsidRPr="00C61344">
        <w:rPr>
          <w:rFonts w:cs="Book Antiqua"/>
          <w:i/>
          <w:lang w:eastAsia="sk-SK"/>
        </w:rPr>
        <w:t>Príloha č. 2</w:t>
      </w:r>
      <w:r w:rsidRPr="00C61344">
        <w:rPr>
          <w:rFonts w:cs="Book Antiqua"/>
          <w:lang w:eastAsia="sk-SK"/>
        </w:rPr>
        <w:t xml:space="preserve"> </w:t>
      </w:r>
      <w:r w:rsidR="00EE4288" w:rsidRPr="00C61344">
        <w:rPr>
          <w:rFonts w:cs="Book Antiqua"/>
          <w:lang w:eastAsia="sk-SK"/>
        </w:rPr>
        <w:t>má tabuľkovú podobu, obsahuje údaje o vlastnom imaní všetkých podnikov štátnej správy</w:t>
      </w:r>
      <w:r w:rsidR="002377CE" w:rsidRPr="00C61344">
        <w:rPr>
          <w:rFonts w:cs="Book Antiqua"/>
          <w:lang w:eastAsia="sk-SK"/>
        </w:rPr>
        <w:t xml:space="preserve"> </w:t>
      </w:r>
      <w:r w:rsidR="00004950" w:rsidRPr="00C61344">
        <w:rPr>
          <w:rFonts w:cs="Book Antiqua"/>
          <w:lang w:eastAsia="sk-SK"/>
        </w:rPr>
        <w:t>s vyčíslením najdôležitejších zmien</w:t>
      </w:r>
      <w:r w:rsidR="002377CE" w:rsidRPr="00C61344">
        <w:rPr>
          <w:rFonts w:cs="Book Antiqua"/>
          <w:lang w:eastAsia="sk-SK"/>
        </w:rPr>
        <w:t xml:space="preserve"> </w:t>
      </w:r>
      <w:r w:rsidR="00004950" w:rsidRPr="00C61344">
        <w:rPr>
          <w:rFonts w:cs="Book Antiqua"/>
          <w:lang w:eastAsia="sk-SK"/>
        </w:rPr>
        <w:t>vo vlastnom imaní.</w:t>
      </w:r>
    </w:p>
    <w:p w14:paraId="2F306F28" w14:textId="68433283" w:rsidR="00B97A5B" w:rsidRPr="00C61344" w:rsidRDefault="00B97A5B" w:rsidP="00B97A5B">
      <w:pPr>
        <w:spacing w:after="0" w:line="240" w:lineRule="auto"/>
        <w:jc w:val="both"/>
        <w:rPr>
          <w:lang w:eastAsia="cs-CZ"/>
        </w:rPr>
      </w:pPr>
    </w:p>
    <w:p w14:paraId="385BB2F0" w14:textId="36D51F7D" w:rsidR="001960E5" w:rsidRPr="00C61344" w:rsidRDefault="001960E5" w:rsidP="00B97A5B">
      <w:pPr>
        <w:numPr>
          <w:ilvl w:val="0"/>
          <w:numId w:val="7"/>
        </w:numPr>
        <w:spacing w:after="0" w:line="240" w:lineRule="auto"/>
        <w:ind w:left="426" w:hanging="426"/>
        <w:jc w:val="both"/>
        <w:rPr>
          <w:lang w:eastAsia="cs-CZ"/>
        </w:rPr>
      </w:pPr>
      <w:r w:rsidRPr="00C61344">
        <w:rPr>
          <w:rFonts w:cs="Book Antiqua"/>
          <w:i/>
          <w:lang w:eastAsia="sk-SK"/>
        </w:rPr>
        <w:t xml:space="preserve">Príloha č. 3 </w:t>
      </w:r>
      <w:r w:rsidRPr="00C61344">
        <w:rPr>
          <w:rFonts w:cs="Book Antiqua"/>
          <w:lang w:eastAsia="sk-SK"/>
        </w:rPr>
        <w:t>predstavuje súhrnnú účtovnú závierku verejnej správy Slovenskej republiky za príslušný rok, ktorá je povinnou súčasťou tejto správy v súlade so zákonom o rozpočtových pravidlách.</w:t>
      </w:r>
      <w:r w:rsidR="00FE0972">
        <w:rPr>
          <w:rFonts w:cs="Book Antiqua"/>
          <w:lang w:eastAsia="sk-SK"/>
        </w:rPr>
        <w:t xml:space="preserve"> Za rok 2020 došlo k výraznej obmene štruktúry závierky tak, aby poskytovala väčší detail na rozhodujúce položky aktív, pasív a výsledku hospodárenia.</w:t>
      </w:r>
    </w:p>
    <w:p w14:paraId="67249F86" w14:textId="77777777" w:rsidR="00B97A5B" w:rsidRDefault="00B97A5B" w:rsidP="00B97A5B">
      <w:pPr>
        <w:spacing w:after="0" w:line="240" w:lineRule="auto"/>
        <w:jc w:val="both"/>
        <w:rPr>
          <w:lang w:eastAsia="cs-CZ"/>
        </w:rPr>
      </w:pPr>
    </w:p>
    <w:p w14:paraId="0713F129" w14:textId="7F833210" w:rsidR="00183FF7" w:rsidRPr="00EF09EA" w:rsidRDefault="00183FF7" w:rsidP="00B97A5B">
      <w:pPr>
        <w:spacing w:after="0" w:line="240" w:lineRule="auto"/>
        <w:jc w:val="both"/>
        <w:rPr>
          <w:lang w:eastAsia="cs-CZ"/>
        </w:rPr>
      </w:pPr>
      <w:r w:rsidRPr="00EF09EA">
        <w:rPr>
          <w:lang w:eastAsia="cs-CZ"/>
        </w:rPr>
        <w:t xml:space="preserve">K správe je priložená aj </w:t>
      </w:r>
      <w:r w:rsidRPr="00EF09EA">
        <w:rPr>
          <w:rFonts w:cs="Book Antiqua"/>
          <w:i/>
          <w:lang w:eastAsia="sk-SK"/>
        </w:rPr>
        <w:t>elektronická príloha</w:t>
      </w:r>
      <w:r w:rsidRPr="00EF09EA">
        <w:rPr>
          <w:lang w:eastAsia="cs-CZ"/>
        </w:rPr>
        <w:t>, ktorá sa viaže k prvej kapitole a je zverejnená len na</w:t>
      </w:r>
      <w:r w:rsidR="00962300" w:rsidRPr="00EF09EA">
        <w:rPr>
          <w:lang w:eastAsia="cs-CZ"/>
        </w:rPr>
        <w:t> </w:t>
      </w:r>
      <w:r w:rsidRPr="00EF09EA">
        <w:rPr>
          <w:lang w:eastAsia="cs-CZ"/>
        </w:rPr>
        <w:t>internetovej stránke MF SR spolu s hlavným dokumentom. Elektronická príloha obsahuje štruktúru schodku verejnej správy a jeho financovanie v roku 20</w:t>
      </w:r>
      <w:r w:rsidR="00EF09EA" w:rsidRPr="00EF09EA">
        <w:rPr>
          <w:lang w:eastAsia="cs-CZ"/>
        </w:rPr>
        <w:t>20</w:t>
      </w:r>
      <w:r w:rsidRPr="00EF09EA">
        <w:rPr>
          <w:lang w:eastAsia="cs-CZ"/>
        </w:rPr>
        <w:t xml:space="preserve"> podľa jednotlivých skupín subjektov v metodike ESA2010 (prechod od hotovostného schodku ku schodku v metodike ESA2010).</w:t>
      </w:r>
    </w:p>
    <w:p w14:paraId="266D757C" w14:textId="77777777" w:rsidR="00B97A5B" w:rsidRDefault="00B97A5B" w:rsidP="00B97A5B">
      <w:pPr>
        <w:spacing w:after="0" w:line="240" w:lineRule="auto"/>
        <w:jc w:val="both"/>
        <w:rPr>
          <w:highlight w:val="yellow"/>
          <w:lang w:eastAsia="cs-CZ"/>
        </w:rPr>
      </w:pPr>
    </w:p>
    <w:p w14:paraId="0D3DE6CE" w14:textId="57095663" w:rsidR="00B97A5B" w:rsidRPr="00D2173A" w:rsidRDefault="00183FF7" w:rsidP="00B97A5B">
      <w:pPr>
        <w:spacing w:after="0" w:line="240" w:lineRule="auto"/>
        <w:jc w:val="both"/>
        <w:rPr>
          <w:lang w:eastAsia="cs-CZ"/>
        </w:rPr>
      </w:pPr>
      <w:r w:rsidRPr="00D2173A">
        <w:rPr>
          <w:lang w:eastAsia="cs-CZ"/>
        </w:rPr>
        <w:t>Pri výpočte podielových ukazovateľov verejných fina</w:t>
      </w:r>
      <w:r w:rsidR="00962300" w:rsidRPr="00D2173A">
        <w:rPr>
          <w:lang w:eastAsia="cs-CZ"/>
        </w:rPr>
        <w:t xml:space="preserve">ncií boli použité údaje o HDP v </w:t>
      </w:r>
      <w:r w:rsidRPr="00D2173A">
        <w:rPr>
          <w:lang w:eastAsia="cs-CZ"/>
        </w:rPr>
        <w:t>bežných ce</w:t>
      </w:r>
      <w:r w:rsidR="008A5AC4" w:rsidRPr="00D2173A">
        <w:rPr>
          <w:lang w:eastAsia="cs-CZ"/>
        </w:rPr>
        <w:t>nách, ktoré boli notifikované v rámci októbrovej notifikácie</w:t>
      </w:r>
      <w:r w:rsidR="002201A6" w:rsidRPr="00D2173A">
        <w:rPr>
          <w:lang w:eastAsia="cs-CZ"/>
        </w:rPr>
        <w:t xml:space="preserve">: </w:t>
      </w:r>
      <w:r w:rsidRPr="00D2173A">
        <w:rPr>
          <w:lang w:eastAsia="cs-CZ"/>
        </w:rPr>
        <w:t>20</w:t>
      </w:r>
      <w:r w:rsidR="00D2173A" w:rsidRPr="00D2173A">
        <w:rPr>
          <w:lang w:eastAsia="cs-CZ"/>
        </w:rPr>
        <w:t>20</w:t>
      </w:r>
      <w:r w:rsidR="008A5AC4" w:rsidRPr="00D2173A">
        <w:rPr>
          <w:lang w:eastAsia="cs-CZ"/>
        </w:rPr>
        <w:t>:</w:t>
      </w:r>
      <w:r w:rsidR="00406B64" w:rsidRPr="00D2173A">
        <w:rPr>
          <w:lang w:eastAsia="cs-CZ"/>
        </w:rPr>
        <w:t xml:space="preserve"> </w:t>
      </w:r>
      <w:r w:rsidR="00D2173A" w:rsidRPr="00D2173A">
        <w:rPr>
          <w:lang w:eastAsia="cs-CZ"/>
        </w:rPr>
        <w:t>92 079 253</w:t>
      </w:r>
      <w:r w:rsidR="002201A6" w:rsidRPr="00D2173A">
        <w:rPr>
          <w:lang w:eastAsia="cs-CZ"/>
        </w:rPr>
        <w:t> tis. eur</w:t>
      </w:r>
      <w:r w:rsidRPr="00D2173A">
        <w:rPr>
          <w:lang w:eastAsia="cs-CZ"/>
        </w:rPr>
        <w:t>,</w:t>
      </w:r>
      <w:r w:rsidR="008A5AC4" w:rsidRPr="00D2173A">
        <w:rPr>
          <w:lang w:eastAsia="cs-CZ"/>
        </w:rPr>
        <w:t xml:space="preserve"> </w:t>
      </w:r>
      <w:r w:rsidR="002201A6" w:rsidRPr="00D2173A">
        <w:rPr>
          <w:lang w:eastAsia="cs-CZ"/>
        </w:rPr>
        <w:t>201</w:t>
      </w:r>
      <w:r w:rsidR="00D2173A" w:rsidRPr="00D2173A">
        <w:rPr>
          <w:lang w:eastAsia="cs-CZ"/>
        </w:rPr>
        <w:t>9</w:t>
      </w:r>
      <w:r w:rsidR="002201A6" w:rsidRPr="00D2173A">
        <w:rPr>
          <w:lang w:eastAsia="cs-CZ"/>
        </w:rPr>
        <w:t>:</w:t>
      </w:r>
      <w:r w:rsidR="00406B64" w:rsidRPr="00D2173A">
        <w:rPr>
          <w:lang w:eastAsia="cs-CZ"/>
        </w:rPr>
        <w:t xml:space="preserve"> </w:t>
      </w:r>
      <w:r w:rsidR="00D2173A" w:rsidRPr="00D2173A">
        <w:rPr>
          <w:lang w:eastAsia="cs-CZ"/>
        </w:rPr>
        <w:t>94 048 033</w:t>
      </w:r>
      <w:r w:rsidR="002F26D5" w:rsidRPr="00D2173A">
        <w:rPr>
          <w:lang w:eastAsia="cs-CZ"/>
        </w:rPr>
        <w:t> tis. eur</w:t>
      </w:r>
      <w:r w:rsidR="00687C8A" w:rsidRPr="00D2173A">
        <w:rPr>
          <w:lang w:eastAsia="cs-CZ"/>
        </w:rPr>
        <w:t>,</w:t>
      </w:r>
      <w:r w:rsidR="002F26D5" w:rsidRPr="00D2173A">
        <w:rPr>
          <w:lang w:eastAsia="cs-CZ"/>
        </w:rPr>
        <w:t xml:space="preserve"> </w:t>
      </w:r>
      <w:r w:rsidR="008A5AC4" w:rsidRPr="00D2173A">
        <w:rPr>
          <w:lang w:eastAsia="cs-CZ"/>
        </w:rPr>
        <w:t>2</w:t>
      </w:r>
      <w:r w:rsidRPr="00D2173A">
        <w:rPr>
          <w:lang w:eastAsia="cs-CZ"/>
        </w:rPr>
        <w:t>01</w:t>
      </w:r>
      <w:r w:rsidR="00D2173A" w:rsidRPr="00D2173A">
        <w:rPr>
          <w:lang w:eastAsia="cs-CZ"/>
        </w:rPr>
        <w:t>8</w:t>
      </w:r>
      <w:r w:rsidRPr="00D2173A">
        <w:rPr>
          <w:lang w:eastAsia="cs-CZ"/>
        </w:rPr>
        <w:t>:</w:t>
      </w:r>
      <w:r w:rsidR="00406B64" w:rsidRPr="00D2173A">
        <w:rPr>
          <w:lang w:eastAsia="cs-CZ"/>
        </w:rPr>
        <w:t xml:space="preserve"> </w:t>
      </w:r>
      <w:r w:rsidR="00D2173A" w:rsidRPr="00D2173A">
        <w:rPr>
          <w:lang w:eastAsia="cs-CZ"/>
        </w:rPr>
        <w:t>89 430 026</w:t>
      </w:r>
      <w:r w:rsidR="008A5AC4" w:rsidRPr="00D2173A">
        <w:rPr>
          <w:lang w:eastAsia="cs-CZ"/>
        </w:rPr>
        <w:t> </w:t>
      </w:r>
      <w:r w:rsidR="002F26D5" w:rsidRPr="00D2173A">
        <w:rPr>
          <w:lang w:eastAsia="cs-CZ"/>
        </w:rPr>
        <w:t>tis. eur</w:t>
      </w:r>
      <w:r w:rsidRPr="00D2173A">
        <w:rPr>
          <w:lang w:eastAsia="cs-CZ"/>
        </w:rPr>
        <w:t xml:space="preserve">. Oproti minuloročnej správe sa revidovali hodnoty HDP </w:t>
      </w:r>
      <w:r w:rsidR="002201A6" w:rsidRPr="00D2173A">
        <w:rPr>
          <w:lang w:eastAsia="cs-CZ"/>
        </w:rPr>
        <w:t xml:space="preserve">v  časovom rade </w:t>
      </w:r>
      <w:r w:rsidRPr="00D2173A">
        <w:rPr>
          <w:lang w:eastAsia="cs-CZ"/>
        </w:rPr>
        <w:t xml:space="preserve">za roky </w:t>
      </w:r>
      <w:r w:rsidR="00D2173A" w:rsidRPr="00D2173A">
        <w:rPr>
          <w:lang w:eastAsia="cs-CZ"/>
        </w:rPr>
        <w:t>2017</w:t>
      </w:r>
      <w:r w:rsidR="00AE1460" w:rsidRPr="00D2173A">
        <w:rPr>
          <w:lang w:eastAsia="cs-CZ"/>
        </w:rPr>
        <w:t xml:space="preserve"> - 201</w:t>
      </w:r>
      <w:r w:rsidR="00D2173A" w:rsidRPr="00D2173A">
        <w:rPr>
          <w:lang w:eastAsia="cs-CZ"/>
        </w:rPr>
        <w:t>9</w:t>
      </w:r>
      <w:r w:rsidRPr="00D2173A">
        <w:rPr>
          <w:lang w:eastAsia="cs-CZ"/>
        </w:rPr>
        <w:t>, čo mohlo mať dopad na zmenu veľkosti podielových ukazovateľov na HDP v týchto rokoch.</w:t>
      </w:r>
    </w:p>
    <w:p w14:paraId="52551EA9" w14:textId="77777777" w:rsidR="00B97A5B" w:rsidRDefault="00B97A5B">
      <w:pPr>
        <w:rPr>
          <w:highlight w:val="yellow"/>
          <w:lang w:eastAsia="cs-CZ"/>
        </w:rPr>
      </w:pPr>
      <w:r>
        <w:rPr>
          <w:highlight w:val="yellow"/>
          <w:lang w:eastAsia="cs-CZ"/>
        </w:rPr>
        <w:br w:type="page"/>
      </w:r>
    </w:p>
    <w:p w14:paraId="0590931B" w14:textId="180116C5" w:rsidR="0086315B" w:rsidRDefault="0086315B" w:rsidP="006C6327">
      <w:pPr>
        <w:pStyle w:val="Nadpis1"/>
        <w:numPr>
          <w:ilvl w:val="0"/>
          <w:numId w:val="0"/>
        </w:numPr>
        <w:spacing w:after="120" w:line="336" w:lineRule="auto"/>
      </w:pPr>
      <w:bookmarkStart w:id="13" w:name="_Toc465255005"/>
      <w:bookmarkStart w:id="14" w:name="_Toc495990478"/>
      <w:bookmarkStart w:id="15" w:name="_Toc85718891"/>
      <w:r w:rsidRPr="00B10727">
        <w:lastRenderedPageBreak/>
        <w:t>Zhrn</w:t>
      </w:r>
      <w:r w:rsidR="006C6327">
        <w:t>u</w:t>
      </w:r>
      <w:r w:rsidRPr="00B10727">
        <w:t>tie</w:t>
      </w:r>
      <w:bookmarkEnd w:id="13"/>
      <w:bookmarkEnd w:id="14"/>
      <w:bookmarkEnd w:id="15"/>
      <w:r w:rsidRPr="00B10727">
        <w:t xml:space="preserve"> </w:t>
      </w:r>
    </w:p>
    <w:p w14:paraId="1668205E" w14:textId="0A09283B" w:rsidR="0086315B" w:rsidRPr="00A65505" w:rsidRDefault="0086315B" w:rsidP="00B97A5B">
      <w:pPr>
        <w:pStyle w:val="Odsekzoznamu"/>
        <w:numPr>
          <w:ilvl w:val="0"/>
          <w:numId w:val="8"/>
        </w:numPr>
        <w:jc w:val="both"/>
      </w:pPr>
      <w:r w:rsidRPr="0039640B">
        <w:rPr>
          <w:b/>
          <w:color w:val="0070C0"/>
        </w:rPr>
        <w:t>Schodok verejnej správy</w:t>
      </w:r>
      <w:r w:rsidRPr="0039640B">
        <w:rPr>
          <w:color w:val="0070C0"/>
        </w:rPr>
        <w:t xml:space="preserve"> </w:t>
      </w:r>
      <w:r w:rsidRPr="00A65505">
        <w:t xml:space="preserve">Slovenskej republiky vykázaný v jednotnej metodike (ESA2010) pre členské krajiny EÚ </w:t>
      </w:r>
      <w:r w:rsidRPr="00A65505">
        <w:rPr>
          <w:b/>
        </w:rPr>
        <w:t>dosiahol v roku 2020 úroveň 5,5 % HDP</w:t>
      </w:r>
      <w:r w:rsidRPr="00A65505">
        <w:t xml:space="preserve"> </w:t>
      </w:r>
      <w:r w:rsidRPr="00A65505">
        <w:rPr>
          <w:b/>
        </w:rPr>
        <w:t>(-5 061 841 tis. eur</w:t>
      </w:r>
      <w:r w:rsidRPr="00A65505">
        <w:t>). Oproti predbežným výsledkom z jarnej notifikácie prezentovaným v Štátnom záverečnom účte, sa schodok znížil o 0,6</w:t>
      </w:r>
      <w:r w:rsidR="00527D3C" w:rsidRPr="00A65505">
        <w:t>6</w:t>
      </w:r>
      <w:r w:rsidRPr="00A65505">
        <w:t xml:space="preserve"> p. b. resp. o</w:t>
      </w:r>
      <w:r w:rsidR="00527D3C" w:rsidRPr="00A65505">
        <w:t> 546 923 </w:t>
      </w:r>
      <w:r w:rsidRPr="00A65505">
        <w:t>tis.</w:t>
      </w:r>
      <w:r w:rsidR="00527D3C" w:rsidRPr="00A65505">
        <w:t> </w:t>
      </w:r>
      <w:r w:rsidRPr="00A65505">
        <w:t xml:space="preserve">eur. Medziročná zmena salda tak dosiahla (po štandardnej revízii aj roku 2019) </w:t>
      </w:r>
      <w:r w:rsidR="00527D3C" w:rsidRPr="00A65505">
        <w:t>4,17 </w:t>
      </w:r>
      <w:r w:rsidRPr="00A65505">
        <w:t>p.</w:t>
      </w:r>
      <w:r w:rsidR="00527D3C" w:rsidRPr="00A65505">
        <w:t xml:space="preserve"> </w:t>
      </w:r>
      <w:r w:rsidRPr="00A65505">
        <w:t xml:space="preserve">b., čo predstavuje </w:t>
      </w:r>
      <w:r w:rsidR="00527D3C" w:rsidRPr="00A65505">
        <w:t>nárast schodku o 3 809 441 </w:t>
      </w:r>
      <w:r w:rsidRPr="00A65505">
        <w:t>tis. eur.</w:t>
      </w:r>
    </w:p>
    <w:p w14:paraId="616A4D3C" w14:textId="77777777" w:rsidR="0070425A" w:rsidRDefault="0070425A" w:rsidP="0070425A">
      <w:pPr>
        <w:pStyle w:val="Odsekzoznamu"/>
        <w:ind w:left="360"/>
        <w:jc w:val="both"/>
      </w:pPr>
    </w:p>
    <w:p w14:paraId="0EA407C2" w14:textId="356AE89B" w:rsidR="0070425A" w:rsidRDefault="0086315B" w:rsidP="0070425A">
      <w:pPr>
        <w:pStyle w:val="Odsekzoznamu"/>
        <w:ind w:left="360"/>
        <w:jc w:val="both"/>
      </w:pPr>
      <w:r w:rsidRPr="004446E5">
        <w:t xml:space="preserve">Celkové príjmy verejnej správy za rok 2020 dosiahli </w:t>
      </w:r>
      <w:r w:rsidR="004446E5" w:rsidRPr="004446E5">
        <w:t>36 882 067</w:t>
      </w:r>
      <w:r w:rsidRPr="004446E5">
        <w:t> tis. eur (</w:t>
      </w:r>
      <w:r w:rsidR="004446E5" w:rsidRPr="004446E5">
        <w:t>40,05</w:t>
      </w:r>
      <w:r w:rsidRPr="004446E5">
        <w:t xml:space="preserve"> % HDP) a celkové výdavky verejnej správy dosiahli </w:t>
      </w:r>
      <w:r w:rsidR="004446E5" w:rsidRPr="004446E5">
        <w:t>41 943 908</w:t>
      </w:r>
      <w:r w:rsidRPr="004446E5">
        <w:t> tis. eur (</w:t>
      </w:r>
      <w:r w:rsidR="004446E5" w:rsidRPr="004446E5">
        <w:t>45,55</w:t>
      </w:r>
      <w:r w:rsidRPr="004446E5">
        <w:t xml:space="preserve"> % HDP) pri vyčíslenom HDP </w:t>
      </w:r>
      <w:r w:rsidR="004446E5" w:rsidRPr="004446E5">
        <w:t>92 079 253</w:t>
      </w:r>
      <w:r w:rsidRPr="004446E5">
        <w:t> tis. eur.</w:t>
      </w:r>
    </w:p>
    <w:p w14:paraId="5E9232E6" w14:textId="77777777" w:rsidR="0070425A" w:rsidRDefault="0070425A" w:rsidP="0070425A">
      <w:pPr>
        <w:pStyle w:val="Odsekzoznamu"/>
        <w:ind w:left="360"/>
        <w:jc w:val="both"/>
      </w:pPr>
    </w:p>
    <w:p w14:paraId="479AD3D4" w14:textId="2B6594CC" w:rsidR="0086315B" w:rsidRPr="00A65505" w:rsidRDefault="0086315B" w:rsidP="00B97A5B">
      <w:pPr>
        <w:pStyle w:val="Odsekzoznamu"/>
        <w:numPr>
          <w:ilvl w:val="0"/>
          <w:numId w:val="8"/>
        </w:numPr>
        <w:ind w:left="357" w:hanging="357"/>
        <w:jc w:val="both"/>
        <w:rPr>
          <w:rFonts w:eastAsiaTheme="minorHAnsi"/>
        </w:rPr>
      </w:pPr>
      <w:r w:rsidRPr="0039640B">
        <w:rPr>
          <w:rFonts w:eastAsiaTheme="minorHAnsi"/>
          <w:b/>
          <w:color w:val="0070C0"/>
        </w:rPr>
        <w:t>Hrubý dlh verejnej správy</w:t>
      </w:r>
      <w:r w:rsidR="00A65505" w:rsidRPr="0039640B">
        <w:rPr>
          <w:rFonts w:eastAsiaTheme="minorHAnsi"/>
          <w:color w:val="0070C0"/>
        </w:rPr>
        <w:t xml:space="preserve"> </w:t>
      </w:r>
      <w:r w:rsidR="00A65505" w:rsidRPr="00A65505">
        <w:rPr>
          <w:rFonts w:eastAsiaTheme="minorHAnsi"/>
        </w:rPr>
        <w:t>podľa metodiky ESA</w:t>
      </w:r>
      <w:r w:rsidRPr="00A65505">
        <w:rPr>
          <w:rFonts w:eastAsiaTheme="minorHAnsi"/>
        </w:rPr>
        <w:t xml:space="preserve">2010 k 31.12.2020 dosiahol </w:t>
      </w:r>
      <w:r w:rsidRPr="00A65505">
        <w:rPr>
          <w:rFonts w:eastAsiaTheme="minorHAnsi"/>
          <w:b/>
        </w:rPr>
        <w:t>55 009 746 tis. eur (</w:t>
      </w:r>
      <w:r w:rsidR="00A65505" w:rsidRPr="00A65505">
        <w:rPr>
          <w:rFonts w:eastAsiaTheme="minorHAnsi"/>
          <w:b/>
        </w:rPr>
        <w:t>59,7</w:t>
      </w:r>
      <w:r w:rsidRPr="00A65505">
        <w:rPr>
          <w:rFonts w:eastAsiaTheme="minorHAnsi"/>
          <w:b/>
        </w:rPr>
        <w:t xml:space="preserve"> % HDP). </w:t>
      </w:r>
      <w:r w:rsidRPr="00A65505">
        <w:rPr>
          <w:rFonts w:eastAsiaTheme="minorHAnsi"/>
        </w:rPr>
        <w:t>Oproti</w:t>
      </w:r>
      <w:r w:rsidRPr="00A65505">
        <w:rPr>
          <w:rFonts w:eastAsiaTheme="minorHAnsi" w:cs="Times New Roman"/>
          <w:iCs/>
        </w:rPr>
        <w:t xml:space="preserve"> jarnej notifik</w:t>
      </w:r>
      <w:r w:rsidR="00A65505" w:rsidRPr="00A65505">
        <w:rPr>
          <w:rFonts w:eastAsiaTheme="minorHAnsi" w:cs="Times New Roman"/>
          <w:iCs/>
        </w:rPr>
        <w:t>ácii došlo k jeho zníženiu o 0,83</w:t>
      </w:r>
      <w:r w:rsidRPr="00A65505">
        <w:rPr>
          <w:rFonts w:eastAsiaTheme="minorHAnsi" w:cs="Times New Roman"/>
          <w:iCs/>
        </w:rPr>
        <w:t xml:space="preserve"> p. b., čo predstavuje 170 811 tis. eur. Medziročne sa dlh zvýšil o</w:t>
      </w:r>
      <w:r w:rsidR="00A65505" w:rsidRPr="00A65505">
        <w:rPr>
          <w:rFonts w:eastAsiaTheme="minorHAnsi" w:cs="Times New Roman"/>
          <w:iCs/>
        </w:rPr>
        <w:t xml:space="preserve"> 11,6 </w:t>
      </w:r>
      <w:proofErr w:type="spellStart"/>
      <w:r w:rsidR="00A65505" w:rsidRPr="00A65505">
        <w:rPr>
          <w:rFonts w:eastAsiaTheme="minorHAnsi" w:cs="Times New Roman"/>
          <w:iCs/>
        </w:rPr>
        <w:t>p.b</w:t>
      </w:r>
      <w:proofErr w:type="spellEnd"/>
      <w:r w:rsidR="00A65505" w:rsidRPr="00A65505">
        <w:rPr>
          <w:rFonts w:eastAsiaTheme="minorHAnsi" w:cs="Times New Roman"/>
          <w:iCs/>
        </w:rPr>
        <w:t>.</w:t>
      </w:r>
      <w:r w:rsidRPr="00A65505">
        <w:rPr>
          <w:rFonts w:eastAsiaTheme="minorHAnsi" w:cs="Times New Roman"/>
          <w:iCs/>
        </w:rPr>
        <w:t xml:space="preserve"> v pomere k HDP, v nominálnom vyjadrení ide o</w:t>
      </w:r>
      <w:r w:rsidR="00A65505" w:rsidRPr="00A65505">
        <w:rPr>
          <w:rFonts w:eastAsiaTheme="minorHAnsi" w:cs="Times New Roman"/>
          <w:iCs/>
        </w:rPr>
        <w:t xml:space="preserve"> 9 732 725 </w:t>
      </w:r>
      <w:r w:rsidRPr="00A65505">
        <w:rPr>
          <w:rFonts w:eastAsiaTheme="minorHAnsi" w:cs="Times New Roman"/>
          <w:iCs/>
        </w:rPr>
        <w:t>tis. eur.</w:t>
      </w:r>
    </w:p>
    <w:p w14:paraId="408AA11F" w14:textId="244CEADC" w:rsidR="00397C2A" w:rsidRDefault="00397C2A" w:rsidP="00397C2A">
      <w:pPr>
        <w:pStyle w:val="Odsekzoznamu"/>
        <w:ind w:left="357"/>
        <w:jc w:val="both"/>
        <w:rPr>
          <w:rFonts w:eastAsiaTheme="minorHAnsi"/>
          <w:highlight w:val="yellow"/>
        </w:rPr>
      </w:pPr>
    </w:p>
    <w:p w14:paraId="6E374E4C" w14:textId="77777777" w:rsidR="00A67D1A" w:rsidRPr="0070425A" w:rsidRDefault="00A67D1A" w:rsidP="00A67D1A">
      <w:pPr>
        <w:pStyle w:val="Odsekzoznamu"/>
        <w:ind w:left="360"/>
        <w:jc w:val="both"/>
      </w:pPr>
      <w:r w:rsidRPr="0070425A">
        <w:t xml:space="preserve">V rámci Európskej únie (27 krajín) v roku 2020 dosiahlo 17 krajín vyšší schodok a 13 krajín dosiahlo vyšší dlh verejnej správy ako Slovenská republika. </w:t>
      </w:r>
      <w:r w:rsidRPr="0070425A">
        <w:rPr>
          <w:b/>
        </w:rPr>
        <w:t xml:space="preserve">Priemerný schodok EÚ27 bol 6,9 % HDP (Slovensko schodok 5,5 % HDP) a priemerný dlh verejnej správy EÚ27 bol 90,1 % HDP (Slovensko 59,7 % HDP) v roku 2020. </w:t>
      </w:r>
    </w:p>
    <w:p w14:paraId="35DAC287" w14:textId="77777777" w:rsidR="00A67D1A" w:rsidRPr="001D77FC" w:rsidRDefault="00A67D1A" w:rsidP="00397C2A">
      <w:pPr>
        <w:pStyle w:val="Odsekzoznamu"/>
        <w:ind w:left="357"/>
        <w:jc w:val="both"/>
        <w:rPr>
          <w:rFonts w:eastAsiaTheme="minorHAnsi"/>
          <w:highlight w:val="yellow"/>
        </w:rPr>
      </w:pPr>
    </w:p>
    <w:p w14:paraId="4E86423F" w14:textId="5ECF0A01" w:rsidR="00397C2A" w:rsidRPr="007628F3" w:rsidRDefault="0086315B" w:rsidP="00397C2A">
      <w:pPr>
        <w:pStyle w:val="Odsekzoznamu"/>
        <w:numPr>
          <w:ilvl w:val="0"/>
          <w:numId w:val="8"/>
        </w:numPr>
        <w:ind w:left="357" w:hanging="357"/>
        <w:jc w:val="both"/>
        <w:rPr>
          <w:rFonts w:eastAsiaTheme="minorHAnsi"/>
        </w:rPr>
      </w:pPr>
      <w:r w:rsidRPr="0039640B">
        <w:rPr>
          <w:rFonts w:eastAsiaTheme="minorHAnsi"/>
          <w:b/>
          <w:color w:val="0070C0"/>
        </w:rPr>
        <w:t xml:space="preserve">Štrukturálne saldo </w:t>
      </w:r>
      <w:r w:rsidRPr="00C31748">
        <w:rPr>
          <w:rFonts w:eastAsiaTheme="minorHAnsi"/>
          <w:b/>
        </w:rPr>
        <w:t>dosiahlo v roku 2020 hodnotu -</w:t>
      </w:r>
      <w:r w:rsidR="00C31748" w:rsidRPr="00C31748">
        <w:rPr>
          <w:rFonts w:eastAsiaTheme="minorHAnsi"/>
          <w:b/>
        </w:rPr>
        <w:t>2,4</w:t>
      </w:r>
      <w:r w:rsidRPr="00C31748">
        <w:rPr>
          <w:rFonts w:eastAsiaTheme="minorHAnsi"/>
          <w:b/>
        </w:rPr>
        <w:t xml:space="preserve"> % HDP</w:t>
      </w:r>
      <w:r w:rsidRPr="00C31748">
        <w:rPr>
          <w:rFonts w:eastAsiaTheme="minorHAnsi"/>
        </w:rPr>
        <w:t xml:space="preserve"> a medziročne stúplo o</w:t>
      </w:r>
      <w:r w:rsidR="00C31748" w:rsidRPr="00C31748">
        <w:rPr>
          <w:rFonts w:eastAsiaTheme="minorHAnsi"/>
        </w:rPr>
        <w:t> 0,4</w:t>
      </w:r>
      <w:r w:rsidRPr="00C31748">
        <w:rPr>
          <w:rFonts w:eastAsiaTheme="minorHAnsi"/>
        </w:rPr>
        <w:t xml:space="preserve"> p. b. v pomere k HDP. </w:t>
      </w:r>
      <w:r w:rsidRPr="007628F3">
        <w:rPr>
          <w:rFonts w:cs="Times New Roman"/>
        </w:rPr>
        <w:t>Medziročná zmena štrukturálneho salda oproti úrovni z roku 2019 zodpovedá štrukturálnej expanzii. V</w:t>
      </w:r>
      <w:r w:rsidRPr="007628F3">
        <w:rPr>
          <w:rFonts w:eastAsiaTheme="minorHAnsi"/>
        </w:rPr>
        <w:t> roku 2020 boli na základe princípov metodiky EK identifikované jednorazové vplyvy</w:t>
      </w:r>
      <w:r w:rsidR="00C31748" w:rsidRPr="007628F3">
        <w:rPr>
          <w:rFonts w:eastAsiaTheme="minorHAnsi"/>
        </w:rPr>
        <w:t xml:space="preserve"> za 1,7 </w:t>
      </w:r>
      <w:proofErr w:type="spellStart"/>
      <w:r w:rsidR="00C31748" w:rsidRPr="007628F3">
        <w:rPr>
          <w:rFonts w:eastAsiaTheme="minorHAnsi"/>
        </w:rPr>
        <w:t>p.b</w:t>
      </w:r>
      <w:proofErr w:type="spellEnd"/>
      <w:r w:rsidR="00C31748" w:rsidRPr="007628F3">
        <w:rPr>
          <w:rFonts w:eastAsiaTheme="minorHAnsi"/>
        </w:rPr>
        <w:t>. voči HDP</w:t>
      </w:r>
      <w:r w:rsidRPr="007628F3">
        <w:rPr>
          <w:rFonts w:eastAsiaTheme="minorHAnsi"/>
        </w:rPr>
        <w:t>.</w:t>
      </w:r>
      <w:r w:rsidR="007628F3">
        <w:rPr>
          <w:rFonts w:eastAsiaTheme="minorHAnsi"/>
        </w:rPr>
        <w:t xml:space="preserve"> Prakticky všetky súviseli s pandémiou COVID-19. Odhadujú sa na 1 543 mil. eur, hlavne na podporu zamestnanosti v čase pandémie (o 773 mil. eur).</w:t>
      </w:r>
    </w:p>
    <w:p w14:paraId="1EB769BC" w14:textId="77777777" w:rsidR="00397C2A" w:rsidRPr="00397C2A" w:rsidRDefault="00397C2A" w:rsidP="00397C2A">
      <w:pPr>
        <w:spacing w:after="0" w:line="240" w:lineRule="auto"/>
        <w:jc w:val="both"/>
        <w:rPr>
          <w:rFonts w:eastAsiaTheme="minorHAnsi"/>
          <w:highlight w:val="yellow"/>
        </w:rPr>
      </w:pPr>
    </w:p>
    <w:p w14:paraId="4EF45CFA" w14:textId="2F7EDD3E" w:rsidR="0086315B" w:rsidRPr="004C6983" w:rsidRDefault="0086315B" w:rsidP="00B97A5B">
      <w:pPr>
        <w:pStyle w:val="Odsekzoznamu"/>
        <w:numPr>
          <w:ilvl w:val="0"/>
          <w:numId w:val="8"/>
        </w:numPr>
        <w:jc w:val="both"/>
        <w:rPr>
          <w:rFonts w:eastAsia="Calibri" w:cs="Times New Roman"/>
        </w:rPr>
      </w:pPr>
      <w:r w:rsidRPr="0039640B">
        <w:rPr>
          <w:rFonts w:eastAsia="Calibri" w:cs="Times New Roman"/>
          <w:b/>
          <w:color w:val="0070C0"/>
        </w:rPr>
        <w:t xml:space="preserve">Čisté bohatstvo </w:t>
      </w:r>
      <w:r w:rsidRPr="004C6983">
        <w:rPr>
          <w:rFonts w:eastAsia="Calibri" w:cs="Times New Roman"/>
          <w:b/>
        </w:rPr>
        <w:t>verejného sektora dosiahlo k 31.12.2020 zápornú hodnotu</w:t>
      </w:r>
      <w:r w:rsidR="007B548A" w:rsidRPr="004C6983">
        <w:rPr>
          <w:rFonts w:eastAsia="Calibri" w:cs="Times New Roman"/>
          <w:b/>
        </w:rPr>
        <w:t xml:space="preserve"> 412,26 %</w:t>
      </w:r>
      <w:r w:rsidRPr="004C6983">
        <w:rPr>
          <w:rFonts w:eastAsia="Calibri" w:cs="Times New Roman"/>
          <w:b/>
        </w:rPr>
        <w:t xml:space="preserve"> HDP</w:t>
      </w:r>
      <w:r w:rsidRPr="004C6983">
        <w:rPr>
          <w:rFonts w:eastAsia="Calibri" w:cs="Times New Roman"/>
        </w:rPr>
        <w:t>. Oproti predchádzajúcemu roku sa zvýšil negatívny podiel na HDP o</w:t>
      </w:r>
      <w:r w:rsidR="007B548A" w:rsidRPr="004C6983">
        <w:rPr>
          <w:rFonts w:eastAsia="Calibri" w:cs="Times New Roman"/>
        </w:rPr>
        <w:t> 286,73</w:t>
      </w:r>
      <w:r w:rsidRPr="004C6983">
        <w:rPr>
          <w:rFonts w:eastAsia="Calibri" w:cs="Times New Roman"/>
        </w:rPr>
        <w:t xml:space="preserve"> p. b. Zníženie čistého bohatstva bolo spôsobené najmä medziročnou zmenou v implicitných záväzkoch (zmena -</w:t>
      </w:r>
      <w:r w:rsidR="004C6983" w:rsidRPr="004C6983">
        <w:rPr>
          <w:rFonts w:eastAsia="Calibri" w:cs="Times New Roman"/>
        </w:rPr>
        <w:t>277,9</w:t>
      </w:r>
      <w:r w:rsidRPr="004C6983">
        <w:rPr>
          <w:rFonts w:eastAsia="Calibri" w:cs="Times New Roman"/>
        </w:rPr>
        <w:t xml:space="preserve"> p. b.), ktoré zároveň tvoria najväčšiu časť záporného čistého bohatstva. </w:t>
      </w:r>
      <w:r w:rsidR="004C6983" w:rsidRPr="004C6983">
        <w:rPr>
          <w:rFonts w:eastAsia="Calibri"/>
        </w:rPr>
        <w:t>K medziročnému zhoršeniu implicitných záväzkov v roku 2020 prispeli takmer úplne zmeny ovplyvňujúce záväzky zo starnutia populácie, ktoré narástli o 278,3 % HDP.</w:t>
      </w:r>
      <w:r w:rsidRPr="004C6983">
        <w:rPr>
          <w:rFonts w:cs="Times New Roman"/>
        </w:rPr>
        <w:t xml:space="preserve"> </w:t>
      </w:r>
    </w:p>
    <w:p w14:paraId="36CB39D5" w14:textId="77777777" w:rsidR="00397C2A" w:rsidRPr="001D77FC" w:rsidRDefault="00397C2A" w:rsidP="00397C2A">
      <w:pPr>
        <w:pStyle w:val="Odsekzoznamu"/>
        <w:ind w:left="360"/>
        <w:jc w:val="both"/>
        <w:rPr>
          <w:rFonts w:eastAsia="Calibri" w:cs="Times New Roman"/>
          <w:highlight w:val="yellow"/>
        </w:rPr>
      </w:pPr>
    </w:p>
    <w:p w14:paraId="1AD44AB8" w14:textId="4B2BFF89" w:rsidR="00EF2C32" w:rsidRDefault="0086315B" w:rsidP="00EF2C32">
      <w:pPr>
        <w:pStyle w:val="Odsekzoznamu"/>
        <w:numPr>
          <w:ilvl w:val="0"/>
          <w:numId w:val="8"/>
        </w:numPr>
        <w:ind w:left="357" w:hanging="357"/>
        <w:jc w:val="both"/>
        <w:rPr>
          <w:rFonts w:eastAsia="Calibri" w:cs="Times New Roman"/>
        </w:rPr>
      </w:pPr>
      <w:r w:rsidRPr="0039640B">
        <w:rPr>
          <w:rFonts w:eastAsia="Calibri" w:cs="Times New Roman"/>
          <w:b/>
          <w:color w:val="0070C0"/>
        </w:rPr>
        <w:t xml:space="preserve">Hodnota aktív ako aj pasív súhrnného celku </w:t>
      </w:r>
      <w:r w:rsidRPr="00D12625">
        <w:rPr>
          <w:rFonts w:eastAsia="Calibri" w:cs="Times New Roman"/>
          <w:b/>
        </w:rPr>
        <w:t>verejnej správy k 31.12.2020 bola</w:t>
      </w:r>
      <w:r w:rsidRPr="00D12625">
        <w:rPr>
          <w:rFonts w:eastAsia="Calibri" w:cs="Times New Roman"/>
          <w:b/>
        </w:rPr>
        <w:br/>
      </w:r>
      <w:r w:rsidR="00D12625" w:rsidRPr="00D12625">
        <w:rPr>
          <w:rFonts w:eastAsia="Calibri" w:cs="Times New Roman"/>
          <w:b/>
        </w:rPr>
        <w:t>7</w:t>
      </w:r>
      <w:r w:rsidR="003C53C4">
        <w:rPr>
          <w:rFonts w:eastAsia="Calibri" w:cs="Times New Roman"/>
          <w:b/>
        </w:rPr>
        <w:t>4 917 353</w:t>
      </w:r>
      <w:r w:rsidR="00D12625" w:rsidRPr="00D12625">
        <w:rPr>
          <w:rFonts w:eastAsia="Calibri" w:cs="Times New Roman"/>
          <w:b/>
        </w:rPr>
        <w:t xml:space="preserve"> </w:t>
      </w:r>
      <w:r w:rsidRPr="00D12625">
        <w:rPr>
          <w:rFonts w:eastAsia="Calibri" w:cs="Times New Roman"/>
          <w:b/>
        </w:rPr>
        <w:t>tis. eur</w:t>
      </w:r>
      <w:r w:rsidRPr="00D12625">
        <w:rPr>
          <w:rFonts w:eastAsia="Calibri" w:cs="Times New Roman"/>
        </w:rPr>
        <w:t xml:space="preserve"> a medziročne sa </w:t>
      </w:r>
      <w:r w:rsidR="00D12625" w:rsidRPr="00D12625">
        <w:rPr>
          <w:rFonts w:eastAsia="Calibri" w:cs="Times New Roman"/>
        </w:rPr>
        <w:t>zvýšili</w:t>
      </w:r>
      <w:r w:rsidRPr="00D12625">
        <w:rPr>
          <w:rFonts w:eastAsia="Calibri" w:cs="Times New Roman"/>
        </w:rPr>
        <w:t xml:space="preserve"> o</w:t>
      </w:r>
      <w:r w:rsidR="003C53C4">
        <w:rPr>
          <w:rFonts w:eastAsia="Calibri" w:cs="Times New Roman"/>
        </w:rPr>
        <w:t> 8 505 532</w:t>
      </w:r>
      <w:r w:rsidR="00D12625" w:rsidRPr="00D12625">
        <w:rPr>
          <w:rFonts w:eastAsia="Calibri" w:cs="Times New Roman"/>
        </w:rPr>
        <w:t xml:space="preserve"> </w:t>
      </w:r>
      <w:r w:rsidRPr="00D12625">
        <w:rPr>
          <w:rFonts w:eastAsia="Calibri" w:cs="Times New Roman"/>
        </w:rPr>
        <w:t xml:space="preserve">tis. eur. </w:t>
      </w:r>
      <w:r w:rsidR="00D12625" w:rsidRPr="00D12625">
        <w:rPr>
          <w:rFonts w:eastAsia="Calibri" w:cs="Times New Roman"/>
        </w:rPr>
        <w:t xml:space="preserve">Zvýšenie bolo zapríčinené aj väčším počtom predložených účtovných závierok oproti roku 2019 (kedy platil legislatívny posun termínov pre účtovné jednotky, pričom súhrnná účtovná závierka tento posun nemala). </w:t>
      </w:r>
      <w:r w:rsidRPr="00D12625">
        <w:rPr>
          <w:rFonts w:eastAsia="Calibri" w:cs="Times New Roman"/>
        </w:rPr>
        <w:t xml:space="preserve">Z aktív vzrástli najmä dlhodobý hmotný majetok (v podobe cestnej a diaľničnej infraštruktúry, budov, stavieb a poskytnutých preddavkov na nákup hmotného majetku). Naopak, znížila sa hodnota </w:t>
      </w:r>
      <w:r w:rsidR="00213A28">
        <w:rPr>
          <w:rFonts w:eastAsia="Calibri" w:cs="Times New Roman"/>
        </w:rPr>
        <w:t>zásob</w:t>
      </w:r>
      <w:r w:rsidRPr="00D12625">
        <w:rPr>
          <w:rFonts w:eastAsia="Calibri" w:cs="Times New Roman"/>
        </w:rPr>
        <w:t>. Z pasív (sa medziročne znížilo vlastné imanie pri súčasnom raste záväzkov. Vlastné imanie súhrnného celku medziročne pokleslo o</w:t>
      </w:r>
      <w:r w:rsidR="003C53C4">
        <w:rPr>
          <w:rFonts w:eastAsia="Calibri" w:cs="Times New Roman"/>
        </w:rPr>
        <w:t> 6 401 905</w:t>
      </w:r>
      <w:r w:rsidRPr="00D12625">
        <w:t xml:space="preserve"> </w:t>
      </w:r>
      <w:r w:rsidRPr="00D12625">
        <w:rPr>
          <w:rFonts w:eastAsia="Calibri" w:cs="Times New Roman"/>
        </w:rPr>
        <w:t>tis. eur.</w:t>
      </w:r>
    </w:p>
    <w:p w14:paraId="7E0A12A0" w14:textId="77777777" w:rsidR="00EF2C32" w:rsidRPr="00EF2C32" w:rsidRDefault="00EF2C32" w:rsidP="00EF2C32">
      <w:pPr>
        <w:pStyle w:val="Odsekzoznamu"/>
        <w:rPr>
          <w:rFonts w:eastAsia="Calibri" w:cs="Times New Roman"/>
        </w:rPr>
      </w:pPr>
    </w:p>
    <w:p w14:paraId="51233B81" w14:textId="74324BB2" w:rsidR="00472200" w:rsidRPr="00EF2C32" w:rsidRDefault="0086315B" w:rsidP="00EF2C32">
      <w:pPr>
        <w:pStyle w:val="Odsekzoznamu"/>
        <w:numPr>
          <w:ilvl w:val="0"/>
          <w:numId w:val="8"/>
        </w:numPr>
        <w:ind w:left="357" w:hanging="357"/>
        <w:jc w:val="both"/>
        <w:rPr>
          <w:rFonts w:eastAsia="Calibri" w:cs="Times New Roman"/>
        </w:rPr>
      </w:pPr>
      <w:r w:rsidRPr="00EF2C32">
        <w:rPr>
          <w:rFonts w:eastAsia="Calibri" w:cs="Times New Roman"/>
        </w:rPr>
        <w:t xml:space="preserve">Celkové náklady z výkazu ziskov a strát súhrnného celku dosiahli </w:t>
      </w:r>
      <w:r w:rsidR="00191B7A">
        <w:rPr>
          <w:rFonts w:eastAsia="Calibri" w:cs="Times New Roman"/>
        </w:rPr>
        <w:t>6</w:t>
      </w:r>
      <w:r w:rsidR="00CF5C8F">
        <w:rPr>
          <w:rFonts w:eastAsia="Calibri" w:cs="Times New Roman"/>
        </w:rPr>
        <w:t>6 760 892</w:t>
      </w:r>
      <w:r w:rsidRPr="00EF2C32">
        <w:t xml:space="preserve"> </w:t>
      </w:r>
      <w:r w:rsidRPr="00EF2C32">
        <w:rPr>
          <w:rFonts w:eastAsia="Calibri" w:cs="Times New Roman"/>
        </w:rPr>
        <w:t xml:space="preserve">tis. eur a celkové výnosy dosiahli </w:t>
      </w:r>
      <w:r w:rsidR="00CF5C8F">
        <w:rPr>
          <w:rFonts w:eastAsia="Calibri" w:cs="Times New Roman"/>
        </w:rPr>
        <w:t>59 574 279</w:t>
      </w:r>
      <w:r w:rsidRPr="00EF2C32">
        <w:t xml:space="preserve"> </w:t>
      </w:r>
      <w:r w:rsidRPr="00EF2C32">
        <w:rPr>
          <w:rFonts w:eastAsia="Calibri" w:cs="Times New Roman"/>
        </w:rPr>
        <w:t>tis. eur. Medziročne boli vyššie náklady na transfery</w:t>
      </w:r>
      <w:r w:rsidR="00CD2A21" w:rsidRPr="00EF2C32">
        <w:rPr>
          <w:rFonts w:eastAsia="Calibri" w:cs="Times New Roman"/>
        </w:rPr>
        <w:t xml:space="preserve"> a osobné náklady</w:t>
      </w:r>
      <w:r w:rsidRPr="00EF2C32">
        <w:rPr>
          <w:rFonts w:eastAsia="Calibri" w:cs="Times New Roman"/>
        </w:rPr>
        <w:t>. V</w:t>
      </w:r>
      <w:r w:rsidR="00974FF9" w:rsidRPr="00EF2C32">
        <w:rPr>
          <w:rFonts w:eastAsia="Calibri" w:cs="Times New Roman"/>
        </w:rPr>
        <w:t xml:space="preserve">o výnosoch zaznamenali významný pokles </w:t>
      </w:r>
      <w:r w:rsidRPr="00EF2C32">
        <w:rPr>
          <w:rFonts w:eastAsia="Calibri" w:cs="Times New Roman"/>
        </w:rPr>
        <w:t>dan</w:t>
      </w:r>
      <w:r w:rsidR="00974FF9" w:rsidRPr="00EF2C32">
        <w:rPr>
          <w:rFonts w:eastAsia="Calibri" w:cs="Times New Roman"/>
        </w:rPr>
        <w:t>e</w:t>
      </w:r>
      <w:r w:rsidRPr="00EF2C32">
        <w:rPr>
          <w:rFonts w:eastAsia="Calibri" w:cs="Times New Roman"/>
        </w:rPr>
        <w:t xml:space="preserve"> a</w:t>
      </w:r>
      <w:r w:rsidR="00974FF9" w:rsidRPr="00EF2C32">
        <w:rPr>
          <w:rFonts w:eastAsia="Calibri" w:cs="Times New Roman"/>
        </w:rPr>
        <w:t> </w:t>
      </w:r>
      <w:r w:rsidRPr="00EF2C32">
        <w:rPr>
          <w:rFonts w:eastAsia="Calibri" w:cs="Times New Roman"/>
        </w:rPr>
        <w:t>poplatk</w:t>
      </w:r>
      <w:r w:rsidR="00974FF9" w:rsidRPr="00EF2C32">
        <w:rPr>
          <w:rFonts w:eastAsia="Calibri" w:cs="Times New Roman"/>
        </w:rPr>
        <w:t>y</w:t>
      </w:r>
      <w:r w:rsidRPr="00EF2C32">
        <w:rPr>
          <w:rFonts w:eastAsia="Calibri" w:cs="Times New Roman"/>
        </w:rPr>
        <w:t xml:space="preserve">. </w:t>
      </w:r>
      <w:r w:rsidRPr="0039640B">
        <w:rPr>
          <w:rFonts w:eastAsia="Calibri" w:cs="Times New Roman"/>
          <w:b/>
          <w:color w:val="0070C0"/>
        </w:rPr>
        <w:t xml:space="preserve">Účtovný výsledok hospodárenia </w:t>
      </w:r>
      <w:r w:rsidRPr="00EF2C32">
        <w:rPr>
          <w:rFonts w:eastAsia="Calibri" w:cs="Times New Roman"/>
          <w:b/>
        </w:rPr>
        <w:t>dosiahol -</w:t>
      </w:r>
      <w:r w:rsidR="00974FF9" w:rsidRPr="00EF2C32">
        <w:rPr>
          <w:rFonts w:eastAsia="Calibri" w:cs="Times New Roman"/>
          <w:b/>
        </w:rPr>
        <w:t>7</w:t>
      </w:r>
      <w:r w:rsidR="00CF5C8F">
        <w:rPr>
          <w:rFonts w:eastAsia="Calibri" w:cs="Times New Roman"/>
          <w:b/>
        </w:rPr>
        <w:t> </w:t>
      </w:r>
      <w:r w:rsidR="00191B7A">
        <w:rPr>
          <w:rFonts w:eastAsia="Calibri" w:cs="Times New Roman"/>
          <w:b/>
        </w:rPr>
        <w:t>1</w:t>
      </w:r>
      <w:r w:rsidR="00CF5C8F">
        <w:rPr>
          <w:rFonts w:eastAsia="Calibri" w:cs="Times New Roman"/>
          <w:b/>
        </w:rPr>
        <w:t>86 613</w:t>
      </w:r>
      <w:r w:rsidR="00974FF9" w:rsidRPr="00EF2C32">
        <w:rPr>
          <w:rFonts w:eastAsia="Calibri" w:cs="Times New Roman"/>
          <w:b/>
        </w:rPr>
        <w:t xml:space="preserve"> </w:t>
      </w:r>
      <w:r w:rsidRPr="00EF2C32">
        <w:rPr>
          <w:rFonts w:eastAsia="Calibri" w:cs="Times New Roman"/>
          <w:b/>
        </w:rPr>
        <w:t>tis. eur</w:t>
      </w:r>
      <w:r w:rsidRPr="00EF2C32">
        <w:rPr>
          <w:rFonts w:eastAsia="Calibri" w:cs="Times New Roman"/>
        </w:rPr>
        <w:t xml:space="preserve">, čo je </w:t>
      </w:r>
      <w:r w:rsidR="00974FF9" w:rsidRPr="00EF2C32">
        <w:rPr>
          <w:rFonts w:eastAsia="Calibri" w:cs="Times New Roman"/>
        </w:rPr>
        <w:t>prehĺbenie</w:t>
      </w:r>
      <w:r w:rsidRPr="00EF2C32">
        <w:rPr>
          <w:rFonts w:eastAsia="Calibri" w:cs="Times New Roman"/>
        </w:rPr>
        <w:t xml:space="preserve"> záporného výsledku medziročne o</w:t>
      </w:r>
      <w:r w:rsidR="00CF5C8F">
        <w:rPr>
          <w:rFonts w:eastAsia="Calibri" w:cs="Times New Roman"/>
        </w:rPr>
        <w:t> 6 107 858</w:t>
      </w:r>
      <w:r w:rsidR="00191B7A">
        <w:rPr>
          <w:rFonts w:eastAsia="Calibri" w:cs="Times New Roman"/>
        </w:rPr>
        <w:t xml:space="preserve"> </w:t>
      </w:r>
      <w:r w:rsidRPr="00EF2C32">
        <w:rPr>
          <w:rFonts w:eastAsia="Calibri" w:cs="Times New Roman"/>
        </w:rPr>
        <w:t>tis. eur.</w:t>
      </w:r>
      <w:r w:rsidR="00472200" w:rsidRPr="00EF2C32">
        <w:rPr>
          <w:color w:val="FF0000"/>
          <w:highlight w:val="yellow"/>
        </w:rPr>
        <w:br w:type="page"/>
      </w:r>
    </w:p>
    <w:p w14:paraId="4FAEB168" w14:textId="0175CA17" w:rsidR="003D050C" w:rsidRPr="00F1204F" w:rsidRDefault="003D050C" w:rsidP="003D050C">
      <w:pPr>
        <w:pStyle w:val="Nadpis1"/>
        <w:spacing w:line="336" w:lineRule="auto"/>
        <w:ind w:left="425" w:hanging="425"/>
        <w:rPr>
          <w:rFonts w:eastAsia="Times New Roman"/>
        </w:rPr>
      </w:pPr>
      <w:bookmarkStart w:id="16" w:name="_Toc496786973"/>
      <w:bookmarkStart w:id="17" w:name="_Toc85718892"/>
      <w:bookmarkStart w:id="18" w:name="_Toc465255007"/>
      <w:bookmarkStart w:id="19" w:name="_Toc495990480"/>
      <w:r w:rsidRPr="00F1204F">
        <w:rPr>
          <w:rFonts w:eastAsia="Times New Roman"/>
        </w:rPr>
        <w:lastRenderedPageBreak/>
        <w:t xml:space="preserve">Hospodárenie verejnej správy v metodike </w:t>
      </w:r>
      <w:r w:rsidR="000C2F69" w:rsidRPr="00F1204F">
        <w:rPr>
          <w:rFonts w:eastAsia="Times New Roman"/>
        </w:rPr>
        <w:t>ESA2010</w:t>
      </w:r>
      <w:bookmarkEnd w:id="16"/>
      <w:bookmarkEnd w:id="17"/>
      <w:r w:rsidRPr="00F1204F">
        <w:rPr>
          <w:rFonts w:eastAsia="Times New Roman"/>
        </w:rPr>
        <w:t xml:space="preserve"> </w:t>
      </w:r>
    </w:p>
    <w:p w14:paraId="556D797A" w14:textId="24AF96A4" w:rsidR="009A116D" w:rsidRPr="00F1204F" w:rsidRDefault="009A116D" w:rsidP="00424A0B">
      <w:pPr>
        <w:spacing w:after="0" w:line="240" w:lineRule="auto"/>
        <w:jc w:val="both"/>
        <w:rPr>
          <w:szCs w:val="22"/>
        </w:rPr>
      </w:pPr>
      <w:r w:rsidRPr="00F1204F">
        <w:rPr>
          <w:szCs w:val="22"/>
        </w:rPr>
        <w:t xml:space="preserve">V tejto </w:t>
      </w:r>
      <w:r w:rsidR="008D4F5F" w:rsidRPr="00F1204F">
        <w:rPr>
          <w:szCs w:val="22"/>
        </w:rPr>
        <w:t>kapitole</w:t>
      </w:r>
      <w:r w:rsidRPr="00F1204F">
        <w:rPr>
          <w:szCs w:val="22"/>
        </w:rPr>
        <w:t xml:space="preserve"> sú prezentované výsledky hospodárenia s verejnými financiami podľa metodiky ESA2010</w:t>
      </w:r>
      <w:r w:rsidR="008D4F5F" w:rsidRPr="00F1204F">
        <w:rPr>
          <w:rStyle w:val="Odkaznapoznmkupodiarou"/>
          <w:szCs w:val="22"/>
        </w:rPr>
        <w:footnoteReference w:id="2"/>
      </w:r>
      <w:r w:rsidRPr="00F1204F">
        <w:rPr>
          <w:szCs w:val="22"/>
        </w:rPr>
        <w:t xml:space="preserve">, ktorú </w:t>
      </w:r>
      <w:r w:rsidR="00026828" w:rsidRPr="00F1204F">
        <w:rPr>
          <w:szCs w:val="22"/>
        </w:rPr>
        <w:t xml:space="preserve">povinne </w:t>
      </w:r>
      <w:r w:rsidRPr="00F1204F">
        <w:rPr>
          <w:szCs w:val="22"/>
        </w:rPr>
        <w:t>uplatňujú všetky členské štáty EÚ. Kapitola obsahuje údaje, ktoré boli predmetom hodnotenia zo strany Európskeho štatistického úradu (</w:t>
      </w:r>
      <w:proofErr w:type="spellStart"/>
      <w:r w:rsidRPr="00F1204F">
        <w:rPr>
          <w:szCs w:val="22"/>
        </w:rPr>
        <w:t>Eurostatu</w:t>
      </w:r>
      <w:proofErr w:type="spellEnd"/>
      <w:r w:rsidRPr="00F1204F">
        <w:rPr>
          <w:szCs w:val="22"/>
        </w:rPr>
        <w:t xml:space="preserve">) v rámci októbrovej notifikácie. Okrem výsledného salda príjmov a výdavkov a hodnoty hrubého dlhu verejnej správy sa analyzuje príspevok jednotlivých </w:t>
      </w:r>
      <w:r w:rsidR="00830629" w:rsidRPr="00F1204F">
        <w:rPr>
          <w:szCs w:val="22"/>
        </w:rPr>
        <w:t>zložiek</w:t>
      </w:r>
      <w:r w:rsidRPr="00F1204F">
        <w:rPr>
          <w:szCs w:val="22"/>
        </w:rPr>
        <w:t xml:space="preserve"> verejnej správy k saldu a pri analýze dlhu príspevok faktorov, ktoré vysvetľujú jeho medziročnú zmenu. Kapitola tiež obsahuje </w:t>
      </w:r>
      <w:r w:rsidR="00830629" w:rsidRPr="00F1204F">
        <w:rPr>
          <w:szCs w:val="22"/>
        </w:rPr>
        <w:t xml:space="preserve">vysvetlenie </w:t>
      </w:r>
      <w:r w:rsidRPr="00F1204F">
        <w:rPr>
          <w:szCs w:val="22"/>
        </w:rPr>
        <w:t>rozdiel</w:t>
      </w:r>
      <w:r w:rsidR="00830629" w:rsidRPr="00F1204F">
        <w:rPr>
          <w:szCs w:val="22"/>
        </w:rPr>
        <w:t>ov</w:t>
      </w:r>
      <w:r w:rsidRPr="00F1204F">
        <w:rPr>
          <w:szCs w:val="22"/>
        </w:rPr>
        <w:t xml:space="preserve"> medzi jarnou a jesennou notifikáciou</w:t>
      </w:r>
      <w:r w:rsidR="00830629" w:rsidRPr="00F1204F">
        <w:rPr>
          <w:szCs w:val="22"/>
        </w:rPr>
        <w:t xml:space="preserve"> a porovnanie notifikovaných údajov o salde a dlhu verejnej správy za všetky členské krajiny Európskej únie.</w:t>
      </w:r>
    </w:p>
    <w:p w14:paraId="15240D80" w14:textId="77777777" w:rsidR="00424A0B" w:rsidRPr="00F1204F" w:rsidRDefault="00424A0B" w:rsidP="00424A0B">
      <w:pPr>
        <w:spacing w:after="0" w:line="240" w:lineRule="auto"/>
        <w:jc w:val="both"/>
        <w:rPr>
          <w:szCs w:val="22"/>
        </w:rPr>
      </w:pPr>
    </w:p>
    <w:p w14:paraId="551A139C" w14:textId="339725E7" w:rsidR="00801893" w:rsidRDefault="006C0DD0" w:rsidP="00424A0B">
      <w:pPr>
        <w:spacing w:after="0" w:line="240" w:lineRule="auto"/>
        <w:jc w:val="both"/>
        <w:rPr>
          <w:b/>
          <w:szCs w:val="22"/>
        </w:rPr>
      </w:pPr>
      <w:r w:rsidRPr="00F1204F">
        <w:rPr>
          <w:b/>
          <w:szCs w:val="22"/>
        </w:rPr>
        <w:t>Z dôvodu prehľadnosti opisu výsledkov hospodárenia verejnej správy za rok 20</w:t>
      </w:r>
      <w:r w:rsidR="00927B2F" w:rsidRPr="00F1204F">
        <w:rPr>
          <w:b/>
          <w:szCs w:val="22"/>
        </w:rPr>
        <w:t>20</w:t>
      </w:r>
      <w:r w:rsidRPr="00F1204F">
        <w:rPr>
          <w:b/>
          <w:szCs w:val="22"/>
        </w:rPr>
        <w:t xml:space="preserve"> ako aj z dôvodu vykonanej rutinnej revízie predchádzajúcich rokov, sú v nasledovnom texte porovnávané už len revidované hodnoty (saldo, dlh) za roky 201</w:t>
      </w:r>
      <w:r w:rsidR="00927B2F" w:rsidRPr="00F1204F">
        <w:rPr>
          <w:b/>
          <w:szCs w:val="22"/>
        </w:rPr>
        <w:t>9</w:t>
      </w:r>
      <w:r w:rsidRPr="00F1204F">
        <w:rPr>
          <w:b/>
          <w:szCs w:val="22"/>
        </w:rPr>
        <w:t xml:space="preserve"> a 201</w:t>
      </w:r>
      <w:r w:rsidR="00927B2F" w:rsidRPr="00F1204F">
        <w:rPr>
          <w:b/>
          <w:szCs w:val="22"/>
        </w:rPr>
        <w:t>8</w:t>
      </w:r>
      <w:r w:rsidRPr="00F1204F">
        <w:rPr>
          <w:b/>
          <w:szCs w:val="22"/>
        </w:rPr>
        <w:t>. Dôraz sa kladie na porovnávanie dosiahnutej skutočnosti za rok 20</w:t>
      </w:r>
      <w:r w:rsidR="00927B2F" w:rsidRPr="00F1204F">
        <w:rPr>
          <w:b/>
          <w:szCs w:val="22"/>
        </w:rPr>
        <w:t>20</w:t>
      </w:r>
      <w:r w:rsidR="0068249C" w:rsidRPr="00F1204F">
        <w:rPr>
          <w:b/>
          <w:szCs w:val="22"/>
        </w:rPr>
        <w:t xml:space="preserve"> oproti roku 20</w:t>
      </w:r>
      <w:r w:rsidR="00927B2F" w:rsidRPr="00F1204F">
        <w:rPr>
          <w:b/>
          <w:szCs w:val="22"/>
        </w:rPr>
        <w:t>19</w:t>
      </w:r>
      <w:r w:rsidR="00A55D2C" w:rsidRPr="00F1204F">
        <w:rPr>
          <w:b/>
          <w:szCs w:val="22"/>
        </w:rPr>
        <w:t xml:space="preserve">, pričom príjmy a výdavky </w:t>
      </w:r>
      <w:r w:rsidR="00801893" w:rsidRPr="00F1204F">
        <w:rPr>
          <w:b/>
          <w:szCs w:val="22"/>
        </w:rPr>
        <w:t xml:space="preserve">pri skupine subjektov alebo konkrétnom subjekte verejnej správy </w:t>
      </w:r>
      <w:r w:rsidR="00A55D2C" w:rsidRPr="00F1204F">
        <w:rPr>
          <w:b/>
          <w:szCs w:val="22"/>
        </w:rPr>
        <w:t xml:space="preserve">sú </w:t>
      </w:r>
      <w:r w:rsidR="007168E9" w:rsidRPr="00F1204F">
        <w:rPr>
          <w:b/>
          <w:szCs w:val="22"/>
        </w:rPr>
        <w:t xml:space="preserve">z dôvodu väčšieho detailu </w:t>
      </w:r>
      <w:r w:rsidR="00A55D2C" w:rsidRPr="00F1204F">
        <w:rPr>
          <w:b/>
          <w:szCs w:val="22"/>
        </w:rPr>
        <w:t>opisované na nekonsolidovanej báze</w:t>
      </w:r>
      <w:r w:rsidRPr="00F1204F">
        <w:rPr>
          <w:b/>
          <w:szCs w:val="22"/>
        </w:rPr>
        <w:t>.</w:t>
      </w:r>
    </w:p>
    <w:p w14:paraId="161AC7CE" w14:textId="24CDA471" w:rsidR="00DA3689" w:rsidRDefault="00DA3689" w:rsidP="00424A0B">
      <w:pPr>
        <w:spacing w:after="0" w:line="240" w:lineRule="auto"/>
        <w:jc w:val="both"/>
        <w:rPr>
          <w:b/>
          <w:szCs w:val="22"/>
        </w:rPr>
      </w:pPr>
    </w:p>
    <w:p w14:paraId="6ADD8E7A" w14:textId="4F0592EA" w:rsidR="008E7556" w:rsidRPr="007168E9" w:rsidRDefault="008E7556" w:rsidP="008E7556">
      <w:pPr>
        <w:pStyle w:val="Nadpis2"/>
        <w:numPr>
          <w:ilvl w:val="0"/>
          <w:numId w:val="0"/>
        </w:numPr>
        <w:ind w:left="1020" w:right="-427"/>
      </w:pPr>
      <w:bookmarkStart w:id="20" w:name="_Toc85718893"/>
      <w:r w:rsidRPr="007168E9">
        <w:t>1.1.</w:t>
      </w:r>
      <w:r w:rsidRPr="007168E9">
        <w:tab/>
        <w:t>Rozdiely medzi októbrovou a aprílovou notifikáciou údajov</w:t>
      </w:r>
      <w:bookmarkEnd w:id="20"/>
      <w:r w:rsidRPr="007168E9">
        <w:t xml:space="preserve"> </w:t>
      </w:r>
    </w:p>
    <w:p w14:paraId="44A94A9B" w14:textId="77777777" w:rsidR="00DC1800" w:rsidRDefault="00DC1800" w:rsidP="00DC1800">
      <w:pPr>
        <w:spacing w:after="120" w:line="240" w:lineRule="auto"/>
        <w:jc w:val="both"/>
        <w:rPr>
          <w:szCs w:val="22"/>
        </w:rPr>
      </w:pPr>
      <w:r w:rsidRPr="00193B3B">
        <w:rPr>
          <w:szCs w:val="22"/>
        </w:rPr>
        <w:t>Nariadenie Rady (ES) o uplatňovaní Protokolu o postupe pri nadmernom schodku stanovuje podrobné pravidlá pre organizovanie rýchleho a pravidelného vykazovania plánovaných a skutočných výsledkov hospodárenia s financiami verejnej správy. Podľa tohto nariadenia sa Európskej komisii (</w:t>
      </w:r>
      <w:proofErr w:type="spellStart"/>
      <w:r w:rsidRPr="00193B3B">
        <w:rPr>
          <w:szCs w:val="22"/>
        </w:rPr>
        <w:t>Eurostatu</w:t>
      </w:r>
      <w:proofErr w:type="spellEnd"/>
      <w:r w:rsidRPr="00193B3B">
        <w:rPr>
          <w:szCs w:val="22"/>
        </w:rPr>
        <w:t xml:space="preserve">) predkladajú výsledky hospodárenia verejnej správy za uplynulé obdobie dvakrát ročne, prvýkrát do 1. apríla bežného roka (tzv. aprílová notifikácia) a aktualizované údaje druhýkrát do 1. októbra </w:t>
      </w:r>
      <w:r w:rsidRPr="00AD7375">
        <w:rPr>
          <w:szCs w:val="22"/>
        </w:rPr>
        <w:t>bežného rok</w:t>
      </w:r>
      <w:r>
        <w:rPr>
          <w:szCs w:val="22"/>
        </w:rPr>
        <w:t>a (tzv. októbrová notifikácia).</w:t>
      </w:r>
    </w:p>
    <w:p w14:paraId="2D9FECA2" w14:textId="7CD010EB" w:rsidR="00DC1800" w:rsidRPr="00193B3B" w:rsidRDefault="00DC1800" w:rsidP="00DC1800">
      <w:pPr>
        <w:spacing w:after="120" w:line="240" w:lineRule="auto"/>
        <w:jc w:val="both"/>
        <w:rPr>
          <w:szCs w:val="22"/>
        </w:rPr>
      </w:pPr>
      <w:r w:rsidRPr="001D66EC">
        <w:rPr>
          <w:b/>
          <w:color w:val="0070C0"/>
          <w:szCs w:val="22"/>
        </w:rPr>
        <w:t>Schodok hospodárenia, ktorý bol vykázaný k 1. a</w:t>
      </w:r>
      <w:r w:rsidRPr="0039640B">
        <w:rPr>
          <w:b/>
          <w:color w:val="0070C0"/>
          <w:szCs w:val="22"/>
        </w:rPr>
        <w:t xml:space="preserve">prílu 2021 (6,16 % HDP) sa znížil v rámci jesennej notifikácie o 0,66 p. b., po zaokrúhlení </w:t>
      </w:r>
      <w:r w:rsidRPr="001D66EC">
        <w:rPr>
          <w:b/>
          <w:color w:val="0070C0"/>
          <w:szCs w:val="22"/>
        </w:rPr>
        <w:t xml:space="preserve">na hodnotu 5,5 % revidovaného HDP. </w:t>
      </w:r>
      <w:r w:rsidRPr="00193B3B">
        <w:rPr>
          <w:szCs w:val="22"/>
        </w:rPr>
        <w:t xml:space="preserve">Najvýznamnejšie položky </w:t>
      </w:r>
      <w:r>
        <w:rPr>
          <w:szCs w:val="22"/>
        </w:rPr>
        <w:t>revízie schodku</w:t>
      </w:r>
      <w:r w:rsidRPr="00193B3B">
        <w:rPr>
          <w:szCs w:val="22"/>
        </w:rPr>
        <w:t xml:space="preserve"> ukazuje nasledovná tabuľka.</w:t>
      </w:r>
    </w:p>
    <w:tbl>
      <w:tblPr>
        <w:tblW w:w="9140" w:type="dxa"/>
        <w:tblCellMar>
          <w:left w:w="70" w:type="dxa"/>
          <w:right w:w="70" w:type="dxa"/>
        </w:tblCellMar>
        <w:tblLook w:val="04A0" w:firstRow="1" w:lastRow="0" w:firstColumn="1" w:lastColumn="0" w:noHBand="0" w:noVBand="1"/>
      </w:tblPr>
      <w:tblGrid>
        <w:gridCol w:w="2977"/>
        <w:gridCol w:w="1276"/>
        <w:gridCol w:w="1460"/>
        <w:gridCol w:w="3427"/>
      </w:tblGrid>
      <w:tr w:rsidR="00DC1800" w:rsidRPr="00054B3B" w14:paraId="70925698" w14:textId="77777777" w:rsidTr="00094682">
        <w:trPr>
          <w:trHeight w:val="367"/>
          <w:tblHeader/>
        </w:trPr>
        <w:tc>
          <w:tcPr>
            <w:tcW w:w="9140" w:type="dxa"/>
            <w:gridSpan w:val="4"/>
            <w:tcBorders>
              <w:top w:val="single" w:sz="4" w:space="0" w:color="auto"/>
              <w:left w:val="nil"/>
              <w:bottom w:val="single" w:sz="4" w:space="0" w:color="auto"/>
              <w:right w:val="nil"/>
            </w:tcBorders>
            <w:shd w:val="clear" w:color="000000" w:fill="000000"/>
            <w:noWrap/>
            <w:vAlign w:val="center"/>
            <w:hideMark/>
          </w:tcPr>
          <w:p w14:paraId="6B45D1E6" w14:textId="6A04D053" w:rsidR="00DC1800" w:rsidRPr="00054B3B" w:rsidRDefault="000E6EF7" w:rsidP="00884682">
            <w:pPr>
              <w:pStyle w:val="popistabuliek"/>
            </w:pPr>
            <w:r>
              <w:t xml:space="preserve">Tab. 1 - </w:t>
            </w:r>
            <w:r w:rsidR="00DC1800" w:rsidRPr="00054B3B">
              <w:t>Úpravy schodku za rok 2020 pri jesennej notifikácii v metodike ESA2010</w:t>
            </w:r>
          </w:p>
        </w:tc>
      </w:tr>
      <w:tr w:rsidR="00DC1800" w:rsidRPr="00054B3B" w14:paraId="71CC4E4D" w14:textId="77777777" w:rsidTr="00094682">
        <w:trPr>
          <w:trHeight w:val="259"/>
          <w:tblHeader/>
        </w:trPr>
        <w:tc>
          <w:tcPr>
            <w:tcW w:w="2977" w:type="dxa"/>
            <w:tcBorders>
              <w:top w:val="nil"/>
              <w:left w:val="nil"/>
              <w:bottom w:val="nil"/>
              <w:right w:val="nil"/>
            </w:tcBorders>
            <w:shd w:val="clear" w:color="000000" w:fill="BFBFBF"/>
            <w:vAlign w:val="center"/>
            <w:hideMark/>
          </w:tcPr>
          <w:p w14:paraId="3910F0BE" w14:textId="77777777" w:rsidR="00DC1800" w:rsidRPr="00054B3B" w:rsidRDefault="00DC1800" w:rsidP="00094682">
            <w:pPr>
              <w:spacing w:after="0" w:line="240" w:lineRule="auto"/>
              <w:rPr>
                <w:b/>
                <w:bCs/>
                <w:sz w:val="18"/>
                <w:szCs w:val="18"/>
                <w:lang w:eastAsia="sk-SK"/>
              </w:rPr>
            </w:pPr>
            <w:r w:rsidRPr="00054B3B">
              <w:rPr>
                <w:b/>
                <w:bCs/>
                <w:sz w:val="18"/>
                <w:szCs w:val="18"/>
                <w:lang w:eastAsia="sk-SK"/>
              </w:rPr>
              <w:t>Upravené položky</w:t>
            </w:r>
          </w:p>
        </w:tc>
        <w:tc>
          <w:tcPr>
            <w:tcW w:w="1276" w:type="dxa"/>
            <w:tcBorders>
              <w:top w:val="nil"/>
              <w:left w:val="nil"/>
              <w:bottom w:val="nil"/>
              <w:right w:val="nil"/>
            </w:tcBorders>
            <w:shd w:val="clear" w:color="000000" w:fill="BFBFBF"/>
            <w:vAlign w:val="center"/>
            <w:hideMark/>
          </w:tcPr>
          <w:p w14:paraId="59F075AC" w14:textId="77777777" w:rsidR="00DC1800" w:rsidRPr="00054B3B" w:rsidRDefault="00DC1800" w:rsidP="00094682">
            <w:pPr>
              <w:spacing w:after="0" w:line="240" w:lineRule="auto"/>
              <w:jc w:val="right"/>
              <w:rPr>
                <w:b/>
                <w:bCs/>
                <w:sz w:val="18"/>
                <w:szCs w:val="18"/>
                <w:lang w:eastAsia="sk-SK"/>
              </w:rPr>
            </w:pPr>
            <w:r w:rsidRPr="00054B3B">
              <w:rPr>
                <w:b/>
                <w:bCs/>
                <w:sz w:val="18"/>
                <w:szCs w:val="18"/>
                <w:lang w:eastAsia="sk-SK"/>
              </w:rPr>
              <w:t>tis. eur</w:t>
            </w:r>
          </w:p>
        </w:tc>
        <w:tc>
          <w:tcPr>
            <w:tcW w:w="1460" w:type="dxa"/>
            <w:tcBorders>
              <w:top w:val="nil"/>
              <w:left w:val="nil"/>
              <w:bottom w:val="nil"/>
              <w:right w:val="nil"/>
            </w:tcBorders>
            <w:shd w:val="clear" w:color="000000" w:fill="BFBFBF"/>
            <w:vAlign w:val="center"/>
            <w:hideMark/>
          </w:tcPr>
          <w:p w14:paraId="78DF40B7" w14:textId="77777777" w:rsidR="00DC1800" w:rsidRPr="00054B3B" w:rsidRDefault="00DC1800" w:rsidP="00094682">
            <w:pPr>
              <w:spacing w:after="0" w:line="240" w:lineRule="auto"/>
              <w:jc w:val="center"/>
              <w:rPr>
                <w:b/>
                <w:bCs/>
                <w:sz w:val="18"/>
                <w:szCs w:val="18"/>
                <w:lang w:eastAsia="sk-SK"/>
              </w:rPr>
            </w:pPr>
            <w:r w:rsidRPr="00054B3B">
              <w:rPr>
                <w:b/>
                <w:bCs/>
                <w:sz w:val="18"/>
                <w:szCs w:val="18"/>
                <w:lang w:eastAsia="sk-SK"/>
              </w:rPr>
              <w:t>% HDP</w:t>
            </w:r>
          </w:p>
        </w:tc>
        <w:tc>
          <w:tcPr>
            <w:tcW w:w="3427" w:type="dxa"/>
            <w:tcBorders>
              <w:top w:val="nil"/>
              <w:left w:val="nil"/>
              <w:bottom w:val="nil"/>
              <w:right w:val="nil"/>
            </w:tcBorders>
            <w:shd w:val="clear" w:color="000000" w:fill="BFBFBF"/>
            <w:vAlign w:val="center"/>
            <w:hideMark/>
          </w:tcPr>
          <w:p w14:paraId="27C2A8A3" w14:textId="77777777" w:rsidR="00DC1800" w:rsidRPr="00054B3B" w:rsidRDefault="00DC1800" w:rsidP="00094682">
            <w:pPr>
              <w:spacing w:after="0" w:line="240" w:lineRule="auto"/>
              <w:jc w:val="center"/>
              <w:rPr>
                <w:b/>
                <w:bCs/>
                <w:sz w:val="18"/>
                <w:szCs w:val="18"/>
                <w:lang w:eastAsia="sk-SK"/>
              </w:rPr>
            </w:pPr>
            <w:r w:rsidRPr="00054B3B">
              <w:rPr>
                <w:b/>
                <w:bCs/>
                <w:sz w:val="18"/>
                <w:szCs w:val="18"/>
                <w:lang w:eastAsia="sk-SK"/>
              </w:rPr>
              <w:t>Zdôvodnenie úprav</w:t>
            </w:r>
          </w:p>
        </w:tc>
      </w:tr>
      <w:tr w:rsidR="00DC1800" w:rsidRPr="00054B3B" w14:paraId="371A8FA5" w14:textId="77777777" w:rsidTr="00094682">
        <w:trPr>
          <w:trHeight w:val="315"/>
        </w:trPr>
        <w:tc>
          <w:tcPr>
            <w:tcW w:w="2977" w:type="dxa"/>
            <w:tcBorders>
              <w:top w:val="single" w:sz="4" w:space="0" w:color="auto"/>
              <w:left w:val="nil"/>
              <w:bottom w:val="single" w:sz="4" w:space="0" w:color="auto"/>
              <w:right w:val="nil"/>
            </w:tcBorders>
            <w:shd w:val="clear" w:color="000000" w:fill="D9D9D9"/>
            <w:noWrap/>
            <w:vAlign w:val="center"/>
            <w:hideMark/>
          </w:tcPr>
          <w:p w14:paraId="45E4DF0D" w14:textId="77777777" w:rsidR="00DC1800" w:rsidRPr="00054B3B" w:rsidRDefault="00DC1800" w:rsidP="00094682">
            <w:pPr>
              <w:spacing w:after="0" w:line="240" w:lineRule="auto"/>
              <w:rPr>
                <w:b/>
                <w:bCs/>
                <w:sz w:val="18"/>
                <w:szCs w:val="18"/>
                <w:lang w:eastAsia="sk-SK"/>
              </w:rPr>
            </w:pPr>
            <w:r w:rsidRPr="00054B3B">
              <w:rPr>
                <w:b/>
                <w:bCs/>
                <w:sz w:val="18"/>
                <w:szCs w:val="18"/>
                <w:lang w:eastAsia="sk-SK"/>
              </w:rPr>
              <w:t xml:space="preserve">Schodok VS - apríl </w:t>
            </w:r>
            <w:r w:rsidRPr="00A668ED">
              <w:rPr>
                <w:b/>
                <w:bCs/>
                <w:sz w:val="18"/>
                <w:szCs w:val="18"/>
                <w:lang w:eastAsia="sk-SK"/>
              </w:rPr>
              <w:t>2021</w:t>
            </w:r>
            <w:r w:rsidRPr="00A668ED">
              <w:rPr>
                <w:b/>
                <w:bCs/>
                <w:sz w:val="18"/>
                <w:szCs w:val="18"/>
                <w:vertAlign w:val="superscript"/>
                <w:lang w:eastAsia="sk-SK"/>
              </w:rPr>
              <w:t>1)</w:t>
            </w:r>
          </w:p>
        </w:tc>
        <w:tc>
          <w:tcPr>
            <w:tcW w:w="1276" w:type="dxa"/>
            <w:tcBorders>
              <w:top w:val="single" w:sz="4" w:space="0" w:color="auto"/>
              <w:left w:val="nil"/>
              <w:bottom w:val="single" w:sz="4" w:space="0" w:color="auto"/>
              <w:right w:val="nil"/>
            </w:tcBorders>
            <w:shd w:val="clear" w:color="000000" w:fill="D9D9D9"/>
            <w:noWrap/>
            <w:vAlign w:val="center"/>
            <w:hideMark/>
          </w:tcPr>
          <w:p w14:paraId="784DD1F5" w14:textId="77777777" w:rsidR="00DC1800" w:rsidRPr="00054B3B" w:rsidRDefault="00DC1800" w:rsidP="00094682">
            <w:pPr>
              <w:spacing w:after="0" w:line="240" w:lineRule="auto"/>
              <w:jc w:val="right"/>
              <w:rPr>
                <w:b/>
                <w:bCs/>
                <w:sz w:val="18"/>
                <w:szCs w:val="18"/>
                <w:lang w:eastAsia="sk-SK"/>
              </w:rPr>
            </w:pPr>
            <w:r w:rsidRPr="00054B3B">
              <w:rPr>
                <w:b/>
                <w:bCs/>
                <w:sz w:val="18"/>
                <w:szCs w:val="18"/>
                <w:lang w:eastAsia="sk-SK"/>
              </w:rPr>
              <w:t>-5 608 766</w:t>
            </w:r>
          </w:p>
        </w:tc>
        <w:tc>
          <w:tcPr>
            <w:tcW w:w="1460" w:type="dxa"/>
            <w:tcBorders>
              <w:top w:val="single" w:sz="4" w:space="0" w:color="auto"/>
              <w:left w:val="nil"/>
              <w:bottom w:val="single" w:sz="4" w:space="0" w:color="auto"/>
              <w:right w:val="nil"/>
            </w:tcBorders>
            <w:shd w:val="clear" w:color="000000" w:fill="D9D9D9"/>
            <w:noWrap/>
            <w:vAlign w:val="center"/>
            <w:hideMark/>
          </w:tcPr>
          <w:p w14:paraId="5C7C94D8" w14:textId="77777777" w:rsidR="00DC1800" w:rsidRPr="00054B3B" w:rsidRDefault="00DC1800" w:rsidP="00094682">
            <w:pPr>
              <w:spacing w:after="0" w:line="240" w:lineRule="auto"/>
              <w:jc w:val="center"/>
              <w:rPr>
                <w:b/>
                <w:bCs/>
                <w:sz w:val="18"/>
                <w:szCs w:val="18"/>
                <w:lang w:eastAsia="sk-SK"/>
              </w:rPr>
            </w:pPr>
            <w:r w:rsidRPr="00054B3B">
              <w:rPr>
                <w:b/>
                <w:bCs/>
                <w:sz w:val="18"/>
                <w:szCs w:val="18"/>
                <w:lang w:eastAsia="sk-SK"/>
              </w:rPr>
              <w:t>-6,16</w:t>
            </w:r>
          </w:p>
        </w:tc>
        <w:tc>
          <w:tcPr>
            <w:tcW w:w="3427" w:type="dxa"/>
            <w:tcBorders>
              <w:top w:val="single" w:sz="4" w:space="0" w:color="auto"/>
              <w:left w:val="nil"/>
              <w:bottom w:val="single" w:sz="4" w:space="0" w:color="auto"/>
              <w:right w:val="nil"/>
            </w:tcBorders>
            <w:shd w:val="clear" w:color="000000" w:fill="D9D9D9"/>
            <w:vAlign w:val="center"/>
            <w:hideMark/>
          </w:tcPr>
          <w:p w14:paraId="32671197" w14:textId="77777777" w:rsidR="00DC1800" w:rsidRPr="00054B3B" w:rsidRDefault="00DC1800" w:rsidP="00094682">
            <w:pPr>
              <w:spacing w:after="0" w:line="240" w:lineRule="auto"/>
              <w:jc w:val="center"/>
              <w:rPr>
                <w:sz w:val="18"/>
                <w:szCs w:val="18"/>
                <w:lang w:eastAsia="sk-SK"/>
              </w:rPr>
            </w:pPr>
            <w:r w:rsidRPr="00054B3B">
              <w:rPr>
                <w:sz w:val="18"/>
                <w:szCs w:val="18"/>
                <w:lang w:eastAsia="sk-SK"/>
              </w:rPr>
              <w:t> </w:t>
            </w:r>
          </w:p>
        </w:tc>
      </w:tr>
      <w:tr w:rsidR="00DC1800" w:rsidRPr="00054B3B" w14:paraId="58F207D3" w14:textId="77777777" w:rsidTr="00094682">
        <w:trPr>
          <w:trHeight w:val="513"/>
        </w:trPr>
        <w:tc>
          <w:tcPr>
            <w:tcW w:w="2977" w:type="dxa"/>
            <w:tcBorders>
              <w:top w:val="nil"/>
              <w:left w:val="nil"/>
              <w:bottom w:val="nil"/>
              <w:right w:val="nil"/>
            </w:tcBorders>
            <w:shd w:val="clear" w:color="auto" w:fill="auto"/>
            <w:noWrap/>
            <w:vAlign w:val="center"/>
            <w:hideMark/>
          </w:tcPr>
          <w:p w14:paraId="110572DA" w14:textId="77777777" w:rsidR="00DC1800" w:rsidRPr="00054B3B" w:rsidRDefault="00DC1800" w:rsidP="00094682">
            <w:pPr>
              <w:spacing w:after="0" w:line="240" w:lineRule="auto"/>
              <w:jc w:val="both"/>
              <w:rPr>
                <w:color w:val="000000"/>
                <w:sz w:val="18"/>
                <w:szCs w:val="18"/>
                <w:lang w:eastAsia="sk-SK"/>
              </w:rPr>
            </w:pPr>
            <w:r w:rsidRPr="00054B3B">
              <w:rPr>
                <w:color w:val="000000"/>
                <w:sz w:val="18"/>
                <w:szCs w:val="18"/>
                <w:lang w:eastAsia="sk-SK"/>
              </w:rPr>
              <w:t xml:space="preserve">Aktualizácia daňových príjmov </w:t>
            </w:r>
          </w:p>
        </w:tc>
        <w:tc>
          <w:tcPr>
            <w:tcW w:w="1276" w:type="dxa"/>
            <w:tcBorders>
              <w:top w:val="nil"/>
              <w:left w:val="nil"/>
              <w:bottom w:val="nil"/>
              <w:right w:val="nil"/>
            </w:tcBorders>
            <w:shd w:val="clear" w:color="auto" w:fill="auto"/>
            <w:noWrap/>
            <w:vAlign w:val="center"/>
            <w:hideMark/>
          </w:tcPr>
          <w:p w14:paraId="1913DABB" w14:textId="77777777" w:rsidR="00DC1800" w:rsidRPr="00054B3B" w:rsidRDefault="00DC1800" w:rsidP="00094682">
            <w:pPr>
              <w:spacing w:after="0" w:line="240" w:lineRule="auto"/>
              <w:jc w:val="right"/>
              <w:rPr>
                <w:color w:val="000000"/>
                <w:sz w:val="18"/>
                <w:szCs w:val="18"/>
                <w:lang w:eastAsia="sk-SK"/>
              </w:rPr>
            </w:pPr>
            <w:r w:rsidRPr="00054B3B">
              <w:rPr>
                <w:color w:val="000000"/>
                <w:sz w:val="18"/>
                <w:szCs w:val="18"/>
                <w:lang w:eastAsia="sk-SK"/>
              </w:rPr>
              <w:t>520 940</w:t>
            </w:r>
          </w:p>
        </w:tc>
        <w:tc>
          <w:tcPr>
            <w:tcW w:w="1460" w:type="dxa"/>
            <w:tcBorders>
              <w:top w:val="nil"/>
              <w:left w:val="nil"/>
              <w:bottom w:val="nil"/>
              <w:right w:val="nil"/>
            </w:tcBorders>
            <w:shd w:val="clear" w:color="auto" w:fill="auto"/>
            <w:noWrap/>
            <w:vAlign w:val="center"/>
            <w:hideMark/>
          </w:tcPr>
          <w:p w14:paraId="29BB00FE" w14:textId="77777777" w:rsidR="00DC1800" w:rsidRPr="00054B3B" w:rsidRDefault="00DC1800" w:rsidP="00094682">
            <w:pPr>
              <w:spacing w:after="0" w:line="240" w:lineRule="auto"/>
              <w:jc w:val="center"/>
              <w:rPr>
                <w:color w:val="000000"/>
                <w:sz w:val="18"/>
                <w:szCs w:val="18"/>
                <w:lang w:eastAsia="sk-SK"/>
              </w:rPr>
            </w:pPr>
            <w:r w:rsidRPr="00054B3B">
              <w:rPr>
                <w:color w:val="000000"/>
                <w:sz w:val="18"/>
                <w:szCs w:val="18"/>
                <w:lang w:eastAsia="sk-SK"/>
              </w:rPr>
              <w:t xml:space="preserve"> 0,56</w:t>
            </w:r>
            <w:r>
              <w:rPr>
                <w:color w:val="000000"/>
                <w:sz w:val="18"/>
                <w:szCs w:val="18"/>
                <w:lang w:eastAsia="sk-SK"/>
              </w:rPr>
              <w:t>6</w:t>
            </w:r>
          </w:p>
        </w:tc>
        <w:tc>
          <w:tcPr>
            <w:tcW w:w="3427" w:type="dxa"/>
            <w:tcBorders>
              <w:top w:val="nil"/>
              <w:left w:val="nil"/>
              <w:bottom w:val="nil"/>
              <w:right w:val="nil"/>
            </w:tcBorders>
            <w:shd w:val="clear" w:color="auto" w:fill="auto"/>
            <w:vAlign w:val="center"/>
            <w:hideMark/>
          </w:tcPr>
          <w:p w14:paraId="0621C793" w14:textId="77777777" w:rsidR="00DC1800" w:rsidRPr="00054B3B" w:rsidRDefault="00DC1800" w:rsidP="00094682">
            <w:pPr>
              <w:spacing w:after="0" w:line="240" w:lineRule="auto"/>
              <w:jc w:val="center"/>
              <w:rPr>
                <w:sz w:val="18"/>
                <w:szCs w:val="18"/>
                <w:lang w:eastAsia="sk-SK"/>
              </w:rPr>
            </w:pPr>
            <w:r w:rsidRPr="00054B3B">
              <w:rPr>
                <w:sz w:val="18"/>
                <w:szCs w:val="18"/>
                <w:lang w:eastAsia="sk-SK"/>
              </w:rPr>
              <w:t xml:space="preserve">aktualizácia na základe daňových priznaní </w:t>
            </w:r>
          </w:p>
        </w:tc>
      </w:tr>
      <w:tr w:rsidR="00DC1800" w:rsidRPr="00054B3B" w14:paraId="6C0D6DDF" w14:textId="77777777" w:rsidTr="00094682">
        <w:trPr>
          <w:trHeight w:val="856"/>
        </w:trPr>
        <w:tc>
          <w:tcPr>
            <w:tcW w:w="2977" w:type="dxa"/>
            <w:tcBorders>
              <w:top w:val="nil"/>
              <w:left w:val="nil"/>
              <w:bottom w:val="nil"/>
              <w:right w:val="nil"/>
            </w:tcBorders>
            <w:shd w:val="clear" w:color="auto" w:fill="auto"/>
            <w:noWrap/>
            <w:vAlign w:val="center"/>
            <w:hideMark/>
          </w:tcPr>
          <w:p w14:paraId="5823170C" w14:textId="77777777" w:rsidR="00DC1800" w:rsidRPr="00054B3B" w:rsidRDefault="00DC1800" w:rsidP="00094682">
            <w:pPr>
              <w:spacing w:after="0" w:line="240" w:lineRule="auto"/>
              <w:jc w:val="both"/>
              <w:rPr>
                <w:color w:val="000000"/>
                <w:sz w:val="18"/>
                <w:szCs w:val="18"/>
                <w:lang w:eastAsia="sk-SK"/>
              </w:rPr>
            </w:pPr>
            <w:proofErr w:type="spellStart"/>
            <w:r w:rsidRPr="00054B3B">
              <w:rPr>
                <w:color w:val="000000"/>
                <w:sz w:val="18"/>
                <w:szCs w:val="18"/>
                <w:lang w:eastAsia="sk-SK"/>
              </w:rPr>
              <w:t>Imputácia</w:t>
            </w:r>
            <w:proofErr w:type="spellEnd"/>
            <w:r w:rsidRPr="00054B3B">
              <w:rPr>
                <w:color w:val="000000"/>
                <w:sz w:val="18"/>
                <w:szCs w:val="18"/>
                <w:lang w:eastAsia="sk-SK"/>
              </w:rPr>
              <w:t xml:space="preserve"> záväzku z priznanej  COVID pomoci (program „Prvá pomoc“)</w:t>
            </w:r>
          </w:p>
        </w:tc>
        <w:tc>
          <w:tcPr>
            <w:tcW w:w="1276" w:type="dxa"/>
            <w:tcBorders>
              <w:top w:val="nil"/>
              <w:left w:val="nil"/>
              <w:bottom w:val="nil"/>
              <w:right w:val="nil"/>
            </w:tcBorders>
            <w:shd w:val="clear" w:color="auto" w:fill="auto"/>
            <w:noWrap/>
            <w:vAlign w:val="center"/>
            <w:hideMark/>
          </w:tcPr>
          <w:p w14:paraId="553808B1" w14:textId="77777777" w:rsidR="00DC1800" w:rsidRPr="00054B3B" w:rsidRDefault="00DC1800" w:rsidP="00094682">
            <w:pPr>
              <w:spacing w:after="0" w:line="240" w:lineRule="auto"/>
              <w:jc w:val="right"/>
              <w:rPr>
                <w:color w:val="000000"/>
                <w:sz w:val="18"/>
                <w:szCs w:val="18"/>
                <w:lang w:eastAsia="sk-SK"/>
              </w:rPr>
            </w:pPr>
            <w:r w:rsidRPr="00054B3B">
              <w:rPr>
                <w:color w:val="000000"/>
                <w:sz w:val="18"/>
                <w:szCs w:val="18"/>
                <w:lang w:eastAsia="sk-SK"/>
              </w:rPr>
              <w:t>-224 313</w:t>
            </w:r>
          </w:p>
        </w:tc>
        <w:tc>
          <w:tcPr>
            <w:tcW w:w="1460" w:type="dxa"/>
            <w:tcBorders>
              <w:top w:val="nil"/>
              <w:left w:val="nil"/>
              <w:bottom w:val="nil"/>
              <w:right w:val="nil"/>
            </w:tcBorders>
            <w:shd w:val="clear" w:color="auto" w:fill="auto"/>
            <w:noWrap/>
            <w:vAlign w:val="center"/>
            <w:hideMark/>
          </w:tcPr>
          <w:p w14:paraId="61B24644" w14:textId="77777777" w:rsidR="00DC1800" w:rsidRPr="00054B3B" w:rsidRDefault="00DC1800" w:rsidP="00094682">
            <w:pPr>
              <w:spacing w:after="0" w:line="240" w:lineRule="auto"/>
              <w:jc w:val="center"/>
              <w:rPr>
                <w:color w:val="000000"/>
                <w:sz w:val="18"/>
                <w:szCs w:val="18"/>
                <w:lang w:eastAsia="sk-SK"/>
              </w:rPr>
            </w:pPr>
            <w:r w:rsidRPr="00054B3B">
              <w:rPr>
                <w:color w:val="000000"/>
                <w:sz w:val="18"/>
                <w:szCs w:val="18"/>
                <w:lang w:eastAsia="sk-SK"/>
              </w:rPr>
              <w:t>-0,24</w:t>
            </w:r>
            <w:r>
              <w:rPr>
                <w:color w:val="000000"/>
                <w:sz w:val="18"/>
                <w:szCs w:val="18"/>
                <w:lang w:eastAsia="sk-SK"/>
              </w:rPr>
              <w:t>4</w:t>
            </w:r>
          </w:p>
        </w:tc>
        <w:tc>
          <w:tcPr>
            <w:tcW w:w="3427" w:type="dxa"/>
            <w:tcBorders>
              <w:top w:val="nil"/>
              <w:left w:val="nil"/>
              <w:bottom w:val="nil"/>
              <w:right w:val="nil"/>
            </w:tcBorders>
            <w:shd w:val="clear" w:color="auto" w:fill="auto"/>
            <w:vAlign w:val="center"/>
            <w:hideMark/>
          </w:tcPr>
          <w:p w14:paraId="0F3E81FD" w14:textId="77777777" w:rsidR="00DC1800" w:rsidRPr="00054B3B" w:rsidRDefault="00DC1800" w:rsidP="00094682">
            <w:pPr>
              <w:spacing w:after="0" w:line="240" w:lineRule="auto"/>
              <w:jc w:val="center"/>
              <w:rPr>
                <w:sz w:val="18"/>
                <w:szCs w:val="18"/>
                <w:lang w:eastAsia="sk-SK"/>
              </w:rPr>
            </w:pPr>
            <w:r w:rsidRPr="00054B3B">
              <w:rPr>
                <w:sz w:val="18"/>
                <w:szCs w:val="18"/>
                <w:lang w:eastAsia="sk-SK"/>
              </w:rPr>
              <w:t xml:space="preserve">imputovaný záväzok </w:t>
            </w:r>
            <w:proofErr w:type="spellStart"/>
            <w:r w:rsidRPr="00054B3B">
              <w:rPr>
                <w:sz w:val="18"/>
                <w:szCs w:val="18"/>
                <w:lang w:eastAsia="sk-SK"/>
              </w:rPr>
              <w:t>UPSVaR</w:t>
            </w:r>
            <w:proofErr w:type="spellEnd"/>
            <w:r w:rsidRPr="00054B3B">
              <w:rPr>
                <w:sz w:val="18"/>
                <w:szCs w:val="18"/>
                <w:lang w:eastAsia="sk-SK"/>
              </w:rPr>
              <w:t xml:space="preserve"> zhoršujúci schodok za priznanú, ale k 31.12.2020 nevyplatenú COVID pomoc</w:t>
            </w:r>
          </w:p>
        </w:tc>
      </w:tr>
      <w:tr w:rsidR="00DC1800" w:rsidRPr="00054B3B" w14:paraId="669D6139" w14:textId="77777777" w:rsidTr="00094682">
        <w:trPr>
          <w:trHeight w:val="571"/>
        </w:trPr>
        <w:tc>
          <w:tcPr>
            <w:tcW w:w="2977" w:type="dxa"/>
            <w:tcBorders>
              <w:top w:val="nil"/>
              <w:left w:val="nil"/>
              <w:bottom w:val="nil"/>
              <w:right w:val="nil"/>
            </w:tcBorders>
            <w:shd w:val="clear" w:color="auto" w:fill="auto"/>
            <w:noWrap/>
            <w:vAlign w:val="center"/>
            <w:hideMark/>
          </w:tcPr>
          <w:p w14:paraId="5A3CEF3C" w14:textId="77777777" w:rsidR="00DC1800" w:rsidRPr="00054B3B" w:rsidRDefault="00DC1800" w:rsidP="00094682">
            <w:pPr>
              <w:spacing w:after="0" w:line="240" w:lineRule="auto"/>
              <w:jc w:val="both"/>
              <w:rPr>
                <w:color w:val="000000"/>
                <w:sz w:val="18"/>
                <w:szCs w:val="18"/>
                <w:lang w:eastAsia="sk-SK"/>
              </w:rPr>
            </w:pPr>
            <w:r w:rsidRPr="00054B3B">
              <w:rPr>
                <w:color w:val="000000"/>
                <w:sz w:val="18"/>
                <w:szCs w:val="18"/>
                <w:lang w:eastAsia="sk-SK"/>
              </w:rPr>
              <w:t>Vplyv rizikových záruk za obchody Eximbanky</w:t>
            </w:r>
          </w:p>
        </w:tc>
        <w:tc>
          <w:tcPr>
            <w:tcW w:w="1276" w:type="dxa"/>
            <w:tcBorders>
              <w:top w:val="nil"/>
              <w:left w:val="nil"/>
              <w:bottom w:val="nil"/>
              <w:right w:val="nil"/>
            </w:tcBorders>
            <w:shd w:val="clear" w:color="auto" w:fill="auto"/>
            <w:noWrap/>
            <w:vAlign w:val="center"/>
            <w:hideMark/>
          </w:tcPr>
          <w:p w14:paraId="6EB2A7F0" w14:textId="77777777" w:rsidR="00DC1800" w:rsidRPr="00054B3B" w:rsidRDefault="00DC1800" w:rsidP="00094682">
            <w:pPr>
              <w:spacing w:after="0" w:line="240" w:lineRule="auto"/>
              <w:jc w:val="right"/>
              <w:rPr>
                <w:color w:val="000000"/>
                <w:sz w:val="18"/>
                <w:szCs w:val="18"/>
                <w:lang w:eastAsia="sk-SK"/>
              </w:rPr>
            </w:pPr>
            <w:r w:rsidRPr="00054B3B">
              <w:rPr>
                <w:color w:val="000000"/>
                <w:sz w:val="18"/>
                <w:szCs w:val="18"/>
                <w:lang w:eastAsia="sk-SK"/>
              </w:rPr>
              <w:t>173 000</w:t>
            </w:r>
          </w:p>
        </w:tc>
        <w:tc>
          <w:tcPr>
            <w:tcW w:w="1460" w:type="dxa"/>
            <w:tcBorders>
              <w:top w:val="nil"/>
              <w:left w:val="nil"/>
              <w:bottom w:val="nil"/>
              <w:right w:val="nil"/>
            </w:tcBorders>
            <w:shd w:val="clear" w:color="auto" w:fill="auto"/>
            <w:noWrap/>
            <w:vAlign w:val="center"/>
            <w:hideMark/>
          </w:tcPr>
          <w:p w14:paraId="56E1858B" w14:textId="77777777" w:rsidR="00DC1800" w:rsidRPr="00054B3B" w:rsidRDefault="00DC1800" w:rsidP="00094682">
            <w:pPr>
              <w:spacing w:after="0" w:line="240" w:lineRule="auto"/>
              <w:jc w:val="center"/>
              <w:rPr>
                <w:color w:val="000000"/>
                <w:sz w:val="18"/>
                <w:szCs w:val="18"/>
                <w:lang w:eastAsia="sk-SK"/>
              </w:rPr>
            </w:pPr>
            <w:r w:rsidRPr="00054B3B">
              <w:rPr>
                <w:color w:val="000000"/>
                <w:sz w:val="18"/>
                <w:szCs w:val="18"/>
                <w:lang w:eastAsia="sk-SK"/>
              </w:rPr>
              <w:t xml:space="preserve"> 0,18</w:t>
            </w:r>
            <w:r>
              <w:rPr>
                <w:color w:val="000000"/>
                <w:sz w:val="18"/>
                <w:szCs w:val="18"/>
                <w:lang w:eastAsia="sk-SK"/>
              </w:rPr>
              <w:t>8</w:t>
            </w:r>
          </w:p>
        </w:tc>
        <w:tc>
          <w:tcPr>
            <w:tcW w:w="3427" w:type="dxa"/>
            <w:tcBorders>
              <w:top w:val="nil"/>
              <w:left w:val="nil"/>
              <w:bottom w:val="nil"/>
              <w:right w:val="nil"/>
            </w:tcBorders>
            <w:shd w:val="clear" w:color="auto" w:fill="auto"/>
            <w:vAlign w:val="center"/>
            <w:hideMark/>
          </w:tcPr>
          <w:p w14:paraId="24CCF9F1" w14:textId="77777777" w:rsidR="00DC1800" w:rsidRPr="00054B3B" w:rsidRDefault="00DC1800" w:rsidP="00094682">
            <w:pPr>
              <w:spacing w:after="0" w:line="240" w:lineRule="auto"/>
              <w:jc w:val="center"/>
              <w:rPr>
                <w:sz w:val="18"/>
                <w:szCs w:val="18"/>
                <w:lang w:eastAsia="sk-SK"/>
              </w:rPr>
            </w:pPr>
            <w:r w:rsidRPr="00054B3B">
              <w:rPr>
                <w:sz w:val="18"/>
                <w:szCs w:val="18"/>
                <w:lang w:eastAsia="sk-SK"/>
              </w:rPr>
              <w:t>zmena v zaznamenaní rizikových záruk Eximbanky</w:t>
            </w:r>
          </w:p>
        </w:tc>
      </w:tr>
      <w:tr w:rsidR="00DC1800" w:rsidRPr="00054B3B" w14:paraId="6525CCAC" w14:textId="77777777" w:rsidTr="00094682">
        <w:trPr>
          <w:trHeight w:val="713"/>
        </w:trPr>
        <w:tc>
          <w:tcPr>
            <w:tcW w:w="2977" w:type="dxa"/>
            <w:tcBorders>
              <w:top w:val="nil"/>
              <w:left w:val="nil"/>
              <w:bottom w:val="nil"/>
              <w:right w:val="nil"/>
            </w:tcBorders>
            <w:shd w:val="clear" w:color="auto" w:fill="auto"/>
            <w:noWrap/>
            <w:vAlign w:val="center"/>
            <w:hideMark/>
          </w:tcPr>
          <w:p w14:paraId="3EA7BD45" w14:textId="77777777" w:rsidR="00DC1800" w:rsidRPr="00054B3B" w:rsidRDefault="00DC1800" w:rsidP="00094682">
            <w:pPr>
              <w:spacing w:after="0" w:line="240" w:lineRule="auto"/>
              <w:jc w:val="both"/>
              <w:rPr>
                <w:color w:val="000000"/>
                <w:sz w:val="18"/>
                <w:szCs w:val="18"/>
                <w:lang w:eastAsia="sk-SK"/>
              </w:rPr>
            </w:pPr>
            <w:proofErr w:type="spellStart"/>
            <w:r w:rsidRPr="00054B3B">
              <w:rPr>
                <w:color w:val="000000"/>
                <w:sz w:val="18"/>
                <w:szCs w:val="18"/>
                <w:lang w:eastAsia="sk-SK"/>
              </w:rPr>
              <w:t>Imputácia</w:t>
            </w:r>
            <w:proofErr w:type="spellEnd"/>
            <w:r w:rsidRPr="00054B3B">
              <w:rPr>
                <w:color w:val="000000"/>
                <w:sz w:val="18"/>
                <w:szCs w:val="18"/>
                <w:lang w:eastAsia="sk-SK"/>
              </w:rPr>
              <w:t xml:space="preserve"> pohľadávky voči EÚ na refundáciu COVID pomoci</w:t>
            </w:r>
          </w:p>
        </w:tc>
        <w:tc>
          <w:tcPr>
            <w:tcW w:w="1276" w:type="dxa"/>
            <w:tcBorders>
              <w:top w:val="nil"/>
              <w:left w:val="nil"/>
              <w:bottom w:val="nil"/>
              <w:right w:val="nil"/>
            </w:tcBorders>
            <w:shd w:val="clear" w:color="auto" w:fill="auto"/>
            <w:noWrap/>
            <w:vAlign w:val="center"/>
            <w:hideMark/>
          </w:tcPr>
          <w:p w14:paraId="4414D9AE" w14:textId="77777777" w:rsidR="00DC1800" w:rsidRPr="00054B3B" w:rsidRDefault="00DC1800" w:rsidP="00094682">
            <w:pPr>
              <w:spacing w:after="0" w:line="240" w:lineRule="auto"/>
              <w:jc w:val="right"/>
              <w:rPr>
                <w:color w:val="000000"/>
                <w:sz w:val="18"/>
                <w:szCs w:val="18"/>
                <w:lang w:eastAsia="sk-SK"/>
              </w:rPr>
            </w:pPr>
            <w:r w:rsidRPr="00054B3B">
              <w:rPr>
                <w:color w:val="000000"/>
                <w:sz w:val="18"/>
                <w:szCs w:val="18"/>
                <w:lang w:eastAsia="sk-SK"/>
              </w:rPr>
              <w:t>70 327</w:t>
            </w:r>
          </w:p>
        </w:tc>
        <w:tc>
          <w:tcPr>
            <w:tcW w:w="1460" w:type="dxa"/>
            <w:tcBorders>
              <w:top w:val="nil"/>
              <w:left w:val="nil"/>
              <w:bottom w:val="nil"/>
              <w:right w:val="nil"/>
            </w:tcBorders>
            <w:shd w:val="clear" w:color="auto" w:fill="auto"/>
            <w:noWrap/>
            <w:vAlign w:val="center"/>
            <w:hideMark/>
          </w:tcPr>
          <w:p w14:paraId="6EEFCB57" w14:textId="77777777" w:rsidR="00DC1800" w:rsidRPr="00054B3B" w:rsidRDefault="00DC1800" w:rsidP="00094682">
            <w:pPr>
              <w:spacing w:after="0" w:line="240" w:lineRule="auto"/>
              <w:jc w:val="center"/>
              <w:rPr>
                <w:color w:val="000000"/>
                <w:sz w:val="18"/>
                <w:szCs w:val="18"/>
                <w:lang w:eastAsia="sk-SK"/>
              </w:rPr>
            </w:pPr>
            <w:r w:rsidRPr="00054B3B">
              <w:rPr>
                <w:color w:val="000000"/>
                <w:sz w:val="18"/>
                <w:szCs w:val="18"/>
                <w:lang w:eastAsia="sk-SK"/>
              </w:rPr>
              <w:t xml:space="preserve"> 0,07</w:t>
            </w:r>
            <w:r>
              <w:rPr>
                <w:color w:val="000000"/>
                <w:sz w:val="18"/>
                <w:szCs w:val="18"/>
                <w:lang w:eastAsia="sk-SK"/>
              </w:rPr>
              <w:t>6</w:t>
            </w:r>
          </w:p>
        </w:tc>
        <w:tc>
          <w:tcPr>
            <w:tcW w:w="3427" w:type="dxa"/>
            <w:tcBorders>
              <w:top w:val="nil"/>
              <w:left w:val="nil"/>
              <w:bottom w:val="nil"/>
              <w:right w:val="nil"/>
            </w:tcBorders>
            <w:shd w:val="clear" w:color="auto" w:fill="auto"/>
            <w:vAlign w:val="center"/>
            <w:hideMark/>
          </w:tcPr>
          <w:p w14:paraId="0058AE5D" w14:textId="77777777" w:rsidR="00DC1800" w:rsidRPr="00054B3B" w:rsidRDefault="00DC1800" w:rsidP="00094682">
            <w:pPr>
              <w:spacing w:after="0" w:line="240" w:lineRule="auto"/>
              <w:jc w:val="center"/>
              <w:rPr>
                <w:sz w:val="18"/>
                <w:szCs w:val="18"/>
                <w:lang w:eastAsia="sk-SK"/>
              </w:rPr>
            </w:pPr>
            <w:proofErr w:type="spellStart"/>
            <w:r w:rsidRPr="00054B3B">
              <w:rPr>
                <w:sz w:val="18"/>
                <w:szCs w:val="18"/>
                <w:lang w:eastAsia="sk-SK"/>
              </w:rPr>
              <w:t>imputácia</w:t>
            </w:r>
            <w:proofErr w:type="spellEnd"/>
            <w:r w:rsidRPr="00054B3B">
              <w:rPr>
                <w:sz w:val="18"/>
                <w:szCs w:val="18"/>
                <w:lang w:eastAsia="sk-SK"/>
              </w:rPr>
              <w:t xml:space="preserve"> pohľadávky voči EÚ z dôvodu refundácie prostriedkov štátneho rozpočtu na COVID pomoc </w:t>
            </w:r>
          </w:p>
        </w:tc>
      </w:tr>
      <w:tr w:rsidR="00DC1800" w:rsidRPr="00054B3B" w14:paraId="5FE3F492" w14:textId="77777777" w:rsidTr="00094682">
        <w:trPr>
          <w:trHeight w:val="567"/>
        </w:trPr>
        <w:tc>
          <w:tcPr>
            <w:tcW w:w="2977" w:type="dxa"/>
            <w:tcBorders>
              <w:top w:val="nil"/>
              <w:left w:val="nil"/>
              <w:bottom w:val="nil"/>
              <w:right w:val="nil"/>
            </w:tcBorders>
            <w:shd w:val="clear" w:color="auto" w:fill="auto"/>
            <w:noWrap/>
            <w:vAlign w:val="center"/>
            <w:hideMark/>
          </w:tcPr>
          <w:p w14:paraId="7629C6BD" w14:textId="77777777" w:rsidR="00DC1800" w:rsidRPr="00054B3B" w:rsidRDefault="00DC1800" w:rsidP="00094682">
            <w:pPr>
              <w:spacing w:after="0" w:line="240" w:lineRule="auto"/>
              <w:jc w:val="both"/>
              <w:rPr>
                <w:color w:val="000000"/>
                <w:sz w:val="18"/>
                <w:szCs w:val="18"/>
                <w:lang w:eastAsia="sk-SK"/>
              </w:rPr>
            </w:pPr>
            <w:r w:rsidRPr="00054B3B">
              <w:rPr>
                <w:color w:val="000000"/>
                <w:sz w:val="18"/>
                <w:szCs w:val="18"/>
                <w:lang w:eastAsia="sk-SK"/>
              </w:rPr>
              <w:t>Aktualizácia príjmov z odvodov v Sociálnej poisťovni</w:t>
            </w:r>
          </w:p>
        </w:tc>
        <w:tc>
          <w:tcPr>
            <w:tcW w:w="1276" w:type="dxa"/>
            <w:tcBorders>
              <w:top w:val="nil"/>
              <w:left w:val="nil"/>
              <w:bottom w:val="nil"/>
              <w:right w:val="nil"/>
            </w:tcBorders>
            <w:shd w:val="clear" w:color="auto" w:fill="auto"/>
            <w:noWrap/>
            <w:vAlign w:val="center"/>
            <w:hideMark/>
          </w:tcPr>
          <w:p w14:paraId="3BBA2A3C" w14:textId="77777777" w:rsidR="00DC1800" w:rsidRPr="00054B3B" w:rsidRDefault="00DC1800" w:rsidP="00094682">
            <w:pPr>
              <w:spacing w:after="0" w:line="240" w:lineRule="auto"/>
              <w:jc w:val="right"/>
              <w:rPr>
                <w:color w:val="000000"/>
                <w:sz w:val="18"/>
                <w:szCs w:val="18"/>
                <w:lang w:eastAsia="sk-SK"/>
              </w:rPr>
            </w:pPr>
            <w:r w:rsidRPr="00054B3B">
              <w:rPr>
                <w:color w:val="000000"/>
                <w:sz w:val="18"/>
                <w:szCs w:val="18"/>
                <w:lang w:eastAsia="sk-SK"/>
              </w:rPr>
              <w:t>26 864</w:t>
            </w:r>
          </w:p>
        </w:tc>
        <w:tc>
          <w:tcPr>
            <w:tcW w:w="1460" w:type="dxa"/>
            <w:tcBorders>
              <w:top w:val="nil"/>
              <w:left w:val="nil"/>
              <w:bottom w:val="nil"/>
              <w:right w:val="nil"/>
            </w:tcBorders>
            <w:shd w:val="clear" w:color="auto" w:fill="auto"/>
            <w:noWrap/>
            <w:vAlign w:val="center"/>
            <w:hideMark/>
          </w:tcPr>
          <w:p w14:paraId="6FF31716" w14:textId="77777777" w:rsidR="00DC1800" w:rsidRPr="00054B3B" w:rsidRDefault="00DC1800" w:rsidP="00094682">
            <w:pPr>
              <w:spacing w:after="0" w:line="240" w:lineRule="auto"/>
              <w:jc w:val="center"/>
              <w:rPr>
                <w:color w:val="000000"/>
                <w:sz w:val="18"/>
                <w:szCs w:val="18"/>
                <w:lang w:eastAsia="sk-SK"/>
              </w:rPr>
            </w:pPr>
            <w:r w:rsidRPr="00054B3B">
              <w:rPr>
                <w:color w:val="000000"/>
                <w:sz w:val="18"/>
                <w:szCs w:val="18"/>
                <w:lang w:eastAsia="sk-SK"/>
              </w:rPr>
              <w:t xml:space="preserve"> 0,029</w:t>
            </w:r>
          </w:p>
        </w:tc>
        <w:tc>
          <w:tcPr>
            <w:tcW w:w="3427" w:type="dxa"/>
            <w:tcBorders>
              <w:top w:val="nil"/>
              <w:left w:val="nil"/>
              <w:bottom w:val="nil"/>
              <w:right w:val="nil"/>
            </w:tcBorders>
            <w:shd w:val="clear" w:color="auto" w:fill="auto"/>
            <w:vAlign w:val="center"/>
            <w:hideMark/>
          </w:tcPr>
          <w:p w14:paraId="5BC99848" w14:textId="77777777" w:rsidR="00DC1800" w:rsidRPr="00054B3B" w:rsidRDefault="00DC1800" w:rsidP="00094682">
            <w:pPr>
              <w:spacing w:after="0" w:line="240" w:lineRule="auto"/>
              <w:jc w:val="center"/>
              <w:rPr>
                <w:sz w:val="18"/>
                <w:szCs w:val="18"/>
                <w:lang w:eastAsia="sk-SK"/>
              </w:rPr>
            </w:pPr>
            <w:r w:rsidRPr="00054B3B">
              <w:rPr>
                <w:sz w:val="18"/>
                <w:szCs w:val="18"/>
                <w:lang w:eastAsia="sk-SK"/>
              </w:rPr>
              <w:t>aktualizácia na základe zúčtovania sociálneho poistenia</w:t>
            </w:r>
          </w:p>
        </w:tc>
      </w:tr>
      <w:tr w:rsidR="00DC1800" w:rsidRPr="00054B3B" w14:paraId="02359D65" w14:textId="77777777" w:rsidTr="00094682">
        <w:trPr>
          <w:trHeight w:val="458"/>
        </w:trPr>
        <w:tc>
          <w:tcPr>
            <w:tcW w:w="2977" w:type="dxa"/>
            <w:tcBorders>
              <w:top w:val="nil"/>
              <w:left w:val="nil"/>
              <w:bottom w:val="nil"/>
              <w:right w:val="nil"/>
            </w:tcBorders>
            <w:shd w:val="clear" w:color="auto" w:fill="auto"/>
            <w:noWrap/>
            <w:vAlign w:val="center"/>
            <w:hideMark/>
          </w:tcPr>
          <w:p w14:paraId="472A6CE4" w14:textId="77777777" w:rsidR="00DC1800" w:rsidRPr="00054B3B" w:rsidRDefault="00DC1800" w:rsidP="00094682">
            <w:pPr>
              <w:spacing w:after="0" w:line="240" w:lineRule="auto"/>
              <w:jc w:val="both"/>
              <w:rPr>
                <w:color w:val="000000"/>
                <w:sz w:val="18"/>
                <w:szCs w:val="18"/>
                <w:lang w:eastAsia="sk-SK"/>
              </w:rPr>
            </w:pPr>
            <w:proofErr w:type="spellStart"/>
            <w:r w:rsidRPr="00054B3B">
              <w:rPr>
                <w:color w:val="000000"/>
                <w:sz w:val="18"/>
                <w:szCs w:val="18"/>
                <w:lang w:eastAsia="sk-SK"/>
              </w:rPr>
              <w:t>Imputácia</w:t>
            </w:r>
            <w:proofErr w:type="spellEnd"/>
            <w:r w:rsidRPr="00054B3B">
              <w:rPr>
                <w:color w:val="000000"/>
                <w:sz w:val="18"/>
                <w:szCs w:val="18"/>
                <w:lang w:eastAsia="sk-SK"/>
              </w:rPr>
              <w:t xml:space="preserve"> plnenia zo záruk v zmysle zákona 67/2020 Z. z. za poskytnuté úvery</w:t>
            </w:r>
          </w:p>
        </w:tc>
        <w:tc>
          <w:tcPr>
            <w:tcW w:w="1276" w:type="dxa"/>
            <w:tcBorders>
              <w:top w:val="nil"/>
              <w:left w:val="nil"/>
              <w:bottom w:val="nil"/>
              <w:right w:val="nil"/>
            </w:tcBorders>
            <w:shd w:val="clear" w:color="auto" w:fill="auto"/>
            <w:noWrap/>
            <w:vAlign w:val="center"/>
            <w:hideMark/>
          </w:tcPr>
          <w:p w14:paraId="41A0373A" w14:textId="77777777" w:rsidR="00DC1800" w:rsidRPr="00054B3B" w:rsidRDefault="00DC1800" w:rsidP="00094682">
            <w:pPr>
              <w:spacing w:after="0" w:line="240" w:lineRule="auto"/>
              <w:jc w:val="right"/>
              <w:rPr>
                <w:color w:val="000000"/>
                <w:sz w:val="18"/>
                <w:szCs w:val="18"/>
                <w:lang w:eastAsia="sk-SK"/>
              </w:rPr>
            </w:pPr>
            <w:r w:rsidRPr="00054B3B">
              <w:rPr>
                <w:color w:val="000000"/>
                <w:sz w:val="18"/>
                <w:szCs w:val="18"/>
                <w:lang w:eastAsia="sk-SK"/>
              </w:rPr>
              <w:t>-24 979</w:t>
            </w:r>
          </w:p>
        </w:tc>
        <w:tc>
          <w:tcPr>
            <w:tcW w:w="1460" w:type="dxa"/>
            <w:tcBorders>
              <w:top w:val="nil"/>
              <w:left w:val="nil"/>
              <w:bottom w:val="nil"/>
              <w:right w:val="nil"/>
            </w:tcBorders>
            <w:shd w:val="clear" w:color="auto" w:fill="auto"/>
            <w:noWrap/>
            <w:vAlign w:val="center"/>
            <w:hideMark/>
          </w:tcPr>
          <w:p w14:paraId="3A738217" w14:textId="77777777" w:rsidR="00DC1800" w:rsidRPr="00054B3B" w:rsidRDefault="00DC1800" w:rsidP="00094682">
            <w:pPr>
              <w:spacing w:after="0" w:line="240" w:lineRule="auto"/>
              <w:jc w:val="center"/>
              <w:rPr>
                <w:color w:val="000000"/>
                <w:sz w:val="18"/>
                <w:szCs w:val="18"/>
                <w:lang w:eastAsia="sk-SK"/>
              </w:rPr>
            </w:pPr>
            <w:r w:rsidRPr="00054B3B">
              <w:rPr>
                <w:color w:val="000000"/>
                <w:sz w:val="18"/>
                <w:szCs w:val="18"/>
                <w:lang w:eastAsia="sk-SK"/>
              </w:rPr>
              <w:t>-0,027</w:t>
            </w:r>
          </w:p>
        </w:tc>
        <w:tc>
          <w:tcPr>
            <w:tcW w:w="3427" w:type="dxa"/>
            <w:tcBorders>
              <w:top w:val="nil"/>
              <w:left w:val="nil"/>
              <w:bottom w:val="nil"/>
              <w:right w:val="nil"/>
            </w:tcBorders>
            <w:shd w:val="clear" w:color="auto" w:fill="auto"/>
            <w:vAlign w:val="center"/>
            <w:hideMark/>
          </w:tcPr>
          <w:p w14:paraId="7C5273E9" w14:textId="77777777" w:rsidR="00DC1800" w:rsidRPr="00054B3B" w:rsidRDefault="00DC1800" w:rsidP="00094682">
            <w:pPr>
              <w:spacing w:after="0" w:line="240" w:lineRule="auto"/>
              <w:jc w:val="center"/>
              <w:rPr>
                <w:sz w:val="18"/>
                <w:szCs w:val="18"/>
                <w:lang w:eastAsia="sk-SK"/>
              </w:rPr>
            </w:pPr>
            <w:r w:rsidRPr="00054B3B">
              <w:rPr>
                <w:sz w:val="18"/>
                <w:szCs w:val="18"/>
                <w:lang w:eastAsia="sk-SK"/>
              </w:rPr>
              <w:t>predpokladaný objem zlyhaných COVID úverov, na ktoré bola poskytnutá záruka štátu</w:t>
            </w:r>
          </w:p>
        </w:tc>
      </w:tr>
      <w:tr w:rsidR="00DC1800" w:rsidRPr="00054B3B" w14:paraId="68D048AF" w14:textId="77777777" w:rsidTr="00094682">
        <w:trPr>
          <w:trHeight w:val="634"/>
        </w:trPr>
        <w:tc>
          <w:tcPr>
            <w:tcW w:w="2977" w:type="dxa"/>
            <w:tcBorders>
              <w:top w:val="nil"/>
              <w:left w:val="nil"/>
              <w:bottom w:val="nil"/>
              <w:right w:val="nil"/>
            </w:tcBorders>
            <w:shd w:val="clear" w:color="auto" w:fill="auto"/>
            <w:noWrap/>
            <w:vAlign w:val="center"/>
            <w:hideMark/>
          </w:tcPr>
          <w:p w14:paraId="5DE3E6F5" w14:textId="77777777" w:rsidR="00DC1800" w:rsidRPr="00054B3B" w:rsidRDefault="00DC1800" w:rsidP="00094682">
            <w:pPr>
              <w:spacing w:after="0" w:line="240" w:lineRule="auto"/>
              <w:jc w:val="both"/>
              <w:rPr>
                <w:sz w:val="18"/>
                <w:szCs w:val="18"/>
                <w:lang w:eastAsia="sk-SK"/>
              </w:rPr>
            </w:pPr>
            <w:r w:rsidRPr="00054B3B">
              <w:rPr>
                <w:sz w:val="18"/>
                <w:szCs w:val="18"/>
                <w:lang w:eastAsia="sk-SK"/>
              </w:rPr>
              <w:t>Vplyv zmeny výpočtu akruálnych úrokov štátneho dlhu</w:t>
            </w:r>
          </w:p>
        </w:tc>
        <w:tc>
          <w:tcPr>
            <w:tcW w:w="1276" w:type="dxa"/>
            <w:tcBorders>
              <w:top w:val="nil"/>
              <w:left w:val="nil"/>
              <w:bottom w:val="nil"/>
              <w:right w:val="nil"/>
            </w:tcBorders>
            <w:shd w:val="clear" w:color="auto" w:fill="auto"/>
            <w:noWrap/>
            <w:vAlign w:val="center"/>
            <w:hideMark/>
          </w:tcPr>
          <w:p w14:paraId="0B2038D9" w14:textId="77777777" w:rsidR="00DC1800" w:rsidRPr="00054B3B" w:rsidRDefault="00DC1800" w:rsidP="00094682">
            <w:pPr>
              <w:spacing w:after="0" w:line="240" w:lineRule="auto"/>
              <w:jc w:val="right"/>
              <w:rPr>
                <w:sz w:val="18"/>
                <w:szCs w:val="18"/>
                <w:lang w:eastAsia="sk-SK"/>
              </w:rPr>
            </w:pPr>
            <w:r w:rsidRPr="00054B3B">
              <w:rPr>
                <w:sz w:val="18"/>
                <w:szCs w:val="18"/>
                <w:lang w:eastAsia="sk-SK"/>
              </w:rPr>
              <w:t>24 826</w:t>
            </w:r>
          </w:p>
        </w:tc>
        <w:tc>
          <w:tcPr>
            <w:tcW w:w="1460" w:type="dxa"/>
            <w:tcBorders>
              <w:top w:val="nil"/>
              <w:left w:val="nil"/>
              <w:bottom w:val="nil"/>
              <w:right w:val="nil"/>
            </w:tcBorders>
            <w:shd w:val="clear" w:color="auto" w:fill="auto"/>
            <w:noWrap/>
            <w:vAlign w:val="center"/>
            <w:hideMark/>
          </w:tcPr>
          <w:p w14:paraId="6E31A044" w14:textId="77777777" w:rsidR="00DC1800" w:rsidRPr="00054B3B" w:rsidRDefault="00DC1800" w:rsidP="00094682">
            <w:pPr>
              <w:spacing w:after="0" w:line="240" w:lineRule="auto"/>
              <w:jc w:val="center"/>
              <w:rPr>
                <w:sz w:val="18"/>
                <w:szCs w:val="18"/>
                <w:lang w:eastAsia="sk-SK"/>
              </w:rPr>
            </w:pPr>
            <w:r w:rsidRPr="00054B3B">
              <w:rPr>
                <w:sz w:val="18"/>
                <w:szCs w:val="18"/>
                <w:lang w:eastAsia="sk-SK"/>
              </w:rPr>
              <w:t xml:space="preserve"> 0,027</w:t>
            </w:r>
          </w:p>
        </w:tc>
        <w:tc>
          <w:tcPr>
            <w:tcW w:w="3427" w:type="dxa"/>
            <w:tcBorders>
              <w:top w:val="nil"/>
              <w:left w:val="nil"/>
              <w:bottom w:val="nil"/>
              <w:right w:val="nil"/>
            </w:tcBorders>
            <w:shd w:val="clear" w:color="auto" w:fill="auto"/>
            <w:vAlign w:val="center"/>
            <w:hideMark/>
          </w:tcPr>
          <w:p w14:paraId="00DE3CD4" w14:textId="77777777" w:rsidR="00DC1800" w:rsidRPr="00054B3B" w:rsidRDefault="00DC1800" w:rsidP="00094682">
            <w:pPr>
              <w:spacing w:after="0" w:line="240" w:lineRule="auto"/>
              <w:jc w:val="center"/>
              <w:rPr>
                <w:sz w:val="18"/>
                <w:szCs w:val="18"/>
                <w:lang w:eastAsia="sk-SK"/>
              </w:rPr>
            </w:pPr>
            <w:r w:rsidRPr="00054B3B">
              <w:rPr>
                <w:sz w:val="18"/>
                <w:szCs w:val="18"/>
                <w:lang w:eastAsia="sk-SK"/>
              </w:rPr>
              <w:t>zmena zaznamenávania na základe aktualizácie metodiky výpočtu úrokov</w:t>
            </w:r>
          </w:p>
        </w:tc>
      </w:tr>
      <w:tr w:rsidR="00DC1800" w:rsidRPr="00054B3B" w14:paraId="33167770" w14:textId="77777777" w:rsidTr="00094682">
        <w:trPr>
          <w:trHeight w:val="570"/>
        </w:trPr>
        <w:tc>
          <w:tcPr>
            <w:tcW w:w="2977" w:type="dxa"/>
            <w:tcBorders>
              <w:top w:val="nil"/>
              <w:left w:val="nil"/>
              <w:bottom w:val="nil"/>
              <w:right w:val="nil"/>
            </w:tcBorders>
            <w:shd w:val="clear" w:color="auto" w:fill="auto"/>
            <w:noWrap/>
            <w:vAlign w:val="center"/>
            <w:hideMark/>
          </w:tcPr>
          <w:p w14:paraId="19816035" w14:textId="77777777" w:rsidR="00DC1800" w:rsidRPr="00054B3B" w:rsidRDefault="00DC1800" w:rsidP="00094682">
            <w:pPr>
              <w:spacing w:after="0" w:line="240" w:lineRule="auto"/>
              <w:jc w:val="both"/>
              <w:rPr>
                <w:color w:val="000000"/>
                <w:sz w:val="18"/>
                <w:szCs w:val="18"/>
                <w:lang w:eastAsia="sk-SK"/>
              </w:rPr>
            </w:pPr>
            <w:r w:rsidRPr="00054B3B">
              <w:rPr>
                <w:color w:val="000000"/>
                <w:sz w:val="18"/>
                <w:szCs w:val="18"/>
                <w:lang w:eastAsia="sk-SK"/>
              </w:rPr>
              <w:lastRenderedPageBreak/>
              <w:t>Aktualizácia údajov z účtovných závierok</w:t>
            </w:r>
          </w:p>
        </w:tc>
        <w:tc>
          <w:tcPr>
            <w:tcW w:w="1276" w:type="dxa"/>
            <w:tcBorders>
              <w:top w:val="nil"/>
              <w:left w:val="nil"/>
              <w:bottom w:val="nil"/>
              <w:right w:val="nil"/>
            </w:tcBorders>
            <w:shd w:val="clear" w:color="auto" w:fill="auto"/>
            <w:noWrap/>
            <w:vAlign w:val="center"/>
            <w:hideMark/>
          </w:tcPr>
          <w:p w14:paraId="13548F26" w14:textId="77777777" w:rsidR="00DC1800" w:rsidRPr="00054B3B" w:rsidRDefault="00DC1800" w:rsidP="00094682">
            <w:pPr>
              <w:spacing w:after="0" w:line="240" w:lineRule="auto"/>
              <w:jc w:val="right"/>
              <w:rPr>
                <w:color w:val="000000"/>
                <w:sz w:val="18"/>
                <w:szCs w:val="18"/>
                <w:lang w:eastAsia="sk-SK"/>
              </w:rPr>
            </w:pPr>
            <w:r w:rsidRPr="00054B3B">
              <w:rPr>
                <w:color w:val="000000"/>
                <w:sz w:val="18"/>
                <w:szCs w:val="18"/>
                <w:lang w:eastAsia="sk-SK"/>
              </w:rPr>
              <w:t>-8 939</w:t>
            </w:r>
          </w:p>
        </w:tc>
        <w:tc>
          <w:tcPr>
            <w:tcW w:w="1460" w:type="dxa"/>
            <w:tcBorders>
              <w:top w:val="nil"/>
              <w:left w:val="nil"/>
              <w:bottom w:val="nil"/>
              <w:right w:val="nil"/>
            </w:tcBorders>
            <w:shd w:val="clear" w:color="auto" w:fill="auto"/>
            <w:noWrap/>
            <w:vAlign w:val="center"/>
            <w:hideMark/>
          </w:tcPr>
          <w:p w14:paraId="2E0459A1" w14:textId="77777777" w:rsidR="00DC1800" w:rsidRPr="00054B3B" w:rsidRDefault="00DC1800" w:rsidP="00094682">
            <w:pPr>
              <w:spacing w:after="0" w:line="240" w:lineRule="auto"/>
              <w:jc w:val="center"/>
              <w:rPr>
                <w:color w:val="000000"/>
                <w:sz w:val="18"/>
                <w:szCs w:val="18"/>
                <w:lang w:eastAsia="sk-SK"/>
              </w:rPr>
            </w:pPr>
            <w:r w:rsidRPr="00054B3B">
              <w:rPr>
                <w:color w:val="000000"/>
                <w:sz w:val="18"/>
                <w:szCs w:val="18"/>
                <w:lang w:eastAsia="sk-SK"/>
              </w:rPr>
              <w:t>-0,010</w:t>
            </w:r>
          </w:p>
        </w:tc>
        <w:tc>
          <w:tcPr>
            <w:tcW w:w="3427" w:type="dxa"/>
            <w:tcBorders>
              <w:top w:val="nil"/>
              <w:left w:val="nil"/>
              <w:bottom w:val="nil"/>
              <w:right w:val="nil"/>
            </w:tcBorders>
            <w:shd w:val="clear" w:color="auto" w:fill="auto"/>
            <w:vAlign w:val="center"/>
            <w:hideMark/>
          </w:tcPr>
          <w:p w14:paraId="77EF517F" w14:textId="77777777" w:rsidR="00DC1800" w:rsidRPr="00054B3B" w:rsidRDefault="00DC1800" w:rsidP="00094682">
            <w:pPr>
              <w:spacing w:after="0" w:line="240" w:lineRule="auto"/>
              <w:jc w:val="center"/>
              <w:rPr>
                <w:sz w:val="18"/>
                <w:szCs w:val="18"/>
                <w:lang w:eastAsia="sk-SK"/>
              </w:rPr>
            </w:pPr>
            <w:r w:rsidRPr="00054B3B">
              <w:rPr>
                <w:sz w:val="18"/>
                <w:szCs w:val="18"/>
                <w:lang w:eastAsia="sk-SK"/>
              </w:rPr>
              <w:t>revízia aprílových údajov na základe riadnych účtovných závierok vybraných subjektov VS</w:t>
            </w:r>
          </w:p>
        </w:tc>
      </w:tr>
      <w:tr w:rsidR="00DC1800" w:rsidRPr="00054B3B" w14:paraId="4DD1773A" w14:textId="77777777" w:rsidTr="00094682">
        <w:trPr>
          <w:trHeight w:val="578"/>
        </w:trPr>
        <w:tc>
          <w:tcPr>
            <w:tcW w:w="2977" w:type="dxa"/>
            <w:tcBorders>
              <w:top w:val="nil"/>
              <w:left w:val="nil"/>
              <w:bottom w:val="nil"/>
              <w:right w:val="nil"/>
            </w:tcBorders>
            <w:shd w:val="clear" w:color="auto" w:fill="auto"/>
            <w:noWrap/>
            <w:vAlign w:val="center"/>
            <w:hideMark/>
          </w:tcPr>
          <w:p w14:paraId="7FF0D8BA" w14:textId="77777777" w:rsidR="00DC1800" w:rsidRPr="00054B3B" w:rsidRDefault="00DC1800" w:rsidP="00094682">
            <w:pPr>
              <w:spacing w:after="0" w:line="240" w:lineRule="auto"/>
              <w:jc w:val="both"/>
              <w:rPr>
                <w:color w:val="000000"/>
                <w:sz w:val="18"/>
                <w:szCs w:val="18"/>
                <w:lang w:eastAsia="sk-SK"/>
              </w:rPr>
            </w:pPr>
            <w:r w:rsidRPr="00054B3B">
              <w:rPr>
                <w:color w:val="000000"/>
                <w:sz w:val="18"/>
                <w:szCs w:val="18"/>
                <w:lang w:eastAsia="sk-SK"/>
              </w:rPr>
              <w:t>Doplnenie záväzkov z poistných vzťahov v Sociálnej poisťovni</w:t>
            </w:r>
          </w:p>
        </w:tc>
        <w:tc>
          <w:tcPr>
            <w:tcW w:w="1276" w:type="dxa"/>
            <w:tcBorders>
              <w:top w:val="nil"/>
              <w:left w:val="nil"/>
              <w:bottom w:val="nil"/>
              <w:right w:val="nil"/>
            </w:tcBorders>
            <w:shd w:val="clear" w:color="auto" w:fill="auto"/>
            <w:noWrap/>
            <w:vAlign w:val="center"/>
            <w:hideMark/>
          </w:tcPr>
          <w:p w14:paraId="55B75DFE" w14:textId="77777777" w:rsidR="00DC1800" w:rsidRPr="00054B3B" w:rsidRDefault="00DC1800" w:rsidP="00094682">
            <w:pPr>
              <w:spacing w:after="0" w:line="240" w:lineRule="auto"/>
              <w:jc w:val="right"/>
              <w:rPr>
                <w:color w:val="000000"/>
                <w:sz w:val="18"/>
                <w:szCs w:val="18"/>
                <w:lang w:eastAsia="sk-SK"/>
              </w:rPr>
            </w:pPr>
            <w:r w:rsidRPr="00054B3B">
              <w:rPr>
                <w:color w:val="000000"/>
                <w:sz w:val="18"/>
                <w:szCs w:val="18"/>
                <w:lang w:eastAsia="sk-SK"/>
              </w:rPr>
              <w:t>-6 327</w:t>
            </w:r>
          </w:p>
        </w:tc>
        <w:tc>
          <w:tcPr>
            <w:tcW w:w="1460" w:type="dxa"/>
            <w:tcBorders>
              <w:top w:val="nil"/>
              <w:left w:val="nil"/>
              <w:bottom w:val="nil"/>
              <w:right w:val="nil"/>
            </w:tcBorders>
            <w:shd w:val="clear" w:color="auto" w:fill="auto"/>
            <w:noWrap/>
            <w:vAlign w:val="center"/>
            <w:hideMark/>
          </w:tcPr>
          <w:p w14:paraId="769DAE04" w14:textId="77777777" w:rsidR="00DC1800" w:rsidRPr="00054B3B" w:rsidRDefault="00DC1800" w:rsidP="00094682">
            <w:pPr>
              <w:spacing w:after="0" w:line="240" w:lineRule="auto"/>
              <w:jc w:val="center"/>
              <w:rPr>
                <w:color w:val="000000"/>
                <w:sz w:val="18"/>
                <w:szCs w:val="18"/>
                <w:lang w:eastAsia="sk-SK"/>
              </w:rPr>
            </w:pPr>
            <w:r w:rsidRPr="00054B3B">
              <w:rPr>
                <w:color w:val="000000"/>
                <w:sz w:val="18"/>
                <w:szCs w:val="18"/>
                <w:lang w:eastAsia="sk-SK"/>
              </w:rPr>
              <w:t>-0,007</w:t>
            </w:r>
          </w:p>
        </w:tc>
        <w:tc>
          <w:tcPr>
            <w:tcW w:w="3427" w:type="dxa"/>
            <w:tcBorders>
              <w:top w:val="nil"/>
              <w:left w:val="nil"/>
              <w:bottom w:val="nil"/>
              <w:right w:val="nil"/>
            </w:tcBorders>
            <w:shd w:val="clear" w:color="auto" w:fill="auto"/>
            <w:vAlign w:val="center"/>
            <w:hideMark/>
          </w:tcPr>
          <w:p w14:paraId="1A29BA01" w14:textId="77777777" w:rsidR="00DC1800" w:rsidRPr="00054B3B" w:rsidRDefault="00DC1800" w:rsidP="00094682">
            <w:pPr>
              <w:spacing w:after="0" w:line="240" w:lineRule="auto"/>
              <w:jc w:val="center"/>
              <w:rPr>
                <w:sz w:val="18"/>
                <w:szCs w:val="18"/>
                <w:lang w:eastAsia="sk-SK"/>
              </w:rPr>
            </w:pPr>
            <w:r w:rsidRPr="00054B3B">
              <w:rPr>
                <w:sz w:val="18"/>
                <w:szCs w:val="18"/>
                <w:lang w:eastAsia="sk-SK"/>
              </w:rPr>
              <w:t>metodická zmena zaznamenávania</w:t>
            </w:r>
            <w:r>
              <w:rPr>
                <w:sz w:val="18"/>
                <w:szCs w:val="18"/>
                <w:lang w:eastAsia="sk-SK"/>
              </w:rPr>
              <w:t xml:space="preserve"> určitých záväzkov Sociálnej poisťovne</w:t>
            </w:r>
          </w:p>
        </w:tc>
      </w:tr>
      <w:tr w:rsidR="00DC1800" w:rsidRPr="00054B3B" w14:paraId="018ED2B9" w14:textId="77777777" w:rsidTr="00094682">
        <w:trPr>
          <w:trHeight w:val="558"/>
        </w:trPr>
        <w:tc>
          <w:tcPr>
            <w:tcW w:w="2977" w:type="dxa"/>
            <w:tcBorders>
              <w:top w:val="nil"/>
              <w:left w:val="nil"/>
              <w:bottom w:val="nil"/>
              <w:right w:val="nil"/>
            </w:tcBorders>
            <w:shd w:val="clear" w:color="auto" w:fill="auto"/>
            <w:noWrap/>
            <w:vAlign w:val="center"/>
            <w:hideMark/>
          </w:tcPr>
          <w:p w14:paraId="77D7D51E" w14:textId="77777777" w:rsidR="00DC1800" w:rsidRPr="00054B3B" w:rsidRDefault="00DC1800" w:rsidP="00094682">
            <w:pPr>
              <w:spacing w:after="0" w:line="240" w:lineRule="auto"/>
              <w:jc w:val="both"/>
              <w:rPr>
                <w:color w:val="000000"/>
                <w:sz w:val="18"/>
                <w:szCs w:val="18"/>
                <w:lang w:eastAsia="sk-SK"/>
              </w:rPr>
            </w:pPr>
            <w:r w:rsidRPr="00054B3B">
              <w:rPr>
                <w:color w:val="000000"/>
                <w:sz w:val="18"/>
                <w:szCs w:val="18"/>
                <w:lang w:eastAsia="sk-SK"/>
              </w:rPr>
              <w:t>Aktualizácia vplyvu dotácií na zelenú energiu</w:t>
            </w:r>
          </w:p>
        </w:tc>
        <w:tc>
          <w:tcPr>
            <w:tcW w:w="1276" w:type="dxa"/>
            <w:tcBorders>
              <w:top w:val="nil"/>
              <w:left w:val="nil"/>
              <w:bottom w:val="nil"/>
              <w:right w:val="nil"/>
            </w:tcBorders>
            <w:shd w:val="clear" w:color="auto" w:fill="auto"/>
            <w:noWrap/>
            <w:vAlign w:val="center"/>
            <w:hideMark/>
          </w:tcPr>
          <w:p w14:paraId="2E17D311" w14:textId="77777777" w:rsidR="00DC1800" w:rsidRPr="00054B3B" w:rsidRDefault="00DC1800" w:rsidP="00094682">
            <w:pPr>
              <w:spacing w:after="0" w:line="240" w:lineRule="auto"/>
              <w:jc w:val="right"/>
              <w:rPr>
                <w:color w:val="000000"/>
                <w:sz w:val="18"/>
                <w:szCs w:val="18"/>
                <w:lang w:eastAsia="sk-SK"/>
              </w:rPr>
            </w:pPr>
            <w:r w:rsidRPr="00054B3B">
              <w:rPr>
                <w:color w:val="000000"/>
                <w:sz w:val="18"/>
                <w:szCs w:val="18"/>
                <w:lang w:eastAsia="sk-SK"/>
              </w:rPr>
              <w:t>-3 724</w:t>
            </w:r>
          </w:p>
        </w:tc>
        <w:tc>
          <w:tcPr>
            <w:tcW w:w="1460" w:type="dxa"/>
            <w:tcBorders>
              <w:top w:val="nil"/>
              <w:left w:val="nil"/>
              <w:bottom w:val="nil"/>
              <w:right w:val="nil"/>
            </w:tcBorders>
            <w:shd w:val="clear" w:color="auto" w:fill="auto"/>
            <w:noWrap/>
            <w:vAlign w:val="center"/>
            <w:hideMark/>
          </w:tcPr>
          <w:p w14:paraId="6308EDB1" w14:textId="77777777" w:rsidR="00DC1800" w:rsidRPr="00054B3B" w:rsidRDefault="00DC1800" w:rsidP="00094682">
            <w:pPr>
              <w:spacing w:after="0" w:line="240" w:lineRule="auto"/>
              <w:jc w:val="center"/>
              <w:rPr>
                <w:color w:val="000000"/>
                <w:sz w:val="18"/>
                <w:szCs w:val="18"/>
                <w:lang w:eastAsia="sk-SK"/>
              </w:rPr>
            </w:pPr>
            <w:r w:rsidRPr="00054B3B">
              <w:rPr>
                <w:color w:val="000000"/>
                <w:sz w:val="18"/>
                <w:szCs w:val="18"/>
                <w:lang w:eastAsia="sk-SK"/>
              </w:rPr>
              <w:t>-0,004</w:t>
            </w:r>
          </w:p>
        </w:tc>
        <w:tc>
          <w:tcPr>
            <w:tcW w:w="3427" w:type="dxa"/>
            <w:tcBorders>
              <w:top w:val="nil"/>
              <w:left w:val="nil"/>
              <w:bottom w:val="nil"/>
              <w:right w:val="nil"/>
            </w:tcBorders>
            <w:shd w:val="clear" w:color="auto" w:fill="auto"/>
            <w:vAlign w:val="center"/>
            <w:hideMark/>
          </w:tcPr>
          <w:p w14:paraId="68939A2E" w14:textId="77777777" w:rsidR="00DC1800" w:rsidRPr="00054B3B" w:rsidRDefault="00DC1800" w:rsidP="00094682">
            <w:pPr>
              <w:spacing w:after="0" w:line="240" w:lineRule="auto"/>
              <w:jc w:val="center"/>
              <w:rPr>
                <w:sz w:val="18"/>
                <w:szCs w:val="18"/>
                <w:lang w:eastAsia="sk-SK"/>
              </w:rPr>
            </w:pPr>
            <w:r w:rsidRPr="00054B3B">
              <w:rPr>
                <w:sz w:val="18"/>
                <w:szCs w:val="18"/>
                <w:lang w:eastAsia="sk-SK"/>
              </w:rPr>
              <w:t>aktualizácia na základe podkladov od ÚRSO</w:t>
            </w:r>
          </w:p>
        </w:tc>
      </w:tr>
      <w:tr w:rsidR="00DC1800" w:rsidRPr="00054B3B" w14:paraId="432F6A26" w14:textId="77777777" w:rsidTr="00094682">
        <w:trPr>
          <w:trHeight w:val="425"/>
        </w:trPr>
        <w:tc>
          <w:tcPr>
            <w:tcW w:w="2977" w:type="dxa"/>
            <w:tcBorders>
              <w:top w:val="nil"/>
              <w:left w:val="nil"/>
              <w:bottom w:val="single" w:sz="4" w:space="0" w:color="auto"/>
              <w:right w:val="nil"/>
            </w:tcBorders>
            <w:shd w:val="clear" w:color="auto" w:fill="auto"/>
            <w:noWrap/>
            <w:vAlign w:val="center"/>
            <w:hideMark/>
          </w:tcPr>
          <w:p w14:paraId="5F36A7EC" w14:textId="77777777" w:rsidR="00DC1800" w:rsidRPr="00054B3B" w:rsidRDefault="00DC1800" w:rsidP="00094682">
            <w:pPr>
              <w:spacing w:after="0" w:line="240" w:lineRule="auto"/>
              <w:jc w:val="both"/>
              <w:rPr>
                <w:color w:val="000000"/>
                <w:sz w:val="18"/>
                <w:szCs w:val="18"/>
                <w:lang w:eastAsia="sk-SK"/>
              </w:rPr>
            </w:pPr>
            <w:r w:rsidRPr="00054B3B">
              <w:rPr>
                <w:color w:val="000000"/>
                <w:sz w:val="18"/>
                <w:szCs w:val="18"/>
                <w:lang w:eastAsia="sk-SK"/>
              </w:rPr>
              <w:t>Ostatné úpravy</w:t>
            </w:r>
          </w:p>
        </w:tc>
        <w:tc>
          <w:tcPr>
            <w:tcW w:w="1276" w:type="dxa"/>
            <w:tcBorders>
              <w:top w:val="nil"/>
              <w:left w:val="nil"/>
              <w:bottom w:val="single" w:sz="4" w:space="0" w:color="auto"/>
              <w:right w:val="nil"/>
            </w:tcBorders>
            <w:shd w:val="clear" w:color="auto" w:fill="auto"/>
            <w:noWrap/>
            <w:vAlign w:val="center"/>
            <w:hideMark/>
          </w:tcPr>
          <w:p w14:paraId="4ED4E2B9" w14:textId="77777777" w:rsidR="00DC1800" w:rsidRPr="00054B3B" w:rsidRDefault="00DC1800" w:rsidP="00094682">
            <w:pPr>
              <w:spacing w:after="0" w:line="240" w:lineRule="auto"/>
              <w:jc w:val="right"/>
              <w:rPr>
                <w:color w:val="000000"/>
                <w:sz w:val="18"/>
                <w:szCs w:val="18"/>
                <w:lang w:eastAsia="sk-SK"/>
              </w:rPr>
            </w:pPr>
            <w:r w:rsidRPr="00054B3B">
              <w:rPr>
                <w:color w:val="000000"/>
                <w:sz w:val="18"/>
                <w:szCs w:val="18"/>
                <w:lang w:eastAsia="sk-SK"/>
              </w:rPr>
              <w:t>-750</w:t>
            </w:r>
          </w:p>
        </w:tc>
        <w:tc>
          <w:tcPr>
            <w:tcW w:w="1460" w:type="dxa"/>
            <w:tcBorders>
              <w:top w:val="nil"/>
              <w:left w:val="nil"/>
              <w:bottom w:val="single" w:sz="4" w:space="0" w:color="auto"/>
              <w:right w:val="nil"/>
            </w:tcBorders>
            <w:shd w:val="clear" w:color="auto" w:fill="auto"/>
            <w:noWrap/>
            <w:vAlign w:val="center"/>
            <w:hideMark/>
          </w:tcPr>
          <w:p w14:paraId="580ABE47" w14:textId="77777777" w:rsidR="00DC1800" w:rsidRPr="00054B3B" w:rsidRDefault="00DC1800" w:rsidP="00094682">
            <w:pPr>
              <w:spacing w:after="0" w:line="240" w:lineRule="auto"/>
              <w:jc w:val="center"/>
              <w:rPr>
                <w:color w:val="000000"/>
                <w:sz w:val="18"/>
                <w:szCs w:val="18"/>
                <w:lang w:eastAsia="sk-SK"/>
              </w:rPr>
            </w:pPr>
            <w:r w:rsidRPr="00054B3B">
              <w:rPr>
                <w:color w:val="000000"/>
                <w:sz w:val="18"/>
                <w:szCs w:val="18"/>
                <w:lang w:eastAsia="sk-SK"/>
              </w:rPr>
              <w:t>-0,001</w:t>
            </w:r>
          </w:p>
        </w:tc>
        <w:tc>
          <w:tcPr>
            <w:tcW w:w="3427" w:type="dxa"/>
            <w:tcBorders>
              <w:top w:val="nil"/>
              <w:left w:val="nil"/>
              <w:bottom w:val="single" w:sz="4" w:space="0" w:color="auto"/>
              <w:right w:val="nil"/>
            </w:tcBorders>
            <w:shd w:val="clear" w:color="auto" w:fill="auto"/>
            <w:vAlign w:val="center"/>
            <w:hideMark/>
          </w:tcPr>
          <w:p w14:paraId="2F32994A" w14:textId="77777777" w:rsidR="00DC1800" w:rsidRPr="00054B3B" w:rsidRDefault="00DC1800" w:rsidP="00094682">
            <w:pPr>
              <w:spacing w:after="0" w:line="240" w:lineRule="auto"/>
              <w:jc w:val="center"/>
              <w:rPr>
                <w:sz w:val="18"/>
                <w:szCs w:val="18"/>
                <w:lang w:eastAsia="sk-SK"/>
              </w:rPr>
            </w:pPr>
            <w:r w:rsidRPr="00054B3B">
              <w:rPr>
                <w:sz w:val="18"/>
                <w:szCs w:val="18"/>
                <w:lang w:eastAsia="sk-SK"/>
              </w:rPr>
              <w:t>aktualizácia  príjmu z investičných dôchodkov</w:t>
            </w:r>
          </w:p>
        </w:tc>
      </w:tr>
      <w:tr w:rsidR="00DC1800" w:rsidRPr="00054B3B" w14:paraId="404C6FC7" w14:textId="77777777" w:rsidTr="00094682">
        <w:trPr>
          <w:trHeight w:val="415"/>
        </w:trPr>
        <w:tc>
          <w:tcPr>
            <w:tcW w:w="2977" w:type="dxa"/>
            <w:tcBorders>
              <w:top w:val="nil"/>
              <w:left w:val="nil"/>
              <w:bottom w:val="single" w:sz="8" w:space="0" w:color="auto"/>
              <w:right w:val="nil"/>
            </w:tcBorders>
            <w:shd w:val="clear" w:color="000000" w:fill="D9D9D9"/>
            <w:vAlign w:val="center"/>
            <w:hideMark/>
          </w:tcPr>
          <w:p w14:paraId="0D080B79" w14:textId="77777777" w:rsidR="00DC1800" w:rsidRPr="00054B3B" w:rsidRDefault="00DC1800" w:rsidP="00094682">
            <w:pPr>
              <w:spacing w:after="0" w:line="240" w:lineRule="auto"/>
              <w:rPr>
                <w:b/>
                <w:bCs/>
                <w:color w:val="000000"/>
                <w:sz w:val="18"/>
                <w:szCs w:val="18"/>
                <w:lang w:eastAsia="sk-SK"/>
              </w:rPr>
            </w:pPr>
            <w:r w:rsidRPr="00054B3B">
              <w:rPr>
                <w:b/>
                <w:bCs/>
                <w:color w:val="000000"/>
                <w:sz w:val="18"/>
                <w:szCs w:val="18"/>
                <w:lang w:eastAsia="sk-SK"/>
              </w:rPr>
              <w:t>Schodok VS - október 2021</w:t>
            </w:r>
          </w:p>
        </w:tc>
        <w:tc>
          <w:tcPr>
            <w:tcW w:w="1276" w:type="dxa"/>
            <w:tcBorders>
              <w:top w:val="nil"/>
              <w:left w:val="nil"/>
              <w:bottom w:val="single" w:sz="8" w:space="0" w:color="auto"/>
              <w:right w:val="nil"/>
            </w:tcBorders>
            <w:shd w:val="clear" w:color="000000" w:fill="D9D9D9"/>
            <w:vAlign w:val="center"/>
            <w:hideMark/>
          </w:tcPr>
          <w:p w14:paraId="08ACE85E" w14:textId="77777777" w:rsidR="00DC1800" w:rsidRPr="00054B3B" w:rsidRDefault="00DC1800" w:rsidP="00094682">
            <w:pPr>
              <w:spacing w:after="0" w:line="240" w:lineRule="auto"/>
              <w:jc w:val="right"/>
              <w:rPr>
                <w:b/>
                <w:bCs/>
                <w:color w:val="000000"/>
                <w:sz w:val="18"/>
                <w:szCs w:val="18"/>
                <w:lang w:eastAsia="sk-SK"/>
              </w:rPr>
            </w:pPr>
            <w:r w:rsidRPr="00054B3B">
              <w:rPr>
                <w:b/>
                <w:bCs/>
                <w:color w:val="000000"/>
                <w:sz w:val="18"/>
                <w:szCs w:val="18"/>
                <w:lang w:eastAsia="sk-SK"/>
              </w:rPr>
              <w:t>-5 061 841</w:t>
            </w:r>
          </w:p>
        </w:tc>
        <w:tc>
          <w:tcPr>
            <w:tcW w:w="1460" w:type="dxa"/>
            <w:tcBorders>
              <w:top w:val="nil"/>
              <w:left w:val="nil"/>
              <w:bottom w:val="single" w:sz="8" w:space="0" w:color="auto"/>
              <w:right w:val="nil"/>
            </w:tcBorders>
            <w:shd w:val="clear" w:color="000000" w:fill="D9D9D9"/>
            <w:vAlign w:val="center"/>
            <w:hideMark/>
          </w:tcPr>
          <w:p w14:paraId="6C5B1598" w14:textId="77777777" w:rsidR="00DC1800" w:rsidRPr="00054B3B" w:rsidRDefault="00DC1800" w:rsidP="00094682">
            <w:pPr>
              <w:spacing w:after="0" w:line="240" w:lineRule="auto"/>
              <w:jc w:val="center"/>
              <w:rPr>
                <w:b/>
                <w:bCs/>
                <w:color w:val="000000"/>
                <w:sz w:val="18"/>
                <w:szCs w:val="18"/>
                <w:lang w:eastAsia="sk-SK"/>
              </w:rPr>
            </w:pPr>
            <w:r w:rsidRPr="00054B3B">
              <w:rPr>
                <w:b/>
                <w:bCs/>
                <w:color w:val="000000"/>
                <w:sz w:val="18"/>
                <w:szCs w:val="18"/>
                <w:lang w:eastAsia="sk-SK"/>
              </w:rPr>
              <w:t>-5,50</w:t>
            </w:r>
          </w:p>
        </w:tc>
        <w:tc>
          <w:tcPr>
            <w:tcW w:w="3427" w:type="dxa"/>
            <w:tcBorders>
              <w:top w:val="nil"/>
              <w:left w:val="nil"/>
              <w:bottom w:val="single" w:sz="8" w:space="0" w:color="auto"/>
              <w:right w:val="nil"/>
            </w:tcBorders>
            <w:shd w:val="clear" w:color="000000" w:fill="D9D9D9"/>
            <w:vAlign w:val="center"/>
            <w:hideMark/>
          </w:tcPr>
          <w:p w14:paraId="7D5851F0" w14:textId="77777777" w:rsidR="00DC1800" w:rsidRPr="00054B3B" w:rsidRDefault="00DC1800" w:rsidP="00094682">
            <w:pPr>
              <w:spacing w:after="0" w:line="240" w:lineRule="auto"/>
              <w:jc w:val="center"/>
              <w:rPr>
                <w:b/>
                <w:bCs/>
                <w:color w:val="000000"/>
                <w:sz w:val="18"/>
                <w:szCs w:val="18"/>
                <w:lang w:eastAsia="sk-SK"/>
              </w:rPr>
            </w:pPr>
            <w:r w:rsidRPr="00054B3B">
              <w:rPr>
                <w:b/>
                <w:bCs/>
                <w:color w:val="000000"/>
                <w:sz w:val="18"/>
                <w:szCs w:val="18"/>
                <w:lang w:eastAsia="sk-SK"/>
              </w:rPr>
              <w:t> </w:t>
            </w:r>
          </w:p>
        </w:tc>
      </w:tr>
    </w:tbl>
    <w:p w14:paraId="4F690E6B" w14:textId="77777777" w:rsidR="00DC1800" w:rsidRDefault="00DC1800" w:rsidP="00DC1800">
      <w:pPr>
        <w:spacing w:after="0" w:line="240" w:lineRule="auto"/>
        <w:rPr>
          <w:sz w:val="16"/>
          <w:szCs w:val="16"/>
        </w:rPr>
      </w:pPr>
      <w:r>
        <w:rPr>
          <w:sz w:val="16"/>
          <w:szCs w:val="16"/>
        </w:rPr>
        <w:t xml:space="preserve">1) Percento schodku z aprílovej notifikácie je vyčíslené v pomere k HDP notifikovanom v apríli 2021.                                        </w:t>
      </w:r>
      <w:r w:rsidRPr="00A668ED">
        <w:rPr>
          <w:sz w:val="16"/>
          <w:szCs w:val="16"/>
        </w:rPr>
        <w:t>Zdroj</w:t>
      </w:r>
      <w:r w:rsidRPr="00A705CD">
        <w:rPr>
          <w:sz w:val="16"/>
          <w:szCs w:val="16"/>
        </w:rPr>
        <w:t>:</w:t>
      </w:r>
      <w:r>
        <w:rPr>
          <w:sz w:val="16"/>
          <w:szCs w:val="16"/>
        </w:rPr>
        <w:t> </w:t>
      </w:r>
      <w:r w:rsidRPr="00A705CD">
        <w:rPr>
          <w:sz w:val="16"/>
          <w:szCs w:val="16"/>
        </w:rPr>
        <w:t>MF</w:t>
      </w:r>
      <w:r>
        <w:rPr>
          <w:sz w:val="16"/>
          <w:szCs w:val="16"/>
        </w:rPr>
        <w:t> </w:t>
      </w:r>
      <w:r w:rsidRPr="00A705CD">
        <w:rPr>
          <w:sz w:val="16"/>
          <w:szCs w:val="16"/>
        </w:rPr>
        <w:t>SR</w:t>
      </w:r>
    </w:p>
    <w:p w14:paraId="0C5AF2A5" w14:textId="77777777" w:rsidR="00DC1800" w:rsidRPr="00A668ED" w:rsidRDefault="00DC1800" w:rsidP="00DC1800">
      <w:pPr>
        <w:spacing w:after="120" w:line="240" w:lineRule="auto"/>
        <w:rPr>
          <w:sz w:val="16"/>
          <w:szCs w:val="16"/>
        </w:rPr>
      </w:pPr>
      <w:r>
        <w:rPr>
          <w:sz w:val="16"/>
          <w:szCs w:val="16"/>
        </w:rPr>
        <w:t>Ostatné percentá sa vyčíslujú v pomere k HDP notifikovanom v októbri 2021.</w:t>
      </w:r>
    </w:p>
    <w:p w14:paraId="181B5A44" w14:textId="77777777" w:rsidR="00DC1800" w:rsidRDefault="00DC1800" w:rsidP="00DC1800">
      <w:pPr>
        <w:widowControl w:val="0"/>
        <w:spacing w:after="120" w:line="240" w:lineRule="auto"/>
        <w:jc w:val="both"/>
      </w:pPr>
      <w:r w:rsidRPr="00193B3B">
        <w:t>Úprava</w:t>
      </w:r>
      <w:r>
        <w:rPr>
          <w:rStyle w:val="Odkaznapoznmkupodiarou"/>
        </w:rPr>
        <w:footnoteReference w:id="3"/>
      </w:r>
      <w:r w:rsidRPr="00193B3B">
        <w:t xml:space="preserve"> hodnoty schodku verejnej správy vyčísleného </w:t>
      </w:r>
      <w:r>
        <w:t xml:space="preserve">v apríli </w:t>
      </w:r>
      <w:r w:rsidRPr="00193B3B">
        <w:t xml:space="preserve">v Štátnom záverečnom účte </w:t>
      </w:r>
      <w:r>
        <w:t>je</w:t>
      </w:r>
      <w:r w:rsidRPr="00193B3B">
        <w:t xml:space="preserve"> pri jesennej notifikácii ovplyvnená </w:t>
      </w:r>
      <w:r>
        <w:t>aktualizáciami a metodickými zmenami. Aktualizácie sú k</w:t>
      </w:r>
      <w:r w:rsidRPr="00193B3B">
        <w:t>aždoročne sa opakujúc</w:t>
      </w:r>
      <w:r>
        <w:t>e spresnenia zdrojových dát (napríklad príjem z daní a odvodov)</w:t>
      </w:r>
      <w:r w:rsidRPr="00193B3B">
        <w:t xml:space="preserve"> a</w:t>
      </w:r>
      <w:r>
        <w:t>lebo </w:t>
      </w:r>
      <w:r w:rsidRPr="00193B3B">
        <w:t>jednorazov</w:t>
      </w:r>
      <w:r>
        <w:t>o sa vyskytujúce</w:t>
      </w:r>
      <w:r w:rsidRPr="00193B3B">
        <w:t xml:space="preserve"> </w:t>
      </w:r>
      <w:r>
        <w:t xml:space="preserve">úpravy v danom roku na základe zistenia nových skutočností. Metodickými zmenami rozumieme úpravy napríklad na základe rozhodnutia </w:t>
      </w:r>
      <w:proofErr w:type="spellStart"/>
      <w:r>
        <w:t>Eurostatu</w:t>
      </w:r>
      <w:proofErr w:type="spellEnd"/>
      <w:r>
        <w:t xml:space="preserve"> o posúdení zaznamenania predmetnej transakcie alebo na základe záverov dialógovej misie </w:t>
      </w:r>
      <w:proofErr w:type="spellStart"/>
      <w:r>
        <w:t>Eurostatu</w:t>
      </w:r>
      <w:proofErr w:type="spellEnd"/>
      <w:r>
        <w:t>)</w:t>
      </w:r>
      <w:r w:rsidRPr="00193B3B">
        <w:t xml:space="preserve">. </w:t>
      </w:r>
    </w:p>
    <w:p w14:paraId="6C62B0A0" w14:textId="77777777" w:rsidR="00DC1800" w:rsidRDefault="00DC1800" w:rsidP="00DC1800">
      <w:pPr>
        <w:widowControl w:val="0"/>
        <w:spacing w:after="120" w:line="240" w:lineRule="auto"/>
        <w:jc w:val="both"/>
      </w:pPr>
      <w:r>
        <w:t xml:space="preserve">Vplyv metodických zmien bol pozitívny a predstavoval spolu 18 499 tis. eur resp. 0,02 % HDP. Vplyv aktualizácie údajov sa podieľal na úpravách pozitívne sumou 528 426 tis eur, čo prestavuje 0,6 % HDP. </w:t>
      </w:r>
    </w:p>
    <w:p w14:paraId="211EE6BC" w14:textId="77777777" w:rsidR="00DC1800" w:rsidRPr="0039640B" w:rsidRDefault="00DC1800" w:rsidP="00DC1800">
      <w:pPr>
        <w:spacing w:after="120" w:line="240" w:lineRule="auto"/>
        <w:jc w:val="both"/>
        <w:rPr>
          <w:b/>
          <w:color w:val="0070C0"/>
          <w:sz w:val="24"/>
          <w:szCs w:val="24"/>
        </w:rPr>
      </w:pPr>
      <w:r w:rsidRPr="0039640B">
        <w:rPr>
          <w:b/>
          <w:color w:val="0070C0"/>
          <w:sz w:val="24"/>
          <w:szCs w:val="24"/>
        </w:rPr>
        <w:t>Aktualizácie schodku verejnej správy pri jesennej notifikácii</w:t>
      </w:r>
    </w:p>
    <w:p w14:paraId="3729B1F8" w14:textId="77777777" w:rsidR="003F68A8" w:rsidRDefault="00DC1800" w:rsidP="003F68A8">
      <w:pPr>
        <w:pStyle w:val="Odsekzoznamu"/>
        <w:numPr>
          <w:ilvl w:val="0"/>
          <w:numId w:val="31"/>
        </w:numPr>
        <w:spacing w:after="120"/>
        <w:ind w:left="697" w:hanging="357"/>
        <w:jc w:val="both"/>
        <w:rPr>
          <w:rFonts w:cs="Times New Roman"/>
        </w:rPr>
      </w:pPr>
      <w:r w:rsidRPr="00AE7579">
        <w:rPr>
          <w:rFonts w:cs="Times New Roman"/>
          <w:b/>
        </w:rPr>
        <w:t>aktualizácia údajov o výške akruálnych daní</w:t>
      </w:r>
      <w:r w:rsidRPr="00AE7579">
        <w:rPr>
          <w:rFonts w:cs="Times New Roman"/>
        </w:rPr>
        <w:t xml:space="preserve"> na základe daňových priznaní za rok 2020. Celkový vplyv aktualizácie príjmov z daní bol pozitívny v hodnote 520 940 tis. eur, z toho najväčší vplyv mala DPPO (471 509 tis. eur), DPFO (22 251 tis. eur), daň z motorových vozidiel (17 167 tis. eur), a osobitný odvod z podnikania v regulovaných odvetviach (14 319 tis. eur). Negatívne sa zmenila DPH o 6 966 tis. eur.</w:t>
      </w:r>
    </w:p>
    <w:p w14:paraId="759591F1" w14:textId="76849373" w:rsidR="00DC1800" w:rsidRPr="003F68A8" w:rsidRDefault="00DC1800" w:rsidP="003F68A8">
      <w:pPr>
        <w:spacing w:line="240" w:lineRule="auto"/>
        <w:ind w:left="708" w:hanging="11"/>
        <w:jc w:val="both"/>
      </w:pPr>
      <w:r w:rsidRPr="003F68A8">
        <w:t xml:space="preserve">Výraznejšia revízia daňovo-odvodových príjmov medzi aprílovou a októbrovou notifikáciou ide na vrub najmä </w:t>
      </w:r>
      <w:proofErr w:type="spellStart"/>
      <w:r w:rsidRPr="003F68A8">
        <w:t>korporátnej</w:t>
      </w:r>
      <w:proofErr w:type="spellEnd"/>
      <w:r w:rsidRPr="003F68A8">
        <w:t xml:space="preserve"> dani.</w:t>
      </w:r>
      <w:r w:rsidRPr="003F68A8">
        <w:rPr>
          <w:b/>
        </w:rPr>
        <w:t xml:space="preserve"> </w:t>
      </w:r>
      <w:r w:rsidRPr="003F68A8">
        <w:t xml:space="preserve">V apríli 2021 neboli dostupné údaje z daňových priznaní za rok 2020 a predpokladalo sa, že prepad bude podobný ako v kríze v roku 2009. Aktuálne čísla na základe takmer finálnych daňových priznaní za rok 2020 naznačujú, že vývoj nepriniesol očakávaný prepad </w:t>
      </w:r>
      <w:proofErr w:type="spellStart"/>
      <w:r w:rsidRPr="003F68A8">
        <w:t>korporátnej</w:t>
      </w:r>
      <w:proofErr w:type="spellEnd"/>
      <w:r w:rsidRPr="003F68A8">
        <w:t xml:space="preserve"> dane, avšak poukázal na výraznejšie rozdiely v štruktúre firiem. Produktívnych firiem, ktoré platia daň, je relatívne málo a ide skôr o väčšie subjekty. Práve tieto firmy zaplatili veľmi podobnú daňovú povinnosť ako v predkrízovom roku 2019 (Graf </w:t>
      </w:r>
      <w:r w:rsidR="002412C1">
        <w:t>1</w:t>
      </w:r>
      <w:r w:rsidRPr="003F68A8">
        <w:t>).</w:t>
      </w:r>
    </w:p>
    <w:tbl>
      <w:tblPr>
        <w:tblW w:w="4635" w:type="pct"/>
        <w:tblInd w:w="66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1E0" w:firstRow="1" w:lastRow="1" w:firstColumn="1" w:lastColumn="1" w:noHBand="0" w:noVBand="0"/>
      </w:tblPr>
      <w:tblGrid>
        <w:gridCol w:w="4139"/>
        <w:gridCol w:w="132"/>
        <w:gridCol w:w="40"/>
        <w:gridCol w:w="134"/>
        <w:gridCol w:w="4094"/>
        <w:gridCol w:w="132"/>
      </w:tblGrid>
      <w:tr w:rsidR="00DC1800" w:rsidRPr="008435F9" w14:paraId="56A8CFD5" w14:textId="77777777" w:rsidTr="00404A09">
        <w:trPr>
          <w:gridAfter w:val="1"/>
          <w:wAfter w:w="76" w:type="pct"/>
          <w:trHeight w:hRule="exact" w:val="493"/>
          <w:tblHeader/>
        </w:trPr>
        <w:tc>
          <w:tcPr>
            <w:tcW w:w="2387" w:type="pct"/>
            <w:tcBorders>
              <w:top w:val="nil"/>
              <w:left w:val="nil"/>
              <w:bottom w:val="single" w:sz="4" w:space="0" w:color="auto"/>
              <w:right w:val="nil"/>
            </w:tcBorders>
            <w:shd w:val="clear" w:color="auto" w:fill="000000" w:themeFill="text1"/>
            <w:vAlign w:val="center"/>
          </w:tcPr>
          <w:p w14:paraId="060CCF67" w14:textId="07BF9A01" w:rsidR="00DC1800" w:rsidRPr="00404A09" w:rsidRDefault="00DC1800" w:rsidP="002412C1">
            <w:pPr>
              <w:spacing w:after="0" w:line="240" w:lineRule="auto"/>
              <w:rPr>
                <w:bCs/>
                <w:color w:val="FFFFFF" w:themeColor="background1"/>
                <w:sz w:val="20"/>
                <w:szCs w:val="20"/>
              </w:rPr>
            </w:pPr>
            <w:r w:rsidRPr="00404A09">
              <w:rPr>
                <w:bCs/>
                <w:color w:val="FFFFFF" w:themeColor="background1"/>
                <w:sz w:val="20"/>
                <w:szCs w:val="20"/>
              </w:rPr>
              <w:lastRenderedPageBreak/>
              <w:t xml:space="preserve">Graf </w:t>
            </w:r>
            <w:r w:rsidR="002412C1" w:rsidRPr="00404A09">
              <w:rPr>
                <w:bCs/>
                <w:color w:val="FFFFFF" w:themeColor="background1"/>
                <w:sz w:val="20"/>
                <w:szCs w:val="20"/>
              </w:rPr>
              <w:t>1</w:t>
            </w:r>
            <w:r w:rsidRPr="00404A09">
              <w:rPr>
                <w:bCs/>
                <w:color w:val="FFFFFF" w:themeColor="background1"/>
                <w:sz w:val="20"/>
                <w:szCs w:val="20"/>
              </w:rPr>
              <w:t>:</w:t>
            </w:r>
            <w:r w:rsidRPr="00404A09">
              <w:rPr>
                <w:color w:val="FFFFFF" w:themeColor="background1"/>
                <w:sz w:val="20"/>
                <w:szCs w:val="20"/>
              </w:rPr>
              <w:t xml:space="preserve"> </w:t>
            </w:r>
            <w:r w:rsidRPr="00404A09">
              <w:rPr>
                <w:bCs/>
                <w:color w:val="FFFFFF" w:themeColor="background1"/>
                <w:sz w:val="20"/>
                <w:szCs w:val="20"/>
              </w:rPr>
              <w:t>Pokles dane podľa veľkosti   (medziročne)</w:t>
            </w:r>
          </w:p>
        </w:tc>
        <w:tc>
          <w:tcPr>
            <w:tcW w:w="99" w:type="pct"/>
            <w:gridSpan w:val="2"/>
            <w:tcBorders>
              <w:top w:val="nil"/>
              <w:left w:val="nil"/>
              <w:bottom w:val="nil"/>
              <w:right w:val="nil"/>
            </w:tcBorders>
            <w:shd w:val="clear" w:color="auto" w:fill="000000" w:themeFill="text1"/>
            <w:vAlign w:val="center"/>
          </w:tcPr>
          <w:p w14:paraId="347D57D8" w14:textId="77777777" w:rsidR="00DC1800" w:rsidRPr="00404A09" w:rsidRDefault="00DC1800" w:rsidP="00094682">
            <w:pPr>
              <w:spacing w:after="0" w:line="240" w:lineRule="auto"/>
              <w:ind w:left="709" w:hanging="12"/>
              <w:rPr>
                <w:b/>
                <w:color w:val="FFFFFF" w:themeColor="background1"/>
                <w:sz w:val="20"/>
                <w:szCs w:val="20"/>
              </w:rPr>
            </w:pPr>
          </w:p>
        </w:tc>
        <w:tc>
          <w:tcPr>
            <w:tcW w:w="2438" w:type="pct"/>
            <w:gridSpan w:val="2"/>
            <w:tcBorders>
              <w:top w:val="nil"/>
              <w:left w:val="nil"/>
              <w:bottom w:val="single" w:sz="4" w:space="0" w:color="auto"/>
              <w:right w:val="nil"/>
            </w:tcBorders>
            <w:shd w:val="clear" w:color="auto" w:fill="000000" w:themeFill="text1"/>
            <w:vAlign w:val="center"/>
          </w:tcPr>
          <w:p w14:paraId="479FC080" w14:textId="64FA2597" w:rsidR="00DC1800" w:rsidRPr="00404A09" w:rsidRDefault="00DC1800" w:rsidP="002412C1">
            <w:pPr>
              <w:spacing w:after="0" w:line="240" w:lineRule="auto"/>
              <w:rPr>
                <w:b/>
                <w:color w:val="FFFFFF" w:themeColor="background1"/>
                <w:sz w:val="20"/>
                <w:szCs w:val="20"/>
              </w:rPr>
            </w:pPr>
            <w:r w:rsidRPr="00404A09">
              <w:rPr>
                <w:bCs/>
                <w:color w:val="FFFFFF" w:themeColor="background1"/>
                <w:sz w:val="20"/>
                <w:szCs w:val="20"/>
              </w:rPr>
              <w:t xml:space="preserve">Graf </w:t>
            </w:r>
            <w:r w:rsidR="002412C1" w:rsidRPr="00404A09">
              <w:rPr>
                <w:bCs/>
                <w:color w:val="FFFFFF" w:themeColor="background1"/>
                <w:sz w:val="20"/>
                <w:szCs w:val="20"/>
              </w:rPr>
              <w:t>2</w:t>
            </w:r>
            <w:r w:rsidRPr="00404A09">
              <w:rPr>
                <w:bCs/>
                <w:color w:val="FFFFFF" w:themeColor="background1"/>
                <w:sz w:val="20"/>
                <w:szCs w:val="20"/>
              </w:rPr>
              <w:t xml:space="preserve">: Relatívna zmena daňovej povinnosti po sektoroch (2020 </w:t>
            </w:r>
            <w:proofErr w:type="spellStart"/>
            <w:r w:rsidRPr="00404A09">
              <w:rPr>
                <w:bCs/>
                <w:color w:val="FFFFFF" w:themeColor="background1"/>
                <w:sz w:val="20"/>
                <w:szCs w:val="20"/>
              </w:rPr>
              <w:t>vs</w:t>
            </w:r>
            <w:proofErr w:type="spellEnd"/>
            <w:r w:rsidRPr="00404A09">
              <w:rPr>
                <w:bCs/>
                <w:color w:val="FFFFFF" w:themeColor="background1"/>
                <w:sz w:val="20"/>
                <w:szCs w:val="20"/>
              </w:rPr>
              <w:t>. 2019)</w:t>
            </w:r>
          </w:p>
        </w:tc>
      </w:tr>
      <w:tr w:rsidR="00DC1800" w:rsidRPr="008435F9" w14:paraId="3DEEFFA0" w14:textId="77777777" w:rsidTr="00094682">
        <w:trPr>
          <w:trHeight w:val="2642"/>
        </w:trPr>
        <w:tc>
          <w:tcPr>
            <w:tcW w:w="2463" w:type="pct"/>
            <w:gridSpan w:val="2"/>
            <w:tcBorders>
              <w:top w:val="single" w:sz="4" w:space="0" w:color="auto"/>
              <w:left w:val="nil"/>
              <w:bottom w:val="single" w:sz="4" w:space="0" w:color="auto"/>
              <w:right w:val="nil"/>
            </w:tcBorders>
            <w:shd w:val="clear" w:color="auto" w:fill="auto"/>
            <w:vAlign w:val="center"/>
          </w:tcPr>
          <w:p w14:paraId="2539F659" w14:textId="77777777" w:rsidR="00DC1800" w:rsidRPr="008435F9" w:rsidRDefault="00DC1800" w:rsidP="00094682">
            <w:pPr>
              <w:spacing w:before="40" w:after="40"/>
              <w:ind w:left="120" w:hanging="284"/>
              <w:jc w:val="center"/>
              <w:rPr>
                <w:b/>
                <w:sz w:val="20"/>
                <w:szCs w:val="20"/>
              </w:rPr>
            </w:pPr>
            <w:r w:rsidRPr="008435F9">
              <w:rPr>
                <w:b/>
                <w:noProof/>
                <w:sz w:val="20"/>
                <w:szCs w:val="20"/>
                <w:lang w:eastAsia="sk-SK"/>
              </w:rPr>
              <w:drawing>
                <wp:inline distT="0" distB="0" distL="0" distR="0" wp14:anchorId="71C76BFD" wp14:editId="0A86CC1D">
                  <wp:extent cx="2127885" cy="1493520"/>
                  <wp:effectExtent l="0" t="0" r="5715" b="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9421" cy="1529692"/>
                          </a:xfrm>
                          <a:prstGeom prst="rect">
                            <a:avLst/>
                          </a:prstGeom>
                          <a:noFill/>
                        </pic:spPr>
                      </pic:pic>
                    </a:graphicData>
                  </a:graphic>
                </wp:inline>
              </w:drawing>
            </w:r>
          </w:p>
        </w:tc>
        <w:tc>
          <w:tcPr>
            <w:tcW w:w="100" w:type="pct"/>
            <w:gridSpan w:val="2"/>
            <w:tcBorders>
              <w:top w:val="nil"/>
              <w:left w:val="nil"/>
              <w:bottom w:val="nil"/>
              <w:right w:val="nil"/>
            </w:tcBorders>
            <w:vAlign w:val="center"/>
          </w:tcPr>
          <w:p w14:paraId="3BAC7140" w14:textId="77777777" w:rsidR="00DC1800" w:rsidRPr="008435F9" w:rsidRDefault="00DC1800" w:rsidP="00094682">
            <w:pPr>
              <w:spacing w:before="40" w:after="40"/>
              <w:ind w:left="709" w:hanging="12"/>
              <w:jc w:val="center"/>
              <w:rPr>
                <w:b/>
                <w:sz w:val="20"/>
                <w:szCs w:val="20"/>
              </w:rPr>
            </w:pPr>
          </w:p>
        </w:tc>
        <w:tc>
          <w:tcPr>
            <w:tcW w:w="2437" w:type="pct"/>
            <w:gridSpan w:val="2"/>
            <w:tcBorders>
              <w:top w:val="single" w:sz="4" w:space="0" w:color="auto"/>
              <w:left w:val="nil"/>
              <w:bottom w:val="single" w:sz="4" w:space="0" w:color="auto"/>
              <w:right w:val="nil"/>
            </w:tcBorders>
            <w:shd w:val="clear" w:color="auto" w:fill="auto"/>
            <w:vAlign w:val="center"/>
          </w:tcPr>
          <w:p w14:paraId="61817193" w14:textId="77777777" w:rsidR="00DC1800" w:rsidRPr="008435F9" w:rsidRDefault="00DC1800" w:rsidP="00094682">
            <w:pPr>
              <w:spacing w:after="0"/>
              <w:ind w:left="709" w:hanging="12"/>
              <w:rPr>
                <w:sz w:val="20"/>
                <w:szCs w:val="20"/>
              </w:rPr>
            </w:pPr>
            <w:r w:rsidRPr="008435F9">
              <w:rPr>
                <w:noProof/>
                <w:sz w:val="20"/>
                <w:szCs w:val="20"/>
                <w:lang w:eastAsia="sk-SK"/>
              </w:rPr>
              <w:drawing>
                <wp:anchor distT="0" distB="0" distL="114300" distR="114300" simplePos="0" relativeHeight="251659264" behindDoc="0" locked="0" layoutInCell="1" allowOverlap="1" wp14:anchorId="70512A1B" wp14:editId="74C94923">
                  <wp:simplePos x="0" y="0"/>
                  <wp:positionH relativeFrom="column">
                    <wp:posOffset>-49530</wp:posOffset>
                  </wp:positionH>
                  <wp:positionV relativeFrom="margin">
                    <wp:posOffset>114300</wp:posOffset>
                  </wp:positionV>
                  <wp:extent cx="2566800" cy="1533600"/>
                  <wp:effectExtent l="0" t="0" r="0" b="0"/>
                  <wp:wrapSquare wrapText="bothSides"/>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6800" cy="1533600"/>
                          </a:xfrm>
                          <a:prstGeom prst="rect">
                            <a:avLst/>
                          </a:prstGeom>
                          <a:noFill/>
                        </pic:spPr>
                      </pic:pic>
                    </a:graphicData>
                  </a:graphic>
                  <wp14:sizeRelH relativeFrom="page">
                    <wp14:pctWidth>0</wp14:pctWidth>
                  </wp14:sizeRelH>
                  <wp14:sizeRelV relativeFrom="page">
                    <wp14:pctHeight>0</wp14:pctHeight>
                  </wp14:sizeRelV>
                </wp:anchor>
              </w:drawing>
            </w:r>
          </w:p>
        </w:tc>
      </w:tr>
      <w:tr w:rsidR="00DC1800" w:rsidRPr="008435F9" w14:paraId="0AC2EEED" w14:textId="77777777" w:rsidTr="00094682">
        <w:trPr>
          <w:trHeight w:hRule="exact" w:val="368"/>
        </w:trPr>
        <w:tc>
          <w:tcPr>
            <w:tcW w:w="2463" w:type="pct"/>
            <w:gridSpan w:val="2"/>
            <w:tcBorders>
              <w:top w:val="single" w:sz="4" w:space="0" w:color="auto"/>
              <w:left w:val="nil"/>
              <w:bottom w:val="nil"/>
              <w:right w:val="nil"/>
            </w:tcBorders>
          </w:tcPr>
          <w:p w14:paraId="14D17432" w14:textId="77777777" w:rsidR="00DC1800" w:rsidRPr="008435F9" w:rsidRDefault="00DC1800" w:rsidP="00094682">
            <w:pPr>
              <w:spacing w:before="40" w:after="40"/>
              <w:ind w:left="709" w:hanging="12"/>
              <w:contextualSpacing/>
              <w:jc w:val="right"/>
              <w:rPr>
                <w:i/>
                <w:sz w:val="20"/>
                <w:szCs w:val="20"/>
              </w:rPr>
            </w:pPr>
          </w:p>
        </w:tc>
        <w:tc>
          <w:tcPr>
            <w:tcW w:w="100" w:type="pct"/>
            <w:gridSpan w:val="2"/>
            <w:tcBorders>
              <w:top w:val="nil"/>
              <w:left w:val="nil"/>
              <w:bottom w:val="nil"/>
              <w:right w:val="nil"/>
            </w:tcBorders>
          </w:tcPr>
          <w:p w14:paraId="42635830" w14:textId="77777777" w:rsidR="00DC1800" w:rsidRPr="008435F9" w:rsidRDefault="00DC1800" w:rsidP="00094682">
            <w:pPr>
              <w:ind w:left="709" w:hanging="12"/>
              <w:contextualSpacing/>
              <w:jc w:val="center"/>
              <w:rPr>
                <w:i/>
                <w:sz w:val="20"/>
                <w:szCs w:val="20"/>
              </w:rPr>
            </w:pPr>
          </w:p>
        </w:tc>
        <w:tc>
          <w:tcPr>
            <w:tcW w:w="2437" w:type="pct"/>
            <w:gridSpan w:val="2"/>
            <w:tcBorders>
              <w:top w:val="single" w:sz="4" w:space="0" w:color="auto"/>
              <w:left w:val="nil"/>
              <w:bottom w:val="nil"/>
              <w:right w:val="nil"/>
            </w:tcBorders>
          </w:tcPr>
          <w:p w14:paraId="783B01DA" w14:textId="77777777" w:rsidR="00DC1800" w:rsidRPr="00613C17" w:rsidRDefault="00DC1800" w:rsidP="00094682">
            <w:pPr>
              <w:spacing w:before="40" w:after="40"/>
              <w:ind w:left="709" w:hanging="12"/>
              <w:contextualSpacing/>
              <w:jc w:val="right"/>
              <w:rPr>
                <w:i/>
                <w:sz w:val="16"/>
                <w:szCs w:val="16"/>
              </w:rPr>
            </w:pPr>
            <w:r w:rsidRPr="00613C17">
              <w:rPr>
                <w:i/>
                <w:iCs/>
                <w:sz w:val="16"/>
                <w:szCs w:val="16"/>
              </w:rPr>
              <w:t>Zdroj: Priznania DP</w:t>
            </w:r>
            <w:r>
              <w:rPr>
                <w:i/>
                <w:iCs/>
                <w:sz w:val="16"/>
                <w:szCs w:val="16"/>
              </w:rPr>
              <w:t>,</w:t>
            </w:r>
            <w:r w:rsidRPr="00613C17">
              <w:rPr>
                <w:i/>
                <w:iCs/>
                <w:sz w:val="16"/>
                <w:szCs w:val="16"/>
              </w:rPr>
              <w:t xml:space="preserve"> IFP</w:t>
            </w:r>
          </w:p>
        </w:tc>
      </w:tr>
    </w:tbl>
    <w:p w14:paraId="7354AEC5" w14:textId="0A830B91" w:rsidR="00DC1800" w:rsidRDefault="00DC1800" w:rsidP="00DC1800">
      <w:pPr>
        <w:pStyle w:val="Obyajntext"/>
        <w:ind w:left="709" w:hanging="12"/>
        <w:jc w:val="both"/>
        <w:rPr>
          <w:szCs w:val="22"/>
        </w:rPr>
      </w:pPr>
      <w:r w:rsidRPr="008435F9">
        <w:rPr>
          <w:b/>
          <w:szCs w:val="22"/>
        </w:rPr>
        <w:t>Sektorový pohľad nám ukazuje, že sa darí firmám s vysokou pridanou hodnotou.</w:t>
      </w:r>
      <w:r w:rsidRPr="008435F9">
        <w:rPr>
          <w:szCs w:val="22"/>
        </w:rPr>
        <w:t xml:space="preserve"> Sektory financií, energetiky a ťažby uspeli aj počas krízy. Vďaka silnej domácej spotrebe podporil </w:t>
      </w:r>
      <w:proofErr w:type="spellStart"/>
      <w:r w:rsidRPr="008435F9">
        <w:rPr>
          <w:szCs w:val="22"/>
        </w:rPr>
        <w:t>korporátnu</w:t>
      </w:r>
      <w:proofErr w:type="spellEnd"/>
      <w:r w:rsidRPr="008435F9">
        <w:rPr>
          <w:szCs w:val="22"/>
        </w:rPr>
        <w:t xml:space="preserve"> daň aj maloobchod. Prepadol sa priemysel, ktorý je napriek tomu oporou dane s 25 % podielom na celkovom výnose (Graf </w:t>
      </w:r>
      <w:r w:rsidR="002412C1">
        <w:rPr>
          <w:szCs w:val="22"/>
        </w:rPr>
        <w:t>2</w:t>
      </w:r>
      <w:r w:rsidRPr="008435F9">
        <w:rPr>
          <w:szCs w:val="22"/>
        </w:rPr>
        <w:t xml:space="preserve"> a </w:t>
      </w:r>
      <w:r w:rsidR="002412C1">
        <w:rPr>
          <w:szCs w:val="22"/>
        </w:rPr>
        <w:t>3</w:t>
      </w:r>
      <w:r w:rsidRPr="008435F9">
        <w:rPr>
          <w:szCs w:val="22"/>
        </w:rPr>
        <w:t>). Na opačnom konci sú sektory ako umenie, ubytovanie, reštaurácie a poľnohospodárstvo, kde je pridaná hodnota nižšia. Aj keď 44</w:t>
      </w:r>
      <w:r>
        <w:rPr>
          <w:szCs w:val="22"/>
        </w:rPr>
        <w:t> </w:t>
      </w:r>
      <w:r w:rsidRPr="008435F9">
        <w:rPr>
          <w:szCs w:val="22"/>
        </w:rPr>
        <w:t>-</w:t>
      </w:r>
      <w:r>
        <w:rPr>
          <w:szCs w:val="22"/>
        </w:rPr>
        <w:t> </w:t>
      </w:r>
      <w:r w:rsidRPr="008435F9">
        <w:rPr>
          <w:szCs w:val="22"/>
        </w:rPr>
        <w:t>percentný prepad zaplatenej dane v ubytovaní a reštauráciách je výrazný, tento sektor dlhodobo generoval oveľa viac strát v porovnaní s ostatnými sektormi. Iný pohľad sa ukazuje cez porovnanie zmeny tržieb a zmeny dane. Sektory ako ubytovanie a reštaurácie, priemysel ale aj profesionáln</w:t>
      </w:r>
      <w:r>
        <w:rPr>
          <w:szCs w:val="22"/>
        </w:rPr>
        <w:t>e</w:t>
      </w:r>
      <w:r w:rsidRPr="008435F9">
        <w:rPr>
          <w:szCs w:val="22"/>
        </w:rPr>
        <w:t xml:space="preserve"> služby mali menší pokles tržieb ako bol pokles dane (Graf </w:t>
      </w:r>
      <w:r w:rsidR="002412C1">
        <w:rPr>
          <w:szCs w:val="22"/>
        </w:rPr>
        <w:t>4</w:t>
      </w:r>
      <w:r w:rsidRPr="008435F9">
        <w:rPr>
          <w:szCs w:val="22"/>
        </w:rPr>
        <w:t>).</w:t>
      </w:r>
    </w:p>
    <w:p w14:paraId="12C1B002" w14:textId="77777777" w:rsidR="00DC1800" w:rsidRPr="008435F9" w:rsidRDefault="00DC1800" w:rsidP="00DC1800">
      <w:pPr>
        <w:pStyle w:val="Obyajntext"/>
        <w:ind w:left="709" w:hanging="12"/>
        <w:jc w:val="both"/>
        <w:rPr>
          <w:szCs w:val="22"/>
        </w:rPr>
      </w:pPr>
    </w:p>
    <w:tbl>
      <w:tblPr>
        <w:tblpPr w:leftFromText="141" w:rightFromText="141" w:vertAnchor="text" w:horzAnchor="margin" w:tblpXSpec="right" w:tblpY="4"/>
        <w:tblOverlap w:val="never"/>
        <w:tblW w:w="461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1E0" w:firstRow="1" w:lastRow="1" w:firstColumn="1" w:lastColumn="1" w:noHBand="0" w:noVBand="0"/>
      </w:tblPr>
      <w:tblGrid>
        <w:gridCol w:w="4341"/>
        <w:gridCol w:w="178"/>
        <w:gridCol w:w="4105"/>
      </w:tblGrid>
      <w:tr w:rsidR="00DC1800" w:rsidRPr="00A82F7F" w14:paraId="2C1F6901" w14:textId="77777777" w:rsidTr="00404A09">
        <w:trPr>
          <w:trHeight w:hRule="exact" w:val="477"/>
        </w:trPr>
        <w:tc>
          <w:tcPr>
            <w:tcW w:w="2517" w:type="pct"/>
            <w:tcBorders>
              <w:top w:val="nil"/>
              <w:left w:val="nil"/>
              <w:bottom w:val="single" w:sz="4" w:space="0" w:color="auto"/>
              <w:right w:val="nil"/>
            </w:tcBorders>
            <w:shd w:val="clear" w:color="auto" w:fill="000000" w:themeFill="text1"/>
            <w:vAlign w:val="center"/>
          </w:tcPr>
          <w:p w14:paraId="2B89FAB2" w14:textId="74A2E7C1" w:rsidR="00DC1800" w:rsidRPr="00404A09" w:rsidRDefault="00DC1800" w:rsidP="002412C1">
            <w:pPr>
              <w:spacing w:after="0" w:line="240" w:lineRule="auto"/>
              <w:ind w:left="-70"/>
              <w:rPr>
                <w:bCs/>
                <w:color w:val="FFFFFF" w:themeColor="background1"/>
                <w:sz w:val="20"/>
                <w:szCs w:val="20"/>
              </w:rPr>
            </w:pPr>
            <w:r w:rsidRPr="00404A09">
              <w:rPr>
                <w:bCs/>
                <w:color w:val="FFFFFF" w:themeColor="background1"/>
                <w:sz w:val="20"/>
                <w:szCs w:val="20"/>
              </w:rPr>
              <w:t xml:space="preserve">Graf </w:t>
            </w:r>
            <w:r w:rsidR="002412C1" w:rsidRPr="00404A09">
              <w:rPr>
                <w:bCs/>
                <w:color w:val="FFFFFF" w:themeColor="background1"/>
                <w:sz w:val="20"/>
                <w:szCs w:val="20"/>
              </w:rPr>
              <w:t>3</w:t>
            </w:r>
            <w:r w:rsidRPr="00404A09">
              <w:rPr>
                <w:bCs/>
                <w:color w:val="FFFFFF" w:themeColor="background1"/>
                <w:sz w:val="20"/>
                <w:szCs w:val="20"/>
              </w:rPr>
              <w:t>: Zmena daňovej povinnosti medzi rokmi 2020 a 2019 (mil. eur, nominálna zmena)</w:t>
            </w:r>
          </w:p>
        </w:tc>
        <w:tc>
          <w:tcPr>
            <w:tcW w:w="103" w:type="pct"/>
            <w:tcBorders>
              <w:top w:val="nil"/>
              <w:left w:val="nil"/>
              <w:bottom w:val="nil"/>
              <w:right w:val="nil"/>
            </w:tcBorders>
            <w:shd w:val="clear" w:color="auto" w:fill="000000" w:themeFill="text1"/>
            <w:vAlign w:val="center"/>
          </w:tcPr>
          <w:p w14:paraId="67633A74" w14:textId="77777777" w:rsidR="00DC1800" w:rsidRPr="00404A09" w:rsidRDefault="00DC1800" w:rsidP="00094682">
            <w:pPr>
              <w:spacing w:after="0" w:line="240" w:lineRule="auto"/>
              <w:ind w:left="709" w:hanging="12"/>
              <w:rPr>
                <w:b/>
                <w:color w:val="FFFFFF" w:themeColor="background1"/>
                <w:sz w:val="20"/>
                <w:szCs w:val="20"/>
              </w:rPr>
            </w:pPr>
          </w:p>
        </w:tc>
        <w:tc>
          <w:tcPr>
            <w:tcW w:w="2380" w:type="pct"/>
            <w:tcBorders>
              <w:top w:val="nil"/>
              <w:left w:val="nil"/>
              <w:bottom w:val="single" w:sz="4" w:space="0" w:color="auto"/>
              <w:right w:val="nil"/>
            </w:tcBorders>
            <w:shd w:val="clear" w:color="auto" w:fill="000000" w:themeFill="text1"/>
            <w:vAlign w:val="center"/>
          </w:tcPr>
          <w:p w14:paraId="64C67265" w14:textId="34EEFD2E" w:rsidR="00DC1800" w:rsidRPr="00404A09" w:rsidRDefault="00DC1800" w:rsidP="002412C1">
            <w:pPr>
              <w:spacing w:after="0" w:line="240" w:lineRule="auto"/>
              <w:rPr>
                <w:b/>
                <w:color w:val="FFFFFF" w:themeColor="background1"/>
                <w:sz w:val="20"/>
                <w:szCs w:val="20"/>
              </w:rPr>
            </w:pPr>
            <w:r w:rsidRPr="00404A09">
              <w:rPr>
                <w:bCs/>
                <w:color w:val="FFFFFF" w:themeColor="background1"/>
                <w:sz w:val="20"/>
                <w:szCs w:val="20"/>
              </w:rPr>
              <w:t xml:space="preserve">Graf </w:t>
            </w:r>
            <w:r w:rsidR="002412C1" w:rsidRPr="00404A09">
              <w:rPr>
                <w:bCs/>
                <w:color w:val="FFFFFF" w:themeColor="background1"/>
                <w:sz w:val="20"/>
                <w:szCs w:val="20"/>
              </w:rPr>
              <w:t>4</w:t>
            </w:r>
            <w:r w:rsidRPr="00404A09">
              <w:rPr>
                <w:bCs/>
                <w:color w:val="FFFFFF" w:themeColor="background1"/>
                <w:sz w:val="20"/>
                <w:szCs w:val="20"/>
              </w:rPr>
              <w:t>: Vzťah poklesu zmeny daňovej povinnosti a zmeny tržieb (v %)</w:t>
            </w:r>
          </w:p>
        </w:tc>
      </w:tr>
      <w:tr w:rsidR="00DC1800" w:rsidRPr="00DD4A74" w14:paraId="77F37EE7" w14:textId="77777777" w:rsidTr="00094682">
        <w:trPr>
          <w:trHeight w:val="2304"/>
        </w:trPr>
        <w:tc>
          <w:tcPr>
            <w:tcW w:w="2517" w:type="pct"/>
            <w:tcBorders>
              <w:top w:val="single" w:sz="4" w:space="0" w:color="auto"/>
              <w:left w:val="nil"/>
              <w:bottom w:val="single" w:sz="4" w:space="0" w:color="auto"/>
              <w:right w:val="nil"/>
            </w:tcBorders>
            <w:shd w:val="clear" w:color="auto" w:fill="auto"/>
            <w:vAlign w:val="center"/>
          </w:tcPr>
          <w:p w14:paraId="4C0C1CCF" w14:textId="77777777" w:rsidR="00DC1800" w:rsidRPr="00A82F7F" w:rsidRDefault="00DC1800" w:rsidP="00094682">
            <w:pPr>
              <w:spacing w:before="40" w:after="40"/>
              <w:jc w:val="center"/>
              <w:rPr>
                <w:b/>
                <w:szCs w:val="22"/>
              </w:rPr>
            </w:pPr>
            <w:r w:rsidRPr="00A82F7F">
              <w:rPr>
                <w:b/>
                <w:noProof/>
                <w:szCs w:val="22"/>
                <w:lang w:eastAsia="sk-SK"/>
              </w:rPr>
              <w:drawing>
                <wp:inline distT="0" distB="0" distL="0" distR="0" wp14:anchorId="6907C351" wp14:editId="69DCE126">
                  <wp:extent cx="2468880" cy="1363345"/>
                  <wp:effectExtent l="0" t="0" r="7620" b="825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8671" cy="1401884"/>
                          </a:xfrm>
                          <a:prstGeom prst="rect">
                            <a:avLst/>
                          </a:prstGeom>
                          <a:noFill/>
                        </pic:spPr>
                      </pic:pic>
                    </a:graphicData>
                  </a:graphic>
                </wp:inline>
              </w:drawing>
            </w:r>
          </w:p>
        </w:tc>
        <w:tc>
          <w:tcPr>
            <w:tcW w:w="103" w:type="pct"/>
            <w:tcBorders>
              <w:top w:val="nil"/>
              <w:left w:val="nil"/>
              <w:bottom w:val="nil"/>
              <w:right w:val="nil"/>
            </w:tcBorders>
            <w:vAlign w:val="center"/>
          </w:tcPr>
          <w:p w14:paraId="07BA1C0D" w14:textId="77777777" w:rsidR="00DC1800" w:rsidRPr="00A82F7F" w:rsidRDefault="00DC1800" w:rsidP="00094682">
            <w:pPr>
              <w:spacing w:before="40" w:after="40"/>
              <w:ind w:left="709" w:hanging="12"/>
              <w:jc w:val="center"/>
              <w:rPr>
                <w:b/>
                <w:szCs w:val="22"/>
              </w:rPr>
            </w:pPr>
          </w:p>
        </w:tc>
        <w:tc>
          <w:tcPr>
            <w:tcW w:w="2380" w:type="pct"/>
            <w:tcBorders>
              <w:top w:val="single" w:sz="4" w:space="0" w:color="auto"/>
              <w:left w:val="nil"/>
              <w:bottom w:val="single" w:sz="4" w:space="0" w:color="auto"/>
              <w:right w:val="nil"/>
            </w:tcBorders>
            <w:shd w:val="clear" w:color="auto" w:fill="auto"/>
            <w:vAlign w:val="center"/>
          </w:tcPr>
          <w:p w14:paraId="09D2D2F4" w14:textId="77777777" w:rsidR="00DC1800" w:rsidRPr="00A82F7F" w:rsidRDefault="00DC1800" w:rsidP="00094682">
            <w:pPr>
              <w:spacing w:before="40" w:after="40"/>
              <w:jc w:val="center"/>
              <w:rPr>
                <w:b/>
                <w:szCs w:val="22"/>
              </w:rPr>
            </w:pPr>
            <w:r w:rsidRPr="00A82F7F">
              <w:rPr>
                <w:b/>
                <w:noProof/>
                <w:szCs w:val="22"/>
                <w:lang w:eastAsia="sk-SK"/>
              </w:rPr>
              <w:drawing>
                <wp:inline distT="0" distB="0" distL="0" distR="0" wp14:anchorId="59B67021" wp14:editId="46F88F75">
                  <wp:extent cx="2538000" cy="1738800"/>
                  <wp:effectExtent l="0" t="0" r="0" b="0"/>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8000" cy="1738800"/>
                          </a:xfrm>
                          <a:prstGeom prst="rect">
                            <a:avLst/>
                          </a:prstGeom>
                          <a:noFill/>
                        </pic:spPr>
                      </pic:pic>
                    </a:graphicData>
                  </a:graphic>
                </wp:inline>
              </w:drawing>
            </w:r>
          </w:p>
        </w:tc>
      </w:tr>
      <w:tr w:rsidR="00DC1800" w:rsidRPr="00DD4A74" w14:paraId="5BD5092D" w14:textId="77777777" w:rsidTr="00094682">
        <w:trPr>
          <w:trHeight w:hRule="exact" w:val="357"/>
        </w:trPr>
        <w:tc>
          <w:tcPr>
            <w:tcW w:w="2517" w:type="pct"/>
            <w:tcBorders>
              <w:top w:val="single" w:sz="4" w:space="0" w:color="auto"/>
              <w:left w:val="nil"/>
              <w:bottom w:val="nil"/>
              <w:right w:val="nil"/>
            </w:tcBorders>
          </w:tcPr>
          <w:p w14:paraId="535860D3" w14:textId="77777777" w:rsidR="00DC1800" w:rsidRPr="00A82F7F" w:rsidRDefault="00DC1800" w:rsidP="00094682">
            <w:pPr>
              <w:spacing w:before="40" w:after="40"/>
              <w:ind w:left="709" w:hanging="12"/>
              <w:contextualSpacing/>
              <w:jc w:val="right"/>
              <w:rPr>
                <w:i/>
                <w:szCs w:val="22"/>
              </w:rPr>
            </w:pPr>
          </w:p>
        </w:tc>
        <w:tc>
          <w:tcPr>
            <w:tcW w:w="103" w:type="pct"/>
            <w:tcBorders>
              <w:top w:val="nil"/>
              <w:left w:val="nil"/>
              <w:bottom w:val="nil"/>
              <w:right w:val="nil"/>
            </w:tcBorders>
          </w:tcPr>
          <w:p w14:paraId="008750B4" w14:textId="77777777" w:rsidR="00DC1800" w:rsidRPr="00A82F7F" w:rsidRDefault="00DC1800" w:rsidP="00094682">
            <w:pPr>
              <w:ind w:left="709" w:hanging="12"/>
              <w:contextualSpacing/>
              <w:jc w:val="center"/>
              <w:rPr>
                <w:i/>
                <w:szCs w:val="22"/>
              </w:rPr>
            </w:pPr>
          </w:p>
        </w:tc>
        <w:tc>
          <w:tcPr>
            <w:tcW w:w="2380" w:type="pct"/>
            <w:tcBorders>
              <w:top w:val="single" w:sz="4" w:space="0" w:color="auto"/>
              <w:left w:val="nil"/>
              <w:bottom w:val="nil"/>
              <w:right w:val="nil"/>
            </w:tcBorders>
          </w:tcPr>
          <w:p w14:paraId="622FB8E5" w14:textId="77777777" w:rsidR="00DC1800" w:rsidRPr="00A82F7F" w:rsidRDefault="00DC1800" w:rsidP="00094682">
            <w:pPr>
              <w:spacing w:before="40" w:after="40"/>
              <w:ind w:left="709" w:hanging="12"/>
              <w:contextualSpacing/>
              <w:jc w:val="right"/>
              <w:rPr>
                <w:i/>
                <w:sz w:val="16"/>
                <w:szCs w:val="16"/>
              </w:rPr>
            </w:pPr>
            <w:r w:rsidRPr="00A82F7F">
              <w:rPr>
                <w:i/>
                <w:iCs/>
                <w:sz w:val="16"/>
                <w:szCs w:val="16"/>
              </w:rPr>
              <w:t xml:space="preserve">Zdroj: Priznania DP, IFP </w:t>
            </w:r>
          </w:p>
        </w:tc>
      </w:tr>
    </w:tbl>
    <w:p w14:paraId="16CDDC71" w14:textId="778086DB" w:rsidR="00DC1800" w:rsidRPr="00A82F7F" w:rsidRDefault="00DC1800" w:rsidP="008470AC">
      <w:pPr>
        <w:pStyle w:val="Obyajntext"/>
        <w:spacing w:after="120"/>
        <w:ind w:left="708" w:hanging="11"/>
        <w:jc w:val="both"/>
        <w:rPr>
          <w:szCs w:val="22"/>
        </w:rPr>
      </w:pPr>
      <w:r w:rsidRPr="00A82F7F">
        <w:rPr>
          <w:b/>
          <w:szCs w:val="22"/>
        </w:rPr>
        <w:t xml:space="preserve">Z pohľadu veľkosti firiem podľa objemu tržieb sa </w:t>
      </w:r>
      <w:proofErr w:type="spellStart"/>
      <w:r w:rsidRPr="00A82F7F">
        <w:rPr>
          <w:b/>
          <w:szCs w:val="22"/>
        </w:rPr>
        <w:t>korporátna</w:t>
      </w:r>
      <w:proofErr w:type="spellEnd"/>
      <w:r w:rsidRPr="00A82F7F">
        <w:rPr>
          <w:b/>
          <w:szCs w:val="22"/>
        </w:rPr>
        <w:t xml:space="preserve"> daň v roku 2020 udržala vďaka stabilným príjmom od najväčších platcov.</w:t>
      </w:r>
      <w:r w:rsidRPr="00A82F7F">
        <w:rPr>
          <w:szCs w:val="22"/>
        </w:rPr>
        <w:t xml:space="preserve"> Nadnárodné korporácie (veľké firmy) platili stabilné dane, veľké SME (</w:t>
      </w:r>
      <w:proofErr w:type="spellStart"/>
      <w:r w:rsidRPr="00A82F7F">
        <w:rPr>
          <w:szCs w:val="22"/>
        </w:rPr>
        <w:t>SMEs</w:t>
      </w:r>
      <w:proofErr w:type="spellEnd"/>
      <w:r w:rsidRPr="00A82F7F">
        <w:rPr>
          <w:szCs w:val="22"/>
        </w:rPr>
        <w:t xml:space="preserve"> s obratom nad 100 tis. eur) dokonca mierne narástli. Malé firmy (</w:t>
      </w:r>
      <w:proofErr w:type="spellStart"/>
      <w:r w:rsidRPr="00A82F7F">
        <w:rPr>
          <w:szCs w:val="22"/>
        </w:rPr>
        <w:t>SMEs</w:t>
      </w:r>
      <w:proofErr w:type="spellEnd"/>
      <w:r w:rsidRPr="00A82F7F">
        <w:rPr>
          <w:szCs w:val="22"/>
        </w:rPr>
        <w:t xml:space="preserve"> s obratom do 100 tis. eur) zaznamenali najvýraznejší prepad daňovej povinnosti (Graf </w:t>
      </w:r>
      <w:r w:rsidR="003E5412">
        <w:rPr>
          <w:szCs w:val="22"/>
        </w:rPr>
        <w:t>1</w:t>
      </w:r>
      <w:r w:rsidRPr="00A82F7F">
        <w:rPr>
          <w:szCs w:val="22"/>
        </w:rPr>
        <w:t xml:space="preserve">). Tieto firmy pôsobia hlavne v daňovo menej výživných sektoroch (profesionálne služby, umenie, administratíva). Pokles daňovej povinnosti pre malé SME bol ale väčší vo všetkých sektoroch v porovnaní so strednými firmami. </w:t>
      </w:r>
    </w:p>
    <w:p w14:paraId="4F0C4A54" w14:textId="77777777" w:rsidR="008470AC" w:rsidRPr="008470AC" w:rsidRDefault="00DC1800" w:rsidP="008470AC">
      <w:pPr>
        <w:pStyle w:val="Obyajntext"/>
        <w:numPr>
          <w:ilvl w:val="0"/>
          <w:numId w:val="34"/>
        </w:numPr>
        <w:spacing w:after="120"/>
        <w:ind w:left="993" w:hanging="284"/>
        <w:jc w:val="both"/>
        <w:rPr>
          <w:szCs w:val="22"/>
        </w:rPr>
      </w:pPr>
      <w:r w:rsidRPr="00AE7579">
        <w:rPr>
          <w:b/>
        </w:rPr>
        <w:t xml:space="preserve">aktualizácia príjmov z odvodov </w:t>
      </w:r>
      <w:r w:rsidRPr="00AE7579">
        <w:t xml:space="preserve">o 26 864 tis. eur patriacich do roku 2020 v Sociálnej poisťovni </w:t>
      </w:r>
      <w:r w:rsidRPr="008470AC">
        <w:rPr>
          <w:szCs w:val="22"/>
        </w:rPr>
        <w:t>na základe zúčtovania sociálneho poistenia za predchádzajúci rok.</w:t>
      </w:r>
    </w:p>
    <w:p w14:paraId="61D384A7" w14:textId="646342F3" w:rsidR="00DC1800" w:rsidRPr="008470AC" w:rsidRDefault="00DC1800" w:rsidP="008470AC">
      <w:pPr>
        <w:pStyle w:val="Obyajntext"/>
        <w:numPr>
          <w:ilvl w:val="0"/>
          <w:numId w:val="34"/>
        </w:numPr>
        <w:spacing w:after="120"/>
        <w:ind w:left="993" w:hanging="284"/>
        <w:jc w:val="both"/>
      </w:pPr>
      <w:r w:rsidRPr="00FA5F0E">
        <w:rPr>
          <w:b/>
          <w:szCs w:val="22"/>
        </w:rPr>
        <w:t>po</w:t>
      </w:r>
      <w:r w:rsidRPr="00FA5F0E">
        <w:rPr>
          <w:b/>
        </w:rPr>
        <w:t>zitívny</w:t>
      </w:r>
      <w:r w:rsidRPr="008470AC">
        <w:rPr>
          <w:b/>
        </w:rPr>
        <w:t xml:space="preserve"> vplyv prehodnotenia rizikových záruk</w:t>
      </w:r>
      <w:r w:rsidRPr="00C57E3C">
        <w:t xml:space="preserve"> v sume </w:t>
      </w:r>
      <w:r w:rsidRPr="00A11302">
        <w:t>173 000 tis. eur. V aprílovej notifikácii bol zaznamenaný negatívny vplyv na schodok verejnej správy vo</w:t>
      </w:r>
      <w:r w:rsidRPr="00C57E3C">
        <w:t xml:space="preserve"> výške 173 000 tis. eur z dôvodu poskytnutia záruky na poskytnuté úvery Kube. Na základe </w:t>
      </w:r>
      <w:r>
        <w:t>bližšieho skúmania</w:t>
      </w:r>
      <w:r w:rsidRPr="00C57E3C">
        <w:t xml:space="preserve"> detailných podmienok uplatnenia záruk boli obchodné prípady Eximbanky zo strany ŠU</w:t>
      </w:r>
      <w:r>
        <w:t> </w:t>
      </w:r>
      <w:r w:rsidRPr="00C57E3C">
        <w:t xml:space="preserve">SR vyhodnotené ako poistenie. Miera úverového rizika dlžníka sa </w:t>
      </w:r>
      <w:r>
        <w:t xml:space="preserve">pritom </w:t>
      </w:r>
      <w:r w:rsidRPr="00C57E3C">
        <w:t xml:space="preserve">bude naďalej </w:t>
      </w:r>
      <w:r>
        <w:t>priebežne sledovať</w:t>
      </w:r>
      <w:r w:rsidRPr="00C57E3C">
        <w:t xml:space="preserve">.  </w:t>
      </w:r>
    </w:p>
    <w:p w14:paraId="0A94EB97" w14:textId="77777777" w:rsidR="00DC1800" w:rsidRPr="00AE7579" w:rsidRDefault="00DC1800" w:rsidP="00923EBE">
      <w:pPr>
        <w:pStyle w:val="Obyajntext"/>
        <w:numPr>
          <w:ilvl w:val="0"/>
          <w:numId w:val="34"/>
        </w:numPr>
        <w:spacing w:after="120"/>
        <w:ind w:left="709" w:hanging="425"/>
        <w:jc w:val="both"/>
      </w:pPr>
      <w:r w:rsidRPr="00AE7579">
        <w:rPr>
          <w:b/>
        </w:rPr>
        <w:lastRenderedPageBreak/>
        <w:t>revízia zaznamenania zelenej energie</w:t>
      </w:r>
      <w:r w:rsidRPr="00413171">
        <w:t xml:space="preserve"> o</w:t>
      </w:r>
      <w:r>
        <w:t> 3 724 tis. eur</w:t>
      </w:r>
      <w:r w:rsidRPr="00AE7579">
        <w:t xml:space="preserve">. V jarnej notifikácii bol zaznamenaný negatívny vplyv dotovania zelenej energie na schodok verejnej správy vo výške 86 093 tis. eur, ktorý bol vyčíslený Štatistickým úradom SR z verejne dostupných údajov distribučných spoločností. V jesennej notifikácii došlo k spresneniu údajov na základe podkladov od ÚRSO (Úrad pre reguláciu sieťových odvetví), takže celkový negatívny vplyv zaznamenania zelenej energie za rok 2020 </w:t>
      </w:r>
      <w:r>
        <w:t>sa zvýšil</w:t>
      </w:r>
      <w:r w:rsidRPr="00AE7579">
        <w:t xml:space="preserve"> na sumu 89 817  tis. eur.</w:t>
      </w:r>
    </w:p>
    <w:p w14:paraId="0E1EA912" w14:textId="77777777" w:rsidR="00DC1800" w:rsidRDefault="00DC1800" w:rsidP="00923EBE">
      <w:pPr>
        <w:pStyle w:val="Obyajntext"/>
        <w:numPr>
          <w:ilvl w:val="0"/>
          <w:numId w:val="34"/>
        </w:numPr>
        <w:spacing w:after="120"/>
        <w:ind w:left="709" w:hanging="425"/>
        <w:jc w:val="both"/>
      </w:pPr>
      <w:r w:rsidRPr="00FA5F0E">
        <w:rPr>
          <w:b/>
        </w:rPr>
        <w:t>aktualizácia</w:t>
      </w:r>
      <w:r w:rsidRPr="00AE7579">
        <w:rPr>
          <w:b/>
        </w:rPr>
        <w:t xml:space="preserve"> pohľadávok a záväzkov subjektov verejnej správy</w:t>
      </w:r>
      <w:r>
        <w:rPr>
          <w:b/>
        </w:rPr>
        <w:t xml:space="preserve"> </w:t>
      </w:r>
      <w:r>
        <w:t>o 8 939 tis. eur</w:t>
      </w:r>
      <w:r w:rsidRPr="00AE7579">
        <w:t xml:space="preserve">, </w:t>
      </w:r>
      <w:r>
        <w:t>na základe predložených účtovných závierok</w:t>
      </w:r>
      <w:r w:rsidRPr="00AE7579">
        <w:t xml:space="preserve"> po termíne jarnej notifikácie schodku a dlhu.</w:t>
      </w:r>
    </w:p>
    <w:p w14:paraId="4948C745" w14:textId="77777777" w:rsidR="00DC1800" w:rsidRPr="00FA5F0E" w:rsidRDefault="00DC1800" w:rsidP="00923EBE">
      <w:pPr>
        <w:pStyle w:val="Obyajntext"/>
        <w:numPr>
          <w:ilvl w:val="0"/>
          <w:numId w:val="34"/>
        </w:numPr>
        <w:spacing w:after="120"/>
        <w:ind w:left="709" w:hanging="425"/>
        <w:jc w:val="both"/>
      </w:pPr>
      <w:proofErr w:type="spellStart"/>
      <w:r w:rsidRPr="00FA5F0E">
        <w:rPr>
          <w:b/>
        </w:rPr>
        <w:t>imputácia</w:t>
      </w:r>
      <w:proofErr w:type="spellEnd"/>
      <w:r w:rsidRPr="00FA5F0E">
        <w:rPr>
          <w:b/>
        </w:rPr>
        <w:t xml:space="preserve"> záväzku Úradu práce, sociálnych vecí a rodiny za priznanú COVID pomoc v roku 2020 v sume 224 313 tis. eur, ktorá bola vyplatená v roku 2021 . </w:t>
      </w:r>
      <w:r w:rsidRPr="00FA5F0E">
        <w:t xml:space="preserve">V rámci opatrení zameraných na zníženie dopadu pandémie COVID-19 na zamestnancov vláda zaviedla program tzv. prvej pomoci. Tento program bol zameraný na podporu zamestnanosti počas obdobia trvania pandémie. </w:t>
      </w:r>
      <w:proofErr w:type="spellStart"/>
      <w:r w:rsidRPr="00FA5F0E">
        <w:t>UPSVaR</w:t>
      </w:r>
      <w:proofErr w:type="spellEnd"/>
      <w:r w:rsidRPr="00FA5F0E">
        <w:t xml:space="preserve"> začal s implementáciou programu v apríli 2020. Na základe údajov o vyplatených hotovostných benefitoch poskytnutých </w:t>
      </w:r>
      <w:proofErr w:type="spellStart"/>
      <w:r w:rsidRPr="00FA5F0E">
        <w:t>UPSVaR</w:t>
      </w:r>
      <w:proofErr w:type="spellEnd"/>
      <w:r w:rsidRPr="00FA5F0E">
        <w:t xml:space="preserve"> a údajov o priznaných benefitoch za rok 2020, bol vypočítaný rozdiel medzi priznanými a vyplateným benefitmi ako vplyv </w:t>
      </w:r>
      <w:proofErr w:type="spellStart"/>
      <w:r w:rsidRPr="00FA5F0E">
        <w:t>akrualizácie</w:t>
      </w:r>
      <w:proofErr w:type="spellEnd"/>
      <w:r w:rsidRPr="00FA5F0E">
        <w:t xml:space="preserve"> s negatívnym vplyvom na ESA schodok verejnej správy za rok 2020. Všetky dávky vyplývajúce z COVID programu Prvá pomoc vzťahujúce sa ešte na rok 2020, boli následne vyplatené v priebehu roka 2021.</w:t>
      </w:r>
    </w:p>
    <w:p w14:paraId="08117098" w14:textId="77777777" w:rsidR="00DC1800" w:rsidRPr="009A4CCB" w:rsidRDefault="00DC1800" w:rsidP="00923EBE">
      <w:pPr>
        <w:pStyle w:val="Obyajntext"/>
        <w:numPr>
          <w:ilvl w:val="0"/>
          <w:numId w:val="34"/>
        </w:numPr>
        <w:spacing w:after="120"/>
        <w:ind w:left="709" w:hanging="425"/>
        <w:jc w:val="both"/>
      </w:pPr>
      <w:proofErr w:type="spellStart"/>
      <w:r w:rsidRPr="00FA5F0E">
        <w:rPr>
          <w:b/>
        </w:rPr>
        <w:t>imputácia</w:t>
      </w:r>
      <w:proofErr w:type="spellEnd"/>
      <w:r w:rsidRPr="009A4CCB">
        <w:rPr>
          <w:b/>
        </w:rPr>
        <w:t xml:space="preserve"> pohľadávky voči EÚ za refundáciu vyplatenej COVID pomoci </w:t>
      </w:r>
      <w:r w:rsidRPr="00C57E3C">
        <w:t xml:space="preserve">v sume 70 327 tis. eur. </w:t>
      </w:r>
      <w:proofErr w:type="spellStart"/>
      <w:r w:rsidRPr="00C57E3C">
        <w:t>Imputácia</w:t>
      </w:r>
      <w:proofErr w:type="spellEnd"/>
      <w:r w:rsidRPr="00C57E3C">
        <w:t xml:space="preserve"> tejto pohľadávky vecne súvisí s vyššie uvedenou </w:t>
      </w:r>
      <w:proofErr w:type="spellStart"/>
      <w:r w:rsidRPr="00C57E3C">
        <w:t>imputáciou</w:t>
      </w:r>
      <w:proofErr w:type="spellEnd"/>
      <w:r w:rsidRPr="00C57E3C">
        <w:t xml:space="preserve"> záväzku</w:t>
      </w:r>
      <w:r w:rsidRPr="009A4CCB">
        <w:t xml:space="preserve"> za priznanú a nevyplatenú COVID pomoc. Časť benefitov, ktoré budú vyplatené v budúcnosti </w:t>
      </w:r>
      <w:r>
        <w:t>bude následne štátu</w:t>
      </w:r>
      <w:r w:rsidRPr="009A4CCB">
        <w:t xml:space="preserve"> hotovostne refundovaná z EU zdrojov</w:t>
      </w:r>
      <w:r>
        <w:t xml:space="preserve">. Vecne a časovo súvisí refundácia s rokom 2020, preto pohľadávka zmierňuje negatívny vplyv záväzku </w:t>
      </w:r>
      <w:proofErr w:type="spellStart"/>
      <w:r>
        <w:t>UPSVaR</w:t>
      </w:r>
      <w:proofErr w:type="spellEnd"/>
      <w:r>
        <w:t>.</w:t>
      </w:r>
      <w:r w:rsidRPr="009A4CCB">
        <w:t xml:space="preserve"> </w:t>
      </w:r>
    </w:p>
    <w:p w14:paraId="2019387C" w14:textId="77777777" w:rsidR="00DC1800" w:rsidRDefault="00DC1800" w:rsidP="00DC1800">
      <w:pPr>
        <w:pStyle w:val="Odsekzoznamu"/>
        <w:numPr>
          <w:ilvl w:val="0"/>
          <w:numId w:val="32"/>
        </w:numPr>
        <w:ind w:left="697" w:hanging="357"/>
        <w:jc w:val="both"/>
        <w:rPr>
          <w:rFonts w:cs="Times New Roman"/>
        </w:rPr>
      </w:pPr>
      <w:r w:rsidRPr="00AA0B5C">
        <w:rPr>
          <w:rFonts w:cs="Times New Roman"/>
          <w:b/>
        </w:rPr>
        <w:t>vplyv zlyhaných COVID úverov</w:t>
      </w:r>
      <w:r w:rsidRPr="00297E91">
        <w:rPr>
          <w:b/>
        </w:rPr>
        <w:t xml:space="preserve"> a s nimi súvisiacich záruk</w:t>
      </w:r>
      <w:r w:rsidRPr="00AA0B5C">
        <w:rPr>
          <w:rFonts w:cs="Times New Roman"/>
        </w:rPr>
        <w:t xml:space="preserve"> odhadnutých v sume 24 979 tis. eur. Lex </w:t>
      </w:r>
      <w:proofErr w:type="spellStart"/>
      <w:r w:rsidRPr="00AA0B5C">
        <w:rPr>
          <w:rFonts w:cs="Times New Roman"/>
        </w:rPr>
        <w:t>korona</w:t>
      </w:r>
      <w:proofErr w:type="spellEnd"/>
      <w:r w:rsidRPr="00AA0B5C">
        <w:rPr>
          <w:rFonts w:cs="Times New Roman"/>
        </w:rPr>
        <w:t xml:space="preserve"> vo finančnej oblasti umožnila vznik viacerých schém pomoci:</w:t>
      </w:r>
    </w:p>
    <w:p w14:paraId="0298A88B" w14:textId="77777777" w:rsidR="00DC1800" w:rsidRPr="00AA0B5C" w:rsidRDefault="00DC1800" w:rsidP="00DC1800">
      <w:pPr>
        <w:pStyle w:val="Odsekzoznamu"/>
        <w:numPr>
          <w:ilvl w:val="0"/>
          <w:numId w:val="33"/>
        </w:numPr>
        <w:jc w:val="both"/>
        <w:rPr>
          <w:rFonts w:cs="Times New Roman"/>
        </w:rPr>
      </w:pPr>
      <w:r>
        <w:rPr>
          <w:rFonts w:cs="Times New Roman"/>
        </w:rPr>
        <w:t xml:space="preserve">podľa </w:t>
      </w:r>
      <w:r w:rsidRPr="00AA0B5C">
        <w:rPr>
          <w:rFonts w:cs="Times New Roman"/>
        </w:rPr>
        <w:t xml:space="preserve">§ 25 zákona č 67/2020 Z. z. „Finančná pomoc na podporu udržania prevádzky v malých podnikoch alebo stredných podnikoch“ sa </w:t>
      </w:r>
      <w:r>
        <w:rPr>
          <w:rFonts w:cs="Times New Roman"/>
        </w:rPr>
        <w:t>vystavujú záruky</w:t>
      </w:r>
      <w:r w:rsidRPr="00AA0B5C">
        <w:rPr>
          <w:rFonts w:cs="Times New Roman"/>
        </w:rPr>
        <w:t xml:space="preserve"> pre Eximbanku a SZRB ako poskytovateľov pomoci, ktorí poskytujú úvery. MF SR poskyt</w:t>
      </w:r>
      <w:r>
        <w:rPr>
          <w:rFonts w:cs="Times New Roman"/>
        </w:rPr>
        <w:t>uje</w:t>
      </w:r>
      <w:r w:rsidRPr="00AA0B5C">
        <w:rPr>
          <w:rFonts w:cs="Times New Roman"/>
        </w:rPr>
        <w:t xml:space="preserve"> na tieto úvery záruku </w:t>
      </w:r>
      <w:r>
        <w:rPr>
          <w:rFonts w:cs="Times New Roman"/>
        </w:rPr>
        <w:t xml:space="preserve">v určitom percente, </w:t>
      </w:r>
      <w:r w:rsidRPr="00AA0B5C">
        <w:rPr>
          <w:rFonts w:cs="Times New Roman"/>
        </w:rPr>
        <w:t xml:space="preserve">resp. úhradu úroku z úveru poskytnutého týmito sprostredkovateľmi. </w:t>
      </w:r>
    </w:p>
    <w:p w14:paraId="35869884" w14:textId="381F1BE7" w:rsidR="00DC1800" w:rsidRPr="009A4CCB" w:rsidRDefault="00DC1800" w:rsidP="00FA5F0E">
      <w:pPr>
        <w:pStyle w:val="Obyajntext"/>
        <w:numPr>
          <w:ilvl w:val="0"/>
          <w:numId w:val="33"/>
        </w:numPr>
        <w:spacing w:after="120"/>
        <w:jc w:val="both"/>
      </w:pPr>
      <w:r w:rsidRPr="009A4CCB">
        <w:t>na základe § 25a zákona č. 67/2020 Z. z.</w:t>
      </w:r>
      <w:r>
        <w:t xml:space="preserve"> bola čerpaná</w:t>
      </w:r>
      <w:r w:rsidRPr="009A4CCB">
        <w:t xml:space="preserve"> „Finančná pomoc na zabezpečenie likvidity malých podnikov, stredných podnikov alebo veľkých podnikov“ </w:t>
      </w:r>
      <w:r>
        <w:t xml:space="preserve">formou záruk </w:t>
      </w:r>
      <w:r w:rsidRPr="009A4CCB">
        <w:t>Eximbank</w:t>
      </w:r>
      <w:r>
        <w:t>y</w:t>
      </w:r>
      <w:r w:rsidRPr="009A4CCB">
        <w:t xml:space="preserve"> a fond</w:t>
      </w:r>
      <w:r>
        <w:t>ov</w:t>
      </w:r>
      <w:r w:rsidRPr="009A4CCB">
        <w:t xml:space="preserve"> spravovan</w:t>
      </w:r>
      <w:r>
        <w:t>ých</w:t>
      </w:r>
      <w:r w:rsidRPr="009A4CCB">
        <w:t xml:space="preserve"> SIH, a. s.</w:t>
      </w:r>
      <w:r>
        <w:t xml:space="preserve"> za úvery komerčných bánk.</w:t>
      </w:r>
      <w:r w:rsidRPr="009A4CCB">
        <w:t xml:space="preserve"> </w:t>
      </w:r>
      <w:r>
        <w:t>Ministerstvo financií SR vystavilo záruky na tieto záruky v určitom percente ich hodnoty, resp. na niektoré záruky sa použijú aj prostriedky formou kombinácie EŠIF a spolufinancovania</w:t>
      </w:r>
      <w:r w:rsidRPr="009A4CCB">
        <w:t xml:space="preserve">. </w:t>
      </w:r>
    </w:p>
    <w:p w14:paraId="0795C664" w14:textId="77777777" w:rsidR="00DC1800" w:rsidRPr="009A4CCB" w:rsidRDefault="00DC1800" w:rsidP="00FA5F0E">
      <w:pPr>
        <w:pStyle w:val="Obyajntext"/>
        <w:spacing w:after="120"/>
        <w:jc w:val="both"/>
      </w:pPr>
      <w:r w:rsidRPr="009A4CCB">
        <w:t>V prípade týchto schém pomoci ide podľa metodiky ESA o </w:t>
      </w:r>
      <w:r>
        <w:t>poskytovanie</w:t>
      </w:r>
      <w:r w:rsidRPr="009A4CCB">
        <w:t xml:space="preserve"> štandardizovaných záruk, pri ktorých je potrebné v súlade s metodikou odhadnúť mieru nevymožiteľnosti pohľadávok</w:t>
      </w:r>
      <w:r>
        <w:t xml:space="preserve"> z úverov</w:t>
      </w:r>
      <w:r w:rsidRPr="009A4CCB">
        <w:t>.</w:t>
      </w:r>
      <w:r>
        <w:t xml:space="preserve"> Táto miera nesplácania</w:t>
      </w:r>
      <w:r>
        <w:rPr>
          <w:rStyle w:val="Odkaznapoznmkupodiarou"/>
        </w:rPr>
        <w:footnoteReference w:id="4"/>
      </w:r>
      <w:r>
        <w:t xml:space="preserve"> sa zároveň prejavuje v miere angažovanosti štátu na zlyhaných úveroch, čo má negatívny vplyv na schodok (v podobe výdavkového kapitálového transferu).</w:t>
      </w:r>
      <w:r w:rsidRPr="009A4CCB">
        <w:t xml:space="preserve"> </w:t>
      </w:r>
    </w:p>
    <w:p w14:paraId="53F1C2E0" w14:textId="62CF6149" w:rsidR="00DC1800" w:rsidRPr="0039640B" w:rsidRDefault="00DC1800" w:rsidP="00DC1800">
      <w:pPr>
        <w:spacing w:after="120"/>
        <w:rPr>
          <w:color w:val="0070C0"/>
          <w:sz w:val="24"/>
          <w:szCs w:val="24"/>
          <w:u w:val="single"/>
        </w:rPr>
      </w:pPr>
      <w:r w:rsidRPr="0039640B">
        <w:rPr>
          <w:b/>
          <w:color w:val="0070C0"/>
          <w:sz w:val="24"/>
          <w:szCs w:val="24"/>
        </w:rPr>
        <w:t>Metodické zmeny výpočtu schodku verejnej správy pri jesennej notifikácii</w:t>
      </w:r>
    </w:p>
    <w:p w14:paraId="7CCDEC7B" w14:textId="77777777" w:rsidR="00DC1800" w:rsidRPr="00923EBE" w:rsidRDefault="00DC1800" w:rsidP="00923EBE">
      <w:pPr>
        <w:pStyle w:val="Obyajntext"/>
        <w:numPr>
          <w:ilvl w:val="0"/>
          <w:numId w:val="34"/>
        </w:numPr>
        <w:spacing w:after="120"/>
        <w:ind w:left="709" w:hanging="425"/>
        <w:jc w:val="both"/>
      </w:pPr>
      <w:r w:rsidRPr="009A4CCB">
        <w:rPr>
          <w:b/>
        </w:rPr>
        <w:t>vplyv zmeny výpočtu akruálnych úrokov</w:t>
      </w:r>
      <w:r w:rsidRPr="009A4CCB">
        <w:t xml:space="preserve"> o 24 826 tis. eur. Išlo o zmenu technického charakteru za účelom zabezpečenia konzistentnosti medzi viacerými </w:t>
      </w:r>
      <w:r>
        <w:t xml:space="preserve">štatistickými </w:t>
      </w:r>
      <w:r w:rsidRPr="009A4CCB">
        <w:t>výstupmi o</w:t>
      </w:r>
      <w:r>
        <w:t> </w:t>
      </w:r>
      <w:r w:rsidRPr="009A4CCB">
        <w:t>úrokoch</w:t>
      </w:r>
      <w:r>
        <w:t xml:space="preserve">, ktoré posudzuje </w:t>
      </w:r>
      <w:proofErr w:type="spellStart"/>
      <w:r>
        <w:t>Eurostat</w:t>
      </w:r>
      <w:proofErr w:type="spellEnd"/>
      <w:r>
        <w:t>.</w:t>
      </w:r>
    </w:p>
    <w:p w14:paraId="02F6141D" w14:textId="77777777" w:rsidR="00DC1800" w:rsidRPr="009A4CCB" w:rsidRDefault="00DC1800" w:rsidP="00923EBE">
      <w:pPr>
        <w:pStyle w:val="Obyajntext"/>
        <w:numPr>
          <w:ilvl w:val="0"/>
          <w:numId w:val="34"/>
        </w:numPr>
        <w:spacing w:after="120"/>
        <w:ind w:left="709" w:hanging="425"/>
        <w:jc w:val="both"/>
        <w:rPr>
          <w:b/>
        </w:rPr>
      </w:pPr>
      <w:r w:rsidRPr="00923EBE">
        <w:rPr>
          <w:b/>
        </w:rPr>
        <w:t>doplnenie</w:t>
      </w:r>
      <w:r w:rsidRPr="009A4CCB">
        <w:rPr>
          <w:b/>
        </w:rPr>
        <w:t xml:space="preserve"> záväzkov z poistných vzťahov (voči platiteľom poistného a príspevkov) v Sociálnej poisťovni</w:t>
      </w:r>
      <w:r w:rsidRPr="009A4CCB">
        <w:t xml:space="preserve"> </w:t>
      </w:r>
      <w:r>
        <w:t xml:space="preserve">do vplyvu na saldo </w:t>
      </w:r>
      <w:r w:rsidRPr="009A4CCB">
        <w:t>v sume 6 327 tis. eur. Išlo o metodickú zmenu, kde boli doplnené záväzky z poistných vzťahov z titulu nemocenských dávok voči poistencom v základ</w:t>
      </w:r>
      <w:r>
        <w:t>n</w:t>
      </w:r>
      <w:r w:rsidRPr="009A4CCB">
        <w:t>om fonde nemocenského poistenia a záväzky z titulu uplatňovania náhrad dávok v</w:t>
      </w:r>
      <w:r>
        <w:t> </w:t>
      </w:r>
      <w:r w:rsidRPr="009A4CCB">
        <w:t xml:space="preserve">nezamestnanosti </w:t>
      </w:r>
      <w:r w:rsidRPr="009A4CCB">
        <w:lastRenderedPageBreak/>
        <w:t>inštitúciami členských štátov EÚ v zmysle čl. 65 ods.</w:t>
      </w:r>
      <w:r>
        <w:t> </w:t>
      </w:r>
      <w:r w:rsidRPr="009A4CCB">
        <w:t>6</w:t>
      </w:r>
      <w:r>
        <w:t> </w:t>
      </w:r>
      <w:r w:rsidRPr="009A4CCB">
        <w:t>a</w:t>
      </w:r>
      <w:r>
        <w:t> </w:t>
      </w:r>
      <w:r w:rsidRPr="009A4CCB">
        <w:t>7 nariadenia (ES) Európskeho parlamentu a Rady č. 883/2004 o</w:t>
      </w:r>
      <w:r>
        <w:t> </w:t>
      </w:r>
      <w:r w:rsidRPr="009A4CCB">
        <w:t>koordinácii systémov sociálneho zabezpečenia a čl. 70 nariadenia Európskeho parlamentu a Rady (ES) č. 987/2009, ktorým sa stanovuje postup vykonávania nariadenia (ES) č. 883/2004 o koordinácii systémov sociálneho zabezpečenia v základnom fonde poistenia v nezamestnanosti.</w:t>
      </w:r>
    </w:p>
    <w:p w14:paraId="356E3F87" w14:textId="77777777" w:rsidR="00DC1800" w:rsidRPr="00B646B3" w:rsidRDefault="00DC1800" w:rsidP="00DC1800">
      <w:pPr>
        <w:spacing w:after="120" w:line="240" w:lineRule="auto"/>
        <w:jc w:val="both"/>
      </w:pPr>
      <w:r w:rsidRPr="0039640B">
        <w:rPr>
          <w:b/>
          <w:color w:val="0070C0"/>
        </w:rPr>
        <w:t>Dlh verejnej správy, ktorý bol vykázaný k 1. aprílu 2020 (60,6 % HDP) po jesennej notifikácii klesol o 0,8 p. b.</w:t>
      </w:r>
      <w:r w:rsidRPr="00B646B3">
        <w:t xml:space="preserve"> Jednotlivé revízie, popísané v nasledovnej tabuľke, spôsobili zníženie konsolidovaného dlhu verejnej správy za rok 2020 v absolútnom vyjadrení o 170 811 tis. eur (0,2 % HDP), a zároveň revízia HDP spôsobila zlepšenie podielu dlhu na HDP o 0,6 %.</w:t>
      </w:r>
    </w:p>
    <w:tbl>
      <w:tblPr>
        <w:tblW w:w="5038" w:type="pct"/>
        <w:tblInd w:w="24" w:type="dxa"/>
        <w:tblCellMar>
          <w:left w:w="70" w:type="dxa"/>
          <w:right w:w="70" w:type="dxa"/>
        </w:tblCellMar>
        <w:tblLook w:val="04A0" w:firstRow="1" w:lastRow="0" w:firstColumn="1" w:lastColumn="0" w:noHBand="0" w:noVBand="1"/>
      </w:tblPr>
      <w:tblGrid>
        <w:gridCol w:w="3070"/>
        <w:gridCol w:w="665"/>
        <w:gridCol w:w="846"/>
        <w:gridCol w:w="413"/>
        <w:gridCol w:w="415"/>
        <w:gridCol w:w="466"/>
        <w:gridCol w:w="3478"/>
        <w:gridCol w:w="72"/>
      </w:tblGrid>
      <w:tr w:rsidR="00DC1800" w:rsidRPr="00C47644" w14:paraId="373DAD4A" w14:textId="77777777" w:rsidTr="00094682">
        <w:trPr>
          <w:gridAfter w:val="1"/>
          <w:wAfter w:w="38" w:type="pct"/>
          <w:trHeight w:val="397"/>
        </w:trPr>
        <w:tc>
          <w:tcPr>
            <w:tcW w:w="4962" w:type="pct"/>
            <w:gridSpan w:val="7"/>
            <w:tcBorders>
              <w:top w:val="single" w:sz="4" w:space="0" w:color="auto"/>
              <w:left w:val="nil"/>
              <w:bottom w:val="single" w:sz="4" w:space="0" w:color="auto"/>
              <w:right w:val="nil"/>
            </w:tcBorders>
            <w:shd w:val="clear" w:color="000000" w:fill="000000"/>
            <w:noWrap/>
            <w:vAlign w:val="center"/>
            <w:hideMark/>
          </w:tcPr>
          <w:p w14:paraId="6187F137" w14:textId="4358161F" w:rsidR="00DC1800" w:rsidRPr="00C47644" w:rsidRDefault="00884682" w:rsidP="00884682">
            <w:pPr>
              <w:pStyle w:val="popistabuliek"/>
            </w:pPr>
            <w:r>
              <w:t xml:space="preserve">Tab. 2 - </w:t>
            </w:r>
            <w:r w:rsidR="00DC1800" w:rsidRPr="00C47644">
              <w:t xml:space="preserve">Úpravy dlhu za rok 2020 </w:t>
            </w:r>
            <w:r w:rsidR="00DC1800" w:rsidRPr="00054B3B">
              <w:t>pri jesennej notifikácii v metodike ESA2010</w:t>
            </w:r>
          </w:p>
        </w:tc>
      </w:tr>
      <w:tr w:rsidR="00DC1800" w:rsidRPr="00C47644" w14:paraId="145A2BB8" w14:textId="77777777" w:rsidTr="00094682">
        <w:trPr>
          <w:trHeight w:val="259"/>
          <w:tblHeader/>
        </w:trPr>
        <w:tc>
          <w:tcPr>
            <w:tcW w:w="1629" w:type="pct"/>
            <w:tcBorders>
              <w:top w:val="nil"/>
              <w:left w:val="nil"/>
              <w:bottom w:val="nil"/>
              <w:right w:val="nil"/>
            </w:tcBorders>
            <w:shd w:val="clear" w:color="000000" w:fill="BFBFBF"/>
            <w:vAlign w:val="center"/>
          </w:tcPr>
          <w:p w14:paraId="542DAF59" w14:textId="77777777" w:rsidR="00DC1800" w:rsidRPr="00C47644" w:rsidRDefault="00DC1800" w:rsidP="00094682">
            <w:pPr>
              <w:spacing w:after="0" w:line="240" w:lineRule="auto"/>
              <w:rPr>
                <w:b/>
                <w:bCs/>
                <w:sz w:val="18"/>
                <w:szCs w:val="18"/>
                <w:lang w:eastAsia="sk-SK"/>
              </w:rPr>
            </w:pPr>
          </w:p>
        </w:tc>
        <w:tc>
          <w:tcPr>
            <w:tcW w:w="802" w:type="pct"/>
            <w:gridSpan w:val="2"/>
            <w:tcBorders>
              <w:top w:val="nil"/>
              <w:left w:val="nil"/>
              <w:bottom w:val="nil"/>
              <w:right w:val="nil"/>
            </w:tcBorders>
            <w:shd w:val="clear" w:color="000000" w:fill="BFBFBF"/>
            <w:vAlign w:val="center"/>
          </w:tcPr>
          <w:p w14:paraId="77ACBD66" w14:textId="77777777" w:rsidR="00DC1800" w:rsidRPr="00C47644" w:rsidRDefault="00DC1800" w:rsidP="00094682">
            <w:pPr>
              <w:spacing w:after="0" w:line="240" w:lineRule="auto"/>
              <w:jc w:val="right"/>
              <w:rPr>
                <w:b/>
                <w:bCs/>
                <w:sz w:val="18"/>
                <w:szCs w:val="18"/>
                <w:lang w:eastAsia="sk-SK"/>
              </w:rPr>
            </w:pPr>
          </w:p>
        </w:tc>
        <w:tc>
          <w:tcPr>
            <w:tcW w:w="439" w:type="pct"/>
            <w:gridSpan w:val="2"/>
            <w:tcBorders>
              <w:top w:val="nil"/>
              <w:left w:val="nil"/>
              <w:bottom w:val="nil"/>
              <w:right w:val="nil"/>
            </w:tcBorders>
            <w:shd w:val="clear" w:color="000000" w:fill="BFBFBF"/>
            <w:vAlign w:val="center"/>
            <w:hideMark/>
          </w:tcPr>
          <w:p w14:paraId="38EAEA9D" w14:textId="77777777" w:rsidR="00DC1800" w:rsidRPr="00C47644" w:rsidRDefault="00DC1800" w:rsidP="00094682">
            <w:pPr>
              <w:spacing w:after="0" w:line="240" w:lineRule="auto"/>
              <w:jc w:val="center"/>
              <w:rPr>
                <w:b/>
                <w:bCs/>
                <w:sz w:val="18"/>
                <w:szCs w:val="18"/>
                <w:lang w:eastAsia="sk-SK"/>
              </w:rPr>
            </w:pPr>
          </w:p>
        </w:tc>
        <w:tc>
          <w:tcPr>
            <w:tcW w:w="2130" w:type="pct"/>
            <w:gridSpan w:val="3"/>
            <w:tcBorders>
              <w:top w:val="nil"/>
              <w:left w:val="nil"/>
              <w:bottom w:val="nil"/>
              <w:right w:val="nil"/>
            </w:tcBorders>
            <w:shd w:val="clear" w:color="000000" w:fill="BFBFBF"/>
            <w:vAlign w:val="center"/>
          </w:tcPr>
          <w:p w14:paraId="27376CEB" w14:textId="77777777" w:rsidR="00DC1800" w:rsidRPr="00C47644" w:rsidRDefault="00DC1800" w:rsidP="00094682">
            <w:pPr>
              <w:spacing w:after="0" w:line="240" w:lineRule="auto"/>
              <w:jc w:val="center"/>
              <w:rPr>
                <w:b/>
                <w:bCs/>
                <w:sz w:val="18"/>
                <w:szCs w:val="18"/>
                <w:lang w:eastAsia="sk-SK"/>
              </w:rPr>
            </w:pPr>
          </w:p>
        </w:tc>
      </w:tr>
      <w:tr w:rsidR="00DC1800" w:rsidRPr="00C47644" w14:paraId="520603D8" w14:textId="77777777" w:rsidTr="00094682">
        <w:trPr>
          <w:trHeight w:val="259"/>
          <w:tblHeader/>
        </w:trPr>
        <w:tc>
          <w:tcPr>
            <w:tcW w:w="1629" w:type="pct"/>
            <w:tcBorders>
              <w:top w:val="nil"/>
              <w:left w:val="nil"/>
              <w:bottom w:val="nil"/>
              <w:right w:val="nil"/>
            </w:tcBorders>
            <w:shd w:val="clear" w:color="000000" w:fill="BFBFBF"/>
            <w:vAlign w:val="center"/>
            <w:hideMark/>
          </w:tcPr>
          <w:p w14:paraId="624BFC19" w14:textId="77777777" w:rsidR="00DC1800" w:rsidRPr="00C47644" w:rsidRDefault="00DC1800" w:rsidP="00094682">
            <w:pPr>
              <w:spacing w:after="0" w:line="240" w:lineRule="auto"/>
              <w:rPr>
                <w:b/>
                <w:bCs/>
                <w:sz w:val="18"/>
                <w:szCs w:val="18"/>
                <w:lang w:eastAsia="sk-SK"/>
              </w:rPr>
            </w:pPr>
            <w:r w:rsidRPr="00C47644">
              <w:rPr>
                <w:b/>
                <w:bCs/>
                <w:sz w:val="18"/>
                <w:szCs w:val="18"/>
                <w:lang w:eastAsia="sk-SK"/>
              </w:rPr>
              <w:t>Upravené položky</w:t>
            </w:r>
          </w:p>
        </w:tc>
        <w:tc>
          <w:tcPr>
            <w:tcW w:w="802" w:type="pct"/>
            <w:gridSpan w:val="2"/>
            <w:tcBorders>
              <w:top w:val="nil"/>
              <w:left w:val="nil"/>
              <w:bottom w:val="nil"/>
              <w:right w:val="nil"/>
            </w:tcBorders>
            <w:shd w:val="clear" w:color="000000" w:fill="BFBFBF"/>
            <w:vAlign w:val="center"/>
            <w:hideMark/>
          </w:tcPr>
          <w:p w14:paraId="18132526" w14:textId="77777777" w:rsidR="00DC1800" w:rsidRPr="00C47644" w:rsidRDefault="00DC1800" w:rsidP="00094682">
            <w:pPr>
              <w:spacing w:after="0" w:line="240" w:lineRule="auto"/>
              <w:jc w:val="right"/>
              <w:rPr>
                <w:b/>
                <w:bCs/>
                <w:sz w:val="18"/>
                <w:szCs w:val="18"/>
                <w:lang w:eastAsia="sk-SK"/>
              </w:rPr>
            </w:pPr>
            <w:r w:rsidRPr="00C47644">
              <w:rPr>
                <w:b/>
                <w:bCs/>
                <w:sz w:val="18"/>
                <w:szCs w:val="18"/>
                <w:lang w:eastAsia="sk-SK"/>
              </w:rPr>
              <w:t xml:space="preserve">  tis. eur</w:t>
            </w:r>
          </w:p>
        </w:tc>
        <w:tc>
          <w:tcPr>
            <w:tcW w:w="2569" w:type="pct"/>
            <w:gridSpan w:val="5"/>
            <w:tcBorders>
              <w:top w:val="nil"/>
              <w:left w:val="nil"/>
              <w:bottom w:val="nil"/>
              <w:right w:val="nil"/>
            </w:tcBorders>
            <w:shd w:val="clear" w:color="000000" w:fill="BFBFBF"/>
            <w:vAlign w:val="center"/>
            <w:hideMark/>
          </w:tcPr>
          <w:p w14:paraId="3184E305" w14:textId="77777777" w:rsidR="00DC1800" w:rsidRPr="00C47644" w:rsidRDefault="00DC1800" w:rsidP="00094682">
            <w:pPr>
              <w:spacing w:after="0" w:line="240" w:lineRule="auto"/>
              <w:rPr>
                <w:b/>
                <w:bCs/>
                <w:sz w:val="18"/>
                <w:szCs w:val="18"/>
                <w:lang w:eastAsia="sk-SK"/>
              </w:rPr>
            </w:pPr>
            <w:r w:rsidRPr="00C47644">
              <w:rPr>
                <w:b/>
                <w:bCs/>
                <w:sz w:val="18"/>
                <w:szCs w:val="18"/>
                <w:lang w:eastAsia="sk-SK"/>
              </w:rPr>
              <w:t xml:space="preserve">              % HDP          Zdôvodnenie úprav           </w:t>
            </w:r>
          </w:p>
        </w:tc>
      </w:tr>
      <w:tr w:rsidR="00DC1800" w:rsidRPr="00C47644" w14:paraId="5F160F88" w14:textId="77777777" w:rsidTr="00094682">
        <w:trPr>
          <w:gridAfter w:val="1"/>
          <w:wAfter w:w="38" w:type="pct"/>
          <w:trHeight w:val="255"/>
        </w:trPr>
        <w:tc>
          <w:tcPr>
            <w:tcW w:w="1982" w:type="pct"/>
            <w:gridSpan w:val="2"/>
            <w:tcBorders>
              <w:top w:val="single" w:sz="4" w:space="0" w:color="auto"/>
              <w:left w:val="nil"/>
              <w:bottom w:val="single" w:sz="4" w:space="0" w:color="auto"/>
              <w:right w:val="nil"/>
            </w:tcBorders>
            <w:shd w:val="clear" w:color="000000" w:fill="BFBFBF"/>
            <w:noWrap/>
            <w:vAlign w:val="center"/>
            <w:hideMark/>
          </w:tcPr>
          <w:p w14:paraId="4BCE44D1" w14:textId="77777777" w:rsidR="00DC1800" w:rsidRPr="00C47644" w:rsidRDefault="00DC1800" w:rsidP="00094682">
            <w:pPr>
              <w:spacing w:after="0" w:line="240" w:lineRule="auto"/>
              <w:rPr>
                <w:b/>
                <w:bCs/>
                <w:sz w:val="18"/>
                <w:szCs w:val="18"/>
                <w:lang w:eastAsia="sk-SK"/>
              </w:rPr>
            </w:pPr>
            <w:r w:rsidRPr="00C47644">
              <w:rPr>
                <w:b/>
                <w:bCs/>
                <w:sz w:val="18"/>
                <w:szCs w:val="18"/>
                <w:lang w:eastAsia="sk-SK"/>
              </w:rPr>
              <w:t>Maastrichtský dlh VS - apríl 2021</w:t>
            </w:r>
          </w:p>
        </w:tc>
        <w:tc>
          <w:tcPr>
            <w:tcW w:w="668" w:type="pct"/>
            <w:gridSpan w:val="2"/>
            <w:tcBorders>
              <w:top w:val="single" w:sz="4" w:space="0" w:color="auto"/>
              <w:left w:val="nil"/>
              <w:bottom w:val="single" w:sz="4" w:space="0" w:color="auto"/>
              <w:right w:val="nil"/>
            </w:tcBorders>
            <w:shd w:val="clear" w:color="000000" w:fill="BFBFBF"/>
            <w:noWrap/>
            <w:vAlign w:val="center"/>
            <w:hideMark/>
          </w:tcPr>
          <w:p w14:paraId="4332ED7A" w14:textId="77777777" w:rsidR="00DC1800" w:rsidRPr="00C47644" w:rsidRDefault="00DC1800" w:rsidP="00094682">
            <w:pPr>
              <w:spacing w:after="0" w:line="240" w:lineRule="auto"/>
              <w:jc w:val="right"/>
              <w:rPr>
                <w:b/>
                <w:bCs/>
                <w:sz w:val="18"/>
                <w:szCs w:val="18"/>
                <w:lang w:eastAsia="sk-SK"/>
              </w:rPr>
            </w:pPr>
            <w:r w:rsidRPr="00C47644">
              <w:rPr>
                <w:b/>
                <w:bCs/>
                <w:sz w:val="18"/>
                <w:szCs w:val="18"/>
                <w:lang w:eastAsia="sk-SK"/>
              </w:rPr>
              <w:t>55 180 557</w:t>
            </w:r>
          </w:p>
        </w:tc>
        <w:tc>
          <w:tcPr>
            <w:tcW w:w="467" w:type="pct"/>
            <w:gridSpan w:val="2"/>
            <w:tcBorders>
              <w:top w:val="single" w:sz="4" w:space="0" w:color="auto"/>
              <w:left w:val="nil"/>
              <w:bottom w:val="single" w:sz="4" w:space="0" w:color="auto"/>
              <w:right w:val="nil"/>
            </w:tcBorders>
            <w:shd w:val="clear" w:color="000000" w:fill="BFBFBF"/>
            <w:noWrap/>
            <w:vAlign w:val="center"/>
            <w:hideMark/>
          </w:tcPr>
          <w:p w14:paraId="13CD3C36" w14:textId="77777777" w:rsidR="00DC1800" w:rsidRPr="00C47644" w:rsidRDefault="00DC1800" w:rsidP="00094682">
            <w:pPr>
              <w:spacing w:after="0" w:line="240" w:lineRule="auto"/>
              <w:jc w:val="right"/>
              <w:rPr>
                <w:b/>
                <w:bCs/>
                <w:sz w:val="18"/>
                <w:szCs w:val="18"/>
                <w:lang w:eastAsia="sk-SK"/>
              </w:rPr>
            </w:pPr>
            <w:r w:rsidRPr="00C47644">
              <w:rPr>
                <w:b/>
                <w:bCs/>
                <w:sz w:val="18"/>
                <w:szCs w:val="18"/>
                <w:lang w:eastAsia="sk-SK"/>
              </w:rPr>
              <w:t>60,6</w:t>
            </w:r>
          </w:p>
        </w:tc>
        <w:tc>
          <w:tcPr>
            <w:tcW w:w="1845" w:type="pct"/>
            <w:tcBorders>
              <w:top w:val="single" w:sz="4" w:space="0" w:color="auto"/>
              <w:left w:val="nil"/>
              <w:bottom w:val="single" w:sz="4" w:space="0" w:color="auto"/>
              <w:right w:val="nil"/>
            </w:tcBorders>
            <w:shd w:val="clear" w:color="000000" w:fill="BFBFBF"/>
            <w:noWrap/>
            <w:vAlign w:val="center"/>
            <w:hideMark/>
          </w:tcPr>
          <w:p w14:paraId="438BA3C2" w14:textId="77777777" w:rsidR="00DC1800" w:rsidRPr="00C47644" w:rsidRDefault="00DC1800" w:rsidP="00094682">
            <w:pPr>
              <w:spacing w:after="0" w:line="240" w:lineRule="auto"/>
              <w:jc w:val="center"/>
              <w:rPr>
                <w:sz w:val="18"/>
                <w:szCs w:val="18"/>
                <w:lang w:eastAsia="sk-SK"/>
              </w:rPr>
            </w:pPr>
            <w:r w:rsidRPr="00C47644">
              <w:rPr>
                <w:sz w:val="18"/>
                <w:szCs w:val="18"/>
                <w:lang w:eastAsia="sk-SK"/>
              </w:rPr>
              <w:t> </w:t>
            </w:r>
          </w:p>
        </w:tc>
      </w:tr>
      <w:tr w:rsidR="00DC1800" w:rsidRPr="00C47644" w14:paraId="7DA98D94" w14:textId="77777777" w:rsidTr="00094682">
        <w:trPr>
          <w:gridAfter w:val="1"/>
          <w:wAfter w:w="38" w:type="pct"/>
          <w:trHeight w:val="357"/>
        </w:trPr>
        <w:tc>
          <w:tcPr>
            <w:tcW w:w="1982" w:type="pct"/>
            <w:gridSpan w:val="2"/>
            <w:tcBorders>
              <w:top w:val="nil"/>
              <w:left w:val="nil"/>
              <w:bottom w:val="nil"/>
              <w:right w:val="nil"/>
            </w:tcBorders>
            <w:shd w:val="clear" w:color="auto" w:fill="auto"/>
            <w:noWrap/>
            <w:vAlign w:val="center"/>
            <w:hideMark/>
          </w:tcPr>
          <w:p w14:paraId="6C5ECE3D" w14:textId="77777777" w:rsidR="00DC1800" w:rsidRPr="00C47644" w:rsidRDefault="00DC1800" w:rsidP="00094682">
            <w:pPr>
              <w:spacing w:after="0" w:line="240" w:lineRule="auto"/>
              <w:rPr>
                <w:sz w:val="18"/>
                <w:szCs w:val="18"/>
                <w:lang w:eastAsia="sk-SK"/>
              </w:rPr>
            </w:pPr>
            <w:r w:rsidRPr="00C47644">
              <w:rPr>
                <w:sz w:val="18"/>
                <w:szCs w:val="18"/>
                <w:lang w:eastAsia="sk-SK"/>
              </w:rPr>
              <w:t>Štátny dlh</w:t>
            </w:r>
          </w:p>
        </w:tc>
        <w:tc>
          <w:tcPr>
            <w:tcW w:w="668" w:type="pct"/>
            <w:gridSpan w:val="2"/>
            <w:tcBorders>
              <w:top w:val="nil"/>
              <w:left w:val="nil"/>
              <w:bottom w:val="nil"/>
              <w:right w:val="nil"/>
            </w:tcBorders>
            <w:shd w:val="clear" w:color="auto" w:fill="auto"/>
            <w:noWrap/>
            <w:vAlign w:val="center"/>
            <w:hideMark/>
          </w:tcPr>
          <w:p w14:paraId="0C1AE157" w14:textId="77777777" w:rsidR="00DC1800" w:rsidRPr="00C47644" w:rsidRDefault="00DC1800" w:rsidP="00094682">
            <w:pPr>
              <w:spacing w:after="0" w:line="240" w:lineRule="auto"/>
              <w:jc w:val="right"/>
              <w:rPr>
                <w:sz w:val="18"/>
                <w:szCs w:val="18"/>
                <w:lang w:eastAsia="sk-SK"/>
              </w:rPr>
            </w:pPr>
            <w:r w:rsidRPr="00C47644">
              <w:rPr>
                <w:sz w:val="18"/>
                <w:szCs w:val="18"/>
                <w:lang w:eastAsia="sk-SK"/>
              </w:rPr>
              <w:t>-173 000</w:t>
            </w:r>
          </w:p>
        </w:tc>
        <w:tc>
          <w:tcPr>
            <w:tcW w:w="467" w:type="pct"/>
            <w:gridSpan w:val="2"/>
            <w:tcBorders>
              <w:top w:val="nil"/>
              <w:left w:val="nil"/>
              <w:bottom w:val="nil"/>
              <w:right w:val="nil"/>
            </w:tcBorders>
            <w:shd w:val="clear" w:color="auto" w:fill="auto"/>
            <w:noWrap/>
            <w:vAlign w:val="center"/>
            <w:hideMark/>
          </w:tcPr>
          <w:p w14:paraId="7E437EB9" w14:textId="77777777" w:rsidR="00DC1800" w:rsidRPr="00C47644" w:rsidRDefault="00DC1800" w:rsidP="00094682">
            <w:pPr>
              <w:spacing w:after="0" w:line="240" w:lineRule="auto"/>
              <w:jc w:val="right"/>
              <w:rPr>
                <w:sz w:val="18"/>
                <w:szCs w:val="18"/>
                <w:lang w:eastAsia="sk-SK"/>
              </w:rPr>
            </w:pPr>
            <w:r w:rsidRPr="00C47644">
              <w:rPr>
                <w:sz w:val="18"/>
                <w:szCs w:val="18"/>
                <w:lang w:eastAsia="sk-SK"/>
              </w:rPr>
              <w:t>-0,188</w:t>
            </w:r>
          </w:p>
        </w:tc>
        <w:tc>
          <w:tcPr>
            <w:tcW w:w="1845" w:type="pct"/>
            <w:tcBorders>
              <w:top w:val="nil"/>
              <w:left w:val="nil"/>
              <w:bottom w:val="nil"/>
              <w:right w:val="nil"/>
            </w:tcBorders>
            <w:shd w:val="clear" w:color="auto" w:fill="auto"/>
            <w:vAlign w:val="center"/>
            <w:hideMark/>
          </w:tcPr>
          <w:p w14:paraId="7E618147" w14:textId="77777777" w:rsidR="00DC1800" w:rsidRPr="00C47644" w:rsidRDefault="00DC1800" w:rsidP="00094682">
            <w:pPr>
              <w:spacing w:after="0" w:line="240" w:lineRule="auto"/>
              <w:rPr>
                <w:sz w:val="18"/>
                <w:szCs w:val="18"/>
                <w:lang w:eastAsia="sk-SK"/>
              </w:rPr>
            </w:pPr>
            <w:r w:rsidRPr="00C47644">
              <w:rPr>
                <w:sz w:val="18"/>
                <w:szCs w:val="18"/>
                <w:lang w:eastAsia="sk-SK"/>
              </w:rPr>
              <w:t>prehodnotenie prevzatia rizikovej záruky do dlhu</w:t>
            </w:r>
          </w:p>
        </w:tc>
      </w:tr>
      <w:tr w:rsidR="00DC1800" w:rsidRPr="00C47644" w14:paraId="15A51ED4" w14:textId="77777777" w:rsidTr="00094682">
        <w:trPr>
          <w:gridAfter w:val="1"/>
          <w:wAfter w:w="38" w:type="pct"/>
          <w:trHeight w:val="311"/>
        </w:trPr>
        <w:tc>
          <w:tcPr>
            <w:tcW w:w="1982" w:type="pct"/>
            <w:gridSpan w:val="2"/>
            <w:tcBorders>
              <w:top w:val="nil"/>
              <w:left w:val="nil"/>
              <w:bottom w:val="nil"/>
              <w:right w:val="nil"/>
            </w:tcBorders>
            <w:shd w:val="clear" w:color="auto" w:fill="auto"/>
            <w:noWrap/>
            <w:vAlign w:val="center"/>
            <w:hideMark/>
          </w:tcPr>
          <w:p w14:paraId="6CA972A8" w14:textId="77777777" w:rsidR="00DC1800" w:rsidRPr="00C47644" w:rsidRDefault="00DC1800" w:rsidP="00094682">
            <w:pPr>
              <w:spacing w:after="0" w:line="240" w:lineRule="auto"/>
              <w:rPr>
                <w:sz w:val="18"/>
                <w:szCs w:val="18"/>
                <w:lang w:eastAsia="sk-SK"/>
              </w:rPr>
            </w:pPr>
            <w:r w:rsidRPr="00C47644">
              <w:rPr>
                <w:sz w:val="18"/>
                <w:szCs w:val="18"/>
                <w:lang w:eastAsia="sk-SK"/>
              </w:rPr>
              <w:t>Štátny dlh</w:t>
            </w:r>
          </w:p>
        </w:tc>
        <w:tc>
          <w:tcPr>
            <w:tcW w:w="668" w:type="pct"/>
            <w:gridSpan w:val="2"/>
            <w:tcBorders>
              <w:top w:val="nil"/>
              <w:left w:val="nil"/>
              <w:bottom w:val="nil"/>
              <w:right w:val="nil"/>
            </w:tcBorders>
            <w:shd w:val="clear" w:color="auto" w:fill="auto"/>
            <w:noWrap/>
            <w:vAlign w:val="center"/>
            <w:hideMark/>
          </w:tcPr>
          <w:p w14:paraId="3BA075AB" w14:textId="77777777" w:rsidR="00DC1800" w:rsidRPr="00C47644" w:rsidRDefault="00DC1800" w:rsidP="00094682">
            <w:pPr>
              <w:spacing w:after="0" w:line="240" w:lineRule="auto"/>
              <w:jc w:val="right"/>
              <w:rPr>
                <w:sz w:val="18"/>
                <w:szCs w:val="18"/>
                <w:lang w:eastAsia="sk-SK"/>
              </w:rPr>
            </w:pPr>
            <w:r w:rsidRPr="00C47644">
              <w:rPr>
                <w:sz w:val="18"/>
                <w:szCs w:val="18"/>
                <w:lang w:eastAsia="sk-SK"/>
              </w:rPr>
              <w:t>3 724</w:t>
            </w:r>
          </w:p>
        </w:tc>
        <w:tc>
          <w:tcPr>
            <w:tcW w:w="467" w:type="pct"/>
            <w:gridSpan w:val="2"/>
            <w:tcBorders>
              <w:top w:val="nil"/>
              <w:left w:val="nil"/>
              <w:bottom w:val="nil"/>
              <w:right w:val="nil"/>
            </w:tcBorders>
            <w:shd w:val="clear" w:color="auto" w:fill="auto"/>
            <w:noWrap/>
            <w:vAlign w:val="center"/>
            <w:hideMark/>
          </w:tcPr>
          <w:p w14:paraId="15CEE47C" w14:textId="77777777" w:rsidR="00DC1800" w:rsidRPr="00C47644" w:rsidRDefault="00DC1800" w:rsidP="00094682">
            <w:pPr>
              <w:spacing w:after="0" w:line="240" w:lineRule="auto"/>
              <w:jc w:val="right"/>
              <w:rPr>
                <w:sz w:val="18"/>
                <w:szCs w:val="18"/>
                <w:lang w:eastAsia="sk-SK"/>
              </w:rPr>
            </w:pPr>
            <w:r w:rsidRPr="00C47644">
              <w:rPr>
                <w:sz w:val="18"/>
                <w:szCs w:val="18"/>
                <w:lang w:eastAsia="sk-SK"/>
              </w:rPr>
              <w:t>0,004</w:t>
            </w:r>
          </w:p>
        </w:tc>
        <w:tc>
          <w:tcPr>
            <w:tcW w:w="1845" w:type="pct"/>
            <w:tcBorders>
              <w:top w:val="nil"/>
              <w:left w:val="nil"/>
              <w:bottom w:val="nil"/>
              <w:right w:val="nil"/>
            </w:tcBorders>
            <w:shd w:val="clear" w:color="auto" w:fill="auto"/>
            <w:vAlign w:val="center"/>
            <w:hideMark/>
          </w:tcPr>
          <w:p w14:paraId="3D2027D6" w14:textId="77777777" w:rsidR="00DC1800" w:rsidRPr="00C47644" w:rsidRDefault="00DC1800" w:rsidP="00094682">
            <w:pPr>
              <w:spacing w:after="0" w:line="240" w:lineRule="auto"/>
              <w:rPr>
                <w:sz w:val="18"/>
                <w:szCs w:val="18"/>
                <w:lang w:eastAsia="sk-SK"/>
              </w:rPr>
            </w:pPr>
            <w:r w:rsidRPr="00C47644">
              <w:rPr>
                <w:sz w:val="18"/>
                <w:szCs w:val="18"/>
                <w:lang w:eastAsia="sk-SK"/>
              </w:rPr>
              <w:t>aktualizácia vplyvu zelenej energie</w:t>
            </w:r>
          </w:p>
        </w:tc>
      </w:tr>
      <w:tr w:rsidR="00DC1800" w:rsidRPr="00C47644" w14:paraId="5C44728B" w14:textId="77777777" w:rsidTr="00094682">
        <w:trPr>
          <w:gridAfter w:val="1"/>
          <w:wAfter w:w="38" w:type="pct"/>
          <w:trHeight w:val="735"/>
        </w:trPr>
        <w:tc>
          <w:tcPr>
            <w:tcW w:w="1982" w:type="pct"/>
            <w:gridSpan w:val="2"/>
            <w:tcBorders>
              <w:top w:val="nil"/>
              <w:left w:val="nil"/>
              <w:bottom w:val="nil"/>
              <w:right w:val="nil"/>
            </w:tcBorders>
            <w:shd w:val="clear" w:color="auto" w:fill="auto"/>
            <w:vAlign w:val="center"/>
            <w:hideMark/>
          </w:tcPr>
          <w:p w14:paraId="7A9C5592" w14:textId="77777777" w:rsidR="00DC1800" w:rsidRPr="00C47644" w:rsidRDefault="00DC1800" w:rsidP="00094682">
            <w:pPr>
              <w:spacing w:after="0" w:line="240" w:lineRule="auto"/>
              <w:rPr>
                <w:sz w:val="18"/>
                <w:szCs w:val="18"/>
                <w:lang w:eastAsia="sk-SK"/>
              </w:rPr>
            </w:pPr>
            <w:r w:rsidRPr="00C47644">
              <w:rPr>
                <w:sz w:val="18"/>
                <w:szCs w:val="18"/>
                <w:lang w:eastAsia="sk-SK"/>
              </w:rPr>
              <w:t>Jadrová a vyraďovacia spoločnosť, a. s.</w:t>
            </w:r>
          </w:p>
        </w:tc>
        <w:tc>
          <w:tcPr>
            <w:tcW w:w="668" w:type="pct"/>
            <w:gridSpan w:val="2"/>
            <w:tcBorders>
              <w:top w:val="nil"/>
              <w:left w:val="nil"/>
              <w:bottom w:val="nil"/>
              <w:right w:val="nil"/>
            </w:tcBorders>
            <w:shd w:val="clear" w:color="auto" w:fill="auto"/>
            <w:noWrap/>
            <w:vAlign w:val="center"/>
            <w:hideMark/>
          </w:tcPr>
          <w:p w14:paraId="5A8BC8D5" w14:textId="77777777" w:rsidR="00DC1800" w:rsidRPr="00C47644" w:rsidRDefault="00DC1800" w:rsidP="00094682">
            <w:pPr>
              <w:spacing w:after="0" w:line="240" w:lineRule="auto"/>
              <w:jc w:val="right"/>
              <w:rPr>
                <w:sz w:val="18"/>
                <w:szCs w:val="18"/>
                <w:lang w:eastAsia="sk-SK"/>
              </w:rPr>
            </w:pPr>
            <w:r w:rsidRPr="00C47644">
              <w:rPr>
                <w:sz w:val="18"/>
                <w:szCs w:val="18"/>
                <w:lang w:eastAsia="sk-SK"/>
              </w:rPr>
              <w:t>-1 974</w:t>
            </w:r>
          </w:p>
        </w:tc>
        <w:tc>
          <w:tcPr>
            <w:tcW w:w="467" w:type="pct"/>
            <w:gridSpan w:val="2"/>
            <w:tcBorders>
              <w:top w:val="nil"/>
              <w:left w:val="nil"/>
              <w:bottom w:val="nil"/>
              <w:right w:val="nil"/>
            </w:tcBorders>
            <w:shd w:val="clear" w:color="auto" w:fill="auto"/>
            <w:noWrap/>
            <w:vAlign w:val="center"/>
            <w:hideMark/>
          </w:tcPr>
          <w:p w14:paraId="3FA48AE4" w14:textId="77777777" w:rsidR="00DC1800" w:rsidRPr="00C47644" w:rsidRDefault="00DC1800" w:rsidP="00094682">
            <w:pPr>
              <w:spacing w:after="0" w:line="240" w:lineRule="auto"/>
              <w:jc w:val="right"/>
              <w:rPr>
                <w:sz w:val="18"/>
                <w:szCs w:val="18"/>
                <w:lang w:eastAsia="sk-SK"/>
              </w:rPr>
            </w:pPr>
            <w:r w:rsidRPr="00C47644">
              <w:rPr>
                <w:sz w:val="18"/>
                <w:szCs w:val="18"/>
                <w:lang w:eastAsia="sk-SK"/>
              </w:rPr>
              <w:t>-0,002</w:t>
            </w:r>
          </w:p>
        </w:tc>
        <w:tc>
          <w:tcPr>
            <w:tcW w:w="1845" w:type="pct"/>
            <w:tcBorders>
              <w:top w:val="nil"/>
              <w:left w:val="nil"/>
              <w:bottom w:val="nil"/>
              <w:right w:val="nil"/>
            </w:tcBorders>
            <w:shd w:val="clear" w:color="auto" w:fill="auto"/>
            <w:vAlign w:val="center"/>
            <w:hideMark/>
          </w:tcPr>
          <w:p w14:paraId="26711BCE" w14:textId="77777777" w:rsidR="00DC1800" w:rsidRPr="00C47644" w:rsidRDefault="00DC1800" w:rsidP="00094682">
            <w:pPr>
              <w:spacing w:after="0" w:line="240" w:lineRule="auto"/>
              <w:rPr>
                <w:sz w:val="18"/>
                <w:szCs w:val="18"/>
                <w:lang w:eastAsia="sk-SK"/>
              </w:rPr>
            </w:pPr>
            <w:r w:rsidRPr="00C47644">
              <w:rPr>
                <w:sz w:val="18"/>
                <w:szCs w:val="18"/>
                <w:lang w:eastAsia="sk-SK"/>
              </w:rPr>
              <w:t>aktualizácia výšky dlhodobých záväzkov z obchodného styku na základe tzv. 5. zberu výkazov</w:t>
            </w:r>
          </w:p>
        </w:tc>
      </w:tr>
      <w:tr w:rsidR="00DC1800" w:rsidRPr="00C47644" w14:paraId="0060F42B" w14:textId="77777777" w:rsidTr="00094682">
        <w:trPr>
          <w:gridAfter w:val="1"/>
          <w:wAfter w:w="38" w:type="pct"/>
          <w:trHeight w:val="243"/>
        </w:trPr>
        <w:tc>
          <w:tcPr>
            <w:tcW w:w="1982" w:type="pct"/>
            <w:gridSpan w:val="2"/>
            <w:tcBorders>
              <w:top w:val="nil"/>
              <w:left w:val="nil"/>
              <w:bottom w:val="nil"/>
              <w:right w:val="nil"/>
            </w:tcBorders>
            <w:shd w:val="clear" w:color="auto" w:fill="auto"/>
            <w:vAlign w:val="center"/>
            <w:hideMark/>
          </w:tcPr>
          <w:p w14:paraId="48EB2DFD" w14:textId="77777777" w:rsidR="00DC1800" w:rsidRPr="00C47644" w:rsidRDefault="00DC1800" w:rsidP="00094682">
            <w:pPr>
              <w:spacing w:after="0" w:line="240" w:lineRule="auto"/>
              <w:rPr>
                <w:sz w:val="18"/>
                <w:szCs w:val="18"/>
                <w:lang w:eastAsia="sk-SK"/>
              </w:rPr>
            </w:pPr>
            <w:r w:rsidRPr="00C47644">
              <w:rPr>
                <w:sz w:val="18"/>
                <w:szCs w:val="18"/>
                <w:lang w:eastAsia="sk-SK"/>
              </w:rPr>
              <w:t>Ostatné malé jednotky miestne</w:t>
            </w:r>
          </w:p>
        </w:tc>
        <w:tc>
          <w:tcPr>
            <w:tcW w:w="668" w:type="pct"/>
            <w:gridSpan w:val="2"/>
            <w:tcBorders>
              <w:top w:val="nil"/>
              <w:left w:val="nil"/>
              <w:bottom w:val="nil"/>
              <w:right w:val="nil"/>
            </w:tcBorders>
            <w:shd w:val="clear" w:color="auto" w:fill="auto"/>
            <w:noWrap/>
            <w:vAlign w:val="center"/>
            <w:hideMark/>
          </w:tcPr>
          <w:p w14:paraId="0150278B" w14:textId="77777777" w:rsidR="00DC1800" w:rsidRPr="00C47644" w:rsidRDefault="00DC1800" w:rsidP="00094682">
            <w:pPr>
              <w:spacing w:after="0" w:line="240" w:lineRule="auto"/>
              <w:jc w:val="right"/>
              <w:rPr>
                <w:sz w:val="18"/>
                <w:szCs w:val="18"/>
                <w:lang w:eastAsia="sk-SK"/>
              </w:rPr>
            </w:pPr>
            <w:r w:rsidRPr="00C47644">
              <w:rPr>
                <w:sz w:val="18"/>
                <w:szCs w:val="18"/>
                <w:lang w:eastAsia="sk-SK"/>
              </w:rPr>
              <w:t>1 050</w:t>
            </w:r>
          </w:p>
        </w:tc>
        <w:tc>
          <w:tcPr>
            <w:tcW w:w="467" w:type="pct"/>
            <w:gridSpan w:val="2"/>
            <w:tcBorders>
              <w:top w:val="nil"/>
              <w:left w:val="nil"/>
              <w:bottom w:val="nil"/>
              <w:right w:val="nil"/>
            </w:tcBorders>
            <w:shd w:val="clear" w:color="auto" w:fill="auto"/>
            <w:noWrap/>
            <w:vAlign w:val="center"/>
            <w:hideMark/>
          </w:tcPr>
          <w:p w14:paraId="7B09B0CC" w14:textId="77777777" w:rsidR="00DC1800" w:rsidRPr="00C47644" w:rsidRDefault="00DC1800" w:rsidP="00094682">
            <w:pPr>
              <w:spacing w:after="0" w:line="240" w:lineRule="auto"/>
              <w:jc w:val="right"/>
              <w:rPr>
                <w:sz w:val="18"/>
                <w:szCs w:val="18"/>
                <w:lang w:eastAsia="sk-SK"/>
              </w:rPr>
            </w:pPr>
            <w:r w:rsidRPr="00C47644">
              <w:rPr>
                <w:sz w:val="18"/>
                <w:szCs w:val="18"/>
                <w:lang w:eastAsia="sk-SK"/>
              </w:rPr>
              <w:t>0,001</w:t>
            </w:r>
          </w:p>
        </w:tc>
        <w:tc>
          <w:tcPr>
            <w:tcW w:w="1845" w:type="pct"/>
            <w:tcBorders>
              <w:top w:val="nil"/>
              <w:left w:val="nil"/>
              <w:bottom w:val="nil"/>
              <w:right w:val="nil"/>
            </w:tcBorders>
            <w:shd w:val="clear" w:color="auto" w:fill="auto"/>
            <w:vAlign w:val="center"/>
            <w:hideMark/>
          </w:tcPr>
          <w:p w14:paraId="3DD06FE2" w14:textId="77777777" w:rsidR="00DC1800" w:rsidRPr="00C47644" w:rsidRDefault="00DC1800" w:rsidP="00094682">
            <w:pPr>
              <w:spacing w:after="0" w:line="240" w:lineRule="auto"/>
              <w:rPr>
                <w:sz w:val="18"/>
                <w:szCs w:val="18"/>
                <w:lang w:eastAsia="sk-SK"/>
              </w:rPr>
            </w:pPr>
            <w:r w:rsidRPr="00C47644">
              <w:rPr>
                <w:sz w:val="18"/>
                <w:szCs w:val="18"/>
                <w:lang w:eastAsia="sk-SK"/>
              </w:rPr>
              <w:t>aktualizácia na základe súvah</w:t>
            </w:r>
          </w:p>
        </w:tc>
      </w:tr>
      <w:tr w:rsidR="00DC1800" w:rsidRPr="00C47644" w14:paraId="576A0991" w14:textId="77777777" w:rsidTr="00094682">
        <w:trPr>
          <w:gridAfter w:val="1"/>
          <w:wAfter w:w="38" w:type="pct"/>
          <w:trHeight w:val="431"/>
        </w:trPr>
        <w:tc>
          <w:tcPr>
            <w:tcW w:w="1982" w:type="pct"/>
            <w:gridSpan w:val="2"/>
            <w:tcBorders>
              <w:top w:val="nil"/>
              <w:left w:val="nil"/>
              <w:bottom w:val="nil"/>
              <w:right w:val="nil"/>
            </w:tcBorders>
            <w:shd w:val="clear" w:color="auto" w:fill="auto"/>
            <w:vAlign w:val="center"/>
            <w:hideMark/>
          </w:tcPr>
          <w:p w14:paraId="2283B88A" w14:textId="77777777" w:rsidR="00DC1800" w:rsidRPr="00C47644" w:rsidRDefault="00DC1800" w:rsidP="00094682">
            <w:pPr>
              <w:spacing w:after="0" w:line="240" w:lineRule="auto"/>
              <w:rPr>
                <w:sz w:val="18"/>
                <w:szCs w:val="18"/>
                <w:lang w:eastAsia="sk-SK"/>
              </w:rPr>
            </w:pPr>
            <w:r w:rsidRPr="00C47644">
              <w:rPr>
                <w:sz w:val="18"/>
                <w:szCs w:val="18"/>
                <w:lang w:eastAsia="sk-SK"/>
              </w:rPr>
              <w:t>Dopravné podniky</w:t>
            </w:r>
          </w:p>
        </w:tc>
        <w:tc>
          <w:tcPr>
            <w:tcW w:w="668" w:type="pct"/>
            <w:gridSpan w:val="2"/>
            <w:tcBorders>
              <w:top w:val="nil"/>
              <w:left w:val="nil"/>
              <w:bottom w:val="nil"/>
              <w:right w:val="nil"/>
            </w:tcBorders>
            <w:shd w:val="clear" w:color="auto" w:fill="auto"/>
            <w:noWrap/>
            <w:vAlign w:val="center"/>
            <w:hideMark/>
          </w:tcPr>
          <w:p w14:paraId="324B5256" w14:textId="77777777" w:rsidR="00DC1800" w:rsidRPr="00C47644" w:rsidRDefault="00DC1800" w:rsidP="00094682">
            <w:pPr>
              <w:spacing w:after="0" w:line="240" w:lineRule="auto"/>
              <w:jc w:val="right"/>
              <w:rPr>
                <w:sz w:val="18"/>
                <w:szCs w:val="18"/>
                <w:lang w:eastAsia="sk-SK"/>
              </w:rPr>
            </w:pPr>
            <w:r w:rsidRPr="00C47644">
              <w:rPr>
                <w:sz w:val="18"/>
                <w:szCs w:val="18"/>
                <w:lang w:eastAsia="sk-SK"/>
              </w:rPr>
              <w:t>-866</w:t>
            </w:r>
          </w:p>
        </w:tc>
        <w:tc>
          <w:tcPr>
            <w:tcW w:w="467" w:type="pct"/>
            <w:gridSpan w:val="2"/>
            <w:tcBorders>
              <w:top w:val="nil"/>
              <w:left w:val="nil"/>
              <w:bottom w:val="nil"/>
              <w:right w:val="nil"/>
            </w:tcBorders>
            <w:shd w:val="clear" w:color="auto" w:fill="auto"/>
            <w:noWrap/>
            <w:vAlign w:val="center"/>
            <w:hideMark/>
          </w:tcPr>
          <w:p w14:paraId="0EA28B0E" w14:textId="77777777" w:rsidR="00DC1800" w:rsidRPr="00C47644" w:rsidRDefault="00DC1800" w:rsidP="00094682">
            <w:pPr>
              <w:spacing w:after="0" w:line="240" w:lineRule="auto"/>
              <w:jc w:val="right"/>
              <w:rPr>
                <w:sz w:val="18"/>
                <w:szCs w:val="18"/>
                <w:lang w:eastAsia="sk-SK"/>
              </w:rPr>
            </w:pPr>
            <w:r w:rsidRPr="00C47644">
              <w:rPr>
                <w:sz w:val="18"/>
                <w:szCs w:val="18"/>
                <w:lang w:eastAsia="sk-SK"/>
              </w:rPr>
              <w:t>-0,001</w:t>
            </w:r>
          </w:p>
        </w:tc>
        <w:tc>
          <w:tcPr>
            <w:tcW w:w="1845" w:type="pct"/>
            <w:tcBorders>
              <w:top w:val="nil"/>
              <w:left w:val="nil"/>
              <w:bottom w:val="nil"/>
              <w:right w:val="nil"/>
            </w:tcBorders>
            <w:shd w:val="clear" w:color="auto" w:fill="auto"/>
            <w:vAlign w:val="center"/>
            <w:hideMark/>
          </w:tcPr>
          <w:p w14:paraId="0CBD5B73" w14:textId="77777777" w:rsidR="00DC1800" w:rsidRPr="00C47644" w:rsidRDefault="00DC1800" w:rsidP="00094682">
            <w:pPr>
              <w:spacing w:after="0" w:line="240" w:lineRule="auto"/>
              <w:rPr>
                <w:sz w:val="18"/>
                <w:szCs w:val="18"/>
                <w:lang w:eastAsia="sk-SK"/>
              </w:rPr>
            </w:pPr>
            <w:r w:rsidRPr="00C47644">
              <w:rPr>
                <w:sz w:val="18"/>
                <w:szCs w:val="18"/>
                <w:lang w:eastAsia="sk-SK"/>
              </w:rPr>
              <w:t>aktualizácia na základe súvah</w:t>
            </w:r>
          </w:p>
        </w:tc>
      </w:tr>
      <w:tr w:rsidR="00DC1800" w:rsidRPr="00C47644" w14:paraId="26B38A0E" w14:textId="77777777" w:rsidTr="00094682">
        <w:trPr>
          <w:gridAfter w:val="1"/>
          <w:wAfter w:w="38" w:type="pct"/>
          <w:trHeight w:val="139"/>
        </w:trPr>
        <w:tc>
          <w:tcPr>
            <w:tcW w:w="1982" w:type="pct"/>
            <w:gridSpan w:val="2"/>
            <w:tcBorders>
              <w:top w:val="nil"/>
              <w:left w:val="nil"/>
              <w:bottom w:val="nil"/>
              <w:right w:val="nil"/>
            </w:tcBorders>
            <w:shd w:val="clear" w:color="auto" w:fill="auto"/>
            <w:vAlign w:val="center"/>
            <w:hideMark/>
          </w:tcPr>
          <w:p w14:paraId="19FDE1C2" w14:textId="77777777" w:rsidR="00DC1800" w:rsidRPr="00C47644" w:rsidRDefault="00DC1800" w:rsidP="00094682">
            <w:pPr>
              <w:spacing w:after="0" w:line="240" w:lineRule="auto"/>
              <w:rPr>
                <w:sz w:val="18"/>
                <w:szCs w:val="18"/>
                <w:lang w:eastAsia="sk-SK"/>
              </w:rPr>
            </w:pPr>
            <w:r w:rsidRPr="00C47644">
              <w:rPr>
                <w:sz w:val="18"/>
                <w:szCs w:val="18"/>
                <w:lang w:eastAsia="sk-SK"/>
              </w:rPr>
              <w:t>Zdravotnícke zariadenia ústredné</w:t>
            </w:r>
          </w:p>
        </w:tc>
        <w:tc>
          <w:tcPr>
            <w:tcW w:w="668" w:type="pct"/>
            <w:gridSpan w:val="2"/>
            <w:tcBorders>
              <w:top w:val="nil"/>
              <w:left w:val="nil"/>
              <w:bottom w:val="nil"/>
              <w:right w:val="nil"/>
            </w:tcBorders>
            <w:shd w:val="clear" w:color="auto" w:fill="auto"/>
            <w:noWrap/>
            <w:vAlign w:val="center"/>
            <w:hideMark/>
          </w:tcPr>
          <w:p w14:paraId="3BCAA066" w14:textId="77777777" w:rsidR="00DC1800" w:rsidRPr="00C47644" w:rsidRDefault="00DC1800" w:rsidP="00094682">
            <w:pPr>
              <w:spacing w:after="0" w:line="240" w:lineRule="auto"/>
              <w:jc w:val="right"/>
              <w:rPr>
                <w:sz w:val="18"/>
                <w:szCs w:val="18"/>
                <w:lang w:eastAsia="sk-SK"/>
              </w:rPr>
            </w:pPr>
            <w:r w:rsidRPr="00C47644">
              <w:rPr>
                <w:sz w:val="18"/>
                <w:szCs w:val="18"/>
                <w:lang w:eastAsia="sk-SK"/>
              </w:rPr>
              <w:t>255</w:t>
            </w:r>
          </w:p>
        </w:tc>
        <w:tc>
          <w:tcPr>
            <w:tcW w:w="467" w:type="pct"/>
            <w:gridSpan w:val="2"/>
            <w:tcBorders>
              <w:top w:val="nil"/>
              <w:left w:val="nil"/>
              <w:bottom w:val="nil"/>
              <w:right w:val="nil"/>
            </w:tcBorders>
            <w:shd w:val="clear" w:color="auto" w:fill="auto"/>
            <w:noWrap/>
            <w:vAlign w:val="center"/>
            <w:hideMark/>
          </w:tcPr>
          <w:p w14:paraId="6778497C" w14:textId="77777777" w:rsidR="00DC1800" w:rsidRPr="00C47644" w:rsidRDefault="00DC1800" w:rsidP="00094682">
            <w:pPr>
              <w:spacing w:after="0" w:line="240" w:lineRule="auto"/>
              <w:jc w:val="right"/>
              <w:rPr>
                <w:sz w:val="18"/>
                <w:szCs w:val="18"/>
                <w:lang w:eastAsia="sk-SK"/>
              </w:rPr>
            </w:pPr>
            <w:r w:rsidRPr="00C47644">
              <w:rPr>
                <w:sz w:val="18"/>
                <w:szCs w:val="18"/>
                <w:lang w:eastAsia="sk-SK"/>
              </w:rPr>
              <w:t>0,000</w:t>
            </w:r>
          </w:p>
        </w:tc>
        <w:tc>
          <w:tcPr>
            <w:tcW w:w="1845" w:type="pct"/>
            <w:tcBorders>
              <w:top w:val="nil"/>
              <w:left w:val="nil"/>
              <w:bottom w:val="nil"/>
              <w:right w:val="nil"/>
            </w:tcBorders>
            <w:shd w:val="clear" w:color="auto" w:fill="auto"/>
            <w:vAlign w:val="center"/>
            <w:hideMark/>
          </w:tcPr>
          <w:p w14:paraId="0CA8117C" w14:textId="77777777" w:rsidR="00DC1800" w:rsidRPr="00C47644" w:rsidRDefault="00DC1800" w:rsidP="00094682">
            <w:pPr>
              <w:spacing w:after="0" w:line="240" w:lineRule="auto"/>
              <w:rPr>
                <w:sz w:val="18"/>
                <w:szCs w:val="18"/>
                <w:lang w:eastAsia="sk-SK"/>
              </w:rPr>
            </w:pPr>
            <w:r w:rsidRPr="00C47644">
              <w:rPr>
                <w:sz w:val="18"/>
                <w:szCs w:val="18"/>
                <w:lang w:eastAsia="sk-SK"/>
              </w:rPr>
              <w:t>aktualizácia na základe súvah</w:t>
            </w:r>
          </w:p>
        </w:tc>
      </w:tr>
      <w:tr w:rsidR="00DC1800" w:rsidRPr="00C47644" w14:paraId="6055C67F" w14:textId="77777777" w:rsidTr="00094682">
        <w:trPr>
          <w:gridAfter w:val="1"/>
          <w:wAfter w:w="38" w:type="pct"/>
          <w:trHeight w:val="255"/>
        </w:trPr>
        <w:tc>
          <w:tcPr>
            <w:tcW w:w="1982" w:type="pct"/>
            <w:gridSpan w:val="2"/>
            <w:tcBorders>
              <w:top w:val="single" w:sz="4" w:space="0" w:color="auto"/>
              <w:left w:val="nil"/>
              <w:bottom w:val="single" w:sz="4" w:space="0" w:color="auto"/>
              <w:right w:val="nil"/>
            </w:tcBorders>
            <w:shd w:val="clear" w:color="auto" w:fill="auto"/>
            <w:vAlign w:val="center"/>
            <w:hideMark/>
          </w:tcPr>
          <w:p w14:paraId="50C403EA" w14:textId="77777777" w:rsidR="00DC1800" w:rsidRPr="00C47644" w:rsidRDefault="00DC1800" w:rsidP="00094682">
            <w:pPr>
              <w:spacing w:after="0" w:line="240" w:lineRule="auto"/>
              <w:rPr>
                <w:b/>
                <w:bCs/>
                <w:sz w:val="18"/>
                <w:szCs w:val="18"/>
                <w:lang w:eastAsia="sk-SK"/>
              </w:rPr>
            </w:pPr>
            <w:r w:rsidRPr="00C47644">
              <w:rPr>
                <w:b/>
                <w:bCs/>
                <w:sz w:val="18"/>
                <w:szCs w:val="18"/>
                <w:lang w:eastAsia="sk-SK"/>
              </w:rPr>
              <w:t>Maastrichtský dlh  VS - október 2021</w:t>
            </w:r>
          </w:p>
        </w:tc>
        <w:tc>
          <w:tcPr>
            <w:tcW w:w="668" w:type="pct"/>
            <w:gridSpan w:val="2"/>
            <w:tcBorders>
              <w:top w:val="single" w:sz="4" w:space="0" w:color="auto"/>
              <w:left w:val="nil"/>
              <w:bottom w:val="single" w:sz="4" w:space="0" w:color="auto"/>
              <w:right w:val="nil"/>
            </w:tcBorders>
            <w:shd w:val="clear" w:color="auto" w:fill="auto"/>
            <w:vAlign w:val="center"/>
            <w:hideMark/>
          </w:tcPr>
          <w:p w14:paraId="0AD71721" w14:textId="77777777" w:rsidR="00DC1800" w:rsidRPr="00C47644" w:rsidRDefault="00DC1800" w:rsidP="00094682">
            <w:pPr>
              <w:spacing w:after="0" w:line="240" w:lineRule="auto"/>
              <w:jc w:val="right"/>
              <w:rPr>
                <w:b/>
                <w:bCs/>
                <w:sz w:val="18"/>
                <w:szCs w:val="18"/>
                <w:lang w:eastAsia="sk-SK"/>
              </w:rPr>
            </w:pPr>
            <w:r w:rsidRPr="00C47644">
              <w:rPr>
                <w:b/>
                <w:bCs/>
                <w:sz w:val="18"/>
                <w:szCs w:val="18"/>
                <w:lang w:eastAsia="sk-SK"/>
              </w:rPr>
              <w:t>55 009 746</w:t>
            </w:r>
          </w:p>
        </w:tc>
        <w:tc>
          <w:tcPr>
            <w:tcW w:w="467" w:type="pct"/>
            <w:gridSpan w:val="2"/>
            <w:tcBorders>
              <w:top w:val="single" w:sz="4" w:space="0" w:color="auto"/>
              <w:left w:val="nil"/>
              <w:bottom w:val="single" w:sz="4" w:space="0" w:color="auto"/>
              <w:right w:val="nil"/>
            </w:tcBorders>
            <w:shd w:val="clear" w:color="auto" w:fill="auto"/>
            <w:vAlign w:val="center"/>
            <w:hideMark/>
          </w:tcPr>
          <w:p w14:paraId="789F0EC6" w14:textId="77777777" w:rsidR="00DC1800" w:rsidRPr="00C47644" w:rsidRDefault="00DC1800" w:rsidP="00094682">
            <w:pPr>
              <w:spacing w:after="0" w:line="240" w:lineRule="auto"/>
              <w:jc w:val="right"/>
              <w:rPr>
                <w:b/>
                <w:bCs/>
                <w:sz w:val="18"/>
                <w:szCs w:val="18"/>
                <w:lang w:eastAsia="sk-SK"/>
              </w:rPr>
            </w:pPr>
            <w:r w:rsidRPr="00C47644">
              <w:rPr>
                <w:b/>
                <w:bCs/>
                <w:sz w:val="18"/>
                <w:szCs w:val="18"/>
                <w:lang w:eastAsia="sk-SK"/>
              </w:rPr>
              <w:t>59,7</w:t>
            </w:r>
          </w:p>
        </w:tc>
        <w:tc>
          <w:tcPr>
            <w:tcW w:w="1845" w:type="pct"/>
            <w:tcBorders>
              <w:top w:val="single" w:sz="4" w:space="0" w:color="auto"/>
              <w:left w:val="nil"/>
              <w:bottom w:val="single" w:sz="4" w:space="0" w:color="auto"/>
              <w:right w:val="nil"/>
            </w:tcBorders>
            <w:shd w:val="clear" w:color="auto" w:fill="auto"/>
            <w:noWrap/>
            <w:vAlign w:val="center"/>
            <w:hideMark/>
          </w:tcPr>
          <w:p w14:paraId="0906AE34" w14:textId="77777777" w:rsidR="00DC1800" w:rsidRPr="00C47644" w:rsidRDefault="00DC1800" w:rsidP="00094682">
            <w:pPr>
              <w:spacing w:after="0" w:line="240" w:lineRule="auto"/>
              <w:jc w:val="center"/>
              <w:rPr>
                <w:b/>
                <w:bCs/>
                <w:sz w:val="18"/>
                <w:szCs w:val="18"/>
                <w:lang w:eastAsia="sk-SK"/>
              </w:rPr>
            </w:pPr>
            <w:r w:rsidRPr="00C47644">
              <w:rPr>
                <w:b/>
                <w:bCs/>
                <w:sz w:val="18"/>
                <w:szCs w:val="18"/>
                <w:lang w:eastAsia="sk-SK"/>
              </w:rPr>
              <w:t> </w:t>
            </w:r>
          </w:p>
        </w:tc>
      </w:tr>
    </w:tbl>
    <w:p w14:paraId="55ACEC86" w14:textId="77777777" w:rsidR="00DC1800" w:rsidRPr="00B646B3" w:rsidRDefault="00DC1800" w:rsidP="00DC1800">
      <w:pPr>
        <w:pStyle w:val="Odsekzoznamu"/>
        <w:spacing w:after="120"/>
        <w:jc w:val="right"/>
        <w:rPr>
          <w:rFonts w:cs="Times New Roman"/>
          <w:sz w:val="16"/>
          <w:szCs w:val="16"/>
        </w:rPr>
      </w:pPr>
      <w:r w:rsidRPr="00B646B3">
        <w:rPr>
          <w:rFonts w:cs="Times New Roman"/>
          <w:sz w:val="16"/>
          <w:szCs w:val="16"/>
        </w:rPr>
        <w:t>Zdroj: MF SR</w:t>
      </w:r>
    </w:p>
    <w:p w14:paraId="65FAAA38" w14:textId="77777777" w:rsidR="00DC1800" w:rsidRPr="00C47644" w:rsidRDefault="00DC1800" w:rsidP="00DC1800">
      <w:pPr>
        <w:spacing w:after="120" w:line="240" w:lineRule="auto"/>
        <w:jc w:val="both"/>
      </w:pPr>
      <w:r w:rsidRPr="00C47644">
        <w:t xml:space="preserve">Najvýznamnejšia revízia v maastrichtskom dlhu sa udiala z dôvodu prehodnotenia prevzatia záruky Exportno-importnej banky SR do štátneho dlhu. Po analýze obchodov bola </w:t>
      </w:r>
      <w:proofErr w:type="spellStart"/>
      <w:r>
        <w:t>imputácia</w:t>
      </w:r>
      <w:proofErr w:type="spellEnd"/>
      <w:r>
        <w:t xml:space="preserve"> plnenia </w:t>
      </w:r>
      <w:r w:rsidRPr="00C47644">
        <w:t>záruk</w:t>
      </w:r>
      <w:r>
        <w:t>y</w:t>
      </w:r>
      <w:r w:rsidRPr="00C47644">
        <w:t xml:space="preserve"> v</w:t>
      </w:r>
      <w:r>
        <w:t>o</w:t>
      </w:r>
      <w:r w:rsidRPr="00C47644">
        <w:t xml:space="preserve"> výške 173 000 tis. eur </w:t>
      </w:r>
      <w:r>
        <w:t>z aprílovej notifikácie zrušená</w:t>
      </w:r>
      <w:r w:rsidRPr="00C47644">
        <w:t xml:space="preserve">. </w:t>
      </w:r>
    </w:p>
    <w:p w14:paraId="5C610281" w14:textId="77777777" w:rsidR="00DC1800" w:rsidRPr="00193B3B" w:rsidRDefault="00DC1800" w:rsidP="00DC1800">
      <w:pPr>
        <w:spacing w:after="0" w:line="240" w:lineRule="auto"/>
        <w:jc w:val="both"/>
        <w:rPr>
          <w:b/>
          <w:bCs/>
          <w:sz w:val="24"/>
          <w:szCs w:val="24"/>
          <w:highlight w:val="yellow"/>
        </w:rPr>
      </w:pPr>
      <w:r w:rsidRPr="00B646B3">
        <w:t>V oveľa menšej miere boli údaje o maastrichtskom dlhu revidované na základe aktualizácie údajov  o záväzkoch z titulu podpory produkcie zelenej energie. Revízia spôsobila nárast hodnoty maastrichtského dlhu oproti jarne</w:t>
      </w:r>
      <w:r>
        <w:t xml:space="preserve">j notifikácii o 3 724 tis. eur. </w:t>
      </w:r>
      <w:r w:rsidRPr="00B646B3">
        <w:t>Z dôvodu podania definitívnych výkazov, súvah alebo finančných výkazov z tzv. 5. zberu prišlo k poklesu úrovne maastrichtského dlhu oproti jarnej notifikácii súhrnne o 1 535 tis. eur.</w:t>
      </w:r>
    </w:p>
    <w:p w14:paraId="10A9F8BD" w14:textId="77777777" w:rsidR="00DC1800" w:rsidRDefault="00DC1800" w:rsidP="00DC1800">
      <w:pPr>
        <w:spacing w:after="0" w:line="240" w:lineRule="auto"/>
        <w:rPr>
          <w:highlight w:val="yellow"/>
        </w:rPr>
      </w:pPr>
    </w:p>
    <w:tbl>
      <w:tblPr>
        <w:tblW w:w="9639" w:type="dxa"/>
        <w:tblCellMar>
          <w:left w:w="70" w:type="dxa"/>
          <w:right w:w="70" w:type="dxa"/>
        </w:tblCellMar>
        <w:tblLook w:val="04A0" w:firstRow="1" w:lastRow="0" w:firstColumn="1" w:lastColumn="0" w:noHBand="0" w:noVBand="1"/>
      </w:tblPr>
      <w:tblGrid>
        <w:gridCol w:w="1374"/>
        <w:gridCol w:w="977"/>
        <w:gridCol w:w="722"/>
        <w:gridCol w:w="722"/>
        <w:gridCol w:w="722"/>
        <w:gridCol w:w="722"/>
        <w:gridCol w:w="722"/>
        <w:gridCol w:w="722"/>
        <w:gridCol w:w="722"/>
        <w:gridCol w:w="722"/>
        <w:gridCol w:w="722"/>
        <w:gridCol w:w="7"/>
        <w:gridCol w:w="783"/>
      </w:tblGrid>
      <w:tr w:rsidR="00DC1800" w:rsidRPr="00884682" w14:paraId="65727281" w14:textId="77777777" w:rsidTr="00094682">
        <w:trPr>
          <w:trHeight w:val="407"/>
        </w:trPr>
        <w:tc>
          <w:tcPr>
            <w:tcW w:w="8856" w:type="dxa"/>
            <w:gridSpan w:val="12"/>
            <w:tcBorders>
              <w:top w:val="single" w:sz="4" w:space="0" w:color="auto"/>
              <w:left w:val="nil"/>
              <w:bottom w:val="single" w:sz="4" w:space="0" w:color="auto"/>
              <w:right w:val="nil"/>
            </w:tcBorders>
            <w:shd w:val="clear" w:color="000000" w:fill="000000"/>
            <w:noWrap/>
            <w:vAlign w:val="center"/>
            <w:hideMark/>
          </w:tcPr>
          <w:p w14:paraId="63B83763" w14:textId="6412D4E8" w:rsidR="00DC1800" w:rsidRPr="00884682" w:rsidRDefault="00884682" w:rsidP="00884682">
            <w:pPr>
              <w:pStyle w:val="popistabuliek"/>
            </w:pPr>
            <w:r w:rsidRPr="00884682">
              <w:t xml:space="preserve">Tab. 3 - </w:t>
            </w:r>
            <w:r w:rsidR="00DC1800" w:rsidRPr="00884682">
              <w:t xml:space="preserve">Vývoj schodku a dlhu sektora verejnej správy v období 10 rokov </w:t>
            </w:r>
          </w:p>
        </w:tc>
        <w:tc>
          <w:tcPr>
            <w:tcW w:w="783" w:type="dxa"/>
            <w:tcBorders>
              <w:top w:val="single" w:sz="4" w:space="0" w:color="auto"/>
              <w:left w:val="nil"/>
              <w:bottom w:val="single" w:sz="4" w:space="0" w:color="auto"/>
              <w:right w:val="nil"/>
            </w:tcBorders>
            <w:shd w:val="clear" w:color="000000" w:fill="000000"/>
            <w:noWrap/>
            <w:vAlign w:val="bottom"/>
            <w:hideMark/>
          </w:tcPr>
          <w:p w14:paraId="2D31AACE" w14:textId="77777777" w:rsidR="00DC1800" w:rsidRPr="00884682" w:rsidRDefault="00DC1800" w:rsidP="00884682">
            <w:pPr>
              <w:pStyle w:val="popistabuliek"/>
              <w:rPr>
                <w:color w:val="000000"/>
              </w:rPr>
            </w:pPr>
            <w:r w:rsidRPr="00884682">
              <w:rPr>
                <w:color w:val="000000"/>
              </w:rPr>
              <w:t>v tis. eur</w:t>
            </w:r>
          </w:p>
        </w:tc>
      </w:tr>
      <w:tr w:rsidR="00DC1800" w:rsidRPr="00112545" w14:paraId="13CA5DCB" w14:textId="77777777" w:rsidTr="00094682">
        <w:trPr>
          <w:trHeight w:val="322"/>
        </w:trPr>
        <w:tc>
          <w:tcPr>
            <w:tcW w:w="1374" w:type="dxa"/>
            <w:vMerge w:val="restart"/>
            <w:tcBorders>
              <w:top w:val="nil"/>
              <w:left w:val="nil"/>
              <w:bottom w:val="single" w:sz="4" w:space="0" w:color="000000"/>
              <w:right w:val="nil"/>
            </w:tcBorders>
            <w:shd w:val="clear" w:color="000000" w:fill="BFBFBF"/>
            <w:noWrap/>
            <w:vAlign w:val="center"/>
            <w:hideMark/>
          </w:tcPr>
          <w:p w14:paraId="729FBE9D" w14:textId="77777777" w:rsidR="00DC1800" w:rsidRPr="00112545" w:rsidRDefault="00DC1800" w:rsidP="00094682">
            <w:pPr>
              <w:spacing w:after="0" w:line="240" w:lineRule="auto"/>
              <w:rPr>
                <w:b/>
                <w:bCs/>
                <w:color w:val="000000"/>
                <w:sz w:val="18"/>
                <w:szCs w:val="18"/>
                <w:lang w:eastAsia="sk-SK"/>
              </w:rPr>
            </w:pPr>
            <w:r w:rsidRPr="00112545">
              <w:rPr>
                <w:b/>
                <w:bCs/>
                <w:color w:val="000000"/>
                <w:sz w:val="18"/>
                <w:szCs w:val="18"/>
                <w:lang w:eastAsia="sk-SK"/>
              </w:rPr>
              <w:t>Ukazovateľ</w:t>
            </w:r>
          </w:p>
        </w:tc>
        <w:tc>
          <w:tcPr>
            <w:tcW w:w="977" w:type="dxa"/>
            <w:tcBorders>
              <w:top w:val="nil"/>
              <w:left w:val="nil"/>
              <w:bottom w:val="nil"/>
              <w:right w:val="nil"/>
            </w:tcBorders>
            <w:shd w:val="clear" w:color="000000" w:fill="BFBFBF"/>
            <w:noWrap/>
            <w:vAlign w:val="bottom"/>
            <w:hideMark/>
          </w:tcPr>
          <w:p w14:paraId="7560819F" w14:textId="77777777" w:rsidR="00DC1800" w:rsidRPr="00112545" w:rsidRDefault="00DC1800" w:rsidP="00094682">
            <w:pPr>
              <w:spacing w:after="0" w:line="240" w:lineRule="auto"/>
              <w:rPr>
                <w:rFonts w:ascii="Calibri" w:hAnsi="Calibri"/>
                <w:color w:val="000000"/>
                <w:sz w:val="18"/>
                <w:szCs w:val="18"/>
                <w:lang w:eastAsia="sk-SK"/>
              </w:rPr>
            </w:pPr>
            <w:r w:rsidRPr="00112545">
              <w:rPr>
                <w:rFonts w:ascii="Calibri" w:hAnsi="Calibri"/>
                <w:color w:val="000000"/>
                <w:sz w:val="18"/>
                <w:szCs w:val="18"/>
                <w:lang w:eastAsia="sk-SK"/>
              </w:rPr>
              <w:t> </w:t>
            </w:r>
          </w:p>
        </w:tc>
        <w:tc>
          <w:tcPr>
            <w:tcW w:w="7288" w:type="dxa"/>
            <w:gridSpan w:val="11"/>
            <w:tcBorders>
              <w:top w:val="single" w:sz="4" w:space="0" w:color="auto"/>
              <w:left w:val="nil"/>
              <w:bottom w:val="nil"/>
              <w:right w:val="nil"/>
            </w:tcBorders>
            <w:shd w:val="clear" w:color="000000" w:fill="BFBFBF"/>
            <w:noWrap/>
            <w:vAlign w:val="center"/>
            <w:hideMark/>
          </w:tcPr>
          <w:p w14:paraId="1259A2E1" w14:textId="77777777" w:rsidR="00DC1800" w:rsidRPr="00112545" w:rsidRDefault="00DC1800" w:rsidP="00094682">
            <w:pPr>
              <w:spacing w:after="0" w:line="240" w:lineRule="auto"/>
              <w:jc w:val="center"/>
              <w:rPr>
                <w:b/>
                <w:bCs/>
                <w:color w:val="000000"/>
                <w:sz w:val="18"/>
                <w:szCs w:val="18"/>
                <w:lang w:eastAsia="sk-SK"/>
              </w:rPr>
            </w:pPr>
            <w:r w:rsidRPr="00112545">
              <w:rPr>
                <w:b/>
                <w:bCs/>
                <w:color w:val="000000"/>
                <w:sz w:val="18"/>
                <w:szCs w:val="18"/>
                <w:lang w:eastAsia="sk-SK"/>
              </w:rPr>
              <w:t>Skutočnosť</w:t>
            </w:r>
          </w:p>
        </w:tc>
      </w:tr>
      <w:tr w:rsidR="00DC1800" w:rsidRPr="00112545" w14:paraId="0EF58B76" w14:textId="77777777" w:rsidTr="00094682">
        <w:trPr>
          <w:trHeight w:val="322"/>
        </w:trPr>
        <w:tc>
          <w:tcPr>
            <w:tcW w:w="1374" w:type="dxa"/>
            <w:vMerge/>
            <w:tcBorders>
              <w:top w:val="nil"/>
              <w:left w:val="nil"/>
              <w:bottom w:val="single" w:sz="4" w:space="0" w:color="000000"/>
              <w:right w:val="nil"/>
            </w:tcBorders>
            <w:vAlign w:val="center"/>
            <w:hideMark/>
          </w:tcPr>
          <w:p w14:paraId="557CF63C" w14:textId="77777777" w:rsidR="00DC1800" w:rsidRPr="00112545" w:rsidRDefault="00DC1800" w:rsidP="00094682">
            <w:pPr>
              <w:spacing w:after="0" w:line="240" w:lineRule="auto"/>
              <w:rPr>
                <w:b/>
                <w:bCs/>
                <w:color w:val="000000"/>
                <w:sz w:val="18"/>
                <w:szCs w:val="18"/>
                <w:lang w:eastAsia="sk-SK"/>
              </w:rPr>
            </w:pPr>
          </w:p>
        </w:tc>
        <w:tc>
          <w:tcPr>
            <w:tcW w:w="977" w:type="dxa"/>
            <w:tcBorders>
              <w:top w:val="nil"/>
              <w:left w:val="nil"/>
              <w:bottom w:val="single" w:sz="4" w:space="0" w:color="auto"/>
              <w:right w:val="nil"/>
            </w:tcBorders>
            <w:shd w:val="clear" w:color="000000" w:fill="BFBFBF"/>
            <w:vAlign w:val="bottom"/>
            <w:hideMark/>
          </w:tcPr>
          <w:p w14:paraId="35FF2C32" w14:textId="77777777" w:rsidR="00DC1800" w:rsidRPr="00112545" w:rsidRDefault="00DC1800" w:rsidP="00094682">
            <w:pPr>
              <w:spacing w:after="0" w:line="240" w:lineRule="auto"/>
              <w:jc w:val="center"/>
              <w:rPr>
                <w:color w:val="000000"/>
                <w:sz w:val="18"/>
                <w:szCs w:val="18"/>
                <w:lang w:eastAsia="sk-SK"/>
              </w:rPr>
            </w:pPr>
            <w:r w:rsidRPr="00112545">
              <w:rPr>
                <w:color w:val="000000"/>
                <w:sz w:val="18"/>
                <w:szCs w:val="18"/>
                <w:lang w:eastAsia="sk-SK"/>
              </w:rPr>
              <w:t> </w:t>
            </w:r>
          </w:p>
        </w:tc>
        <w:tc>
          <w:tcPr>
            <w:tcW w:w="722" w:type="dxa"/>
            <w:tcBorders>
              <w:top w:val="nil"/>
              <w:left w:val="nil"/>
              <w:bottom w:val="single" w:sz="4" w:space="0" w:color="auto"/>
              <w:right w:val="nil"/>
            </w:tcBorders>
            <w:shd w:val="clear" w:color="000000" w:fill="BFBFBF"/>
            <w:vAlign w:val="center"/>
            <w:hideMark/>
          </w:tcPr>
          <w:p w14:paraId="194F502F" w14:textId="77777777" w:rsidR="00DC1800" w:rsidRPr="00112545" w:rsidRDefault="00DC1800" w:rsidP="00094682">
            <w:pPr>
              <w:spacing w:after="0" w:line="240" w:lineRule="auto"/>
              <w:jc w:val="center"/>
              <w:rPr>
                <w:b/>
                <w:bCs/>
                <w:color w:val="000000"/>
                <w:sz w:val="18"/>
                <w:szCs w:val="18"/>
                <w:lang w:eastAsia="sk-SK"/>
              </w:rPr>
            </w:pPr>
            <w:r w:rsidRPr="00112545">
              <w:rPr>
                <w:b/>
                <w:bCs/>
                <w:color w:val="000000"/>
                <w:sz w:val="18"/>
                <w:szCs w:val="18"/>
                <w:lang w:eastAsia="sk-SK"/>
              </w:rPr>
              <w:t>2011</w:t>
            </w:r>
          </w:p>
        </w:tc>
        <w:tc>
          <w:tcPr>
            <w:tcW w:w="722" w:type="dxa"/>
            <w:tcBorders>
              <w:top w:val="nil"/>
              <w:left w:val="nil"/>
              <w:bottom w:val="single" w:sz="4" w:space="0" w:color="auto"/>
              <w:right w:val="nil"/>
            </w:tcBorders>
            <w:shd w:val="clear" w:color="000000" w:fill="BFBFBF"/>
            <w:vAlign w:val="center"/>
            <w:hideMark/>
          </w:tcPr>
          <w:p w14:paraId="12C3E2A2" w14:textId="77777777" w:rsidR="00DC1800" w:rsidRPr="00112545" w:rsidRDefault="00DC1800" w:rsidP="00094682">
            <w:pPr>
              <w:spacing w:after="0" w:line="240" w:lineRule="auto"/>
              <w:jc w:val="center"/>
              <w:rPr>
                <w:b/>
                <w:bCs/>
                <w:color w:val="000000"/>
                <w:sz w:val="18"/>
                <w:szCs w:val="18"/>
                <w:lang w:eastAsia="sk-SK"/>
              </w:rPr>
            </w:pPr>
            <w:r w:rsidRPr="00112545">
              <w:rPr>
                <w:b/>
                <w:bCs/>
                <w:color w:val="000000"/>
                <w:sz w:val="18"/>
                <w:szCs w:val="18"/>
                <w:lang w:eastAsia="sk-SK"/>
              </w:rPr>
              <w:t>2012</w:t>
            </w:r>
          </w:p>
        </w:tc>
        <w:tc>
          <w:tcPr>
            <w:tcW w:w="722" w:type="dxa"/>
            <w:tcBorders>
              <w:top w:val="nil"/>
              <w:left w:val="nil"/>
              <w:bottom w:val="single" w:sz="4" w:space="0" w:color="auto"/>
              <w:right w:val="nil"/>
            </w:tcBorders>
            <w:shd w:val="clear" w:color="000000" w:fill="BFBFBF"/>
            <w:vAlign w:val="center"/>
            <w:hideMark/>
          </w:tcPr>
          <w:p w14:paraId="7FDA263B" w14:textId="77777777" w:rsidR="00DC1800" w:rsidRPr="00112545" w:rsidRDefault="00DC1800" w:rsidP="00094682">
            <w:pPr>
              <w:spacing w:after="0" w:line="240" w:lineRule="auto"/>
              <w:jc w:val="center"/>
              <w:rPr>
                <w:b/>
                <w:bCs/>
                <w:color w:val="000000"/>
                <w:sz w:val="18"/>
                <w:szCs w:val="18"/>
                <w:lang w:eastAsia="sk-SK"/>
              </w:rPr>
            </w:pPr>
            <w:r w:rsidRPr="00112545">
              <w:rPr>
                <w:b/>
                <w:bCs/>
                <w:color w:val="000000"/>
                <w:sz w:val="18"/>
                <w:szCs w:val="18"/>
                <w:lang w:eastAsia="sk-SK"/>
              </w:rPr>
              <w:t>2013</w:t>
            </w:r>
          </w:p>
        </w:tc>
        <w:tc>
          <w:tcPr>
            <w:tcW w:w="722" w:type="dxa"/>
            <w:tcBorders>
              <w:top w:val="nil"/>
              <w:left w:val="nil"/>
              <w:bottom w:val="single" w:sz="4" w:space="0" w:color="auto"/>
              <w:right w:val="nil"/>
            </w:tcBorders>
            <w:shd w:val="clear" w:color="000000" w:fill="BFBFBF"/>
            <w:vAlign w:val="center"/>
            <w:hideMark/>
          </w:tcPr>
          <w:p w14:paraId="6EF9AD47" w14:textId="77777777" w:rsidR="00DC1800" w:rsidRPr="00112545" w:rsidRDefault="00DC1800" w:rsidP="00094682">
            <w:pPr>
              <w:spacing w:after="0" w:line="240" w:lineRule="auto"/>
              <w:jc w:val="center"/>
              <w:rPr>
                <w:b/>
                <w:bCs/>
                <w:color w:val="000000"/>
                <w:sz w:val="18"/>
                <w:szCs w:val="18"/>
                <w:lang w:eastAsia="sk-SK"/>
              </w:rPr>
            </w:pPr>
            <w:r w:rsidRPr="00112545">
              <w:rPr>
                <w:b/>
                <w:bCs/>
                <w:color w:val="000000"/>
                <w:sz w:val="18"/>
                <w:szCs w:val="18"/>
                <w:lang w:eastAsia="sk-SK"/>
              </w:rPr>
              <w:t>2014</w:t>
            </w:r>
          </w:p>
        </w:tc>
        <w:tc>
          <w:tcPr>
            <w:tcW w:w="722" w:type="dxa"/>
            <w:tcBorders>
              <w:top w:val="nil"/>
              <w:left w:val="nil"/>
              <w:bottom w:val="single" w:sz="4" w:space="0" w:color="auto"/>
              <w:right w:val="nil"/>
            </w:tcBorders>
            <w:shd w:val="clear" w:color="000000" w:fill="BFBFBF"/>
            <w:vAlign w:val="center"/>
            <w:hideMark/>
          </w:tcPr>
          <w:p w14:paraId="7B7962C4" w14:textId="77777777" w:rsidR="00DC1800" w:rsidRPr="00112545" w:rsidRDefault="00DC1800" w:rsidP="00094682">
            <w:pPr>
              <w:spacing w:after="0" w:line="240" w:lineRule="auto"/>
              <w:jc w:val="center"/>
              <w:rPr>
                <w:b/>
                <w:bCs/>
                <w:color w:val="000000"/>
                <w:sz w:val="18"/>
                <w:szCs w:val="18"/>
                <w:lang w:eastAsia="sk-SK"/>
              </w:rPr>
            </w:pPr>
            <w:r w:rsidRPr="00112545">
              <w:rPr>
                <w:b/>
                <w:bCs/>
                <w:color w:val="000000"/>
                <w:sz w:val="18"/>
                <w:szCs w:val="18"/>
                <w:lang w:eastAsia="sk-SK"/>
              </w:rPr>
              <w:t>2015</w:t>
            </w:r>
          </w:p>
        </w:tc>
        <w:tc>
          <w:tcPr>
            <w:tcW w:w="722" w:type="dxa"/>
            <w:tcBorders>
              <w:top w:val="nil"/>
              <w:left w:val="nil"/>
              <w:bottom w:val="single" w:sz="4" w:space="0" w:color="auto"/>
              <w:right w:val="nil"/>
            </w:tcBorders>
            <w:shd w:val="clear" w:color="000000" w:fill="BFBFBF"/>
            <w:vAlign w:val="center"/>
            <w:hideMark/>
          </w:tcPr>
          <w:p w14:paraId="7ACF01A5" w14:textId="77777777" w:rsidR="00DC1800" w:rsidRPr="00112545" w:rsidRDefault="00DC1800" w:rsidP="00094682">
            <w:pPr>
              <w:spacing w:after="0" w:line="240" w:lineRule="auto"/>
              <w:jc w:val="center"/>
              <w:rPr>
                <w:b/>
                <w:bCs/>
                <w:color w:val="000000"/>
                <w:sz w:val="18"/>
                <w:szCs w:val="18"/>
                <w:lang w:eastAsia="sk-SK"/>
              </w:rPr>
            </w:pPr>
            <w:r w:rsidRPr="00112545">
              <w:rPr>
                <w:b/>
                <w:bCs/>
                <w:color w:val="000000"/>
                <w:sz w:val="18"/>
                <w:szCs w:val="18"/>
                <w:lang w:eastAsia="sk-SK"/>
              </w:rPr>
              <w:t>2016</w:t>
            </w:r>
          </w:p>
        </w:tc>
        <w:tc>
          <w:tcPr>
            <w:tcW w:w="722" w:type="dxa"/>
            <w:tcBorders>
              <w:top w:val="nil"/>
              <w:left w:val="nil"/>
              <w:bottom w:val="single" w:sz="4" w:space="0" w:color="auto"/>
              <w:right w:val="nil"/>
            </w:tcBorders>
            <w:shd w:val="clear" w:color="000000" w:fill="BFBFBF"/>
            <w:noWrap/>
            <w:vAlign w:val="center"/>
            <w:hideMark/>
          </w:tcPr>
          <w:p w14:paraId="727F0E4D" w14:textId="77777777" w:rsidR="00DC1800" w:rsidRPr="00112545" w:rsidRDefault="00DC1800" w:rsidP="00094682">
            <w:pPr>
              <w:spacing w:after="0" w:line="240" w:lineRule="auto"/>
              <w:jc w:val="center"/>
              <w:rPr>
                <w:b/>
                <w:bCs/>
                <w:color w:val="000000"/>
                <w:sz w:val="18"/>
                <w:szCs w:val="18"/>
                <w:lang w:eastAsia="sk-SK"/>
              </w:rPr>
            </w:pPr>
            <w:r w:rsidRPr="00112545">
              <w:rPr>
                <w:b/>
                <w:bCs/>
                <w:color w:val="000000"/>
                <w:sz w:val="18"/>
                <w:szCs w:val="18"/>
                <w:lang w:eastAsia="sk-SK"/>
              </w:rPr>
              <w:t>2017</w:t>
            </w:r>
          </w:p>
        </w:tc>
        <w:tc>
          <w:tcPr>
            <w:tcW w:w="722" w:type="dxa"/>
            <w:tcBorders>
              <w:top w:val="nil"/>
              <w:left w:val="nil"/>
              <w:bottom w:val="single" w:sz="4" w:space="0" w:color="auto"/>
              <w:right w:val="nil"/>
            </w:tcBorders>
            <w:shd w:val="clear" w:color="000000" w:fill="BFBFBF"/>
            <w:noWrap/>
            <w:vAlign w:val="center"/>
            <w:hideMark/>
          </w:tcPr>
          <w:p w14:paraId="0F548774" w14:textId="77777777" w:rsidR="00DC1800" w:rsidRPr="00112545" w:rsidRDefault="00DC1800" w:rsidP="00094682">
            <w:pPr>
              <w:spacing w:after="0" w:line="240" w:lineRule="auto"/>
              <w:jc w:val="center"/>
              <w:rPr>
                <w:b/>
                <w:bCs/>
                <w:color w:val="000000"/>
                <w:sz w:val="18"/>
                <w:szCs w:val="18"/>
                <w:lang w:eastAsia="sk-SK"/>
              </w:rPr>
            </w:pPr>
            <w:r w:rsidRPr="00112545">
              <w:rPr>
                <w:b/>
                <w:bCs/>
                <w:color w:val="000000"/>
                <w:sz w:val="18"/>
                <w:szCs w:val="18"/>
                <w:lang w:eastAsia="sk-SK"/>
              </w:rPr>
              <w:t>2018</w:t>
            </w:r>
          </w:p>
        </w:tc>
        <w:tc>
          <w:tcPr>
            <w:tcW w:w="722" w:type="dxa"/>
            <w:tcBorders>
              <w:top w:val="nil"/>
              <w:left w:val="nil"/>
              <w:bottom w:val="single" w:sz="4" w:space="0" w:color="auto"/>
              <w:right w:val="nil"/>
            </w:tcBorders>
            <w:shd w:val="clear" w:color="000000" w:fill="BFBFBF"/>
            <w:noWrap/>
            <w:vAlign w:val="center"/>
            <w:hideMark/>
          </w:tcPr>
          <w:p w14:paraId="38DD1AC6" w14:textId="77777777" w:rsidR="00DC1800" w:rsidRPr="00112545" w:rsidRDefault="00DC1800" w:rsidP="00094682">
            <w:pPr>
              <w:spacing w:after="0" w:line="240" w:lineRule="auto"/>
              <w:jc w:val="center"/>
              <w:rPr>
                <w:b/>
                <w:bCs/>
                <w:color w:val="000000"/>
                <w:sz w:val="18"/>
                <w:szCs w:val="18"/>
                <w:lang w:eastAsia="sk-SK"/>
              </w:rPr>
            </w:pPr>
            <w:r w:rsidRPr="00112545">
              <w:rPr>
                <w:b/>
                <w:bCs/>
                <w:color w:val="000000"/>
                <w:sz w:val="18"/>
                <w:szCs w:val="18"/>
                <w:lang w:eastAsia="sk-SK"/>
              </w:rPr>
              <w:t>2019</w:t>
            </w:r>
          </w:p>
        </w:tc>
        <w:tc>
          <w:tcPr>
            <w:tcW w:w="790" w:type="dxa"/>
            <w:gridSpan w:val="2"/>
            <w:tcBorders>
              <w:top w:val="nil"/>
              <w:left w:val="nil"/>
              <w:bottom w:val="single" w:sz="4" w:space="0" w:color="auto"/>
              <w:right w:val="nil"/>
            </w:tcBorders>
            <w:shd w:val="clear" w:color="000000" w:fill="BFBFBF"/>
            <w:noWrap/>
            <w:vAlign w:val="center"/>
            <w:hideMark/>
          </w:tcPr>
          <w:p w14:paraId="1558E929" w14:textId="77777777" w:rsidR="00DC1800" w:rsidRPr="00112545" w:rsidRDefault="00DC1800" w:rsidP="00094682">
            <w:pPr>
              <w:spacing w:after="0" w:line="240" w:lineRule="auto"/>
              <w:jc w:val="center"/>
              <w:rPr>
                <w:b/>
                <w:bCs/>
                <w:color w:val="000000"/>
                <w:sz w:val="18"/>
                <w:szCs w:val="18"/>
                <w:lang w:eastAsia="sk-SK"/>
              </w:rPr>
            </w:pPr>
            <w:r w:rsidRPr="00112545">
              <w:rPr>
                <w:b/>
                <w:bCs/>
                <w:color w:val="000000"/>
                <w:sz w:val="18"/>
                <w:szCs w:val="18"/>
                <w:lang w:eastAsia="sk-SK"/>
              </w:rPr>
              <w:t>2020</w:t>
            </w:r>
          </w:p>
        </w:tc>
      </w:tr>
      <w:tr w:rsidR="00DC1800" w:rsidRPr="00112545" w14:paraId="534FE06A" w14:textId="77777777" w:rsidTr="00094682">
        <w:trPr>
          <w:trHeight w:val="345"/>
        </w:trPr>
        <w:tc>
          <w:tcPr>
            <w:tcW w:w="1374" w:type="dxa"/>
            <w:vMerge w:val="restart"/>
            <w:tcBorders>
              <w:top w:val="nil"/>
              <w:left w:val="nil"/>
              <w:bottom w:val="nil"/>
              <w:right w:val="nil"/>
            </w:tcBorders>
            <w:shd w:val="clear" w:color="auto" w:fill="auto"/>
            <w:noWrap/>
            <w:vAlign w:val="center"/>
            <w:hideMark/>
          </w:tcPr>
          <w:p w14:paraId="7CF3DEDE" w14:textId="77777777" w:rsidR="00DC1800" w:rsidRPr="00112545" w:rsidRDefault="00DC1800" w:rsidP="00094682">
            <w:pPr>
              <w:spacing w:after="0" w:line="240" w:lineRule="auto"/>
              <w:rPr>
                <w:b/>
                <w:bCs/>
                <w:color w:val="000000"/>
                <w:sz w:val="18"/>
                <w:szCs w:val="18"/>
                <w:lang w:eastAsia="sk-SK"/>
              </w:rPr>
            </w:pPr>
            <w:r w:rsidRPr="00112545">
              <w:rPr>
                <w:b/>
                <w:bCs/>
                <w:color w:val="000000"/>
                <w:sz w:val="18"/>
                <w:szCs w:val="18"/>
                <w:lang w:eastAsia="sk-SK"/>
              </w:rPr>
              <w:t>ESA schodok</w:t>
            </w:r>
          </w:p>
        </w:tc>
        <w:tc>
          <w:tcPr>
            <w:tcW w:w="977" w:type="dxa"/>
            <w:tcBorders>
              <w:top w:val="nil"/>
              <w:left w:val="nil"/>
              <w:bottom w:val="nil"/>
              <w:right w:val="nil"/>
            </w:tcBorders>
            <w:shd w:val="clear" w:color="auto" w:fill="auto"/>
            <w:noWrap/>
            <w:vAlign w:val="center"/>
            <w:hideMark/>
          </w:tcPr>
          <w:p w14:paraId="32B9E2E9" w14:textId="77777777" w:rsidR="00DC1800" w:rsidRPr="00112545" w:rsidRDefault="00DC1800" w:rsidP="00094682">
            <w:pPr>
              <w:spacing w:after="0" w:line="240" w:lineRule="auto"/>
              <w:jc w:val="center"/>
              <w:rPr>
                <w:color w:val="000000"/>
                <w:sz w:val="18"/>
                <w:szCs w:val="18"/>
                <w:lang w:eastAsia="sk-SK"/>
              </w:rPr>
            </w:pPr>
            <w:r w:rsidRPr="00112545">
              <w:rPr>
                <w:color w:val="000000"/>
                <w:sz w:val="18"/>
                <w:szCs w:val="18"/>
                <w:lang w:eastAsia="sk-SK"/>
              </w:rPr>
              <w:t>mil. EUR</w:t>
            </w:r>
          </w:p>
        </w:tc>
        <w:tc>
          <w:tcPr>
            <w:tcW w:w="722" w:type="dxa"/>
            <w:tcBorders>
              <w:top w:val="nil"/>
              <w:left w:val="nil"/>
              <w:bottom w:val="nil"/>
              <w:right w:val="nil"/>
            </w:tcBorders>
            <w:shd w:val="clear" w:color="auto" w:fill="auto"/>
            <w:noWrap/>
            <w:vAlign w:val="center"/>
            <w:hideMark/>
          </w:tcPr>
          <w:p w14:paraId="2042CCA7" w14:textId="77777777" w:rsidR="00DC1800" w:rsidRPr="00112545" w:rsidRDefault="00DC1800" w:rsidP="00094682">
            <w:pPr>
              <w:spacing w:after="0" w:line="240" w:lineRule="auto"/>
              <w:jc w:val="right"/>
              <w:rPr>
                <w:color w:val="000000"/>
                <w:sz w:val="18"/>
                <w:szCs w:val="18"/>
                <w:lang w:eastAsia="sk-SK"/>
              </w:rPr>
            </w:pPr>
            <w:r w:rsidRPr="00112545">
              <w:rPr>
                <w:color w:val="000000"/>
                <w:sz w:val="18"/>
                <w:szCs w:val="18"/>
                <w:lang w:eastAsia="sk-SK"/>
              </w:rPr>
              <w:t>-3 089</w:t>
            </w:r>
          </w:p>
        </w:tc>
        <w:tc>
          <w:tcPr>
            <w:tcW w:w="722" w:type="dxa"/>
            <w:tcBorders>
              <w:top w:val="nil"/>
              <w:left w:val="nil"/>
              <w:bottom w:val="nil"/>
              <w:right w:val="nil"/>
            </w:tcBorders>
            <w:shd w:val="clear" w:color="auto" w:fill="auto"/>
            <w:noWrap/>
            <w:vAlign w:val="center"/>
            <w:hideMark/>
          </w:tcPr>
          <w:p w14:paraId="3DB1EB80" w14:textId="77777777" w:rsidR="00DC1800" w:rsidRPr="00112545" w:rsidRDefault="00DC1800" w:rsidP="00094682">
            <w:pPr>
              <w:spacing w:after="0" w:line="240" w:lineRule="auto"/>
              <w:jc w:val="right"/>
              <w:rPr>
                <w:color w:val="000000"/>
                <w:sz w:val="18"/>
                <w:szCs w:val="18"/>
                <w:lang w:eastAsia="sk-SK"/>
              </w:rPr>
            </w:pPr>
            <w:r w:rsidRPr="00112545">
              <w:rPr>
                <w:color w:val="000000"/>
                <w:sz w:val="18"/>
                <w:szCs w:val="18"/>
                <w:lang w:eastAsia="sk-SK"/>
              </w:rPr>
              <w:t>-3 205</w:t>
            </w:r>
          </w:p>
        </w:tc>
        <w:tc>
          <w:tcPr>
            <w:tcW w:w="722" w:type="dxa"/>
            <w:tcBorders>
              <w:top w:val="nil"/>
              <w:left w:val="nil"/>
              <w:bottom w:val="nil"/>
              <w:right w:val="nil"/>
            </w:tcBorders>
            <w:shd w:val="clear" w:color="auto" w:fill="auto"/>
            <w:noWrap/>
            <w:vAlign w:val="center"/>
            <w:hideMark/>
          </w:tcPr>
          <w:p w14:paraId="6DA45641" w14:textId="77777777" w:rsidR="00DC1800" w:rsidRPr="00112545" w:rsidRDefault="00DC1800" w:rsidP="00094682">
            <w:pPr>
              <w:spacing w:after="0" w:line="240" w:lineRule="auto"/>
              <w:jc w:val="right"/>
              <w:rPr>
                <w:color w:val="000000"/>
                <w:sz w:val="18"/>
                <w:szCs w:val="18"/>
                <w:lang w:eastAsia="sk-SK"/>
              </w:rPr>
            </w:pPr>
            <w:r w:rsidRPr="00112545">
              <w:rPr>
                <w:color w:val="000000"/>
                <w:sz w:val="18"/>
                <w:szCs w:val="18"/>
                <w:lang w:eastAsia="sk-SK"/>
              </w:rPr>
              <w:t>-2 144</w:t>
            </w:r>
          </w:p>
        </w:tc>
        <w:tc>
          <w:tcPr>
            <w:tcW w:w="722" w:type="dxa"/>
            <w:tcBorders>
              <w:top w:val="nil"/>
              <w:left w:val="nil"/>
              <w:bottom w:val="nil"/>
              <w:right w:val="nil"/>
            </w:tcBorders>
            <w:shd w:val="clear" w:color="auto" w:fill="auto"/>
            <w:noWrap/>
            <w:vAlign w:val="center"/>
            <w:hideMark/>
          </w:tcPr>
          <w:p w14:paraId="548DE3C3" w14:textId="77777777" w:rsidR="00DC1800" w:rsidRPr="00112545" w:rsidRDefault="00DC1800" w:rsidP="00094682">
            <w:pPr>
              <w:spacing w:after="0" w:line="240" w:lineRule="auto"/>
              <w:jc w:val="right"/>
              <w:rPr>
                <w:color w:val="000000"/>
                <w:sz w:val="18"/>
                <w:szCs w:val="18"/>
                <w:lang w:eastAsia="sk-SK"/>
              </w:rPr>
            </w:pPr>
            <w:r w:rsidRPr="00112545">
              <w:rPr>
                <w:color w:val="000000"/>
                <w:sz w:val="18"/>
                <w:szCs w:val="18"/>
                <w:lang w:eastAsia="sk-SK"/>
              </w:rPr>
              <w:t>-2 370</w:t>
            </w:r>
          </w:p>
        </w:tc>
        <w:tc>
          <w:tcPr>
            <w:tcW w:w="722" w:type="dxa"/>
            <w:tcBorders>
              <w:top w:val="nil"/>
              <w:left w:val="nil"/>
              <w:bottom w:val="nil"/>
              <w:right w:val="nil"/>
            </w:tcBorders>
            <w:shd w:val="clear" w:color="auto" w:fill="auto"/>
            <w:noWrap/>
            <w:vAlign w:val="center"/>
            <w:hideMark/>
          </w:tcPr>
          <w:p w14:paraId="62679C42" w14:textId="77777777" w:rsidR="00DC1800" w:rsidRPr="00112545" w:rsidRDefault="00DC1800" w:rsidP="00094682">
            <w:pPr>
              <w:spacing w:after="0" w:line="240" w:lineRule="auto"/>
              <w:jc w:val="right"/>
              <w:rPr>
                <w:color w:val="000000"/>
                <w:sz w:val="18"/>
                <w:szCs w:val="18"/>
                <w:lang w:eastAsia="sk-SK"/>
              </w:rPr>
            </w:pPr>
            <w:r w:rsidRPr="00112545">
              <w:rPr>
                <w:color w:val="000000"/>
                <w:sz w:val="18"/>
                <w:szCs w:val="18"/>
                <w:lang w:eastAsia="sk-SK"/>
              </w:rPr>
              <w:t>-2 135</w:t>
            </w:r>
          </w:p>
        </w:tc>
        <w:tc>
          <w:tcPr>
            <w:tcW w:w="722" w:type="dxa"/>
            <w:tcBorders>
              <w:top w:val="nil"/>
              <w:left w:val="nil"/>
              <w:bottom w:val="nil"/>
              <w:right w:val="nil"/>
            </w:tcBorders>
            <w:shd w:val="clear" w:color="auto" w:fill="auto"/>
            <w:noWrap/>
            <w:vAlign w:val="center"/>
            <w:hideMark/>
          </w:tcPr>
          <w:p w14:paraId="3BE289CF" w14:textId="77777777" w:rsidR="00DC1800" w:rsidRPr="00112545" w:rsidRDefault="00DC1800" w:rsidP="00094682">
            <w:pPr>
              <w:spacing w:after="0" w:line="240" w:lineRule="auto"/>
              <w:jc w:val="right"/>
              <w:rPr>
                <w:color w:val="000000"/>
                <w:sz w:val="18"/>
                <w:szCs w:val="18"/>
                <w:lang w:eastAsia="sk-SK"/>
              </w:rPr>
            </w:pPr>
            <w:r w:rsidRPr="00112545">
              <w:rPr>
                <w:color w:val="000000"/>
                <w:sz w:val="18"/>
                <w:szCs w:val="18"/>
                <w:lang w:eastAsia="sk-SK"/>
              </w:rPr>
              <w:t>-2 092</w:t>
            </w:r>
          </w:p>
        </w:tc>
        <w:tc>
          <w:tcPr>
            <w:tcW w:w="722" w:type="dxa"/>
            <w:tcBorders>
              <w:top w:val="nil"/>
              <w:left w:val="nil"/>
              <w:bottom w:val="nil"/>
              <w:right w:val="nil"/>
            </w:tcBorders>
            <w:shd w:val="clear" w:color="auto" w:fill="auto"/>
            <w:noWrap/>
            <w:vAlign w:val="center"/>
            <w:hideMark/>
          </w:tcPr>
          <w:p w14:paraId="7CCDB15F" w14:textId="77777777" w:rsidR="00DC1800" w:rsidRPr="00A75A3D" w:rsidRDefault="00DC1800" w:rsidP="00094682">
            <w:pPr>
              <w:spacing w:after="0" w:line="240" w:lineRule="auto"/>
              <w:jc w:val="right"/>
              <w:rPr>
                <w:color w:val="000000"/>
                <w:sz w:val="18"/>
                <w:szCs w:val="18"/>
                <w:lang w:eastAsia="sk-SK"/>
              </w:rPr>
            </w:pPr>
            <w:r w:rsidRPr="00A75A3D">
              <w:rPr>
                <w:color w:val="000000"/>
                <w:sz w:val="18"/>
                <w:szCs w:val="18"/>
                <w:lang w:eastAsia="sk-SK"/>
              </w:rPr>
              <w:t>-829</w:t>
            </w:r>
          </w:p>
        </w:tc>
        <w:tc>
          <w:tcPr>
            <w:tcW w:w="722" w:type="dxa"/>
            <w:tcBorders>
              <w:top w:val="nil"/>
              <w:left w:val="nil"/>
              <w:bottom w:val="nil"/>
              <w:right w:val="nil"/>
            </w:tcBorders>
            <w:shd w:val="clear" w:color="auto" w:fill="auto"/>
            <w:noWrap/>
            <w:vAlign w:val="center"/>
            <w:hideMark/>
          </w:tcPr>
          <w:p w14:paraId="7A1A8E48" w14:textId="77777777" w:rsidR="00DC1800" w:rsidRPr="00A75A3D" w:rsidRDefault="00DC1800" w:rsidP="00094682">
            <w:pPr>
              <w:spacing w:after="0" w:line="240" w:lineRule="auto"/>
              <w:jc w:val="right"/>
              <w:rPr>
                <w:color w:val="000000"/>
                <w:sz w:val="18"/>
                <w:szCs w:val="18"/>
                <w:lang w:eastAsia="sk-SK"/>
              </w:rPr>
            </w:pPr>
            <w:r w:rsidRPr="00A75A3D">
              <w:rPr>
                <w:color w:val="000000"/>
                <w:sz w:val="18"/>
                <w:szCs w:val="18"/>
                <w:lang w:eastAsia="sk-SK"/>
              </w:rPr>
              <w:t>-905</w:t>
            </w:r>
          </w:p>
        </w:tc>
        <w:tc>
          <w:tcPr>
            <w:tcW w:w="722" w:type="dxa"/>
            <w:tcBorders>
              <w:top w:val="nil"/>
              <w:left w:val="nil"/>
              <w:bottom w:val="nil"/>
              <w:right w:val="nil"/>
            </w:tcBorders>
            <w:shd w:val="clear" w:color="auto" w:fill="auto"/>
            <w:noWrap/>
            <w:vAlign w:val="center"/>
            <w:hideMark/>
          </w:tcPr>
          <w:p w14:paraId="67D15B43" w14:textId="77777777" w:rsidR="00DC1800" w:rsidRPr="00A75A3D" w:rsidRDefault="00DC1800" w:rsidP="00094682">
            <w:pPr>
              <w:spacing w:after="0" w:line="240" w:lineRule="auto"/>
              <w:jc w:val="right"/>
              <w:rPr>
                <w:color w:val="000000"/>
                <w:sz w:val="18"/>
                <w:szCs w:val="18"/>
                <w:lang w:eastAsia="sk-SK"/>
              </w:rPr>
            </w:pPr>
            <w:r w:rsidRPr="00A75A3D">
              <w:rPr>
                <w:color w:val="000000"/>
                <w:sz w:val="18"/>
                <w:szCs w:val="18"/>
                <w:lang w:eastAsia="sk-SK"/>
              </w:rPr>
              <w:t>-1 252</w:t>
            </w:r>
          </w:p>
        </w:tc>
        <w:tc>
          <w:tcPr>
            <w:tcW w:w="790" w:type="dxa"/>
            <w:gridSpan w:val="2"/>
            <w:tcBorders>
              <w:top w:val="nil"/>
              <w:left w:val="nil"/>
              <w:bottom w:val="nil"/>
              <w:right w:val="nil"/>
            </w:tcBorders>
            <w:shd w:val="clear" w:color="auto" w:fill="auto"/>
            <w:noWrap/>
            <w:vAlign w:val="center"/>
            <w:hideMark/>
          </w:tcPr>
          <w:p w14:paraId="65A703F6" w14:textId="77777777" w:rsidR="00DC1800" w:rsidRPr="00A75A3D" w:rsidRDefault="00DC1800" w:rsidP="00094682">
            <w:pPr>
              <w:spacing w:after="0" w:line="240" w:lineRule="auto"/>
              <w:jc w:val="right"/>
              <w:rPr>
                <w:color w:val="000000"/>
                <w:sz w:val="18"/>
                <w:szCs w:val="18"/>
                <w:lang w:eastAsia="sk-SK"/>
              </w:rPr>
            </w:pPr>
            <w:r w:rsidRPr="00A75A3D">
              <w:rPr>
                <w:color w:val="000000"/>
                <w:sz w:val="18"/>
                <w:szCs w:val="18"/>
                <w:lang w:eastAsia="sk-SK"/>
              </w:rPr>
              <w:t>-5 062</w:t>
            </w:r>
          </w:p>
        </w:tc>
      </w:tr>
      <w:tr w:rsidR="00DC1800" w:rsidRPr="00112545" w14:paraId="63509834" w14:textId="77777777" w:rsidTr="00094682">
        <w:trPr>
          <w:trHeight w:val="345"/>
        </w:trPr>
        <w:tc>
          <w:tcPr>
            <w:tcW w:w="1374" w:type="dxa"/>
            <w:vMerge/>
            <w:tcBorders>
              <w:top w:val="nil"/>
              <w:left w:val="nil"/>
              <w:bottom w:val="nil"/>
              <w:right w:val="nil"/>
            </w:tcBorders>
            <w:vAlign w:val="center"/>
            <w:hideMark/>
          </w:tcPr>
          <w:p w14:paraId="3A611980" w14:textId="77777777" w:rsidR="00DC1800" w:rsidRPr="00112545" w:rsidRDefault="00DC1800" w:rsidP="00094682">
            <w:pPr>
              <w:spacing w:after="0" w:line="240" w:lineRule="auto"/>
              <w:rPr>
                <w:b/>
                <w:bCs/>
                <w:color w:val="000000"/>
                <w:sz w:val="18"/>
                <w:szCs w:val="18"/>
                <w:lang w:eastAsia="sk-SK"/>
              </w:rPr>
            </w:pPr>
          </w:p>
        </w:tc>
        <w:tc>
          <w:tcPr>
            <w:tcW w:w="977" w:type="dxa"/>
            <w:tcBorders>
              <w:top w:val="nil"/>
              <w:left w:val="nil"/>
              <w:bottom w:val="nil"/>
              <w:right w:val="nil"/>
            </w:tcBorders>
            <w:shd w:val="clear" w:color="auto" w:fill="auto"/>
            <w:noWrap/>
            <w:vAlign w:val="center"/>
            <w:hideMark/>
          </w:tcPr>
          <w:p w14:paraId="3A1C18EB" w14:textId="77777777" w:rsidR="00DC1800" w:rsidRPr="00112545" w:rsidRDefault="00DC1800" w:rsidP="00094682">
            <w:pPr>
              <w:spacing w:after="0" w:line="240" w:lineRule="auto"/>
              <w:jc w:val="center"/>
              <w:rPr>
                <w:color w:val="000000"/>
                <w:sz w:val="18"/>
                <w:szCs w:val="18"/>
                <w:lang w:eastAsia="sk-SK"/>
              </w:rPr>
            </w:pPr>
            <w:r w:rsidRPr="00112545">
              <w:rPr>
                <w:color w:val="000000"/>
                <w:sz w:val="18"/>
                <w:szCs w:val="18"/>
                <w:lang w:eastAsia="sk-SK"/>
              </w:rPr>
              <w:t>% HDP</w:t>
            </w:r>
          </w:p>
        </w:tc>
        <w:tc>
          <w:tcPr>
            <w:tcW w:w="722" w:type="dxa"/>
            <w:tcBorders>
              <w:top w:val="nil"/>
              <w:left w:val="nil"/>
              <w:bottom w:val="nil"/>
              <w:right w:val="nil"/>
            </w:tcBorders>
            <w:shd w:val="clear" w:color="auto" w:fill="auto"/>
            <w:noWrap/>
            <w:vAlign w:val="center"/>
            <w:hideMark/>
          </w:tcPr>
          <w:p w14:paraId="62F4CBE8" w14:textId="77777777" w:rsidR="00DC1800" w:rsidRPr="00112545" w:rsidRDefault="00DC1800" w:rsidP="00094682">
            <w:pPr>
              <w:spacing w:after="0" w:line="240" w:lineRule="auto"/>
              <w:jc w:val="right"/>
              <w:rPr>
                <w:b/>
                <w:bCs/>
                <w:color w:val="000000"/>
                <w:sz w:val="18"/>
                <w:szCs w:val="18"/>
                <w:lang w:eastAsia="sk-SK"/>
              </w:rPr>
            </w:pPr>
            <w:r w:rsidRPr="00112545">
              <w:rPr>
                <w:b/>
                <w:bCs/>
                <w:color w:val="000000"/>
                <w:sz w:val="18"/>
                <w:szCs w:val="18"/>
                <w:lang w:eastAsia="sk-SK"/>
              </w:rPr>
              <w:t>-4,3</w:t>
            </w:r>
          </w:p>
        </w:tc>
        <w:tc>
          <w:tcPr>
            <w:tcW w:w="722" w:type="dxa"/>
            <w:tcBorders>
              <w:top w:val="nil"/>
              <w:left w:val="nil"/>
              <w:bottom w:val="nil"/>
              <w:right w:val="nil"/>
            </w:tcBorders>
            <w:shd w:val="clear" w:color="auto" w:fill="auto"/>
            <w:noWrap/>
            <w:vAlign w:val="center"/>
            <w:hideMark/>
          </w:tcPr>
          <w:p w14:paraId="643F69A2" w14:textId="77777777" w:rsidR="00DC1800" w:rsidRPr="00112545" w:rsidRDefault="00DC1800" w:rsidP="00094682">
            <w:pPr>
              <w:spacing w:after="0" w:line="240" w:lineRule="auto"/>
              <w:jc w:val="right"/>
              <w:rPr>
                <w:b/>
                <w:bCs/>
                <w:color w:val="000000"/>
                <w:sz w:val="18"/>
                <w:szCs w:val="18"/>
                <w:lang w:eastAsia="sk-SK"/>
              </w:rPr>
            </w:pPr>
            <w:r w:rsidRPr="00112545">
              <w:rPr>
                <w:b/>
                <w:bCs/>
                <w:color w:val="000000"/>
                <w:sz w:val="18"/>
                <w:szCs w:val="18"/>
                <w:lang w:eastAsia="sk-SK"/>
              </w:rPr>
              <w:t>-4,4</w:t>
            </w:r>
          </w:p>
        </w:tc>
        <w:tc>
          <w:tcPr>
            <w:tcW w:w="722" w:type="dxa"/>
            <w:tcBorders>
              <w:top w:val="nil"/>
              <w:left w:val="nil"/>
              <w:bottom w:val="nil"/>
              <w:right w:val="nil"/>
            </w:tcBorders>
            <w:shd w:val="clear" w:color="auto" w:fill="auto"/>
            <w:noWrap/>
            <w:vAlign w:val="center"/>
            <w:hideMark/>
          </w:tcPr>
          <w:p w14:paraId="6FC44A55" w14:textId="77777777" w:rsidR="00DC1800" w:rsidRPr="00112545" w:rsidRDefault="00DC1800" w:rsidP="00094682">
            <w:pPr>
              <w:spacing w:after="0" w:line="240" w:lineRule="auto"/>
              <w:jc w:val="right"/>
              <w:rPr>
                <w:b/>
                <w:bCs/>
                <w:color w:val="000000"/>
                <w:sz w:val="18"/>
                <w:szCs w:val="18"/>
                <w:lang w:eastAsia="sk-SK"/>
              </w:rPr>
            </w:pPr>
            <w:r w:rsidRPr="00112545">
              <w:rPr>
                <w:b/>
                <w:bCs/>
                <w:color w:val="000000"/>
                <w:sz w:val="18"/>
                <w:szCs w:val="18"/>
                <w:lang w:eastAsia="sk-SK"/>
              </w:rPr>
              <w:t>-2,9</w:t>
            </w:r>
          </w:p>
        </w:tc>
        <w:tc>
          <w:tcPr>
            <w:tcW w:w="722" w:type="dxa"/>
            <w:tcBorders>
              <w:top w:val="nil"/>
              <w:left w:val="nil"/>
              <w:bottom w:val="nil"/>
              <w:right w:val="nil"/>
            </w:tcBorders>
            <w:shd w:val="clear" w:color="auto" w:fill="auto"/>
            <w:noWrap/>
            <w:vAlign w:val="center"/>
            <w:hideMark/>
          </w:tcPr>
          <w:p w14:paraId="5864A0F4" w14:textId="77777777" w:rsidR="00DC1800" w:rsidRPr="00112545" w:rsidRDefault="00DC1800" w:rsidP="00094682">
            <w:pPr>
              <w:spacing w:after="0" w:line="240" w:lineRule="auto"/>
              <w:jc w:val="right"/>
              <w:rPr>
                <w:b/>
                <w:bCs/>
                <w:color w:val="000000"/>
                <w:sz w:val="18"/>
                <w:szCs w:val="18"/>
                <w:lang w:eastAsia="sk-SK"/>
              </w:rPr>
            </w:pPr>
            <w:r w:rsidRPr="00112545">
              <w:rPr>
                <w:b/>
                <w:bCs/>
                <w:color w:val="000000"/>
                <w:sz w:val="18"/>
                <w:szCs w:val="18"/>
                <w:lang w:eastAsia="sk-SK"/>
              </w:rPr>
              <w:t>-3,1</w:t>
            </w:r>
          </w:p>
        </w:tc>
        <w:tc>
          <w:tcPr>
            <w:tcW w:w="722" w:type="dxa"/>
            <w:tcBorders>
              <w:top w:val="nil"/>
              <w:left w:val="nil"/>
              <w:bottom w:val="nil"/>
              <w:right w:val="nil"/>
            </w:tcBorders>
            <w:shd w:val="clear" w:color="auto" w:fill="auto"/>
            <w:noWrap/>
            <w:vAlign w:val="center"/>
            <w:hideMark/>
          </w:tcPr>
          <w:p w14:paraId="277F9712" w14:textId="77777777" w:rsidR="00DC1800" w:rsidRPr="00112545" w:rsidRDefault="00DC1800" w:rsidP="00094682">
            <w:pPr>
              <w:spacing w:after="0" w:line="240" w:lineRule="auto"/>
              <w:jc w:val="right"/>
              <w:rPr>
                <w:b/>
                <w:bCs/>
                <w:color w:val="000000"/>
                <w:sz w:val="18"/>
                <w:szCs w:val="18"/>
                <w:lang w:eastAsia="sk-SK"/>
              </w:rPr>
            </w:pPr>
            <w:r w:rsidRPr="00112545">
              <w:rPr>
                <w:b/>
                <w:bCs/>
                <w:color w:val="000000"/>
                <w:sz w:val="18"/>
                <w:szCs w:val="18"/>
                <w:lang w:eastAsia="sk-SK"/>
              </w:rPr>
              <w:t>-2,7</w:t>
            </w:r>
          </w:p>
        </w:tc>
        <w:tc>
          <w:tcPr>
            <w:tcW w:w="722" w:type="dxa"/>
            <w:tcBorders>
              <w:top w:val="nil"/>
              <w:left w:val="nil"/>
              <w:bottom w:val="nil"/>
              <w:right w:val="nil"/>
            </w:tcBorders>
            <w:shd w:val="clear" w:color="auto" w:fill="auto"/>
            <w:noWrap/>
            <w:vAlign w:val="center"/>
            <w:hideMark/>
          </w:tcPr>
          <w:p w14:paraId="64D34CA0" w14:textId="77777777" w:rsidR="00DC1800" w:rsidRPr="00112545" w:rsidRDefault="00DC1800" w:rsidP="00094682">
            <w:pPr>
              <w:spacing w:after="0" w:line="240" w:lineRule="auto"/>
              <w:jc w:val="right"/>
              <w:rPr>
                <w:b/>
                <w:bCs/>
                <w:color w:val="000000"/>
                <w:sz w:val="18"/>
                <w:szCs w:val="18"/>
                <w:lang w:eastAsia="sk-SK"/>
              </w:rPr>
            </w:pPr>
            <w:r w:rsidRPr="00112545">
              <w:rPr>
                <w:b/>
                <w:bCs/>
                <w:color w:val="000000"/>
                <w:sz w:val="18"/>
                <w:szCs w:val="18"/>
                <w:lang w:eastAsia="sk-SK"/>
              </w:rPr>
              <w:t>-2,6</w:t>
            </w:r>
          </w:p>
        </w:tc>
        <w:tc>
          <w:tcPr>
            <w:tcW w:w="722" w:type="dxa"/>
            <w:tcBorders>
              <w:top w:val="nil"/>
              <w:left w:val="nil"/>
              <w:bottom w:val="nil"/>
              <w:right w:val="nil"/>
            </w:tcBorders>
            <w:shd w:val="clear" w:color="auto" w:fill="auto"/>
            <w:noWrap/>
            <w:vAlign w:val="center"/>
            <w:hideMark/>
          </w:tcPr>
          <w:p w14:paraId="192F9415" w14:textId="77777777" w:rsidR="00DC1800" w:rsidRPr="00A75A3D" w:rsidRDefault="00DC1800" w:rsidP="00094682">
            <w:pPr>
              <w:spacing w:after="0" w:line="240" w:lineRule="auto"/>
              <w:jc w:val="right"/>
              <w:rPr>
                <w:b/>
                <w:bCs/>
                <w:color w:val="000000"/>
                <w:sz w:val="18"/>
                <w:szCs w:val="18"/>
                <w:lang w:eastAsia="sk-SK"/>
              </w:rPr>
            </w:pPr>
            <w:r w:rsidRPr="00A75A3D">
              <w:rPr>
                <w:b/>
                <w:bCs/>
                <w:color w:val="000000"/>
                <w:sz w:val="18"/>
                <w:szCs w:val="18"/>
                <w:lang w:eastAsia="sk-SK"/>
              </w:rPr>
              <w:t>-1,0</w:t>
            </w:r>
          </w:p>
        </w:tc>
        <w:tc>
          <w:tcPr>
            <w:tcW w:w="722" w:type="dxa"/>
            <w:tcBorders>
              <w:top w:val="nil"/>
              <w:left w:val="nil"/>
              <w:bottom w:val="nil"/>
              <w:right w:val="nil"/>
            </w:tcBorders>
            <w:shd w:val="clear" w:color="auto" w:fill="auto"/>
            <w:noWrap/>
            <w:vAlign w:val="center"/>
            <w:hideMark/>
          </w:tcPr>
          <w:p w14:paraId="5150AA11" w14:textId="77777777" w:rsidR="00DC1800" w:rsidRPr="00A75A3D" w:rsidRDefault="00DC1800" w:rsidP="00094682">
            <w:pPr>
              <w:spacing w:after="0" w:line="240" w:lineRule="auto"/>
              <w:jc w:val="right"/>
              <w:rPr>
                <w:b/>
                <w:bCs/>
                <w:color w:val="000000"/>
                <w:sz w:val="18"/>
                <w:szCs w:val="18"/>
                <w:lang w:eastAsia="sk-SK"/>
              </w:rPr>
            </w:pPr>
            <w:r w:rsidRPr="00A75A3D">
              <w:rPr>
                <w:b/>
                <w:bCs/>
                <w:color w:val="000000"/>
                <w:sz w:val="18"/>
                <w:szCs w:val="18"/>
                <w:lang w:eastAsia="sk-SK"/>
              </w:rPr>
              <w:t>-1,0</w:t>
            </w:r>
          </w:p>
        </w:tc>
        <w:tc>
          <w:tcPr>
            <w:tcW w:w="722" w:type="dxa"/>
            <w:tcBorders>
              <w:top w:val="nil"/>
              <w:left w:val="nil"/>
              <w:bottom w:val="nil"/>
              <w:right w:val="nil"/>
            </w:tcBorders>
            <w:shd w:val="clear" w:color="auto" w:fill="auto"/>
            <w:noWrap/>
            <w:vAlign w:val="center"/>
            <w:hideMark/>
          </w:tcPr>
          <w:p w14:paraId="1E99301C" w14:textId="77777777" w:rsidR="00DC1800" w:rsidRPr="00A75A3D" w:rsidRDefault="00DC1800" w:rsidP="00094682">
            <w:pPr>
              <w:spacing w:after="0" w:line="240" w:lineRule="auto"/>
              <w:jc w:val="right"/>
              <w:rPr>
                <w:b/>
                <w:bCs/>
                <w:color w:val="000000"/>
                <w:sz w:val="18"/>
                <w:szCs w:val="18"/>
                <w:lang w:eastAsia="sk-SK"/>
              </w:rPr>
            </w:pPr>
            <w:r w:rsidRPr="00A75A3D">
              <w:rPr>
                <w:b/>
                <w:bCs/>
                <w:color w:val="000000"/>
                <w:sz w:val="18"/>
                <w:szCs w:val="18"/>
                <w:lang w:eastAsia="sk-SK"/>
              </w:rPr>
              <w:t>-1,3</w:t>
            </w:r>
          </w:p>
        </w:tc>
        <w:tc>
          <w:tcPr>
            <w:tcW w:w="790" w:type="dxa"/>
            <w:gridSpan w:val="2"/>
            <w:tcBorders>
              <w:top w:val="nil"/>
              <w:left w:val="nil"/>
              <w:bottom w:val="nil"/>
              <w:right w:val="nil"/>
            </w:tcBorders>
            <w:shd w:val="clear" w:color="auto" w:fill="auto"/>
            <w:noWrap/>
            <w:vAlign w:val="center"/>
            <w:hideMark/>
          </w:tcPr>
          <w:p w14:paraId="75D76528" w14:textId="77777777" w:rsidR="00DC1800" w:rsidRPr="00A75A3D" w:rsidRDefault="00DC1800" w:rsidP="00094682">
            <w:pPr>
              <w:spacing w:after="0" w:line="240" w:lineRule="auto"/>
              <w:jc w:val="right"/>
              <w:rPr>
                <w:b/>
                <w:bCs/>
                <w:color w:val="000000"/>
                <w:sz w:val="18"/>
                <w:szCs w:val="18"/>
                <w:lang w:eastAsia="sk-SK"/>
              </w:rPr>
            </w:pPr>
            <w:r w:rsidRPr="00A75A3D">
              <w:rPr>
                <w:b/>
                <w:bCs/>
                <w:color w:val="000000"/>
                <w:sz w:val="18"/>
                <w:szCs w:val="18"/>
                <w:lang w:eastAsia="sk-SK"/>
              </w:rPr>
              <w:t>-5,5</w:t>
            </w:r>
          </w:p>
        </w:tc>
      </w:tr>
      <w:tr w:rsidR="00DC1800" w:rsidRPr="00112545" w14:paraId="6693A1D4" w14:textId="77777777" w:rsidTr="00094682">
        <w:trPr>
          <w:trHeight w:val="345"/>
        </w:trPr>
        <w:tc>
          <w:tcPr>
            <w:tcW w:w="1374" w:type="dxa"/>
            <w:vMerge w:val="restart"/>
            <w:tcBorders>
              <w:top w:val="nil"/>
              <w:left w:val="nil"/>
              <w:bottom w:val="nil"/>
              <w:right w:val="nil"/>
            </w:tcBorders>
            <w:shd w:val="clear" w:color="auto" w:fill="auto"/>
            <w:vAlign w:val="center"/>
            <w:hideMark/>
          </w:tcPr>
          <w:p w14:paraId="25EBF9A7" w14:textId="77777777" w:rsidR="00DC1800" w:rsidRPr="00112545" w:rsidRDefault="00DC1800" w:rsidP="00094682">
            <w:pPr>
              <w:spacing w:after="0" w:line="240" w:lineRule="auto"/>
              <w:rPr>
                <w:b/>
                <w:bCs/>
                <w:color w:val="000000"/>
                <w:sz w:val="18"/>
                <w:szCs w:val="18"/>
                <w:lang w:eastAsia="sk-SK"/>
              </w:rPr>
            </w:pPr>
            <w:r w:rsidRPr="00112545">
              <w:rPr>
                <w:b/>
                <w:bCs/>
                <w:color w:val="000000"/>
                <w:sz w:val="18"/>
                <w:szCs w:val="18"/>
                <w:lang w:eastAsia="sk-SK"/>
              </w:rPr>
              <w:t>Maastrichtský dlh</w:t>
            </w:r>
          </w:p>
        </w:tc>
        <w:tc>
          <w:tcPr>
            <w:tcW w:w="977" w:type="dxa"/>
            <w:tcBorders>
              <w:top w:val="nil"/>
              <w:left w:val="nil"/>
              <w:bottom w:val="nil"/>
              <w:right w:val="nil"/>
            </w:tcBorders>
            <w:shd w:val="clear" w:color="auto" w:fill="auto"/>
            <w:noWrap/>
            <w:vAlign w:val="center"/>
            <w:hideMark/>
          </w:tcPr>
          <w:p w14:paraId="68D551AF" w14:textId="77777777" w:rsidR="00DC1800" w:rsidRPr="00112545" w:rsidRDefault="00DC1800" w:rsidP="00094682">
            <w:pPr>
              <w:spacing w:after="0" w:line="240" w:lineRule="auto"/>
              <w:jc w:val="center"/>
              <w:rPr>
                <w:color w:val="000000"/>
                <w:sz w:val="18"/>
                <w:szCs w:val="18"/>
                <w:lang w:eastAsia="sk-SK"/>
              </w:rPr>
            </w:pPr>
            <w:r w:rsidRPr="00112545">
              <w:rPr>
                <w:color w:val="000000"/>
                <w:sz w:val="18"/>
                <w:szCs w:val="18"/>
                <w:lang w:eastAsia="sk-SK"/>
              </w:rPr>
              <w:t>mil. EUR</w:t>
            </w:r>
          </w:p>
        </w:tc>
        <w:tc>
          <w:tcPr>
            <w:tcW w:w="722" w:type="dxa"/>
            <w:tcBorders>
              <w:top w:val="nil"/>
              <w:left w:val="nil"/>
              <w:bottom w:val="nil"/>
              <w:right w:val="nil"/>
            </w:tcBorders>
            <w:shd w:val="clear" w:color="auto" w:fill="auto"/>
            <w:noWrap/>
            <w:vAlign w:val="center"/>
            <w:hideMark/>
          </w:tcPr>
          <w:p w14:paraId="5AAB947E" w14:textId="77777777" w:rsidR="00DC1800" w:rsidRPr="00112545" w:rsidRDefault="00DC1800" w:rsidP="00094682">
            <w:pPr>
              <w:spacing w:after="0" w:line="240" w:lineRule="auto"/>
              <w:jc w:val="right"/>
              <w:rPr>
                <w:color w:val="000000"/>
                <w:sz w:val="18"/>
                <w:szCs w:val="18"/>
                <w:lang w:eastAsia="sk-SK"/>
              </w:rPr>
            </w:pPr>
            <w:r w:rsidRPr="00112545">
              <w:rPr>
                <w:color w:val="000000"/>
                <w:sz w:val="18"/>
                <w:szCs w:val="18"/>
                <w:lang w:eastAsia="sk-SK"/>
              </w:rPr>
              <w:t>30 980</w:t>
            </w:r>
          </w:p>
        </w:tc>
        <w:tc>
          <w:tcPr>
            <w:tcW w:w="722" w:type="dxa"/>
            <w:tcBorders>
              <w:top w:val="nil"/>
              <w:left w:val="nil"/>
              <w:bottom w:val="nil"/>
              <w:right w:val="nil"/>
            </w:tcBorders>
            <w:shd w:val="clear" w:color="auto" w:fill="auto"/>
            <w:noWrap/>
            <w:vAlign w:val="center"/>
            <w:hideMark/>
          </w:tcPr>
          <w:p w14:paraId="036C9186" w14:textId="77777777" w:rsidR="00DC1800" w:rsidRPr="00112545" w:rsidRDefault="00DC1800" w:rsidP="00094682">
            <w:pPr>
              <w:spacing w:after="0" w:line="240" w:lineRule="auto"/>
              <w:jc w:val="right"/>
              <w:rPr>
                <w:color w:val="000000"/>
                <w:sz w:val="18"/>
                <w:szCs w:val="18"/>
                <w:lang w:eastAsia="sk-SK"/>
              </w:rPr>
            </w:pPr>
            <w:r w:rsidRPr="00112545">
              <w:rPr>
                <w:color w:val="000000"/>
                <w:sz w:val="18"/>
                <w:szCs w:val="18"/>
                <w:lang w:eastAsia="sk-SK"/>
              </w:rPr>
              <w:t>38 098</w:t>
            </w:r>
          </w:p>
        </w:tc>
        <w:tc>
          <w:tcPr>
            <w:tcW w:w="722" w:type="dxa"/>
            <w:tcBorders>
              <w:top w:val="nil"/>
              <w:left w:val="nil"/>
              <w:bottom w:val="nil"/>
              <w:right w:val="nil"/>
            </w:tcBorders>
            <w:shd w:val="clear" w:color="auto" w:fill="auto"/>
            <w:noWrap/>
            <w:vAlign w:val="center"/>
            <w:hideMark/>
          </w:tcPr>
          <w:p w14:paraId="77177CCC" w14:textId="77777777" w:rsidR="00DC1800" w:rsidRPr="00112545" w:rsidRDefault="00DC1800" w:rsidP="00094682">
            <w:pPr>
              <w:spacing w:after="0" w:line="240" w:lineRule="auto"/>
              <w:jc w:val="right"/>
              <w:rPr>
                <w:color w:val="000000"/>
                <w:sz w:val="18"/>
                <w:szCs w:val="18"/>
                <w:lang w:eastAsia="sk-SK"/>
              </w:rPr>
            </w:pPr>
            <w:r w:rsidRPr="00112545">
              <w:rPr>
                <w:color w:val="000000"/>
                <w:sz w:val="18"/>
                <w:szCs w:val="18"/>
                <w:lang w:eastAsia="sk-SK"/>
              </w:rPr>
              <w:t>40 742</w:t>
            </w:r>
          </w:p>
        </w:tc>
        <w:tc>
          <w:tcPr>
            <w:tcW w:w="722" w:type="dxa"/>
            <w:tcBorders>
              <w:top w:val="nil"/>
              <w:left w:val="nil"/>
              <w:bottom w:val="nil"/>
              <w:right w:val="nil"/>
            </w:tcBorders>
            <w:shd w:val="clear" w:color="auto" w:fill="auto"/>
            <w:noWrap/>
            <w:vAlign w:val="center"/>
            <w:hideMark/>
          </w:tcPr>
          <w:p w14:paraId="5B1B8403" w14:textId="77777777" w:rsidR="00DC1800" w:rsidRPr="00112545" w:rsidRDefault="00DC1800" w:rsidP="00094682">
            <w:pPr>
              <w:spacing w:after="0" w:line="240" w:lineRule="auto"/>
              <w:jc w:val="right"/>
              <w:rPr>
                <w:color w:val="000000"/>
                <w:sz w:val="18"/>
                <w:szCs w:val="18"/>
                <w:lang w:eastAsia="sk-SK"/>
              </w:rPr>
            </w:pPr>
            <w:r w:rsidRPr="00112545">
              <w:rPr>
                <w:color w:val="000000"/>
                <w:sz w:val="18"/>
                <w:szCs w:val="18"/>
                <w:lang w:eastAsia="sk-SK"/>
              </w:rPr>
              <w:t>40 844</w:t>
            </w:r>
          </w:p>
        </w:tc>
        <w:tc>
          <w:tcPr>
            <w:tcW w:w="722" w:type="dxa"/>
            <w:tcBorders>
              <w:top w:val="nil"/>
              <w:left w:val="nil"/>
              <w:bottom w:val="nil"/>
              <w:right w:val="nil"/>
            </w:tcBorders>
            <w:shd w:val="clear" w:color="auto" w:fill="auto"/>
            <w:noWrap/>
            <w:vAlign w:val="center"/>
            <w:hideMark/>
          </w:tcPr>
          <w:p w14:paraId="49A44221" w14:textId="77777777" w:rsidR="00DC1800" w:rsidRPr="00112545" w:rsidRDefault="00DC1800" w:rsidP="00094682">
            <w:pPr>
              <w:spacing w:after="0" w:line="240" w:lineRule="auto"/>
              <w:jc w:val="right"/>
              <w:rPr>
                <w:color w:val="000000"/>
                <w:sz w:val="18"/>
                <w:szCs w:val="18"/>
                <w:lang w:eastAsia="sk-SK"/>
              </w:rPr>
            </w:pPr>
            <w:r w:rsidRPr="00112545">
              <w:rPr>
                <w:color w:val="000000"/>
                <w:sz w:val="18"/>
                <w:szCs w:val="18"/>
                <w:lang w:eastAsia="sk-SK"/>
              </w:rPr>
              <w:t>41 413</w:t>
            </w:r>
          </w:p>
        </w:tc>
        <w:tc>
          <w:tcPr>
            <w:tcW w:w="722" w:type="dxa"/>
            <w:tcBorders>
              <w:top w:val="nil"/>
              <w:left w:val="nil"/>
              <w:bottom w:val="nil"/>
              <w:right w:val="nil"/>
            </w:tcBorders>
            <w:shd w:val="clear" w:color="auto" w:fill="auto"/>
            <w:noWrap/>
            <w:vAlign w:val="center"/>
            <w:hideMark/>
          </w:tcPr>
          <w:p w14:paraId="3D89BA10" w14:textId="77777777" w:rsidR="00DC1800" w:rsidRPr="00112545" w:rsidRDefault="00DC1800" w:rsidP="00094682">
            <w:pPr>
              <w:spacing w:after="0" w:line="240" w:lineRule="auto"/>
              <w:jc w:val="right"/>
              <w:rPr>
                <w:color w:val="000000"/>
                <w:sz w:val="18"/>
                <w:szCs w:val="18"/>
                <w:lang w:eastAsia="sk-SK"/>
              </w:rPr>
            </w:pPr>
            <w:r w:rsidRPr="00112545">
              <w:rPr>
                <w:color w:val="000000"/>
                <w:sz w:val="18"/>
                <w:szCs w:val="18"/>
                <w:lang w:eastAsia="sk-SK"/>
              </w:rPr>
              <w:t>42 481</w:t>
            </w:r>
          </w:p>
        </w:tc>
        <w:tc>
          <w:tcPr>
            <w:tcW w:w="722" w:type="dxa"/>
            <w:tcBorders>
              <w:top w:val="nil"/>
              <w:left w:val="nil"/>
              <w:bottom w:val="nil"/>
              <w:right w:val="nil"/>
            </w:tcBorders>
            <w:shd w:val="clear" w:color="auto" w:fill="auto"/>
            <w:noWrap/>
            <w:vAlign w:val="center"/>
            <w:hideMark/>
          </w:tcPr>
          <w:p w14:paraId="67B3DBFD" w14:textId="77777777" w:rsidR="00DC1800" w:rsidRPr="00A75A3D" w:rsidRDefault="00DC1800" w:rsidP="00094682">
            <w:pPr>
              <w:spacing w:after="0" w:line="240" w:lineRule="auto"/>
              <w:jc w:val="right"/>
              <w:rPr>
                <w:sz w:val="18"/>
                <w:szCs w:val="18"/>
                <w:lang w:eastAsia="sk-SK"/>
              </w:rPr>
            </w:pPr>
            <w:r w:rsidRPr="00A75A3D">
              <w:rPr>
                <w:sz w:val="18"/>
                <w:szCs w:val="18"/>
                <w:lang w:eastAsia="sk-SK"/>
              </w:rPr>
              <w:t>43 572</w:t>
            </w:r>
          </w:p>
        </w:tc>
        <w:tc>
          <w:tcPr>
            <w:tcW w:w="722" w:type="dxa"/>
            <w:tcBorders>
              <w:top w:val="nil"/>
              <w:left w:val="nil"/>
              <w:bottom w:val="nil"/>
              <w:right w:val="nil"/>
            </w:tcBorders>
            <w:shd w:val="clear" w:color="auto" w:fill="auto"/>
            <w:noWrap/>
            <w:vAlign w:val="center"/>
            <w:hideMark/>
          </w:tcPr>
          <w:p w14:paraId="7A0B737D" w14:textId="77777777" w:rsidR="00DC1800" w:rsidRPr="00A75A3D" w:rsidRDefault="00DC1800" w:rsidP="00094682">
            <w:pPr>
              <w:spacing w:after="0" w:line="240" w:lineRule="auto"/>
              <w:jc w:val="right"/>
              <w:rPr>
                <w:sz w:val="18"/>
                <w:szCs w:val="18"/>
                <w:lang w:eastAsia="sk-SK"/>
              </w:rPr>
            </w:pPr>
            <w:r w:rsidRPr="00A75A3D">
              <w:rPr>
                <w:sz w:val="18"/>
                <w:szCs w:val="18"/>
                <w:lang w:eastAsia="sk-SK"/>
              </w:rPr>
              <w:t>44 383</w:t>
            </w:r>
          </w:p>
        </w:tc>
        <w:tc>
          <w:tcPr>
            <w:tcW w:w="722" w:type="dxa"/>
            <w:tcBorders>
              <w:top w:val="nil"/>
              <w:left w:val="nil"/>
              <w:bottom w:val="nil"/>
              <w:right w:val="nil"/>
            </w:tcBorders>
            <w:shd w:val="clear" w:color="auto" w:fill="auto"/>
            <w:noWrap/>
            <w:vAlign w:val="center"/>
            <w:hideMark/>
          </w:tcPr>
          <w:p w14:paraId="245A88E9" w14:textId="77777777" w:rsidR="00DC1800" w:rsidRPr="00A75A3D" w:rsidRDefault="00DC1800" w:rsidP="00094682">
            <w:pPr>
              <w:spacing w:after="0" w:line="240" w:lineRule="auto"/>
              <w:jc w:val="right"/>
              <w:rPr>
                <w:sz w:val="18"/>
                <w:szCs w:val="18"/>
                <w:lang w:eastAsia="sk-SK"/>
              </w:rPr>
            </w:pPr>
            <w:r w:rsidRPr="00A75A3D">
              <w:rPr>
                <w:sz w:val="18"/>
                <w:szCs w:val="18"/>
                <w:lang w:eastAsia="sk-SK"/>
              </w:rPr>
              <w:t>45 277</w:t>
            </w:r>
          </w:p>
        </w:tc>
        <w:tc>
          <w:tcPr>
            <w:tcW w:w="790" w:type="dxa"/>
            <w:gridSpan w:val="2"/>
            <w:tcBorders>
              <w:top w:val="nil"/>
              <w:left w:val="nil"/>
              <w:bottom w:val="nil"/>
              <w:right w:val="nil"/>
            </w:tcBorders>
            <w:shd w:val="clear" w:color="auto" w:fill="auto"/>
            <w:noWrap/>
            <w:vAlign w:val="center"/>
            <w:hideMark/>
          </w:tcPr>
          <w:p w14:paraId="404307EB" w14:textId="77777777" w:rsidR="00DC1800" w:rsidRPr="00A75A3D" w:rsidRDefault="00DC1800" w:rsidP="00094682">
            <w:pPr>
              <w:spacing w:after="0" w:line="240" w:lineRule="auto"/>
              <w:jc w:val="right"/>
              <w:rPr>
                <w:sz w:val="18"/>
                <w:szCs w:val="18"/>
                <w:lang w:eastAsia="sk-SK"/>
              </w:rPr>
            </w:pPr>
            <w:r w:rsidRPr="00A75A3D">
              <w:rPr>
                <w:sz w:val="18"/>
                <w:szCs w:val="18"/>
                <w:lang w:eastAsia="sk-SK"/>
              </w:rPr>
              <w:t>55 010</w:t>
            </w:r>
          </w:p>
        </w:tc>
      </w:tr>
      <w:tr w:rsidR="00DC1800" w:rsidRPr="00112545" w14:paraId="338E122D" w14:textId="77777777" w:rsidTr="00094682">
        <w:trPr>
          <w:trHeight w:val="345"/>
        </w:trPr>
        <w:tc>
          <w:tcPr>
            <w:tcW w:w="1374" w:type="dxa"/>
            <w:vMerge/>
            <w:tcBorders>
              <w:top w:val="nil"/>
              <w:left w:val="nil"/>
              <w:bottom w:val="nil"/>
              <w:right w:val="nil"/>
            </w:tcBorders>
            <w:vAlign w:val="center"/>
            <w:hideMark/>
          </w:tcPr>
          <w:p w14:paraId="48B42B97" w14:textId="77777777" w:rsidR="00DC1800" w:rsidRPr="00112545" w:rsidRDefault="00DC1800" w:rsidP="00094682">
            <w:pPr>
              <w:spacing w:after="0" w:line="240" w:lineRule="auto"/>
              <w:rPr>
                <w:b/>
                <w:bCs/>
                <w:color w:val="000000"/>
                <w:sz w:val="18"/>
                <w:szCs w:val="18"/>
                <w:lang w:eastAsia="sk-SK"/>
              </w:rPr>
            </w:pPr>
          </w:p>
        </w:tc>
        <w:tc>
          <w:tcPr>
            <w:tcW w:w="977" w:type="dxa"/>
            <w:tcBorders>
              <w:top w:val="nil"/>
              <w:left w:val="nil"/>
              <w:bottom w:val="nil"/>
              <w:right w:val="nil"/>
            </w:tcBorders>
            <w:shd w:val="clear" w:color="auto" w:fill="auto"/>
            <w:noWrap/>
            <w:vAlign w:val="center"/>
            <w:hideMark/>
          </w:tcPr>
          <w:p w14:paraId="42F91712" w14:textId="77777777" w:rsidR="00DC1800" w:rsidRPr="00112545" w:rsidRDefault="00DC1800" w:rsidP="00094682">
            <w:pPr>
              <w:spacing w:after="0" w:line="240" w:lineRule="auto"/>
              <w:jc w:val="center"/>
              <w:rPr>
                <w:color w:val="000000"/>
                <w:sz w:val="18"/>
                <w:szCs w:val="18"/>
                <w:lang w:eastAsia="sk-SK"/>
              </w:rPr>
            </w:pPr>
            <w:r w:rsidRPr="00112545">
              <w:rPr>
                <w:color w:val="000000"/>
                <w:sz w:val="18"/>
                <w:szCs w:val="18"/>
                <w:lang w:eastAsia="sk-SK"/>
              </w:rPr>
              <w:t>% HDP</w:t>
            </w:r>
          </w:p>
        </w:tc>
        <w:tc>
          <w:tcPr>
            <w:tcW w:w="722" w:type="dxa"/>
            <w:tcBorders>
              <w:top w:val="nil"/>
              <w:left w:val="nil"/>
              <w:bottom w:val="nil"/>
              <w:right w:val="nil"/>
            </w:tcBorders>
            <w:shd w:val="clear" w:color="auto" w:fill="auto"/>
            <w:noWrap/>
            <w:vAlign w:val="center"/>
            <w:hideMark/>
          </w:tcPr>
          <w:p w14:paraId="68F6F7DC" w14:textId="77777777" w:rsidR="00DC1800" w:rsidRPr="00112545" w:rsidRDefault="00DC1800" w:rsidP="00094682">
            <w:pPr>
              <w:spacing w:after="0" w:line="240" w:lineRule="auto"/>
              <w:jc w:val="right"/>
              <w:rPr>
                <w:b/>
                <w:bCs/>
                <w:color w:val="000000"/>
                <w:sz w:val="18"/>
                <w:szCs w:val="18"/>
                <w:lang w:eastAsia="sk-SK"/>
              </w:rPr>
            </w:pPr>
            <w:r w:rsidRPr="00112545">
              <w:rPr>
                <w:b/>
                <w:bCs/>
                <w:color w:val="000000"/>
                <w:sz w:val="18"/>
                <w:szCs w:val="18"/>
                <w:lang w:eastAsia="sk-SK"/>
              </w:rPr>
              <w:t>43,4</w:t>
            </w:r>
          </w:p>
        </w:tc>
        <w:tc>
          <w:tcPr>
            <w:tcW w:w="722" w:type="dxa"/>
            <w:tcBorders>
              <w:top w:val="nil"/>
              <w:left w:val="nil"/>
              <w:bottom w:val="nil"/>
              <w:right w:val="nil"/>
            </w:tcBorders>
            <w:shd w:val="clear" w:color="auto" w:fill="auto"/>
            <w:noWrap/>
            <w:vAlign w:val="center"/>
            <w:hideMark/>
          </w:tcPr>
          <w:p w14:paraId="658FA975" w14:textId="77777777" w:rsidR="00DC1800" w:rsidRPr="00112545" w:rsidRDefault="00DC1800" w:rsidP="00094682">
            <w:pPr>
              <w:spacing w:after="0" w:line="240" w:lineRule="auto"/>
              <w:jc w:val="right"/>
              <w:rPr>
                <w:b/>
                <w:bCs/>
                <w:color w:val="000000"/>
                <w:sz w:val="18"/>
                <w:szCs w:val="18"/>
                <w:lang w:eastAsia="sk-SK"/>
              </w:rPr>
            </w:pPr>
            <w:r w:rsidRPr="00112545">
              <w:rPr>
                <w:b/>
                <w:bCs/>
                <w:color w:val="000000"/>
                <w:sz w:val="18"/>
                <w:szCs w:val="18"/>
                <w:lang w:eastAsia="sk-SK"/>
              </w:rPr>
              <w:t>51,8</w:t>
            </w:r>
          </w:p>
        </w:tc>
        <w:tc>
          <w:tcPr>
            <w:tcW w:w="722" w:type="dxa"/>
            <w:tcBorders>
              <w:top w:val="nil"/>
              <w:left w:val="nil"/>
              <w:bottom w:val="nil"/>
              <w:right w:val="nil"/>
            </w:tcBorders>
            <w:shd w:val="clear" w:color="auto" w:fill="auto"/>
            <w:noWrap/>
            <w:vAlign w:val="center"/>
            <w:hideMark/>
          </w:tcPr>
          <w:p w14:paraId="5364D4FB" w14:textId="77777777" w:rsidR="00DC1800" w:rsidRPr="00112545" w:rsidRDefault="00DC1800" w:rsidP="00094682">
            <w:pPr>
              <w:spacing w:after="0" w:line="240" w:lineRule="auto"/>
              <w:jc w:val="right"/>
              <w:rPr>
                <w:b/>
                <w:bCs/>
                <w:color w:val="000000"/>
                <w:sz w:val="18"/>
                <w:szCs w:val="18"/>
                <w:lang w:eastAsia="sk-SK"/>
              </w:rPr>
            </w:pPr>
            <w:r w:rsidRPr="00112545">
              <w:rPr>
                <w:b/>
                <w:bCs/>
                <w:color w:val="000000"/>
                <w:sz w:val="18"/>
                <w:szCs w:val="18"/>
                <w:lang w:eastAsia="sk-SK"/>
              </w:rPr>
              <w:t>54,7</w:t>
            </w:r>
          </w:p>
        </w:tc>
        <w:tc>
          <w:tcPr>
            <w:tcW w:w="722" w:type="dxa"/>
            <w:tcBorders>
              <w:top w:val="nil"/>
              <w:left w:val="nil"/>
              <w:bottom w:val="nil"/>
              <w:right w:val="nil"/>
            </w:tcBorders>
            <w:shd w:val="clear" w:color="auto" w:fill="auto"/>
            <w:noWrap/>
            <w:vAlign w:val="center"/>
            <w:hideMark/>
          </w:tcPr>
          <w:p w14:paraId="5E4B751A" w14:textId="77777777" w:rsidR="00DC1800" w:rsidRPr="00112545" w:rsidRDefault="00DC1800" w:rsidP="00094682">
            <w:pPr>
              <w:spacing w:after="0" w:line="240" w:lineRule="auto"/>
              <w:jc w:val="right"/>
              <w:rPr>
                <w:b/>
                <w:bCs/>
                <w:color w:val="000000"/>
                <w:sz w:val="18"/>
                <w:szCs w:val="18"/>
                <w:lang w:eastAsia="sk-SK"/>
              </w:rPr>
            </w:pPr>
            <w:r w:rsidRPr="00112545">
              <w:rPr>
                <w:b/>
                <w:bCs/>
                <w:color w:val="000000"/>
                <w:sz w:val="18"/>
                <w:szCs w:val="18"/>
                <w:lang w:eastAsia="sk-SK"/>
              </w:rPr>
              <w:t>53,6</w:t>
            </w:r>
          </w:p>
        </w:tc>
        <w:tc>
          <w:tcPr>
            <w:tcW w:w="722" w:type="dxa"/>
            <w:tcBorders>
              <w:top w:val="nil"/>
              <w:left w:val="nil"/>
              <w:bottom w:val="nil"/>
              <w:right w:val="nil"/>
            </w:tcBorders>
            <w:shd w:val="clear" w:color="auto" w:fill="auto"/>
            <w:noWrap/>
            <w:vAlign w:val="center"/>
            <w:hideMark/>
          </w:tcPr>
          <w:p w14:paraId="0FD85112" w14:textId="77777777" w:rsidR="00DC1800" w:rsidRPr="00112545" w:rsidRDefault="00DC1800" w:rsidP="00094682">
            <w:pPr>
              <w:spacing w:after="0" w:line="240" w:lineRule="auto"/>
              <w:jc w:val="right"/>
              <w:rPr>
                <w:b/>
                <w:bCs/>
                <w:color w:val="000000"/>
                <w:sz w:val="18"/>
                <w:szCs w:val="18"/>
                <w:lang w:eastAsia="sk-SK"/>
              </w:rPr>
            </w:pPr>
            <w:r w:rsidRPr="00112545">
              <w:rPr>
                <w:b/>
                <w:bCs/>
                <w:color w:val="000000"/>
                <w:sz w:val="18"/>
                <w:szCs w:val="18"/>
                <w:lang w:eastAsia="sk-SK"/>
              </w:rPr>
              <w:t>51,9</w:t>
            </w:r>
          </w:p>
        </w:tc>
        <w:tc>
          <w:tcPr>
            <w:tcW w:w="722" w:type="dxa"/>
            <w:tcBorders>
              <w:top w:val="nil"/>
              <w:left w:val="nil"/>
              <w:bottom w:val="nil"/>
              <w:right w:val="nil"/>
            </w:tcBorders>
            <w:shd w:val="clear" w:color="auto" w:fill="auto"/>
            <w:noWrap/>
            <w:vAlign w:val="center"/>
            <w:hideMark/>
          </w:tcPr>
          <w:p w14:paraId="78AAE538" w14:textId="77777777" w:rsidR="00DC1800" w:rsidRPr="00112545" w:rsidRDefault="00DC1800" w:rsidP="00094682">
            <w:pPr>
              <w:spacing w:after="0" w:line="240" w:lineRule="auto"/>
              <w:jc w:val="right"/>
              <w:rPr>
                <w:b/>
                <w:bCs/>
                <w:color w:val="000000"/>
                <w:sz w:val="18"/>
                <w:szCs w:val="18"/>
                <w:lang w:eastAsia="sk-SK"/>
              </w:rPr>
            </w:pPr>
            <w:r w:rsidRPr="00112545">
              <w:rPr>
                <w:b/>
                <w:bCs/>
                <w:color w:val="000000"/>
                <w:sz w:val="18"/>
                <w:szCs w:val="18"/>
                <w:lang w:eastAsia="sk-SK"/>
              </w:rPr>
              <w:t>52,4</w:t>
            </w:r>
          </w:p>
        </w:tc>
        <w:tc>
          <w:tcPr>
            <w:tcW w:w="722" w:type="dxa"/>
            <w:tcBorders>
              <w:top w:val="nil"/>
              <w:left w:val="nil"/>
              <w:bottom w:val="nil"/>
              <w:right w:val="nil"/>
            </w:tcBorders>
            <w:shd w:val="clear" w:color="auto" w:fill="auto"/>
            <w:noWrap/>
            <w:vAlign w:val="center"/>
            <w:hideMark/>
          </w:tcPr>
          <w:p w14:paraId="4F2892B3" w14:textId="77777777" w:rsidR="00DC1800" w:rsidRPr="00A75A3D" w:rsidRDefault="00DC1800" w:rsidP="00094682">
            <w:pPr>
              <w:spacing w:after="0" w:line="240" w:lineRule="auto"/>
              <w:jc w:val="right"/>
              <w:rPr>
                <w:b/>
                <w:bCs/>
                <w:color w:val="000000"/>
                <w:sz w:val="18"/>
                <w:szCs w:val="18"/>
                <w:lang w:eastAsia="sk-SK"/>
              </w:rPr>
            </w:pPr>
            <w:r w:rsidRPr="00A75A3D">
              <w:rPr>
                <w:b/>
                <w:bCs/>
                <w:color w:val="000000"/>
                <w:sz w:val="18"/>
                <w:szCs w:val="18"/>
                <w:lang w:eastAsia="sk-SK"/>
              </w:rPr>
              <w:t>51,6</w:t>
            </w:r>
          </w:p>
        </w:tc>
        <w:tc>
          <w:tcPr>
            <w:tcW w:w="722" w:type="dxa"/>
            <w:tcBorders>
              <w:top w:val="nil"/>
              <w:left w:val="nil"/>
              <w:bottom w:val="nil"/>
              <w:right w:val="nil"/>
            </w:tcBorders>
            <w:shd w:val="clear" w:color="auto" w:fill="auto"/>
            <w:noWrap/>
            <w:vAlign w:val="center"/>
            <w:hideMark/>
          </w:tcPr>
          <w:p w14:paraId="6290B285" w14:textId="77777777" w:rsidR="00DC1800" w:rsidRPr="00A75A3D" w:rsidRDefault="00DC1800" w:rsidP="00094682">
            <w:pPr>
              <w:spacing w:after="0" w:line="240" w:lineRule="auto"/>
              <w:jc w:val="right"/>
              <w:rPr>
                <w:b/>
                <w:bCs/>
                <w:color w:val="000000"/>
                <w:sz w:val="18"/>
                <w:szCs w:val="18"/>
                <w:lang w:eastAsia="sk-SK"/>
              </w:rPr>
            </w:pPr>
            <w:r w:rsidRPr="00A75A3D">
              <w:rPr>
                <w:b/>
                <w:bCs/>
                <w:color w:val="000000"/>
                <w:sz w:val="18"/>
                <w:szCs w:val="18"/>
                <w:lang w:eastAsia="sk-SK"/>
              </w:rPr>
              <w:t>49,6</w:t>
            </w:r>
          </w:p>
        </w:tc>
        <w:tc>
          <w:tcPr>
            <w:tcW w:w="722" w:type="dxa"/>
            <w:tcBorders>
              <w:top w:val="nil"/>
              <w:left w:val="nil"/>
              <w:bottom w:val="nil"/>
              <w:right w:val="nil"/>
            </w:tcBorders>
            <w:shd w:val="clear" w:color="auto" w:fill="auto"/>
            <w:noWrap/>
            <w:vAlign w:val="center"/>
            <w:hideMark/>
          </w:tcPr>
          <w:p w14:paraId="641D7BD2" w14:textId="77777777" w:rsidR="00DC1800" w:rsidRPr="00A75A3D" w:rsidRDefault="00DC1800" w:rsidP="00094682">
            <w:pPr>
              <w:spacing w:after="0" w:line="240" w:lineRule="auto"/>
              <w:jc w:val="right"/>
              <w:rPr>
                <w:b/>
                <w:bCs/>
                <w:color w:val="000000"/>
                <w:sz w:val="18"/>
                <w:szCs w:val="18"/>
                <w:lang w:eastAsia="sk-SK"/>
              </w:rPr>
            </w:pPr>
            <w:r w:rsidRPr="00A75A3D">
              <w:rPr>
                <w:b/>
                <w:bCs/>
                <w:color w:val="000000"/>
                <w:sz w:val="18"/>
                <w:szCs w:val="18"/>
                <w:lang w:eastAsia="sk-SK"/>
              </w:rPr>
              <w:t>48,1</w:t>
            </w:r>
          </w:p>
        </w:tc>
        <w:tc>
          <w:tcPr>
            <w:tcW w:w="790" w:type="dxa"/>
            <w:gridSpan w:val="2"/>
            <w:tcBorders>
              <w:top w:val="nil"/>
              <w:left w:val="nil"/>
              <w:bottom w:val="nil"/>
              <w:right w:val="nil"/>
            </w:tcBorders>
            <w:shd w:val="clear" w:color="auto" w:fill="auto"/>
            <w:noWrap/>
            <w:vAlign w:val="center"/>
            <w:hideMark/>
          </w:tcPr>
          <w:p w14:paraId="5A240985" w14:textId="77777777" w:rsidR="00DC1800" w:rsidRPr="00A75A3D" w:rsidRDefault="00DC1800" w:rsidP="00094682">
            <w:pPr>
              <w:spacing w:after="0" w:line="240" w:lineRule="auto"/>
              <w:jc w:val="right"/>
              <w:rPr>
                <w:b/>
                <w:bCs/>
                <w:color w:val="000000"/>
                <w:sz w:val="18"/>
                <w:szCs w:val="18"/>
                <w:lang w:eastAsia="sk-SK"/>
              </w:rPr>
            </w:pPr>
            <w:r w:rsidRPr="00A75A3D">
              <w:rPr>
                <w:b/>
                <w:bCs/>
                <w:color w:val="000000"/>
                <w:sz w:val="18"/>
                <w:szCs w:val="18"/>
                <w:lang w:eastAsia="sk-SK"/>
              </w:rPr>
              <w:t>59,7</w:t>
            </w:r>
          </w:p>
        </w:tc>
      </w:tr>
      <w:tr w:rsidR="00DC1800" w:rsidRPr="00112545" w14:paraId="77B7928C" w14:textId="77777777" w:rsidTr="00094682">
        <w:trPr>
          <w:trHeight w:val="345"/>
        </w:trPr>
        <w:tc>
          <w:tcPr>
            <w:tcW w:w="1374" w:type="dxa"/>
            <w:tcBorders>
              <w:top w:val="nil"/>
              <w:left w:val="nil"/>
              <w:bottom w:val="nil"/>
              <w:right w:val="nil"/>
            </w:tcBorders>
            <w:shd w:val="clear" w:color="auto" w:fill="auto"/>
            <w:noWrap/>
            <w:vAlign w:val="center"/>
            <w:hideMark/>
          </w:tcPr>
          <w:p w14:paraId="6C5C2089" w14:textId="77777777" w:rsidR="00DC1800" w:rsidRPr="00112545" w:rsidRDefault="00DC1800" w:rsidP="00094682">
            <w:pPr>
              <w:spacing w:after="0" w:line="240" w:lineRule="auto"/>
              <w:rPr>
                <w:b/>
                <w:bCs/>
                <w:color w:val="000000"/>
                <w:sz w:val="18"/>
                <w:szCs w:val="18"/>
                <w:lang w:eastAsia="sk-SK"/>
              </w:rPr>
            </w:pPr>
            <w:r w:rsidRPr="00112545">
              <w:rPr>
                <w:b/>
                <w:bCs/>
                <w:color w:val="000000"/>
                <w:sz w:val="18"/>
                <w:szCs w:val="18"/>
                <w:lang w:eastAsia="sk-SK"/>
              </w:rPr>
              <w:t>HDP v b. c.</w:t>
            </w:r>
          </w:p>
        </w:tc>
        <w:tc>
          <w:tcPr>
            <w:tcW w:w="977" w:type="dxa"/>
            <w:tcBorders>
              <w:top w:val="nil"/>
              <w:left w:val="nil"/>
              <w:bottom w:val="nil"/>
              <w:right w:val="nil"/>
            </w:tcBorders>
            <w:shd w:val="clear" w:color="auto" w:fill="auto"/>
            <w:noWrap/>
            <w:vAlign w:val="center"/>
            <w:hideMark/>
          </w:tcPr>
          <w:p w14:paraId="25591FF5" w14:textId="77777777" w:rsidR="00DC1800" w:rsidRPr="00112545" w:rsidRDefault="00DC1800" w:rsidP="00094682">
            <w:pPr>
              <w:spacing w:after="0" w:line="240" w:lineRule="auto"/>
              <w:jc w:val="center"/>
              <w:rPr>
                <w:color w:val="000000"/>
                <w:sz w:val="18"/>
                <w:szCs w:val="18"/>
                <w:lang w:eastAsia="sk-SK"/>
              </w:rPr>
            </w:pPr>
            <w:r w:rsidRPr="00112545">
              <w:rPr>
                <w:color w:val="000000"/>
                <w:sz w:val="18"/>
                <w:szCs w:val="18"/>
                <w:lang w:eastAsia="sk-SK"/>
              </w:rPr>
              <w:t>mil. EUR</w:t>
            </w:r>
          </w:p>
        </w:tc>
        <w:tc>
          <w:tcPr>
            <w:tcW w:w="722" w:type="dxa"/>
            <w:tcBorders>
              <w:top w:val="nil"/>
              <w:left w:val="nil"/>
              <w:bottom w:val="nil"/>
              <w:right w:val="nil"/>
            </w:tcBorders>
            <w:shd w:val="clear" w:color="auto" w:fill="auto"/>
            <w:noWrap/>
            <w:vAlign w:val="center"/>
            <w:hideMark/>
          </w:tcPr>
          <w:p w14:paraId="672BBAF7" w14:textId="77777777" w:rsidR="00DC1800" w:rsidRPr="00112545" w:rsidRDefault="00DC1800" w:rsidP="00094682">
            <w:pPr>
              <w:spacing w:after="0" w:line="240" w:lineRule="auto"/>
              <w:jc w:val="right"/>
              <w:rPr>
                <w:color w:val="000000"/>
                <w:sz w:val="18"/>
                <w:szCs w:val="18"/>
                <w:lang w:eastAsia="sk-SK"/>
              </w:rPr>
            </w:pPr>
            <w:r w:rsidRPr="00112545">
              <w:rPr>
                <w:color w:val="000000"/>
                <w:sz w:val="18"/>
                <w:szCs w:val="18"/>
                <w:lang w:eastAsia="sk-SK"/>
              </w:rPr>
              <w:t>71 305</w:t>
            </w:r>
          </w:p>
        </w:tc>
        <w:tc>
          <w:tcPr>
            <w:tcW w:w="722" w:type="dxa"/>
            <w:tcBorders>
              <w:top w:val="nil"/>
              <w:left w:val="nil"/>
              <w:bottom w:val="nil"/>
              <w:right w:val="nil"/>
            </w:tcBorders>
            <w:shd w:val="clear" w:color="auto" w:fill="auto"/>
            <w:noWrap/>
            <w:vAlign w:val="center"/>
            <w:hideMark/>
          </w:tcPr>
          <w:p w14:paraId="13B08214" w14:textId="77777777" w:rsidR="00DC1800" w:rsidRPr="00112545" w:rsidRDefault="00DC1800" w:rsidP="00094682">
            <w:pPr>
              <w:spacing w:after="0" w:line="240" w:lineRule="auto"/>
              <w:jc w:val="right"/>
              <w:rPr>
                <w:color w:val="000000"/>
                <w:sz w:val="18"/>
                <w:szCs w:val="18"/>
                <w:lang w:eastAsia="sk-SK"/>
              </w:rPr>
            </w:pPr>
            <w:r w:rsidRPr="00112545">
              <w:rPr>
                <w:color w:val="000000"/>
                <w:sz w:val="18"/>
                <w:szCs w:val="18"/>
                <w:lang w:eastAsia="sk-SK"/>
              </w:rPr>
              <w:t>73 576</w:t>
            </w:r>
          </w:p>
        </w:tc>
        <w:tc>
          <w:tcPr>
            <w:tcW w:w="722" w:type="dxa"/>
            <w:tcBorders>
              <w:top w:val="nil"/>
              <w:left w:val="nil"/>
              <w:bottom w:val="nil"/>
              <w:right w:val="nil"/>
            </w:tcBorders>
            <w:shd w:val="clear" w:color="auto" w:fill="auto"/>
            <w:noWrap/>
            <w:vAlign w:val="center"/>
            <w:hideMark/>
          </w:tcPr>
          <w:p w14:paraId="757B05C4" w14:textId="77777777" w:rsidR="00DC1800" w:rsidRPr="00112545" w:rsidRDefault="00DC1800" w:rsidP="00094682">
            <w:pPr>
              <w:spacing w:after="0" w:line="240" w:lineRule="auto"/>
              <w:jc w:val="right"/>
              <w:rPr>
                <w:color w:val="000000"/>
                <w:sz w:val="18"/>
                <w:szCs w:val="18"/>
                <w:lang w:eastAsia="sk-SK"/>
              </w:rPr>
            </w:pPr>
            <w:r w:rsidRPr="00112545">
              <w:rPr>
                <w:color w:val="000000"/>
                <w:sz w:val="18"/>
                <w:szCs w:val="18"/>
                <w:lang w:eastAsia="sk-SK"/>
              </w:rPr>
              <w:t>74 449</w:t>
            </w:r>
          </w:p>
        </w:tc>
        <w:tc>
          <w:tcPr>
            <w:tcW w:w="722" w:type="dxa"/>
            <w:tcBorders>
              <w:top w:val="nil"/>
              <w:left w:val="nil"/>
              <w:bottom w:val="nil"/>
              <w:right w:val="nil"/>
            </w:tcBorders>
            <w:shd w:val="clear" w:color="auto" w:fill="auto"/>
            <w:noWrap/>
            <w:vAlign w:val="center"/>
            <w:hideMark/>
          </w:tcPr>
          <w:p w14:paraId="0B991B81" w14:textId="77777777" w:rsidR="00DC1800" w:rsidRPr="00112545" w:rsidRDefault="00DC1800" w:rsidP="00094682">
            <w:pPr>
              <w:spacing w:after="0" w:line="240" w:lineRule="auto"/>
              <w:jc w:val="right"/>
              <w:rPr>
                <w:color w:val="000000"/>
                <w:sz w:val="18"/>
                <w:szCs w:val="18"/>
                <w:lang w:eastAsia="sk-SK"/>
              </w:rPr>
            </w:pPr>
            <w:r w:rsidRPr="00112545">
              <w:rPr>
                <w:color w:val="000000"/>
                <w:sz w:val="18"/>
                <w:szCs w:val="18"/>
                <w:lang w:eastAsia="sk-SK"/>
              </w:rPr>
              <w:t>76 270</w:t>
            </w:r>
          </w:p>
        </w:tc>
        <w:tc>
          <w:tcPr>
            <w:tcW w:w="722" w:type="dxa"/>
            <w:tcBorders>
              <w:top w:val="nil"/>
              <w:left w:val="nil"/>
              <w:bottom w:val="nil"/>
              <w:right w:val="nil"/>
            </w:tcBorders>
            <w:shd w:val="clear" w:color="auto" w:fill="auto"/>
            <w:noWrap/>
            <w:vAlign w:val="center"/>
            <w:hideMark/>
          </w:tcPr>
          <w:p w14:paraId="0BC0DB8A" w14:textId="77777777" w:rsidR="00DC1800" w:rsidRPr="00112545" w:rsidRDefault="00DC1800" w:rsidP="00094682">
            <w:pPr>
              <w:spacing w:after="0" w:line="240" w:lineRule="auto"/>
              <w:jc w:val="right"/>
              <w:rPr>
                <w:color w:val="000000"/>
                <w:sz w:val="18"/>
                <w:szCs w:val="18"/>
                <w:lang w:eastAsia="sk-SK"/>
              </w:rPr>
            </w:pPr>
            <w:r w:rsidRPr="00112545">
              <w:rPr>
                <w:color w:val="000000"/>
                <w:sz w:val="18"/>
                <w:szCs w:val="18"/>
                <w:lang w:eastAsia="sk-SK"/>
              </w:rPr>
              <w:t>79 768</w:t>
            </w:r>
          </w:p>
        </w:tc>
        <w:tc>
          <w:tcPr>
            <w:tcW w:w="722" w:type="dxa"/>
            <w:tcBorders>
              <w:top w:val="nil"/>
              <w:left w:val="nil"/>
              <w:bottom w:val="nil"/>
              <w:right w:val="nil"/>
            </w:tcBorders>
            <w:shd w:val="clear" w:color="auto" w:fill="auto"/>
            <w:noWrap/>
            <w:vAlign w:val="center"/>
            <w:hideMark/>
          </w:tcPr>
          <w:p w14:paraId="00B2EF0A" w14:textId="77777777" w:rsidR="00DC1800" w:rsidRPr="00112545" w:rsidRDefault="00DC1800" w:rsidP="00094682">
            <w:pPr>
              <w:spacing w:after="0" w:line="240" w:lineRule="auto"/>
              <w:jc w:val="right"/>
              <w:rPr>
                <w:color w:val="000000"/>
                <w:sz w:val="18"/>
                <w:szCs w:val="18"/>
                <w:lang w:eastAsia="sk-SK"/>
              </w:rPr>
            </w:pPr>
            <w:r w:rsidRPr="00112545">
              <w:rPr>
                <w:color w:val="000000"/>
                <w:sz w:val="18"/>
                <w:szCs w:val="18"/>
                <w:lang w:eastAsia="sk-SK"/>
              </w:rPr>
              <w:t>81 051</w:t>
            </w:r>
          </w:p>
        </w:tc>
        <w:tc>
          <w:tcPr>
            <w:tcW w:w="722" w:type="dxa"/>
            <w:tcBorders>
              <w:top w:val="nil"/>
              <w:left w:val="nil"/>
              <w:bottom w:val="nil"/>
              <w:right w:val="nil"/>
            </w:tcBorders>
            <w:shd w:val="clear" w:color="auto" w:fill="auto"/>
            <w:noWrap/>
            <w:vAlign w:val="center"/>
            <w:hideMark/>
          </w:tcPr>
          <w:p w14:paraId="6B89050F" w14:textId="77777777" w:rsidR="00DC1800" w:rsidRPr="00A75A3D" w:rsidRDefault="00DC1800" w:rsidP="00094682">
            <w:pPr>
              <w:spacing w:after="0" w:line="240" w:lineRule="auto"/>
              <w:jc w:val="right"/>
              <w:rPr>
                <w:color w:val="000000"/>
                <w:sz w:val="18"/>
                <w:szCs w:val="18"/>
                <w:lang w:eastAsia="sk-SK"/>
              </w:rPr>
            </w:pPr>
            <w:r w:rsidRPr="00A75A3D">
              <w:rPr>
                <w:color w:val="000000"/>
                <w:sz w:val="18"/>
                <w:szCs w:val="18"/>
                <w:lang w:eastAsia="sk-SK"/>
              </w:rPr>
              <w:t>84 443</w:t>
            </w:r>
          </w:p>
        </w:tc>
        <w:tc>
          <w:tcPr>
            <w:tcW w:w="722" w:type="dxa"/>
            <w:tcBorders>
              <w:top w:val="nil"/>
              <w:left w:val="nil"/>
              <w:bottom w:val="nil"/>
              <w:right w:val="nil"/>
            </w:tcBorders>
            <w:shd w:val="clear" w:color="auto" w:fill="auto"/>
            <w:noWrap/>
            <w:vAlign w:val="center"/>
            <w:hideMark/>
          </w:tcPr>
          <w:p w14:paraId="0293F3A9" w14:textId="77777777" w:rsidR="00DC1800" w:rsidRPr="00A75A3D" w:rsidRDefault="00DC1800" w:rsidP="00094682">
            <w:pPr>
              <w:spacing w:after="0" w:line="240" w:lineRule="auto"/>
              <w:jc w:val="right"/>
              <w:rPr>
                <w:color w:val="000000"/>
                <w:sz w:val="18"/>
                <w:szCs w:val="18"/>
                <w:lang w:eastAsia="sk-SK"/>
              </w:rPr>
            </w:pPr>
            <w:r w:rsidRPr="00A75A3D">
              <w:rPr>
                <w:color w:val="000000"/>
                <w:sz w:val="18"/>
                <w:szCs w:val="18"/>
                <w:lang w:eastAsia="sk-SK"/>
              </w:rPr>
              <w:t>89 430</w:t>
            </w:r>
          </w:p>
        </w:tc>
        <w:tc>
          <w:tcPr>
            <w:tcW w:w="722" w:type="dxa"/>
            <w:tcBorders>
              <w:top w:val="nil"/>
              <w:left w:val="nil"/>
              <w:bottom w:val="nil"/>
              <w:right w:val="nil"/>
            </w:tcBorders>
            <w:shd w:val="clear" w:color="auto" w:fill="auto"/>
            <w:noWrap/>
            <w:vAlign w:val="center"/>
            <w:hideMark/>
          </w:tcPr>
          <w:p w14:paraId="00F745EF" w14:textId="77777777" w:rsidR="00DC1800" w:rsidRPr="00A75A3D" w:rsidRDefault="00DC1800" w:rsidP="00094682">
            <w:pPr>
              <w:spacing w:after="0" w:line="240" w:lineRule="auto"/>
              <w:jc w:val="right"/>
              <w:rPr>
                <w:color w:val="000000"/>
                <w:sz w:val="18"/>
                <w:szCs w:val="18"/>
                <w:lang w:eastAsia="sk-SK"/>
              </w:rPr>
            </w:pPr>
            <w:r w:rsidRPr="00A75A3D">
              <w:rPr>
                <w:color w:val="000000"/>
                <w:sz w:val="18"/>
                <w:szCs w:val="18"/>
                <w:lang w:eastAsia="sk-SK"/>
              </w:rPr>
              <w:t>94 048</w:t>
            </w:r>
          </w:p>
        </w:tc>
        <w:tc>
          <w:tcPr>
            <w:tcW w:w="790" w:type="dxa"/>
            <w:gridSpan w:val="2"/>
            <w:tcBorders>
              <w:top w:val="nil"/>
              <w:left w:val="nil"/>
              <w:bottom w:val="nil"/>
              <w:right w:val="nil"/>
            </w:tcBorders>
            <w:shd w:val="clear" w:color="auto" w:fill="auto"/>
            <w:noWrap/>
            <w:vAlign w:val="center"/>
            <w:hideMark/>
          </w:tcPr>
          <w:p w14:paraId="29428365" w14:textId="77777777" w:rsidR="00DC1800" w:rsidRPr="00A75A3D" w:rsidRDefault="00DC1800" w:rsidP="00094682">
            <w:pPr>
              <w:spacing w:after="0" w:line="240" w:lineRule="auto"/>
              <w:jc w:val="right"/>
              <w:rPr>
                <w:color w:val="000000"/>
                <w:sz w:val="18"/>
                <w:szCs w:val="18"/>
                <w:lang w:eastAsia="sk-SK"/>
              </w:rPr>
            </w:pPr>
            <w:r w:rsidRPr="00A75A3D">
              <w:rPr>
                <w:color w:val="000000"/>
                <w:sz w:val="18"/>
                <w:szCs w:val="18"/>
                <w:lang w:eastAsia="sk-SK"/>
              </w:rPr>
              <w:t>92 079</w:t>
            </w:r>
          </w:p>
        </w:tc>
      </w:tr>
      <w:tr w:rsidR="00DC1800" w:rsidRPr="00112545" w14:paraId="11F850C8" w14:textId="77777777" w:rsidTr="00094682">
        <w:trPr>
          <w:trHeight w:val="345"/>
        </w:trPr>
        <w:tc>
          <w:tcPr>
            <w:tcW w:w="1374" w:type="dxa"/>
            <w:tcBorders>
              <w:top w:val="nil"/>
              <w:left w:val="nil"/>
              <w:bottom w:val="single" w:sz="4" w:space="0" w:color="auto"/>
              <w:right w:val="nil"/>
            </w:tcBorders>
            <w:shd w:val="clear" w:color="auto" w:fill="auto"/>
            <w:noWrap/>
            <w:vAlign w:val="center"/>
            <w:hideMark/>
          </w:tcPr>
          <w:p w14:paraId="587E0240" w14:textId="77777777" w:rsidR="00DC1800" w:rsidRPr="00112545" w:rsidRDefault="00DC1800" w:rsidP="00094682">
            <w:pPr>
              <w:spacing w:after="0" w:line="240" w:lineRule="auto"/>
              <w:rPr>
                <w:b/>
                <w:bCs/>
                <w:color w:val="000000"/>
                <w:sz w:val="18"/>
                <w:szCs w:val="18"/>
                <w:lang w:eastAsia="sk-SK"/>
              </w:rPr>
            </w:pPr>
            <w:r w:rsidRPr="00112545">
              <w:rPr>
                <w:b/>
                <w:bCs/>
                <w:color w:val="000000"/>
                <w:sz w:val="18"/>
                <w:szCs w:val="18"/>
                <w:lang w:eastAsia="sk-SK"/>
              </w:rPr>
              <w:t>HDP v s. c.</w:t>
            </w:r>
            <w:r w:rsidRPr="00112545">
              <w:rPr>
                <w:b/>
                <w:bCs/>
                <w:color w:val="000000"/>
                <w:sz w:val="18"/>
                <w:szCs w:val="18"/>
                <w:vertAlign w:val="superscript"/>
                <w:lang w:eastAsia="sk-SK"/>
              </w:rPr>
              <w:t>1)</w:t>
            </w:r>
          </w:p>
        </w:tc>
        <w:tc>
          <w:tcPr>
            <w:tcW w:w="977" w:type="dxa"/>
            <w:tcBorders>
              <w:top w:val="nil"/>
              <w:left w:val="nil"/>
              <w:bottom w:val="single" w:sz="4" w:space="0" w:color="auto"/>
              <w:right w:val="nil"/>
            </w:tcBorders>
            <w:shd w:val="clear" w:color="auto" w:fill="auto"/>
            <w:noWrap/>
            <w:vAlign w:val="center"/>
            <w:hideMark/>
          </w:tcPr>
          <w:p w14:paraId="75293D5E" w14:textId="77777777" w:rsidR="00DC1800" w:rsidRPr="00112545" w:rsidRDefault="00DC1800" w:rsidP="00094682">
            <w:pPr>
              <w:spacing w:after="0" w:line="240" w:lineRule="auto"/>
              <w:ind w:left="-26" w:hanging="142"/>
              <w:jc w:val="right"/>
              <w:rPr>
                <w:color w:val="000000"/>
                <w:sz w:val="18"/>
                <w:szCs w:val="18"/>
                <w:lang w:eastAsia="sk-SK"/>
              </w:rPr>
            </w:pPr>
            <w:r w:rsidRPr="00112545">
              <w:rPr>
                <w:color w:val="000000"/>
                <w:sz w:val="18"/>
                <w:szCs w:val="18"/>
                <w:lang w:eastAsia="sk-SK"/>
              </w:rPr>
              <w:t>zmena v %</w:t>
            </w:r>
          </w:p>
        </w:tc>
        <w:tc>
          <w:tcPr>
            <w:tcW w:w="722" w:type="dxa"/>
            <w:tcBorders>
              <w:top w:val="nil"/>
              <w:left w:val="nil"/>
              <w:bottom w:val="single" w:sz="4" w:space="0" w:color="auto"/>
              <w:right w:val="nil"/>
            </w:tcBorders>
            <w:shd w:val="clear" w:color="auto" w:fill="auto"/>
            <w:noWrap/>
            <w:vAlign w:val="center"/>
            <w:hideMark/>
          </w:tcPr>
          <w:p w14:paraId="4A244379" w14:textId="77777777" w:rsidR="00DC1800" w:rsidRPr="00112545" w:rsidRDefault="00DC1800" w:rsidP="00094682">
            <w:pPr>
              <w:spacing w:after="0" w:line="240" w:lineRule="auto"/>
              <w:jc w:val="right"/>
              <w:rPr>
                <w:b/>
                <w:bCs/>
                <w:color w:val="000000"/>
                <w:sz w:val="18"/>
                <w:szCs w:val="18"/>
                <w:lang w:eastAsia="sk-SK"/>
              </w:rPr>
            </w:pPr>
            <w:r w:rsidRPr="00112545">
              <w:rPr>
                <w:b/>
                <w:bCs/>
                <w:color w:val="000000"/>
                <w:sz w:val="18"/>
                <w:szCs w:val="18"/>
                <w:lang w:eastAsia="sk-SK"/>
              </w:rPr>
              <w:t>2,8</w:t>
            </w:r>
          </w:p>
        </w:tc>
        <w:tc>
          <w:tcPr>
            <w:tcW w:w="722" w:type="dxa"/>
            <w:tcBorders>
              <w:top w:val="nil"/>
              <w:left w:val="nil"/>
              <w:bottom w:val="single" w:sz="4" w:space="0" w:color="auto"/>
              <w:right w:val="nil"/>
            </w:tcBorders>
            <w:shd w:val="clear" w:color="auto" w:fill="auto"/>
            <w:noWrap/>
            <w:vAlign w:val="center"/>
            <w:hideMark/>
          </w:tcPr>
          <w:p w14:paraId="6C3D4A67" w14:textId="77777777" w:rsidR="00DC1800" w:rsidRPr="00112545" w:rsidRDefault="00DC1800" w:rsidP="00094682">
            <w:pPr>
              <w:spacing w:after="0" w:line="240" w:lineRule="auto"/>
              <w:jc w:val="right"/>
              <w:rPr>
                <w:b/>
                <w:bCs/>
                <w:color w:val="000000"/>
                <w:sz w:val="18"/>
                <w:szCs w:val="18"/>
                <w:lang w:eastAsia="sk-SK"/>
              </w:rPr>
            </w:pPr>
            <w:r w:rsidRPr="00112545">
              <w:rPr>
                <w:b/>
                <w:bCs/>
                <w:color w:val="000000"/>
                <w:sz w:val="18"/>
                <w:szCs w:val="18"/>
                <w:lang w:eastAsia="sk-SK"/>
              </w:rPr>
              <w:t>1,9</w:t>
            </w:r>
          </w:p>
        </w:tc>
        <w:tc>
          <w:tcPr>
            <w:tcW w:w="722" w:type="dxa"/>
            <w:tcBorders>
              <w:top w:val="nil"/>
              <w:left w:val="nil"/>
              <w:bottom w:val="single" w:sz="4" w:space="0" w:color="auto"/>
              <w:right w:val="nil"/>
            </w:tcBorders>
            <w:shd w:val="clear" w:color="auto" w:fill="auto"/>
            <w:noWrap/>
            <w:vAlign w:val="center"/>
            <w:hideMark/>
          </w:tcPr>
          <w:p w14:paraId="065C3C45" w14:textId="77777777" w:rsidR="00DC1800" w:rsidRPr="00112545" w:rsidRDefault="00DC1800" w:rsidP="00094682">
            <w:pPr>
              <w:spacing w:after="0" w:line="240" w:lineRule="auto"/>
              <w:jc w:val="right"/>
              <w:rPr>
                <w:b/>
                <w:bCs/>
                <w:color w:val="000000"/>
                <w:sz w:val="18"/>
                <w:szCs w:val="18"/>
                <w:lang w:eastAsia="sk-SK"/>
              </w:rPr>
            </w:pPr>
            <w:r w:rsidRPr="00112545">
              <w:rPr>
                <w:b/>
                <w:bCs/>
                <w:color w:val="000000"/>
                <w:sz w:val="18"/>
                <w:szCs w:val="18"/>
                <w:lang w:eastAsia="sk-SK"/>
              </w:rPr>
              <w:t>0,7</w:t>
            </w:r>
          </w:p>
        </w:tc>
        <w:tc>
          <w:tcPr>
            <w:tcW w:w="722" w:type="dxa"/>
            <w:tcBorders>
              <w:top w:val="nil"/>
              <w:left w:val="nil"/>
              <w:bottom w:val="single" w:sz="4" w:space="0" w:color="auto"/>
              <w:right w:val="nil"/>
            </w:tcBorders>
            <w:shd w:val="clear" w:color="auto" w:fill="auto"/>
            <w:noWrap/>
            <w:vAlign w:val="center"/>
            <w:hideMark/>
          </w:tcPr>
          <w:p w14:paraId="1B80D772" w14:textId="77777777" w:rsidR="00DC1800" w:rsidRPr="00112545" w:rsidRDefault="00DC1800" w:rsidP="00094682">
            <w:pPr>
              <w:spacing w:after="0" w:line="240" w:lineRule="auto"/>
              <w:jc w:val="right"/>
              <w:rPr>
                <w:b/>
                <w:bCs/>
                <w:color w:val="000000"/>
                <w:sz w:val="18"/>
                <w:szCs w:val="18"/>
                <w:lang w:eastAsia="sk-SK"/>
              </w:rPr>
            </w:pPr>
            <w:r w:rsidRPr="00112545">
              <w:rPr>
                <w:b/>
                <w:bCs/>
                <w:color w:val="000000"/>
                <w:sz w:val="18"/>
                <w:szCs w:val="18"/>
                <w:lang w:eastAsia="sk-SK"/>
              </w:rPr>
              <w:t>2,6</w:t>
            </w:r>
          </w:p>
        </w:tc>
        <w:tc>
          <w:tcPr>
            <w:tcW w:w="722" w:type="dxa"/>
            <w:tcBorders>
              <w:top w:val="nil"/>
              <w:left w:val="nil"/>
              <w:bottom w:val="single" w:sz="4" w:space="0" w:color="auto"/>
              <w:right w:val="nil"/>
            </w:tcBorders>
            <w:shd w:val="clear" w:color="auto" w:fill="auto"/>
            <w:noWrap/>
            <w:vAlign w:val="center"/>
            <w:hideMark/>
          </w:tcPr>
          <w:p w14:paraId="38D5E29E" w14:textId="77777777" w:rsidR="00DC1800" w:rsidRPr="00112545" w:rsidRDefault="00DC1800" w:rsidP="00094682">
            <w:pPr>
              <w:spacing w:after="0" w:line="240" w:lineRule="auto"/>
              <w:jc w:val="right"/>
              <w:rPr>
                <w:b/>
                <w:bCs/>
                <w:color w:val="000000"/>
                <w:sz w:val="18"/>
                <w:szCs w:val="18"/>
                <w:lang w:eastAsia="sk-SK"/>
              </w:rPr>
            </w:pPr>
            <w:r w:rsidRPr="00112545">
              <w:rPr>
                <w:b/>
                <w:bCs/>
                <w:color w:val="000000"/>
                <w:sz w:val="18"/>
                <w:szCs w:val="18"/>
                <w:lang w:eastAsia="sk-SK"/>
              </w:rPr>
              <w:t>4,8</w:t>
            </w:r>
          </w:p>
        </w:tc>
        <w:tc>
          <w:tcPr>
            <w:tcW w:w="722" w:type="dxa"/>
            <w:tcBorders>
              <w:top w:val="nil"/>
              <w:left w:val="nil"/>
              <w:bottom w:val="single" w:sz="4" w:space="0" w:color="auto"/>
              <w:right w:val="nil"/>
            </w:tcBorders>
            <w:shd w:val="clear" w:color="auto" w:fill="auto"/>
            <w:noWrap/>
            <w:vAlign w:val="center"/>
            <w:hideMark/>
          </w:tcPr>
          <w:p w14:paraId="006395B4" w14:textId="77777777" w:rsidR="00DC1800" w:rsidRPr="00112545" w:rsidRDefault="00DC1800" w:rsidP="00094682">
            <w:pPr>
              <w:spacing w:after="0" w:line="240" w:lineRule="auto"/>
              <w:jc w:val="right"/>
              <w:rPr>
                <w:b/>
                <w:bCs/>
                <w:color w:val="000000"/>
                <w:sz w:val="18"/>
                <w:szCs w:val="18"/>
                <w:lang w:eastAsia="sk-SK"/>
              </w:rPr>
            </w:pPr>
            <w:r w:rsidRPr="00112545">
              <w:rPr>
                <w:b/>
                <w:bCs/>
                <w:color w:val="000000"/>
                <w:sz w:val="18"/>
                <w:szCs w:val="18"/>
                <w:lang w:eastAsia="sk-SK"/>
              </w:rPr>
              <w:t>2,1</w:t>
            </w:r>
          </w:p>
        </w:tc>
        <w:tc>
          <w:tcPr>
            <w:tcW w:w="722" w:type="dxa"/>
            <w:tcBorders>
              <w:top w:val="nil"/>
              <w:left w:val="nil"/>
              <w:bottom w:val="single" w:sz="4" w:space="0" w:color="auto"/>
              <w:right w:val="nil"/>
            </w:tcBorders>
            <w:shd w:val="clear" w:color="auto" w:fill="auto"/>
            <w:noWrap/>
            <w:vAlign w:val="center"/>
            <w:hideMark/>
          </w:tcPr>
          <w:p w14:paraId="0772C6C1" w14:textId="77777777" w:rsidR="00DC1800" w:rsidRPr="00A75A3D" w:rsidRDefault="00DC1800" w:rsidP="00094682">
            <w:pPr>
              <w:spacing w:after="0" w:line="240" w:lineRule="auto"/>
              <w:jc w:val="right"/>
              <w:rPr>
                <w:b/>
                <w:bCs/>
                <w:color w:val="000000"/>
                <w:sz w:val="18"/>
                <w:szCs w:val="18"/>
                <w:lang w:eastAsia="sk-SK"/>
              </w:rPr>
            </w:pPr>
            <w:r w:rsidRPr="00A75A3D">
              <w:rPr>
                <w:b/>
                <w:bCs/>
                <w:color w:val="000000"/>
                <w:sz w:val="18"/>
                <w:szCs w:val="18"/>
                <w:lang w:eastAsia="sk-SK"/>
              </w:rPr>
              <w:t>3,0</w:t>
            </w:r>
          </w:p>
        </w:tc>
        <w:tc>
          <w:tcPr>
            <w:tcW w:w="722" w:type="dxa"/>
            <w:tcBorders>
              <w:top w:val="nil"/>
              <w:left w:val="nil"/>
              <w:bottom w:val="single" w:sz="4" w:space="0" w:color="auto"/>
              <w:right w:val="nil"/>
            </w:tcBorders>
            <w:shd w:val="clear" w:color="auto" w:fill="auto"/>
            <w:noWrap/>
            <w:vAlign w:val="center"/>
            <w:hideMark/>
          </w:tcPr>
          <w:p w14:paraId="593F7B9B" w14:textId="77777777" w:rsidR="00DC1800" w:rsidRPr="00A75A3D" w:rsidRDefault="00DC1800" w:rsidP="00094682">
            <w:pPr>
              <w:spacing w:after="0" w:line="240" w:lineRule="auto"/>
              <w:jc w:val="right"/>
              <w:rPr>
                <w:b/>
                <w:bCs/>
                <w:color w:val="000000"/>
                <w:sz w:val="18"/>
                <w:szCs w:val="18"/>
                <w:lang w:eastAsia="sk-SK"/>
              </w:rPr>
            </w:pPr>
            <w:r w:rsidRPr="00A75A3D">
              <w:rPr>
                <w:b/>
                <w:bCs/>
                <w:color w:val="000000"/>
                <w:sz w:val="18"/>
                <w:szCs w:val="18"/>
                <w:lang w:eastAsia="sk-SK"/>
              </w:rPr>
              <w:t>3,7</w:t>
            </w:r>
          </w:p>
        </w:tc>
        <w:tc>
          <w:tcPr>
            <w:tcW w:w="722" w:type="dxa"/>
            <w:tcBorders>
              <w:top w:val="nil"/>
              <w:left w:val="nil"/>
              <w:bottom w:val="single" w:sz="4" w:space="0" w:color="auto"/>
              <w:right w:val="nil"/>
            </w:tcBorders>
            <w:shd w:val="clear" w:color="auto" w:fill="auto"/>
            <w:noWrap/>
            <w:vAlign w:val="center"/>
            <w:hideMark/>
          </w:tcPr>
          <w:p w14:paraId="7375D8F1" w14:textId="77777777" w:rsidR="00DC1800" w:rsidRPr="00A75A3D" w:rsidRDefault="00DC1800" w:rsidP="00094682">
            <w:pPr>
              <w:spacing w:after="0" w:line="240" w:lineRule="auto"/>
              <w:jc w:val="right"/>
              <w:rPr>
                <w:b/>
                <w:bCs/>
                <w:color w:val="000000"/>
                <w:sz w:val="18"/>
                <w:szCs w:val="18"/>
                <w:lang w:eastAsia="sk-SK"/>
              </w:rPr>
            </w:pPr>
            <w:r w:rsidRPr="00A75A3D">
              <w:rPr>
                <w:b/>
                <w:bCs/>
                <w:color w:val="000000"/>
                <w:sz w:val="18"/>
                <w:szCs w:val="18"/>
                <w:lang w:eastAsia="sk-SK"/>
              </w:rPr>
              <w:t>2,5</w:t>
            </w:r>
          </w:p>
        </w:tc>
        <w:tc>
          <w:tcPr>
            <w:tcW w:w="790" w:type="dxa"/>
            <w:gridSpan w:val="2"/>
            <w:tcBorders>
              <w:top w:val="nil"/>
              <w:left w:val="nil"/>
              <w:bottom w:val="single" w:sz="4" w:space="0" w:color="auto"/>
              <w:right w:val="nil"/>
            </w:tcBorders>
            <w:shd w:val="clear" w:color="auto" w:fill="auto"/>
            <w:noWrap/>
            <w:vAlign w:val="center"/>
            <w:hideMark/>
          </w:tcPr>
          <w:p w14:paraId="0B1078D6" w14:textId="77777777" w:rsidR="00DC1800" w:rsidRPr="00A75A3D" w:rsidRDefault="00DC1800" w:rsidP="00094682">
            <w:pPr>
              <w:spacing w:after="0" w:line="240" w:lineRule="auto"/>
              <w:jc w:val="right"/>
              <w:rPr>
                <w:b/>
                <w:bCs/>
                <w:color w:val="000000"/>
                <w:sz w:val="18"/>
                <w:szCs w:val="18"/>
                <w:lang w:eastAsia="sk-SK"/>
              </w:rPr>
            </w:pPr>
            <w:r w:rsidRPr="00A75A3D">
              <w:rPr>
                <w:b/>
                <w:bCs/>
                <w:color w:val="000000"/>
                <w:sz w:val="18"/>
                <w:szCs w:val="18"/>
                <w:lang w:eastAsia="sk-SK"/>
              </w:rPr>
              <w:t>-4,8</w:t>
            </w:r>
          </w:p>
        </w:tc>
      </w:tr>
    </w:tbl>
    <w:p w14:paraId="7E3FD47B" w14:textId="77777777" w:rsidR="00DC1800" w:rsidRPr="005B47B1" w:rsidRDefault="00DC1800" w:rsidP="00DC1800">
      <w:pPr>
        <w:ind w:right="-427"/>
        <w:rPr>
          <w:color w:val="000000"/>
          <w:sz w:val="16"/>
          <w:szCs w:val="16"/>
          <w:lang w:eastAsia="sk-SK"/>
        </w:rPr>
      </w:pPr>
      <w:r w:rsidRPr="005B47B1">
        <w:rPr>
          <w:color w:val="000000"/>
          <w:sz w:val="16"/>
          <w:szCs w:val="16"/>
          <w:vertAlign w:val="superscript"/>
          <w:lang w:eastAsia="sk-SK"/>
        </w:rPr>
        <w:t xml:space="preserve">1) </w:t>
      </w:r>
      <w:r w:rsidRPr="005B47B1">
        <w:rPr>
          <w:color w:val="000000"/>
          <w:sz w:val="16"/>
          <w:szCs w:val="16"/>
          <w:lang w:eastAsia="sk-SK"/>
        </w:rPr>
        <w:t>Údaje sú v stálych cenách vypočítaných reťazením objemov s použitím referenčného roka 2015.</w:t>
      </w:r>
      <w:r w:rsidRPr="005B47B1">
        <w:rPr>
          <w:color w:val="000000"/>
          <w:sz w:val="16"/>
          <w:szCs w:val="16"/>
          <w:lang w:eastAsia="sk-SK"/>
        </w:rPr>
        <w:tab/>
        <w:t xml:space="preserve">     </w:t>
      </w:r>
      <w:r>
        <w:rPr>
          <w:color w:val="000000"/>
          <w:sz w:val="16"/>
          <w:szCs w:val="16"/>
          <w:lang w:eastAsia="sk-SK"/>
        </w:rPr>
        <w:t xml:space="preserve">                           </w:t>
      </w:r>
      <w:r w:rsidRPr="005B47B1">
        <w:rPr>
          <w:color w:val="000000"/>
          <w:sz w:val="16"/>
          <w:szCs w:val="16"/>
          <w:lang w:eastAsia="sk-SK"/>
        </w:rPr>
        <w:t xml:space="preserve">       Zdroj:  </w:t>
      </w:r>
      <w:proofErr w:type="spellStart"/>
      <w:r w:rsidRPr="005B47B1">
        <w:rPr>
          <w:color w:val="000000"/>
          <w:sz w:val="16"/>
          <w:szCs w:val="16"/>
          <w:lang w:eastAsia="sk-SK"/>
        </w:rPr>
        <w:t>Eurostat</w:t>
      </w:r>
      <w:proofErr w:type="spellEnd"/>
      <w:r w:rsidRPr="005B47B1">
        <w:rPr>
          <w:color w:val="000000"/>
          <w:sz w:val="16"/>
          <w:szCs w:val="16"/>
          <w:lang w:eastAsia="sk-SK"/>
        </w:rPr>
        <w:t>, ŠÚ SR</w:t>
      </w:r>
    </w:p>
    <w:p w14:paraId="3307D4B0" w14:textId="3E77528E" w:rsidR="008E7556" w:rsidRPr="001D77FC" w:rsidRDefault="008E7556" w:rsidP="008E7556">
      <w:pPr>
        <w:rPr>
          <w:b/>
          <w:bCs/>
          <w:sz w:val="24"/>
          <w:szCs w:val="24"/>
          <w:highlight w:val="yellow"/>
        </w:rPr>
      </w:pPr>
      <w:r w:rsidRPr="001D77FC">
        <w:rPr>
          <w:highlight w:val="yellow"/>
        </w:rPr>
        <w:br w:type="page"/>
      </w:r>
    </w:p>
    <w:p w14:paraId="1E8D5572" w14:textId="2E137F29" w:rsidR="003D050C" w:rsidRPr="00563559" w:rsidRDefault="00B051D3" w:rsidP="00B051D3">
      <w:pPr>
        <w:pStyle w:val="Nadpis2"/>
        <w:numPr>
          <w:ilvl w:val="0"/>
          <w:numId w:val="0"/>
        </w:numPr>
        <w:spacing w:after="120"/>
        <w:ind w:left="896"/>
      </w:pPr>
      <w:bookmarkStart w:id="21" w:name="_Toc85718894"/>
      <w:r w:rsidRPr="00563559">
        <w:lastRenderedPageBreak/>
        <w:t>1.</w:t>
      </w:r>
      <w:r w:rsidR="008E7556" w:rsidRPr="00563559">
        <w:t>2</w:t>
      </w:r>
      <w:r w:rsidRPr="00563559">
        <w:t xml:space="preserve">. </w:t>
      </w:r>
      <w:bookmarkStart w:id="22" w:name="_Toc496786974"/>
      <w:r w:rsidR="00C102B8" w:rsidRPr="00563559">
        <w:tab/>
      </w:r>
      <w:r w:rsidR="003D050C" w:rsidRPr="00563559">
        <w:t>Saldo verejnej správy</w:t>
      </w:r>
      <w:bookmarkEnd w:id="21"/>
      <w:bookmarkEnd w:id="22"/>
    </w:p>
    <w:p w14:paraId="1DD0AA7E" w14:textId="77777777" w:rsidR="00563559" w:rsidRPr="00112545" w:rsidRDefault="00563559" w:rsidP="00563559">
      <w:pPr>
        <w:spacing w:after="120" w:line="240" w:lineRule="auto"/>
        <w:jc w:val="both"/>
        <w:rPr>
          <w:szCs w:val="22"/>
        </w:rPr>
      </w:pPr>
      <w:r w:rsidRPr="0039640B">
        <w:rPr>
          <w:b/>
          <w:color w:val="0070C0"/>
          <w:szCs w:val="22"/>
        </w:rPr>
        <w:t>Verejná správa SR na základe výsledkov jesennej notifikácie hospodárila v roku 2020 so schodkom 5 061 841 tis. eur (5,5 % HDP).</w:t>
      </w:r>
      <w:r w:rsidRPr="0039640B">
        <w:rPr>
          <w:color w:val="0070C0"/>
          <w:szCs w:val="22"/>
        </w:rPr>
        <w:t xml:space="preserve"> </w:t>
      </w:r>
      <w:r w:rsidRPr="00112545">
        <w:rPr>
          <w:szCs w:val="22"/>
        </w:rPr>
        <w:t xml:space="preserve">Schodok v pomere k HDP za rok 2020 vzrástol oproti roku 2019 o 4,2 p. b. </w:t>
      </w:r>
    </w:p>
    <w:tbl>
      <w:tblPr>
        <w:tblW w:w="9072" w:type="dxa"/>
        <w:tblCellMar>
          <w:left w:w="70" w:type="dxa"/>
          <w:right w:w="70" w:type="dxa"/>
        </w:tblCellMar>
        <w:tblLook w:val="04A0" w:firstRow="1" w:lastRow="0" w:firstColumn="1" w:lastColumn="0" w:noHBand="0" w:noVBand="1"/>
      </w:tblPr>
      <w:tblGrid>
        <w:gridCol w:w="2967"/>
        <w:gridCol w:w="947"/>
        <w:gridCol w:w="1337"/>
        <w:gridCol w:w="1417"/>
        <w:gridCol w:w="1260"/>
        <w:gridCol w:w="1144"/>
      </w:tblGrid>
      <w:tr w:rsidR="00563559" w:rsidRPr="00193B3B" w14:paraId="57EFABDE" w14:textId="77777777" w:rsidTr="00941954">
        <w:trPr>
          <w:trHeight w:val="330"/>
        </w:trPr>
        <w:tc>
          <w:tcPr>
            <w:tcW w:w="6668" w:type="dxa"/>
            <w:gridSpan w:val="4"/>
            <w:tcBorders>
              <w:top w:val="nil"/>
              <w:left w:val="nil"/>
              <w:right w:val="nil"/>
            </w:tcBorders>
            <w:shd w:val="clear" w:color="000000" w:fill="000000"/>
            <w:noWrap/>
            <w:vAlign w:val="center"/>
            <w:hideMark/>
          </w:tcPr>
          <w:p w14:paraId="692955C0" w14:textId="7E947376" w:rsidR="00563559" w:rsidRPr="00193B3B" w:rsidRDefault="00884682" w:rsidP="00884682">
            <w:pPr>
              <w:pStyle w:val="popistabuliek"/>
            </w:pPr>
            <w:r w:rsidRPr="00884682">
              <w:t>Tab.</w:t>
            </w:r>
            <w:r>
              <w:t xml:space="preserve"> 4</w:t>
            </w:r>
            <w:r w:rsidRPr="00884682">
              <w:t xml:space="preserve"> - </w:t>
            </w:r>
            <w:r w:rsidR="00563559" w:rsidRPr="00193B3B">
              <w:t>Saldo verejnej správy podľa subsektorov (</w:t>
            </w:r>
            <w:r w:rsidR="00563559">
              <w:t xml:space="preserve">v </w:t>
            </w:r>
            <w:r w:rsidR="00563559" w:rsidRPr="00193B3B">
              <w:t>ESA2010)</w:t>
            </w:r>
          </w:p>
        </w:tc>
        <w:tc>
          <w:tcPr>
            <w:tcW w:w="1260" w:type="dxa"/>
            <w:tcBorders>
              <w:top w:val="nil"/>
              <w:left w:val="nil"/>
              <w:right w:val="nil"/>
            </w:tcBorders>
            <w:shd w:val="clear" w:color="000000" w:fill="000000"/>
            <w:noWrap/>
            <w:vAlign w:val="center"/>
            <w:hideMark/>
          </w:tcPr>
          <w:p w14:paraId="71CB8681" w14:textId="77777777" w:rsidR="00563559" w:rsidRPr="00193B3B" w:rsidRDefault="00563559" w:rsidP="00884682">
            <w:pPr>
              <w:pStyle w:val="popistabuliek"/>
            </w:pPr>
            <w:r w:rsidRPr="00193B3B">
              <w:t> </w:t>
            </w:r>
          </w:p>
        </w:tc>
        <w:tc>
          <w:tcPr>
            <w:tcW w:w="1144" w:type="dxa"/>
            <w:tcBorders>
              <w:top w:val="nil"/>
              <w:left w:val="nil"/>
              <w:right w:val="nil"/>
            </w:tcBorders>
            <w:shd w:val="clear" w:color="000000" w:fill="000000"/>
            <w:noWrap/>
            <w:vAlign w:val="center"/>
            <w:hideMark/>
          </w:tcPr>
          <w:p w14:paraId="27F40850" w14:textId="77777777" w:rsidR="00563559" w:rsidRPr="00193B3B" w:rsidRDefault="00563559" w:rsidP="00884682">
            <w:pPr>
              <w:pStyle w:val="popistabuliek"/>
            </w:pPr>
            <w:r w:rsidRPr="00193B3B">
              <w:t> </w:t>
            </w:r>
          </w:p>
        </w:tc>
      </w:tr>
      <w:tr w:rsidR="00563559" w:rsidRPr="00193B3B" w14:paraId="05768CE4" w14:textId="77777777" w:rsidTr="00941954">
        <w:trPr>
          <w:trHeight w:val="415"/>
        </w:trPr>
        <w:tc>
          <w:tcPr>
            <w:tcW w:w="2967" w:type="dxa"/>
            <w:tcBorders>
              <w:top w:val="nil"/>
              <w:left w:val="nil"/>
              <w:bottom w:val="nil"/>
              <w:right w:val="nil"/>
            </w:tcBorders>
            <w:shd w:val="clear" w:color="000000" w:fill="BFBFBF"/>
            <w:hideMark/>
          </w:tcPr>
          <w:p w14:paraId="20A15671" w14:textId="77777777" w:rsidR="00563559" w:rsidRPr="00193B3B" w:rsidRDefault="00563559" w:rsidP="00094682">
            <w:pPr>
              <w:spacing w:after="0" w:line="240" w:lineRule="auto"/>
              <w:rPr>
                <w:sz w:val="20"/>
                <w:szCs w:val="20"/>
                <w:lang w:eastAsia="sk-SK"/>
              </w:rPr>
            </w:pPr>
            <w:r w:rsidRPr="00193B3B">
              <w:rPr>
                <w:sz w:val="20"/>
                <w:szCs w:val="20"/>
                <w:lang w:eastAsia="sk-SK"/>
              </w:rPr>
              <w:t> </w:t>
            </w:r>
          </w:p>
        </w:tc>
        <w:tc>
          <w:tcPr>
            <w:tcW w:w="947" w:type="dxa"/>
            <w:vMerge w:val="restart"/>
            <w:tcBorders>
              <w:top w:val="nil"/>
              <w:left w:val="nil"/>
              <w:bottom w:val="single" w:sz="4" w:space="0" w:color="000000"/>
              <w:right w:val="nil"/>
            </w:tcBorders>
            <w:shd w:val="clear" w:color="000000" w:fill="C0C0C0"/>
            <w:hideMark/>
          </w:tcPr>
          <w:p w14:paraId="687DEB04" w14:textId="77777777" w:rsidR="00563559" w:rsidRPr="00193B3B" w:rsidRDefault="00563559" w:rsidP="00094682">
            <w:pPr>
              <w:spacing w:after="0" w:line="240" w:lineRule="auto"/>
              <w:jc w:val="center"/>
              <w:rPr>
                <w:b/>
                <w:bCs/>
                <w:sz w:val="20"/>
                <w:szCs w:val="20"/>
                <w:lang w:eastAsia="sk-SK"/>
              </w:rPr>
            </w:pPr>
            <w:r w:rsidRPr="00193B3B">
              <w:rPr>
                <w:b/>
                <w:bCs/>
                <w:sz w:val="20"/>
                <w:szCs w:val="20"/>
                <w:lang w:eastAsia="sk-SK"/>
              </w:rPr>
              <w:t>ESA kód</w:t>
            </w:r>
          </w:p>
        </w:tc>
        <w:tc>
          <w:tcPr>
            <w:tcW w:w="1337" w:type="dxa"/>
            <w:tcBorders>
              <w:top w:val="nil"/>
              <w:left w:val="nil"/>
              <w:bottom w:val="nil"/>
              <w:right w:val="nil"/>
            </w:tcBorders>
            <w:shd w:val="clear" w:color="000000" w:fill="C0C0C0"/>
            <w:noWrap/>
            <w:hideMark/>
          </w:tcPr>
          <w:p w14:paraId="41ADDA9C" w14:textId="77777777" w:rsidR="00563559" w:rsidRPr="00193B3B" w:rsidRDefault="00563559" w:rsidP="00094682">
            <w:pPr>
              <w:spacing w:after="0" w:line="240" w:lineRule="auto"/>
              <w:jc w:val="center"/>
              <w:rPr>
                <w:b/>
                <w:bCs/>
                <w:sz w:val="20"/>
                <w:szCs w:val="20"/>
                <w:lang w:eastAsia="sk-SK"/>
              </w:rPr>
            </w:pPr>
            <w:r w:rsidRPr="00193B3B">
              <w:rPr>
                <w:b/>
                <w:bCs/>
                <w:sz w:val="20"/>
                <w:szCs w:val="20"/>
                <w:lang w:eastAsia="sk-SK"/>
              </w:rPr>
              <w:t>% HDP</w:t>
            </w:r>
          </w:p>
        </w:tc>
        <w:tc>
          <w:tcPr>
            <w:tcW w:w="1417" w:type="dxa"/>
            <w:tcBorders>
              <w:top w:val="nil"/>
              <w:left w:val="nil"/>
              <w:bottom w:val="nil"/>
              <w:right w:val="nil"/>
            </w:tcBorders>
            <w:shd w:val="clear" w:color="000000" w:fill="C0C0C0"/>
            <w:noWrap/>
            <w:hideMark/>
          </w:tcPr>
          <w:p w14:paraId="45A86A90" w14:textId="77777777" w:rsidR="00563559" w:rsidRPr="00193B3B" w:rsidRDefault="00563559" w:rsidP="00094682">
            <w:pPr>
              <w:spacing w:after="0" w:line="240" w:lineRule="auto"/>
              <w:jc w:val="center"/>
              <w:rPr>
                <w:b/>
                <w:bCs/>
                <w:sz w:val="20"/>
                <w:szCs w:val="20"/>
                <w:lang w:eastAsia="sk-SK"/>
              </w:rPr>
            </w:pPr>
            <w:r w:rsidRPr="00193B3B">
              <w:rPr>
                <w:b/>
                <w:bCs/>
                <w:sz w:val="20"/>
                <w:szCs w:val="20"/>
                <w:lang w:eastAsia="sk-SK"/>
              </w:rPr>
              <w:t>% HDP</w:t>
            </w:r>
          </w:p>
        </w:tc>
        <w:tc>
          <w:tcPr>
            <w:tcW w:w="1260" w:type="dxa"/>
            <w:tcBorders>
              <w:top w:val="nil"/>
              <w:left w:val="nil"/>
              <w:bottom w:val="nil"/>
              <w:right w:val="nil"/>
            </w:tcBorders>
            <w:shd w:val="clear" w:color="000000" w:fill="C0C0C0"/>
            <w:noWrap/>
            <w:hideMark/>
          </w:tcPr>
          <w:p w14:paraId="690CF29F" w14:textId="77777777" w:rsidR="00563559" w:rsidRPr="00193B3B" w:rsidRDefault="00563559" w:rsidP="00094682">
            <w:pPr>
              <w:spacing w:after="0" w:line="240" w:lineRule="auto"/>
              <w:jc w:val="center"/>
              <w:rPr>
                <w:b/>
                <w:bCs/>
                <w:sz w:val="20"/>
                <w:szCs w:val="20"/>
                <w:lang w:eastAsia="sk-SK"/>
              </w:rPr>
            </w:pPr>
            <w:r w:rsidRPr="00193B3B">
              <w:rPr>
                <w:b/>
                <w:bCs/>
                <w:sz w:val="20"/>
                <w:szCs w:val="20"/>
                <w:lang w:eastAsia="sk-SK"/>
              </w:rPr>
              <w:t>% HDP</w:t>
            </w:r>
          </w:p>
        </w:tc>
        <w:tc>
          <w:tcPr>
            <w:tcW w:w="1144" w:type="dxa"/>
            <w:tcBorders>
              <w:top w:val="nil"/>
              <w:left w:val="nil"/>
              <w:bottom w:val="nil"/>
              <w:right w:val="nil"/>
            </w:tcBorders>
            <w:shd w:val="clear" w:color="000000" w:fill="C0C0C0"/>
            <w:hideMark/>
          </w:tcPr>
          <w:p w14:paraId="30C4B593" w14:textId="77777777" w:rsidR="00563559" w:rsidRPr="00193B3B" w:rsidRDefault="00563559" w:rsidP="00094682">
            <w:pPr>
              <w:spacing w:after="0" w:line="240" w:lineRule="auto"/>
              <w:jc w:val="center"/>
              <w:rPr>
                <w:b/>
                <w:bCs/>
                <w:sz w:val="20"/>
                <w:szCs w:val="20"/>
                <w:lang w:eastAsia="sk-SK"/>
              </w:rPr>
            </w:pPr>
            <w:r w:rsidRPr="00193B3B">
              <w:rPr>
                <w:b/>
                <w:bCs/>
                <w:sz w:val="20"/>
                <w:szCs w:val="20"/>
                <w:lang w:eastAsia="sk-SK"/>
              </w:rPr>
              <w:t>tis. eur</w:t>
            </w:r>
          </w:p>
        </w:tc>
      </w:tr>
      <w:tr w:rsidR="00563559" w:rsidRPr="00193B3B" w14:paraId="65491B68" w14:textId="77777777" w:rsidTr="00941954">
        <w:trPr>
          <w:trHeight w:val="267"/>
        </w:trPr>
        <w:tc>
          <w:tcPr>
            <w:tcW w:w="2967" w:type="dxa"/>
            <w:tcBorders>
              <w:top w:val="nil"/>
              <w:left w:val="nil"/>
              <w:bottom w:val="single" w:sz="4" w:space="0" w:color="auto"/>
              <w:right w:val="nil"/>
            </w:tcBorders>
            <w:shd w:val="clear" w:color="000000" w:fill="BFBFBF"/>
            <w:hideMark/>
          </w:tcPr>
          <w:p w14:paraId="3007BB0E" w14:textId="77777777" w:rsidR="00563559" w:rsidRPr="00193B3B" w:rsidRDefault="00563559" w:rsidP="00094682">
            <w:pPr>
              <w:spacing w:after="0" w:line="240" w:lineRule="auto"/>
              <w:rPr>
                <w:sz w:val="20"/>
                <w:szCs w:val="20"/>
                <w:lang w:eastAsia="sk-SK"/>
              </w:rPr>
            </w:pPr>
            <w:r w:rsidRPr="00193B3B">
              <w:rPr>
                <w:sz w:val="20"/>
                <w:szCs w:val="20"/>
                <w:lang w:eastAsia="sk-SK"/>
              </w:rPr>
              <w:t> </w:t>
            </w:r>
          </w:p>
        </w:tc>
        <w:tc>
          <w:tcPr>
            <w:tcW w:w="947" w:type="dxa"/>
            <w:vMerge/>
            <w:tcBorders>
              <w:top w:val="nil"/>
              <w:left w:val="nil"/>
              <w:bottom w:val="single" w:sz="4" w:space="0" w:color="auto"/>
              <w:right w:val="nil"/>
            </w:tcBorders>
            <w:vAlign w:val="center"/>
            <w:hideMark/>
          </w:tcPr>
          <w:p w14:paraId="339FD2B7" w14:textId="77777777" w:rsidR="00563559" w:rsidRPr="00193B3B" w:rsidRDefault="00563559" w:rsidP="00094682">
            <w:pPr>
              <w:spacing w:after="0" w:line="240" w:lineRule="auto"/>
              <w:rPr>
                <w:b/>
                <w:bCs/>
                <w:sz w:val="20"/>
                <w:szCs w:val="20"/>
                <w:lang w:eastAsia="sk-SK"/>
              </w:rPr>
            </w:pPr>
          </w:p>
        </w:tc>
        <w:tc>
          <w:tcPr>
            <w:tcW w:w="1337" w:type="dxa"/>
            <w:tcBorders>
              <w:top w:val="nil"/>
              <w:left w:val="nil"/>
              <w:bottom w:val="single" w:sz="4" w:space="0" w:color="auto"/>
              <w:right w:val="nil"/>
            </w:tcBorders>
            <w:shd w:val="clear" w:color="000000" w:fill="C0C0C0"/>
            <w:hideMark/>
          </w:tcPr>
          <w:p w14:paraId="15638D07" w14:textId="77777777" w:rsidR="00563559" w:rsidRPr="00193B3B" w:rsidRDefault="00563559" w:rsidP="00094682">
            <w:pPr>
              <w:spacing w:after="0" w:line="240" w:lineRule="auto"/>
              <w:jc w:val="center"/>
              <w:rPr>
                <w:b/>
                <w:bCs/>
                <w:sz w:val="20"/>
                <w:szCs w:val="20"/>
                <w:lang w:eastAsia="sk-SK"/>
              </w:rPr>
            </w:pPr>
            <w:r w:rsidRPr="00193B3B">
              <w:rPr>
                <w:b/>
                <w:bCs/>
                <w:sz w:val="20"/>
                <w:szCs w:val="20"/>
                <w:lang w:eastAsia="sk-SK"/>
              </w:rPr>
              <w:t>2018</w:t>
            </w:r>
          </w:p>
        </w:tc>
        <w:tc>
          <w:tcPr>
            <w:tcW w:w="1417" w:type="dxa"/>
            <w:tcBorders>
              <w:top w:val="nil"/>
              <w:left w:val="nil"/>
              <w:bottom w:val="single" w:sz="4" w:space="0" w:color="auto"/>
              <w:right w:val="nil"/>
            </w:tcBorders>
            <w:shd w:val="clear" w:color="000000" w:fill="C0C0C0"/>
            <w:hideMark/>
          </w:tcPr>
          <w:p w14:paraId="2725F127" w14:textId="77777777" w:rsidR="00563559" w:rsidRPr="00193B3B" w:rsidRDefault="00563559" w:rsidP="00094682">
            <w:pPr>
              <w:spacing w:after="0" w:line="240" w:lineRule="auto"/>
              <w:jc w:val="center"/>
              <w:rPr>
                <w:b/>
                <w:bCs/>
                <w:sz w:val="20"/>
                <w:szCs w:val="20"/>
                <w:lang w:eastAsia="sk-SK"/>
              </w:rPr>
            </w:pPr>
            <w:r w:rsidRPr="00193B3B">
              <w:rPr>
                <w:b/>
                <w:bCs/>
                <w:sz w:val="20"/>
                <w:szCs w:val="20"/>
                <w:lang w:eastAsia="sk-SK"/>
              </w:rPr>
              <w:t>2019</w:t>
            </w:r>
          </w:p>
        </w:tc>
        <w:tc>
          <w:tcPr>
            <w:tcW w:w="1260" w:type="dxa"/>
            <w:tcBorders>
              <w:top w:val="nil"/>
              <w:left w:val="nil"/>
              <w:bottom w:val="single" w:sz="4" w:space="0" w:color="auto"/>
              <w:right w:val="nil"/>
            </w:tcBorders>
            <w:shd w:val="clear" w:color="000000" w:fill="C0C0C0"/>
            <w:hideMark/>
          </w:tcPr>
          <w:p w14:paraId="75A13411" w14:textId="77777777" w:rsidR="00563559" w:rsidRPr="00193B3B" w:rsidRDefault="00563559" w:rsidP="00094682">
            <w:pPr>
              <w:spacing w:after="0" w:line="240" w:lineRule="auto"/>
              <w:jc w:val="center"/>
              <w:rPr>
                <w:b/>
                <w:bCs/>
                <w:sz w:val="20"/>
                <w:szCs w:val="20"/>
                <w:lang w:eastAsia="sk-SK"/>
              </w:rPr>
            </w:pPr>
            <w:r w:rsidRPr="00193B3B">
              <w:rPr>
                <w:b/>
                <w:bCs/>
                <w:sz w:val="20"/>
                <w:szCs w:val="20"/>
                <w:lang w:eastAsia="sk-SK"/>
              </w:rPr>
              <w:t>2020</w:t>
            </w:r>
          </w:p>
        </w:tc>
        <w:tc>
          <w:tcPr>
            <w:tcW w:w="1144" w:type="dxa"/>
            <w:tcBorders>
              <w:top w:val="nil"/>
              <w:left w:val="nil"/>
              <w:bottom w:val="single" w:sz="4" w:space="0" w:color="auto"/>
              <w:right w:val="nil"/>
            </w:tcBorders>
            <w:shd w:val="clear" w:color="000000" w:fill="C0C0C0"/>
            <w:hideMark/>
          </w:tcPr>
          <w:p w14:paraId="44575448" w14:textId="77777777" w:rsidR="00563559" w:rsidRPr="00193B3B" w:rsidRDefault="00563559" w:rsidP="00094682">
            <w:pPr>
              <w:spacing w:after="0" w:line="240" w:lineRule="auto"/>
              <w:jc w:val="center"/>
              <w:rPr>
                <w:b/>
                <w:bCs/>
                <w:sz w:val="20"/>
                <w:szCs w:val="20"/>
                <w:lang w:eastAsia="sk-SK"/>
              </w:rPr>
            </w:pPr>
            <w:r w:rsidRPr="00193B3B">
              <w:rPr>
                <w:b/>
                <w:bCs/>
                <w:sz w:val="20"/>
                <w:szCs w:val="20"/>
                <w:lang w:eastAsia="sk-SK"/>
              </w:rPr>
              <w:t>2020</w:t>
            </w:r>
          </w:p>
        </w:tc>
      </w:tr>
      <w:tr w:rsidR="00563559" w:rsidRPr="00193B3B" w14:paraId="507EAB3E" w14:textId="77777777" w:rsidTr="00941954">
        <w:trPr>
          <w:trHeight w:val="345"/>
        </w:trPr>
        <w:tc>
          <w:tcPr>
            <w:tcW w:w="2967" w:type="dxa"/>
            <w:tcBorders>
              <w:top w:val="single" w:sz="4" w:space="0" w:color="auto"/>
              <w:left w:val="nil"/>
              <w:bottom w:val="nil"/>
              <w:right w:val="nil"/>
            </w:tcBorders>
            <w:shd w:val="clear" w:color="auto" w:fill="auto"/>
            <w:vAlign w:val="center"/>
            <w:hideMark/>
          </w:tcPr>
          <w:p w14:paraId="40AD4909" w14:textId="77777777" w:rsidR="00563559" w:rsidRPr="00193B3B" w:rsidRDefault="00563559" w:rsidP="00094682">
            <w:pPr>
              <w:spacing w:after="0" w:line="240" w:lineRule="auto"/>
              <w:rPr>
                <w:sz w:val="20"/>
                <w:szCs w:val="20"/>
                <w:lang w:eastAsia="sk-SK"/>
              </w:rPr>
            </w:pPr>
            <w:r w:rsidRPr="00193B3B">
              <w:rPr>
                <w:sz w:val="20"/>
                <w:szCs w:val="20"/>
                <w:lang w:eastAsia="sk-SK"/>
              </w:rPr>
              <w:t>1. Verejná správa</w:t>
            </w:r>
          </w:p>
        </w:tc>
        <w:tc>
          <w:tcPr>
            <w:tcW w:w="947" w:type="dxa"/>
            <w:tcBorders>
              <w:top w:val="single" w:sz="4" w:space="0" w:color="auto"/>
              <w:left w:val="nil"/>
              <w:bottom w:val="nil"/>
              <w:right w:val="nil"/>
            </w:tcBorders>
            <w:shd w:val="clear" w:color="auto" w:fill="auto"/>
            <w:vAlign w:val="center"/>
            <w:hideMark/>
          </w:tcPr>
          <w:p w14:paraId="52D7B975" w14:textId="77777777" w:rsidR="00563559" w:rsidRPr="00193B3B" w:rsidRDefault="00563559" w:rsidP="00094682">
            <w:pPr>
              <w:spacing w:after="0" w:line="240" w:lineRule="auto"/>
              <w:jc w:val="center"/>
              <w:rPr>
                <w:sz w:val="20"/>
                <w:szCs w:val="20"/>
                <w:lang w:eastAsia="sk-SK"/>
              </w:rPr>
            </w:pPr>
            <w:r w:rsidRPr="00193B3B">
              <w:rPr>
                <w:sz w:val="20"/>
                <w:szCs w:val="20"/>
                <w:lang w:eastAsia="sk-SK"/>
              </w:rPr>
              <w:t>S.13</w:t>
            </w:r>
          </w:p>
        </w:tc>
        <w:tc>
          <w:tcPr>
            <w:tcW w:w="1337" w:type="dxa"/>
            <w:tcBorders>
              <w:top w:val="single" w:sz="4" w:space="0" w:color="auto"/>
              <w:left w:val="nil"/>
              <w:bottom w:val="nil"/>
              <w:right w:val="nil"/>
            </w:tcBorders>
            <w:shd w:val="clear" w:color="auto" w:fill="auto"/>
            <w:vAlign w:val="center"/>
            <w:hideMark/>
          </w:tcPr>
          <w:p w14:paraId="38F29984" w14:textId="77777777" w:rsidR="00563559" w:rsidRPr="00193B3B" w:rsidRDefault="00563559" w:rsidP="00094682">
            <w:pPr>
              <w:spacing w:after="0" w:line="240" w:lineRule="auto"/>
              <w:jc w:val="center"/>
              <w:rPr>
                <w:sz w:val="20"/>
                <w:szCs w:val="20"/>
                <w:lang w:eastAsia="sk-SK"/>
              </w:rPr>
            </w:pPr>
            <w:r w:rsidRPr="00193B3B">
              <w:rPr>
                <w:sz w:val="20"/>
                <w:szCs w:val="20"/>
                <w:lang w:eastAsia="sk-SK"/>
              </w:rPr>
              <w:t>-1,0</w:t>
            </w:r>
          </w:p>
        </w:tc>
        <w:tc>
          <w:tcPr>
            <w:tcW w:w="1417" w:type="dxa"/>
            <w:tcBorders>
              <w:top w:val="single" w:sz="4" w:space="0" w:color="auto"/>
              <w:left w:val="nil"/>
              <w:bottom w:val="nil"/>
              <w:right w:val="nil"/>
            </w:tcBorders>
            <w:shd w:val="clear" w:color="auto" w:fill="auto"/>
            <w:vAlign w:val="center"/>
            <w:hideMark/>
          </w:tcPr>
          <w:p w14:paraId="4DF838E4" w14:textId="77777777" w:rsidR="00563559" w:rsidRPr="00193B3B" w:rsidRDefault="00563559" w:rsidP="00094682">
            <w:pPr>
              <w:spacing w:after="0" w:line="240" w:lineRule="auto"/>
              <w:jc w:val="center"/>
              <w:rPr>
                <w:sz w:val="20"/>
                <w:szCs w:val="20"/>
                <w:lang w:eastAsia="sk-SK"/>
              </w:rPr>
            </w:pPr>
            <w:r w:rsidRPr="00193B3B">
              <w:rPr>
                <w:sz w:val="20"/>
                <w:szCs w:val="20"/>
                <w:lang w:eastAsia="sk-SK"/>
              </w:rPr>
              <w:t>-1,3</w:t>
            </w:r>
          </w:p>
        </w:tc>
        <w:tc>
          <w:tcPr>
            <w:tcW w:w="1260" w:type="dxa"/>
            <w:tcBorders>
              <w:top w:val="single" w:sz="4" w:space="0" w:color="auto"/>
              <w:left w:val="nil"/>
              <w:bottom w:val="nil"/>
              <w:right w:val="nil"/>
            </w:tcBorders>
            <w:shd w:val="clear" w:color="auto" w:fill="auto"/>
            <w:vAlign w:val="center"/>
            <w:hideMark/>
          </w:tcPr>
          <w:p w14:paraId="46AB57CC" w14:textId="77777777" w:rsidR="00563559" w:rsidRPr="00193B3B" w:rsidRDefault="00563559" w:rsidP="00094682">
            <w:pPr>
              <w:spacing w:after="0" w:line="240" w:lineRule="auto"/>
              <w:jc w:val="center"/>
              <w:rPr>
                <w:sz w:val="20"/>
                <w:szCs w:val="20"/>
                <w:lang w:eastAsia="sk-SK"/>
              </w:rPr>
            </w:pPr>
            <w:r w:rsidRPr="00193B3B">
              <w:rPr>
                <w:sz w:val="20"/>
                <w:szCs w:val="20"/>
                <w:lang w:eastAsia="sk-SK"/>
              </w:rPr>
              <w:t>-5,5</w:t>
            </w:r>
          </w:p>
        </w:tc>
        <w:tc>
          <w:tcPr>
            <w:tcW w:w="1144" w:type="dxa"/>
            <w:tcBorders>
              <w:top w:val="single" w:sz="4" w:space="0" w:color="auto"/>
              <w:left w:val="nil"/>
              <w:bottom w:val="nil"/>
              <w:right w:val="nil"/>
            </w:tcBorders>
            <w:shd w:val="clear" w:color="auto" w:fill="auto"/>
            <w:vAlign w:val="center"/>
            <w:hideMark/>
          </w:tcPr>
          <w:p w14:paraId="36540633" w14:textId="77777777" w:rsidR="00563559" w:rsidRPr="00193B3B" w:rsidRDefault="00563559" w:rsidP="00094682">
            <w:pPr>
              <w:spacing w:after="0" w:line="240" w:lineRule="auto"/>
              <w:jc w:val="right"/>
              <w:rPr>
                <w:sz w:val="20"/>
                <w:szCs w:val="20"/>
                <w:lang w:eastAsia="sk-SK"/>
              </w:rPr>
            </w:pPr>
            <w:r w:rsidRPr="00193B3B">
              <w:rPr>
                <w:sz w:val="20"/>
                <w:szCs w:val="20"/>
                <w:lang w:eastAsia="sk-SK"/>
              </w:rPr>
              <w:t>-5 061 841</w:t>
            </w:r>
          </w:p>
        </w:tc>
      </w:tr>
      <w:tr w:rsidR="00563559" w:rsidRPr="00193B3B" w14:paraId="629D1124" w14:textId="77777777" w:rsidTr="00094682">
        <w:trPr>
          <w:trHeight w:val="345"/>
        </w:trPr>
        <w:tc>
          <w:tcPr>
            <w:tcW w:w="2967" w:type="dxa"/>
            <w:tcBorders>
              <w:top w:val="nil"/>
              <w:left w:val="nil"/>
              <w:bottom w:val="nil"/>
              <w:right w:val="nil"/>
            </w:tcBorders>
            <w:shd w:val="clear" w:color="auto" w:fill="auto"/>
            <w:vAlign w:val="center"/>
            <w:hideMark/>
          </w:tcPr>
          <w:p w14:paraId="267C45C3" w14:textId="77777777" w:rsidR="00563559" w:rsidRPr="00193B3B" w:rsidRDefault="00563559" w:rsidP="00094682">
            <w:pPr>
              <w:spacing w:after="0" w:line="240" w:lineRule="auto"/>
              <w:rPr>
                <w:sz w:val="20"/>
                <w:szCs w:val="20"/>
                <w:lang w:eastAsia="sk-SK"/>
              </w:rPr>
            </w:pPr>
            <w:r w:rsidRPr="00193B3B">
              <w:rPr>
                <w:sz w:val="20"/>
                <w:szCs w:val="20"/>
                <w:lang w:eastAsia="sk-SK"/>
              </w:rPr>
              <w:t>2. Ústredná štátna správa</w:t>
            </w:r>
          </w:p>
        </w:tc>
        <w:tc>
          <w:tcPr>
            <w:tcW w:w="947" w:type="dxa"/>
            <w:tcBorders>
              <w:top w:val="nil"/>
              <w:left w:val="nil"/>
              <w:bottom w:val="nil"/>
              <w:right w:val="nil"/>
            </w:tcBorders>
            <w:shd w:val="clear" w:color="auto" w:fill="auto"/>
            <w:vAlign w:val="center"/>
            <w:hideMark/>
          </w:tcPr>
          <w:p w14:paraId="088D1453" w14:textId="77777777" w:rsidR="00563559" w:rsidRPr="00193B3B" w:rsidRDefault="00563559" w:rsidP="00094682">
            <w:pPr>
              <w:spacing w:after="0" w:line="240" w:lineRule="auto"/>
              <w:jc w:val="center"/>
              <w:rPr>
                <w:sz w:val="20"/>
                <w:szCs w:val="20"/>
                <w:lang w:eastAsia="sk-SK"/>
              </w:rPr>
            </w:pPr>
            <w:r w:rsidRPr="00193B3B">
              <w:rPr>
                <w:sz w:val="20"/>
                <w:szCs w:val="20"/>
                <w:lang w:eastAsia="sk-SK"/>
              </w:rPr>
              <w:t>S.1311</w:t>
            </w:r>
          </w:p>
        </w:tc>
        <w:tc>
          <w:tcPr>
            <w:tcW w:w="1337" w:type="dxa"/>
            <w:tcBorders>
              <w:top w:val="nil"/>
              <w:left w:val="nil"/>
              <w:bottom w:val="nil"/>
              <w:right w:val="nil"/>
            </w:tcBorders>
            <w:shd w:val="clear" w:color="auto" w:fill="auto"/>
            <w:vAlign w:val="center"/>
            <w:hideMark/>
          </w:tcPr>
          <w:p w14:paraId="27515665" w14:textId="77777777" w:rsidR="00563559" w:rsidRPr="00193B3B" w:rsidRDefault="00563559" w:rsidP="00094682">
            <w:pPr>
              <w:spacing w:after="0" w:line="240" w:lineRule="auto"/>
              <w:jc w:val="center"/>
              <w:rPr>
                <w:sz w:val="20"/>
                <w:szCs w:val="20"/>
                <w:lang w:eastAsia="sk-SK"/>
              </w:rPr>
            </w:pPr>
            <w:r w:rsidRPr="00193B3B">
              <w:rPr>
                <w:sz w:val="20"/>
                <w:szCs w:val="20"/>
                <w:lang w:eastAsia="sk-SK"/>
              </w:rPr>
              <w:t>-1,2</w:t>
            </w:r>
          </w:p>
        </w:tc>
        <w:tc>
          <w:tcPr>
            <w:tcW w:w="1417" w:type="dxa"/>
            <w:tcBorders>
              <w:top w:val="nil"/>
              <w:left w:val="nil"/>
              <w:bottom w:val="nil"/>
              <w:right w:val="nil"/>
            </w:tcBorders>
            <w:shd w:val="clear" w:color="auto" w:fill="auto"/>
            <w:vAlign w:val="center"/>
            <w:hideMark/>
          </w:tcPr>
          <w:p w14:paraId="766C3AE7" w14:textId="77777777" w:rsidR="00563559" w:rsidRPr="00193B3B" w:rsidRDefault="00563559" w:rsidP="00094682">
            <w:pPr>
              <w:spacing w:after="0" w:line="240" w:lineRule="auto"/>
              <w:jc w:val="center"/>
              <w:rPr>
                <w:sz w:val="20"/>
                <w:szCs w:val="20"/>
                <w:lang w:eastAsia="sk-SK"/>
              </w:rPr>
            </w:pPr>
            <w:r w:rsidRPr="00193B3B">
              <w:rPr>
                <w:sz w:val="20"/>
                <w:szCs w:val="20"/>
                <w:lang w:eastAsia="sk-SK"/>
              </w:rPr>
              <w:t>-1,7</w:t>
            </w:r>
          </w:p>
        </w:tc>
        <w:tc>
          <w:tcPr>
            <w:tcW w:w="1260" w:type="dxa"/>
            <w:tcBorders>
              <w:top w:val="nil"/>
              <w:left w:val="nil"/>
              <w:bottom w:val="nil"/>
              <w:right w:val="nil"/>
            </w:tcBorders>
            <w:shd w:val="clear" w:color="auto" w:fill="auto"/>
            <w:vAlign w:val="center"/>
            <w:hideMark/>
          </w:tcPr>
          <w:p w14:paraId="311CA46F" w14:textId="77777777" w:rsidR="00563559" w:rsidRPr="00193B3B" w:rsidRDefault="00563559" w:rsidP="00094682">
            <w:pPr>
              <w:spacing w:after="0" w:line="240" w:lineRule="auto"/>
              <w:jc w:val="center"/>
              <w:rPr>
                <w:sz w:val="20"/>
                <w:szCs w:val="20"/>
                <w:lang w:eastAsia="sk-SK"/>
              </w:rPr>
            </w:pPr>
            <w:r w:rsidRPr="00193B3B">
              <w:rPr>
                <w:sz w:val="20"/>
                <w:szCs w:val="20"/>
                <w:lang w:eastAsia="sk-SK"/>
              </w:rPr>
              <w:t>-6,1</w:t>
            </w:r>
          </w:p>
        </w:tc>
        <w:tc>
          <w:tcPr>
            <w:tcW w:w="1144" w:type="dxa"/>
            <w:tcBorders>
              <w:top w:val="nil"/>
              <w:left w:val="nil"/>
              <w:bottom w:val="nil"/>
              <w:right w:val="nil"/>
            </w:tcBorders>
            <w:shd w:val="clear" w:color="auto" w:fill="auto"/>
            <w:vAlign w:val="center"/>
            <w:hideMark/>
          </w:tcPr>
          <w:p w14:paraId="32DCFB2F" w14:textId="77777777" w:rsidR="00563559" w:rsidRPr="00193B3B" w:rsidRDefault="00563559" w:rsidP="00094682">
            <w:pPr>
              <w:spacing w:after="0" w:line="240" w:lineRule="auto"/>
              <w:jc w:val="right"/>
              <w:rPr>
                <w:sz w:val="20"/>
                <w:szCs w:val="20"/>
                <w:lang w:eastAsia="sk-SK"/>
              </w:rPr>
            </w:pPr>
            <w:r w:rsidRPr="00193B3B">
              <w:rPr>
                <w:sz w:val="20"/>
                <w:szCs w:val="20"/>
                <w:lang w:eastAsia="sk-SK"/>
              </w:rPr>
              <w:t>-5 590 781</w:t>
            </w:r>
          </w:p>
        </w:tc>
      </w:tr>
      <w:tr w:rsidR="00563559" w:rsidRPr="00193B3B" w14:paraId="7FB40771" w14:textId="77777777" w:rsidTr="00094682">
        <w:trPr>
          <w:trHeight w:val="345"/>
        </w:trPr>
        <w:tc>
          <w:tcPr>
            <w:tcW w:w="2967" w:type="dxa"/>
            <w:tcBorders>
              <w:top w:val="nil"/>
              <w:left w:val="nil"/>
              <w:bottom w:val="nil"/>
              <w:right w:val="nil"/>
            </w:tcBorders>
            <w:shd w:val="clear" w:color="auto" w:fill="auto"/>
            <w:vAlign w:val="center"/>
            <w:hideMark/>
          </w:tcPr>
          <w:p w14:paraId="3EA76E77" w14:textId="77777777" w:rsidR="00563559" w:rsidRPr="00193B3B" w:rsidRDefault="00563559" w:rsidP="00094682">
            <w:pPr>
              <w:spacing w:after="0" w:line="240" w:lineRule="auto"/>
              <w:rPr>
                <w:sz w:val="20"/>
                <w:szCs w:val="20"/>
                <w:lang w:eastAsia="sk-SK"/>
              </w:rPr>
            </w:pPr>
            <w:r w:rsidRPr="00193B3B">
              <w:rPr>
                <w:sz w:val="20"/>
                <w:szCs w:val="20"/>
                <w:lang w:eastAsia="sk-SK"/>
              </w:rPr>
              <w:t>3. Miestna samospráva</w:t>
            </w:r>
          </w:p>
        </w:tc>
        <w:tc>
          <w:tcPr>
            <w:tcW w:w="947" w:type="dxa"/>
            <w:tcBorders>
              <w:top w:val="nil"/>
              <w:left w:val="nil"/>
              <w:bottom w:val="nil"/>
              <w:right w:val="nil"/>
            </w:tcBorders>
            <w:shd w:val="clear" w:color="auto" w:fill="auto"/>
            <w:vAlign w:val="center"/>
            <w:hideMark/>
          </w:tcPr>
          <w:p w14:paraId="3845A3A6" w14:textId="77777777" w:rsidR="00563559" w:rsidRPr="00193B3B" w:rsidRDefault="00563559" w:rsidP="00094682">
            <w:pPr>
              <w:spacing w:after="0" w:line="240" w:lineRule="auto"/>
              <w:jc w:val="center"/>
              <w:rPr>
                <w:sz w:val="20"/>
                <w:szCs w:val="20"/>
                <w:lang w:eastAsia="sk-SK"/>
              </w:rPr>
            </w:pPr>
            <w:r w:rsidRPr="00193B3B">
              <w:rPr>
                <w:sz w:val="20"/>
                <w:szCs w:val="20"/>
                <w:lang w:eastAsia="sk-SK"/>
              </w:rPr>
              <w:t>S.1313</w:t>
            </w:r>
          </w:p>
        </w:tc>
        <w:tc>
          <w:tcPr>
            <w:tcW w:w="1337" w:type="dxa"/>
            <w:tcBorders>
              <w:top w:val="nil"/>
              <w:left w:val="nil"/>
              <w:bottom w:val="nil"/>
              <w:right w:val="nil"/>
            </w:tcBorders>
            <w:shd w:val="clear" w:color="auto" w:fill="auto"/>
            <w:vAlign w:val="center"/>
            <w:hideMark/>
          </w:tcPr>
          <w:p w14:paraId="62A3D7AB" w14:textId="77777777" w:rsidR="00563559" w:rsidRPr="00193B3B" w:rsidRDefault="00563559" w:rsidP="00094682">
            <w:pPr>
              <w:spacing w:after="0" w:line="240" w:lineRule="auto"/>
              <w:jc w:val="center"/>
              <w:rPr>
                <w:sz w:val="20"/>
                <w:szCs w:val="20"/>
                <w:lang w:eastAsia="sk-SK"/>
              </w:rPr>
            </w:pPr>
            <w:r w:rsidRPr="00193B3B">
              <w:rPr>
                <w:sz w:val="20"/>
                <w:szCs w:val="20"/>
                <w:lang w:eastAsia="sk-SK"/>
              </w:rPr>
              <w:t xml:space="preserve"> 0,1</w:t>
            </w:r>
          </w:p>
        </w:tc>
        <w:tc>
          <w:tcPr>
            <w:tcW w:w="1417" w:type="dxa"/>
            <w:tcBorders>
              <w:top w:val="nil"/>
              <w:left w:val="nil"/>
              <w:bottom w:val="nil"/>
              <w:right w:val="nil"/>
            </w:tcBorders>
            <w:shd w:val="clear" w:color="auto" w:fill="auto"/>
            <w:vAlign w:val="center"/>
            <w:hideMark/>
          </w:tcPr>
          <w:p w14:paraId="42959616" w14:textId="77777777" w:rsidR="00563559" w:rsidRPr="00193B3B" w:rsidRDefault="00563559" w:rsidP="00094682">
            <w:pPr>
              <w:spacing w:after="0" w:line="240" w:lineRule="auto"/>
              <w:jc w:val="center"/>
              <w:rPr>
                <w:sz w:val="20"/>
                <w:szCs w:val="20"/>
                <w:lang w:eastAsia="sk-SK"/>
              </w:rPr>
            </w:pPr>
            <w:r w:rsidRPr="00193B3B">
              <w:rPr>
                <w:sz w:val="20"/>
                <w:szCs w:val="20"/>
                <w:lang w:eastAsia="sk-SK"/>
              </w:rPr>
              <w:t xml:space="preserve"> 0,2</w:t>
            </w:r>
          </w:p>
        </w:tc>
        <w:tc>
          <w:tcPr>
            <w:tcW w:w="1260" w:type="dxa"/>
            <w:tcBorders>
              <w:top w:val="nil"/>
              <w:left w:val="nil"/>
              <w:bottom w:val="nil"/>
              <w:right w:val="nil"/>
            </w:tcBorders>
            <w:shd w:val="clear" w:color="auto" w:fill="auto"/>
            <w:vAlign w:val="center"/>
            <w:hideMark/>
          </w:tcPr>
          <w:p w14:paraId="7FAB9118" w14:textId="77777777" w:rsidR="00563559" w:rsidRPr="00193B3B" w:rsidRDefault="00563559" w:rsidP="00094682">
            <w:pPr>
              <w:spacing w:after="0" w:line="240" w:lineRule="auto"/>
              <w:jc w:val="center"/>
              <w:rPr>
                <w:sz w:val="20"/>
                <w:szCs w:val="20"/>
                <w:lang w:eastAsia="sk-SK"/>
              </w:rPr>
            </w:pPr>
            <w:r w:rsidRPr="00193B3B">
              <w:rPr>
                <w:sz w:val="20"/>
                <w:szCs w:val="20"/>
                <w:lang w:eastAsia="sk-SK"/>
              </w:rPr>
              <w:t xml:space="preserve"> 0,2</w:t>
            </w:r>
          </w:p>
        </w:tc>
        <w:tc>
          <w:tcPr>
            <w:tcW w:w="1144" w:type="dxa"/>
            <w:tcBorders>
              <w:top w:val="nil"/>
              <w:left w:val="nil"/>
              <w:bottom w:val="nil"/>
              <w:right w:val="nil"/>
            </w:tcBorders>
            <w:shd w:val="clear" w:color="auto" w:fill="auto"/>
            <w:vAlign w:val="center"/>
            <w:hideMark/>
          </w:tcPr>
          <w:p w14:paraId="73EA5461" w14:textId="77777777" w:rsidR="00563559" w:rsidRPr="00193B3B" w:rsidRDefault="00563559" w:rsidP="00094682">
            <w:pPr>
              <w:spacing w:after="0" w:line="240" w:lineRule="auto"/>
              <w:jc w:val="right"/>
              <w:rPr>
                <w:sz w:val="20"/>
                <w:szCs w:val="20"/>
                <w:lang w:eastAsia="sk-SK"/>
              </w:rPr>
            </w:pPr>
            <w:r w:rsidRPr="00193B3B">
              <w:rPr>
                <w:sz w:val="20"/>
                <w:szCs w:val="20"/>
                <w:lang w:eastAsia="sk-SK"/>
              </w:rPr>
              <w:t>179 160</w:t>
            </w:r>
          </w:p>
        </w:tc>
      </w:tr>
      <w:tr w:rsidR="00563559" w:rsidRPr="00193B3B" w14:paraId="03F01FE4" w14:textId="77777777" w:rsidTr="00094682">
        <w:trPr>
          <w:trHeight w:val="345"/>
        </w:trPr>
        <w:tc>
          <w:tcPr>
            <w:tcW w:w="2967" w:type="dxa"/>
            <w:tcBorders>
              <w:top w:val="nil"/>
              <w:left w:val="nil"/>
              <w:bottom w:val="single" w:sz="4" w:space="0" w:color="auto"/>
              <w:right w:val="nil"/>
            </w:tcBorders>
            <w:shd w:val="clear" w:color="auto" w:fill="auto"/>
            <w:vAlign w:val="center"/>
            <w:hideMark/>
          </w:tcPr>
          <w:p w14:paraId="388E8425" w14:textId="77777777" w:rsidR="00563559" w:rsidRPr="00193B3B" w:rsidRDefault="00563559" w:rsidP="00094682">
            <w:pPr>
              <w:spacing w:after="0" w:line="240" w:lineRule="auto"/>
              <w:rPr>
                <w:sz w:val="20"/>
                <w:szCs w:val="20"/>
                <w:lang w:eastAsia="sk-SK"/>
              </w:rPr>
            </w:pPr>
            <w:r w:rsidRPr="00193B3B">
              <w:rPr>
                <w:sz w:val="20"/>
                <w:szCs w:val="20"/>
                <w:lang w:eastAsia="sk-SK"/>
              </w:rPr>
              <w:t>4. Fondy sociálneho zabezpečenia</w:t>
            </w:r>
          </w:p>
        </w:tc>
        <w:tc>
          <w:tcPr>
            <w:tcW w:w="947" w:type="dxa"/>
            <w:tcBorders>
              <w:top w:val="nil"/>
              <w:left w:val="nil"/>
              <w:bottom w:val="single" w:sz="4" w:space="0" w:color="auto"/>
              <w:right w:val="nil"/>
            </w:tcBorders>
            <w:shd w:val="clear" w:color="auto" w:fill="auto"/>
            <w:vAlign w:val="center"/>
            <w:hideMark/>
          </w:tcPr>
          <w:p w14:paraId="4E70504A" w14:textId="77777777" w:rsidR="00563559" w:rsidRPr="00193B3B" w:rsidRDefault="00563559" w:rsidP="00094682">
            <w:pPr>
              <w:spacing w:after="0" w:line="240" w:lineRule="auto"/>
              <w:jc w:val="center"/>
              <w:rPr>
                <w:sz w:val="20"/>
                <w:szCs w:val="20"/>
                <w:lang w:eastAsia="sk-SK"/>
              </w:rPr>
            </w:pPr>
            <w:r w:rsidRPr="00193B3B">
              <w:rPr>
                <w:sz w:val="20"/>
                <w:szCs w:val="20"/>
                <w:lang w:eastAsia="sk-SK"/>
              </w:rPr>
              <w:t>S.1314</w:t>
            </w:r>
          </w:p>
        </w:tc>
        <w:tc>
          <w:tcPr>
            <w:tcW w:w="1337" w:type="dxa"/>
            <w:tcBorders>
              <w:top w:val="nil"/>
              <w:left w:val="nil"/>
              <w:bottom w:val="single" w:sz="4" w:space="0" w:color="auto"/>
              <w:right w:val="nil"/>
            </w:tcBorders>
            <w:shd w:val="clear" w:color="auto" w:fill="auto"/>
            <w:vAlign w:val="center"/>
            <w:hideMark/>
          </w:tcPr>
          <w:p w14:paraId="45C50059" w14:textId="77777777" w:rsidR="00563559" w:rsidRPr="00193B3B" w:rsidRDefault="00563559" w:rsidP="00094682">
            <w:pPr>
              <w:spacing w:after="0" w:line="240" w:lineRule="auto"/>
              <w:jc w:val="center"/>
              <w:rPr>
                <w:sz w:val="20"/>
                <w:szCs w:val="20"/>
                <w:lang w:eastAsia="sk-SK"/>
              </w:rPr>
            </w:pPr>
            <w:r w:rsidRPr="00193B3B">
              <w:rPr>
                <w:sz w:val="20"/>
                <w:szCs w:val="20"/>
                <w:lang w:eastAsia="sk-SK"/>
              </w:rPr>
              <w:t xml:space="preserve"> 0,0</w:t>
            </w:r>
          </w:p>
        </w:tc>
        <w:tc>
          <w:tcPr>
            <w:tcW w:w="1417" w:type="dxa"/>
            <w:tcBorders>
              <w:top w:val="nil"/>
              <w:left w:val="nil"/>
              <w:bottom w:val="single" w:sz="4" w:space="0" w:color="auto"/>
              <w:right w:val="nil"/>
            </w:tcBorders>
            <w:shd w:val="clear" w:color="auto" w:fill="auto"/>
            <w:vAlign w:val="center"/>
            <w:hideMark/>
          </w:tcPr>
          <w:p w14:paraId="31AB2B87" w14:textId="77777777" w:rsidR="00563559" w:rsidRPr="00193B3B" w:rsidRDefault="00563559" w:rsidP="00094682">
            <w:pPr>
              <w:spacing w:after="0" w:line="240" w:lineRule="auto"/>
              <w:jc w:val="center"/>
              <w:rPr>
                <w:sz w:val="20"/>
                <w:szCs w:val="20"/>
                <w:lang w:eastAsia="sk-SK"/>
              </w:rPr>
            </w:pPr>
            <w:r w:rsidRPr="00193B3B">
              <w:rPr>
                <w:sz w:val="20"/>
                <w:szCs w:val="20"/>
                <w:lang w:eastAsia="sk-SK"/>
              </w:rPr>
              <w:t xml:space="preserve"> 0,2</w:t>
            </w:r>
          </w:p>
        </w:tc>
        <w:tc>
          <w:tcPr>
            <w:tcW w:w="1260" w:type="dxa"/>
            <w:tcBorders>
              <w:top w:val="nil"/>
              <w:left w:val="nil"/>
              <w:bottom w:val="single" w:sz="4" w:space="0" w:color="auto"/>
              <w:right w:val="nil"/>
            </w:tcBorders>
            <w:shd w:val="clear" w:color="auto" w:fill="auto"/>
            <w:vAlign w:val="center"/>
            <w:hideMark/>
          </w:tcPr>
          <w:p w14:paraId="0EB1A1AE" w14:textId="77777777" w:rsidR="00563559" w:rsidRPr="00193B3B" w:rsidRDefault="00563559" w:rsidP="00094682">
            <w:pPr>
              <w:spacing w:after="0" w:line="240" w:lineRule="auto"/>
              <w:jc w:val="center"/>
              <w:rPr>
                <w:sz w:val="20"/>
                <w:szCs w:val="20"/>
                <w:lang w:eastAsia="sk-SK"/>
              </w:rPr>
            </w:pPr>
            <w:r w:rsidRPr="00193B3B">
              <w:rPr>
                <w:sz w:val="20"/>
                <w:szCs w:val="20"/>
                <w:lang w:eastAsia="sk-SK"/>
              </w:rPr>
              <w:t xml:space="preserve"> 0,4</w:t>
            </w:r>
          </w:p>
        </w:tc>
        <w:tc>
          <w:tcPr>
            <w:tcW w:w="1144" w:type="dxa"/>
            <w:tcBorders>
              <w:top w:val="nil"/>
              <w:left w:val="nil"/>
              <w:bottom w:val="single" w:sz="4" w:space="0" w:color="auto"/>
              <w:right w:val="nil"/>
            </w:tcBorders>
            <w:shd w:val="clear" w:color="auto" w:fill="auto"/>
            <w:vAlign w:val="center"/>
            <w:hideMark/>
          </w:tcPr>
          <w:p w14:paraId="4F943633" w14:textId="77777777" w:rsidR="00563559" w:rsidRPr="00193B3B" w:rsidRDefault="00563559" w:rsidP="00094682">
            <w:pPr>
              <w:spacing w:after="0" w:line="240" w:lineRule="auto"/>
              <w:jc w:val="right"/>
              <w:rPr>
                <w:sz w:val="20"/>
                <w:szCs w:val="20"/>
                <w:lang w:eastAsia="sk-SK"/>
              </w:rPr>
            </w:pPr>
            <w:r w:rsidRPr="00193B3B">
              <w:rPr>
                <w:sz w:val="20"/>
                <w:szCs w:val="20"/>
                <w:lang w:eastAsia="sk-SK"/>
              </w:rPr>
              <w:t>349 780</w:t>
            </w:r>
          </w:p>
        </w:tc>
      </w:tr>
    </w:tbl>
    <w:p w14:paraId="2E042DBE" w14:textId="77777777" w:rsidR="00563559" w:rsidRPr="001702B9" w:rsidRDefault="00563559" w:rsidP="00563559">
      <w:pPr>
        <w:spacing w:after="0" w:line="240" w:lineRule="auto"/>
        <w:ind w:right="-143"/>
        <w:rPr>
          <w:iCs/>
          <w:sz w:val="16"/>
          <w:szCs w:val="16"/>
          <w:lang w:eastAsia="sk-SK"/>
        </w:rPr>
      </w:pPr>
      <w:r w:rsidRPr="001702B9">
        <w:rPr>
          <w:iCs/>
          <w:sz w:val="16"/>
          <w:szCs w:val="16"/>
          <w:lang w:eastAsia="sk-SK"/>
        </w:rPr>
        <w:t>Hodnoty v tabuľke sú zaokrúhlené na jedno desatinné miesto</w:t>
      </w:r>
      <w:r w:rsidRPr="001702B9">
        <w:rPr>
          <w:iCs/>
          <w:sz w:val="16"/>
          <w:szCs w:val="16"/>
          <w:lang w:eastAsia="sk-SK"/>
        </w:rPr>
        <w:tab/>
      </w:r>
      <w:r w:rsidRPr="001702B9">
        <w:rPr>
          <w:iCs/>
          <w:sz w:val="16"/>
          <w:szCs w:val="16"/>
          <w:lang w:eastAsia="sk-SK"/>
        </w:rPr>
        <w:tab/>
      </w:r>
      <w:r w:rsidRPr="001702B9">
        <w:rPr>
          <w:iCs/>
          <w:sz w:val="16"/>
          <w:szCs w:val="16"/>
          <w:lang w:eastAsia="sk-SK"/>
        </w:rPr>
        <w:tab/>
      </w:r>
      <w:r w:rsidRPr="001702B9">
        <w:rPr>
          <w:iCs/>
          <w:sz w:val="16"/>
          <w:szCs w:val="16"/>
          <w:lang w:eastAsia="sk-SK"/>
        </w:rPr>
        <w:tab/>
      </w:r>
      <w:r w:rsidRPr="001702B9">
        <w:rPr>
          <w:iCs/>
          <w:sz w:val="16"/>
          <w:szCs w:val="16"/>
          <w:lang w:eastAsia="sk-SK"/>
        </w:rPr>
        <w:tab/>
        <w:t xml:space="preserve">             Zdroj: </w:t>
      </w:r>
      <w:proofErr w:type="spellStart"/>
      <w:r w:rsidRPr="001702B9">
        <w:rPr>
          <w:iCs/>
          <w:sz w:val="16"/>
          <w:szCs w:val="16"/>
          <w:lang w:eastAsia="sk-SK"/>
        </w:rPr>
        <w:t>Eurostat</w:t>
      </w:r>
      <w:proofErr w:type="spellEnd"/>
      <w:r w:rsidRPr="001702B9">
        <w:rPr>
          <w:iCs/>
          <w:sz w:val="16"/>
          <w:szCs w:val="16"/>
          <w:lang w:eastAsia="sk-SK"/>
        </w:rPr>
        <w:t>, ŠÚ SR</w:t>
      </w:r>
    </w:p>
    <w:p w14:paraId="715BA989" w14:textId="77777777" w:rsidR="00563559" w:rsidRPr="001702B9" w:rsidRDefault="00563559" w:rsidP="00563559">
      <w:pPr>
        <w:spacing w:after="0" w:line="240" w:lineRule="auto"/>
        <w:rPr>
          <w:iCs/>
          <w:sz w:val="16"/>
          <w:szCs w:val="16"/>
          <w:lang w:eastAsia="sk-SK"/>
        </w:rPr>
      </w:pPr>
      <w:r w:rsidRPr="001702B9">
        <w:rPr>
          <w:iCs/>
          <w:sz w:val="16"/>
          <w:szCs w:val="16"/>
          <w:lang w:eastAsia="sk-SK"/>
        </w:rPr>
        <w:t xml:space="preserve">Miestna samospráva je totožná v národnej legislatíve s pojmom územná samospráva. </w:t>
      </w:r>
    </w:p>
    <w:p w14:paraId="6483F2F7" w14:textId="77777777" w:rsidR="00563559" w:rsidRPr="00193B3B" w:rsidRDefault="00563559" w:rsidP="00563559">
      <w:pPr>
        <w:spacing w:after="0" w:line="240" w:lineRule="auto"/>
        <w:rPr>
          <w:iCs/>
          <w:sz w:val="16"/>
          <w:szCs w:val="16"/>
          <w:highlight w:val="yellow"/>
          <w:lang w:eastAsia="sk-SK"/>
        </w:rPr>
      </w:pPr>
    </w:p>
    <w:p w14:paraId="350CD3DC" w14:textId="77777777" w:rsidR="00563559" w:rsidRPr="00193B3B" w:rsidRDefault="00563559" w:rsidP="00563559">
      <w:pPr>
        <w:spacing w:after="120" w:line="240" w:lineRule="auto"/>
        <w:jc w:val="both"/>
        <w:rPr>
          <w:szCs w:val="22"/>
          <w:highlight w:val="yellow"/>
          <w:u w:val="single"/>
        </w:rPr>
      </w:pPr>
      <w:r w:rsidRPr="00193B3B">
        <w:rPr>
          <w:szCs w:val="22"/>
        </w:rPr>
        <w:t xml:space="preserve">Z pohľadu sektorového členenia sa na schodku najviac podieľala ústredná správa a v rámci nej štátny rozpočet </w:t>
      </w:r>
      <w:r w:rsidRPr="00803F2F">
        <w:rPr>
          <w:szCs w:val="22"/>
        </w:rPr>
        <w:t xml:space="preserve">so schodkom </w:t>
      </w:r>
      <w:r w:rsidRPr="00803F2F">
        <w:rPr>
          <w:szCs w:val="22"/>
          <w:lang w:val="en-US"/>
        </w:rPr>
        <w:t>5 834 164</w:t>
      </w:r>
      <w:r w:rsidRPr="00803F2F">
        <w:rPr>
          <w:szCs w:val="22"/>
        </w:rPr>
        <w:t xml:space="preserve"> tis. eur, čo predstavuje oproti roku 2019 zhoršenie o 4 060 049 tis. eur. Deficitné hospodárenie štátneho rozpočtu bolo spôsobené hlavne kompenzačnými opatreniami vlády na zníženie dopadov pandémie COVID-19. So schodkom hospodárili aj ďalšie subjekty verejnej správy napríklad Železničná spoločnosť Slovensko, a. s. vo výške 87 861 tis. eur, zdravotnícke zariadenia ústrednej správy vo výške 47 352 tis. eur a Železnice Slovenskej republiky vo výške 10 050 tis. eur. Najvyššie prebytky v roku 2020 dosiahli Sociálna poisťovňa vo výške 222 488 tis. eur, obce a ich rozpočtové organizácie vo výške 140 673 tis. eur, štátne fondy vo výške 140 513 tis. eur, fondy verejného zdravotného poistenia vo výške 127 292 tis. eur, Národná diaľničná spoločnosť, a. s. vo výške 112 294 tis. eur a verejné vysoké školy vo výške 105 938 tis. eur. </w:t>
      </w:r>
    </w:p>
    <w:p w14:paraId="48286880" w14:textId="77777777" w:rsidR="00563559" w:rsidRPr="0039640B" w:rsidRDefault="00563559" w:rsidP="00563559">
      <w:pPr>
        <w:spacing w:after="120" w:line="240" w:lineRule="auto"/>
        <w:jc w:val="both"/>
        <w:rPr>
          <w:b/>
          <w:color w:val="0070C0"/>
          <w:sz w:val="24"/>
          <w:szCs w:val="24"/>
        </w:rPr>
      </w:pPr>
      <w:r w:rsidRPr="0039640B">
        <w:rPr>
          <w:b/>
          <w:color w:val="0070C0"/>
          <w:sz w:val="24"/>
          <w:szCs w:val="24"/>
        </w:rPr>
        <w:t xml:space="preserve">Hospodárenie štátneho rozpočtu v medziročnom porovnaní </w:t>
      </w:r>
    </w:p>
    <w:p w14:paraId="513DDE93" w14:textId="77777777" w:rsidR="00563559" w:rsidRPr="001400C8" w:rsidRDefault="00563559" w:rsidP="00563559">
      <w:pPr>
        <w:spacing w:after="120" w:line="240" w:lineRule="auto"/>
        <w:jc w:val="both"/>
        <w:rPr>
          <w:szCs w:val="22"/>
        </w:rPr>
      </w:pPr>
      <w:r>
        <w:rPr>
          <w:szCs w:val="22"/>
        </w:rPr>
        <w:t>Š</w:t>
      </w:r>
      <w:r w:rsidRPr="00B94C22">
        <w:rPr>
          <w:szCs w:val="22"/>
        </w:rPr>
        <w:t>tátny r</w:t>
      </w:r>
      <w:r>
        <w:rPr>
          <w:szCs w:val="22"/>
        </w:rPr>
        <w:t>ozpočet reprezentujú rozpočtové organizácie ústrednej správy, ich príjmy a výdavky realizované prostredníctvom rozpočtových účtov, ako aj hospodárenie s ich samostatnými účtami, ďalej štátne finančné aktíva v správe Ministerstva financií SR a saldo účtu štátneho dlhu</w:t>
      </w:r>
      <w:r w:rsidRPr="001400C8">
        <w:rPr>
          <w:szCs w:val="22"/>
        </w:rPr>
        <w:t xml:space="preserve">. Niektoré príjmy a výdavky štátneho rozpočtu podliehajú konsolidácii v rámci celej verejnej správy, preto sa tieto pozitívne a negatívne vplyvy na schodok štátneho rozpočtu eliminujú s prislúchajúcimi vplyvmi na ostatné subjekty verejnej správy. Zároveň príjmy a výdavky z EU zdrojov majú neutrálny vplyv na ESA schodok verejnej správy, preto sa pri medziročnom porovnávaní </w:t>
      </w:r>
      <w:r>
        <w:rPr>
          <w:szCs w:val="22"/>
        </w:rPr>
        <w:t xml:space="preserve">jednotlivých </w:t>
      </w:r>
      <w:r w:rsidRPr="001400C8">
        <w:rPr>
          <w:szCs w:val="22"/>
        </w:rPr>
        <w:t xml:space="preserve">príjmov a výdavkov v súlade s metodikou ESA na nich neprihliada. V medziročnom porovnaní sa hospodárenie štátneho rozpočtu </w:t>
      </w:r>
      <w:r w:rsidRPr="00803F2F">
        <w:rPr>
          <w:szCs w:val="22"/>
        </w:rPr>
        <w:t>zhoršilo o 4 060 049 tis. eur</w:t>
      </w:r>
      <w:r w:rsidRPr="001400C8">
        <w:rPr>
          <w:szCs w:val="22"/>
        </w:rPr>
        <w:t>.</w:t>
      </w:r>
    </w:p>
    <w:p w14:paraId="4D9092B4" w14:textId="77777777" w:rsidR="00563559" w:rsidRPr="001400C8" w:rsidRDefault="00563559" w:rsidP="00563559">
      <w:pPr>
        <w:spacing w:after="120" w:line="240" w:lineRule="auto"/>
        <w:jc w:val="both"/>
        <w:rPr>
          <w:szCs w:val="22"/>
        </w:rPr>
      </w:pPr>
      <w:r w:rsidRPr="005E3484">
        <w:rPr>
          <w:szCs w:val="22"/>
          <w:u w:val="single"/>
        </w:rPr>
        <w:t xml:space="preserve">Pozitívne vplyvy na schodok štátneho rozpočtu </w:t>
      </w:r>
      <w:r>
        <w:rPr>
          <w:szCs w:val="22"/>
          <w:u w:val="single"/>
        </w:rPr>
        <w:t xml:space="preserve">2020 </w:t>
      </w:r>
      <w:r w:rsidRPr="005E3484">
        <w:rPr>
          <w:szCs w:val="22"/>
          <w:u w:val="single"/>
        </w:rPr>
        <w:t>malo</w:t>
      </w:r>
      <w:r w:rsidRPr="001400C8">
        <w:rPr>
          <w:szCs w:val="22"/>
        </w:rPr>
        <w:t>:</w:t>
      </w:r>
    </w:p>
    <w:p w14:paraId="3E58F369" w14:textId="32975371" w:rsidR="00563559" w:rsidRDefault="00563559" w:rsidP="00095B15">
      <w:pPr>
        <w:pStyle w:val="Odsekzoznamu"/>
        <w:numPr>
          <w:ilvl w:val="0"/>
          <w:numId w:val="44"/>
        </w:numPr>
        <w:spacing w:before="120" w:after="120"/>
        <w:ind w:left="709" w:hanging="357"/>
        <w:jc w:val="both"/>
      </w:pPr>
      <w:r w:rsidRPr="0003548D">
        <w:rPr>
          <w:b/>
        </w:rPr>
        <w:t>zlepšenie finančnej pozície voči rozpočtu EÚ</w:t>
      </w:r>
      <w:r w:rsidRPr="001400C8">
        <w:t xml:space="preserve"> oproti roku 2019 o 164 974 tis. eur</w:t>
      </w:r>
      <w:r>
        <w:rPr>
          <w:rStyle w:val="Odkaznapoznmkupodiarou"/>
        </w:rPr>
        <w:footnoteReference w:id="5"/>
      </w:r>
      <w:r w:rsidRPr="001400C8">
        <w:t xml:space="preserve">. Zlepšenie pozície voči rozpočtu EU bolo zapríčinené pozitívnejším vplyvom zaznamenania </w:t>
      </w:r>
      <w:proofErr w:type="spellStart"/>
      <w:r w:rsidRPr="001400C8">
        <w:t>akrualizácie</w:t>
      </w:r>
      <w:proofErr w:type="spellEnd"/>
      <w:r w:rsidRPr="001400C8">
        <w:t xml:space="preserve"> korekcií vo výške 325 985 tis. eur</w:t>
      </w:r>
      <w:r>
        <w:t>.</w:t>
      </w:r>
      <w:r w:rsidRPr="001400C8">
        <w:t xml:space="preserve"> Toto zlepšenie bolo čiastočne kompenzované negatívnejším vplyvom zaznamenania hotovostných kor</w:t>
      </w:r>
      <w:r>
        <w:t xml:space="preserve">ekcií vo výške 161 011 tis. eur. Na druhej strane sa oproti roku 2019 zvýšil odvod do rozpočtu EU okrem vlastných zdrojov o 127 166 tis. eur z hodnoty 750 226 tis. eur na 877 392 tis. eur. </w:t>
      </w:r>
    </w:p>
    <w:p w14:paraId="757ECBD2" w14:textId="77777777" w:rsidR="00563559" w:rsidRPr="001400C8" w:rsidRDefault="00563559" w:rsidP="009956A9">
      <w:pPr>
        <w:pStyle w:val="Odsekzoznamu"/>
        <w:numPr>
          <w:ilvl w:val="0"/>
          <w:numId w:val="44"/>
        </w:numPr>
        <w:ind w:left="709" w:hanging="425"/>
        <w:jc w:val="both"/>
      </w:pPr>
      <w:r w:rsidRPr="009956A9">
        <w:rPr>
          <w:b/>
        </w:rPr>
        <w:t>nárast daňových príjmov</w:t>
      </w:r>
      <w:r w:rsidRPr="001400C8">
        <w:t xml:space="preserve"> z osobitného odvodu vy</w:t>
      </w:r>
      <w:r>
        <w:t>braných finančných inštitúcií</w:t>
      </w:r>
      <w:r>
        <w:rPr>
          <w:rStyle w:val="Odkaznapoznmkupodiarou"/>
        </w:rPr>
        <w:footnoteReference w:id="6"/>
      </w:r>
      <w:r>
        <w:t xml:space="preserve"> a </w:t>
      </w:r>
      <w:r w:rsidRPr="001400C8">
        <w:t>z osobitného odvodu z podnikania v regulovaných odvetviach spolu o</w:t>
      </w:r>
      <w:r>
        <w:t> </w:t>
      </w:r>
      <w:r w:rsidRPr="00C026DD">
        <w:t>20 131</w:t>
      </w:r>
      <w:r w:rsidRPr="001400C8">
        <w:t xml:space="preserve"> tis. eur, </w:t>
      </w:r>
    </w:p>
    <w:p w14:paraId="1C5E3ED6" w14:textId="77777777" w:rsidR="00563559" w:rsidRPr="001400C8" w:rsidRDefault="00563559" w:rsidP="00563559">
      <w:pPr>
        <w:pStyle w:val="Odsekzoznamu"/>
        <w:numPr>
          <w:ilvl w:val="0"/>
          <w:numId w:val="25"/>
        </w:numPr>
        <w:jc w:val="both"/>
      </w:pPr>
      <w:r w:rsidRPr="00A67B28">
        <w:rPr>
          <w:b/>
        </w:rPr>
        <w:lastRenderedPageBreak/>
        <w:t>hospodárenie štátnych finančných aktív</w:t>
      </w:r>
      <w:r>
        <w:t xml:space="preserve"> (ŠFA)</w:t>
      </w:r>
      <w:r w:rsidRPr="001400C8">
        <w:t xml:space="preserve"> v tomto roku bolo po znížení o konsolidované toky porovnateľné s hospodárením predchádzajúceho roka. Zlepšenie nekonsolidovaného hospodárenia </w:t>
      </w:r>
      <w:r>
        <w:t>ŠFA</w:t>
      </w:r>
      <w:r w:rsidRPr="001400C8">
        <w:t xml:space="preserve"> v roku 2020 o 1 551</w:t>
      </w:r>
      <w:r>
        <w:t> </w:t>
      </w:r>
      <w:r w:rsidRPr="001400C8">
        <w:t>341</w:t>
      </w:r>
      <w:r>
        <w:t> </w:t>
      </w:r>
      <w:r w:rsidRPr="001400C8">
        <w:t>tis.</w:t>
      </w:r>
      <w:r>
        <w:t> </w:t>
      </w:r>
      <w:r w:rsidRPr="001400C8">
        <w:t>eur bolo zapríčinené  presunom výdavkov zo štátneho rozpočtu na zmiernenie následkov pandémie Covid-19 vo výške 1</w:t>
      </w:r>
      <w:r>
        <w:t> 554 919 tis. </w:t>
      </w:r>
      <w:r w:rsidRPr="001400C8">
        <w:t xml:space="preserve">eur. Celkový vplyv </w:t>
      </w:r>
      <w:r>
        <w:t xml:space="preserve">prevodu rozpočtových prostriedkov na účty ŠFA </w:t>
      </w:r>
      <w:r w:rsidRPr="001400C8">
        <w:t xml:space="preserve">na schodok verejnej správy bol </w:t>
      </w:r>
      <w:r>
        <w:t xml:space="preserve">pritom </w:t>
      </w:r>
      <w:r w:rsidRPr="001400C8">
        <w:t>nulový</w:t>
      </w:r>
      <w:r>
        <w:t>.</w:t>
      </w:r>
      <w:r w:rsidRPr="001400C8">
        <w:t xml:space="preserve"> </w:t>
      </w:r>
      <w:r>
        <w:t xml:space="preserve">Hospodárenie ŠFA skončilo nakoniec s pozitívnym výsledkom, pretože väčšina z týchto prevedených prostriedkov sa v roku 2020 nepoužila na výdavky. </w:t>
      </w:r>
      <w:r w:rsidRPr="001400C8">
        <w:t>Na schodok ŠFA malo pozitívny vplyv oproti roku 2019 aj to, že sa v roku 2020 nerealizovali výdavky na oddlženie zdravotníckych zariadení</w:t>
      </w:r>
      <w:r>
        <w:rPr>
          <w:rStyle w:val="Odkaznapoznmkupodiarou"/>
        </w:rPr>
        <w:footnoteReference w:id="7"/>
      </w:r>
      <w:r w:rsidRPr="001400C8">
        <w:t xml:space="preserve"> (negatívny vplyv oddlžovania na nekonsolidované ŠFA v roku 2019 bol 259</w:t>
      </w:r>
      <w:r>
        <w:t> </w:t>
      </w:r>
      <w:r w:rsidRPr="001400C8">
        <w:t>301</w:t>
      </w:r>
      <w:r>
        <w:t> tis. </w:t>
      </w:r>
      <w:r w:rsidRPr="001400C8">
        <w:t>eur. Po konsolidácii je ale vplyv oddlžovania zdravotníckych zariadení na schodok verejnej správy neutrálny)</w:t>
      </w:r>
      <w:r>
        <w:t>.</w:t>
      </w:r>
      <w:r w:rsidRPr="001400C8">
        <w:t xml:space="preserve"> Najväčším negatívnym vplyvom na nekonsolidovaný schodok ŠFA bol uskutočnený vklad do základného imania Všeobecnej</w:t>
      </w:r>
      <w:r>
        <w:t xml:space="preserve"> zdravotnej poisťovne vo výške </w:t>
      </w:r>
      <w:r w:rsidRPr="001400C8">
        <w:t>198</w:t>
      </w:r>
      <w:r>
        <w:t> </w:t>
      </w:r>
      <w:r w:rsidRPr="001400C8">
        <w:t>000</w:t>
      </w:r>
      <w:r>
        <w:t> </w:t>
      </w:r>
      <w:r w:rsidRPr="001400C8">
        <w:t>tis.</w:t>
      </w:r>
      <w:r>
        <w:t> eur</w:t>
      </w:r>
      <w:r w:rsidRPr="001400C8">
        <w:t xml:space="preserve">, ktorý bol preklasifikovaný na výdavkový kapitálový transfer. Tento ESA výdavok bol kompenzovaný prijatým transferom </w:t>
      </w:r>
      <w:r>
        <w:t>V</w:t>
      </w:r>
      <w:r w:rsidRPr="001400C8">
        <w:t xml:space="preserve">šeobecnej zdravotnej poisťovne s kladným vplyvom na jej hospodárenie. </w:t>
      </w:r>
    </w:p>
    <w:p w14:paraId="669D61D8" w14:textId="77777777" w:rsidR="00563559" w:rsidRDefault="00563559" w:rsidP="00563559">
      <w:pPr>
        <w:spacing w:after="0" w:line="240" w:lineRule="auto"/>
        <w:contextualSpacing/>
        <w:jc w:val="both"/>
        <w:rPr>
          <w:szCs w:val="22"/>
          <w:lang w:eastAsia="sk-SK"/>
        </w:rPr>
      </w:pPr>
    </w:p>
    <w:p w14:paraId="3EBF8DF6" w14:textId="77777777" w:rsidR="00563559" w:rsidRDefault="00563559" w:rsidP="00563559">
      <w:pPr>
        <w:spacing w:after="120" w:line="240" w:lineRule="auto"/>
        <w:contextualSpacing/>
        <w:jc w:val="both"/>
        <w:rPr>
          <w:szCs w:val="22"/>
          <w:lang w:eastAsia="sk-SK"/>
        </w:rPr>
      </w:pPr>
      <w:r w:rsidRPr="001400C8">
        <w:rPr>
          <w:szCs w:val="22"/>
          <w:lang w:eastAsia="sk-SK"/>
        </w:rPr>
        <w:t xml:space="preserve">Tieto pozitívne vplyvy na schodok štátneho rozpočtu boli výrazne eliminované nasledovnými </w:t>
      </w:r>
      <w:r w:rsidRPr="005E3484">
        <w:rPr>
          <w:szCs w:val="22"/>
          <w:u w:val="single"/>
          <w:lang w:eastAsia="sk-SK"/>
        </w:rPr>
        <w:t>negatívnymi vplyvmi</w:t>
      </w:r>
      <w:r w:rsidRPr="001400C8">
        <w:rPr>
          <w:szCs w:val="22"/>
          <w:lang w:eastAsia="sk-SK"/>
        </w:rPr>
        <w:t>:</w:t>
      </w:r>
    </w:p>
    <w:p w14:paraId="6E4884B0" w14:textId="77777777" w:rsidR="009956A9" w:rsidRDefault="00563559" w:rsidP="009956A9">
      <w:pPr>
        <w:pStyle w:val="Odsekzoznamu"/>
        <w:numPr>
          <w:ilvl w:val="0"/>
          <w:numId w:val="24"/>
        </w:numPr>
        <w:spacing w:before="120" w:after="120"/>
        <w:ind w:left="714" w:hanging="357"/>
        <w:jc w:val="both"/>
      </w:pPr>
      <w:r>
        <w:rPr>
          <w:b/>
        </w:rPr>
        <w:t xml:space="preserve">medziročný </w:t>
      </w:r>
      <w:r w:rsidRPr="00A67B28">
        <w:rPr>
          <w:b/>
        </w:rPr>
        <w:t>nárast hotovostného schodku štátneho rozpočtu v súvislosti s realizáciou výdavkov</w:t>
      </w:r>
      <w:r>
        <w:t xml:space="preserve"> </w:t>
      </w:r>
      <w:r w:rsidRPr="0008776A">
        <w:rPr>
          <w:b/>
        </w:rPr>
        <w:t>na zmiernenie následkov pandémie COVID-19</w:t>
      </w:r>
      <w:r>
        <w:t>. Čiastočne budú tieto výdavky refundované z EU zdrojov a vplyv na schodok verejnej správy mala preto len časť výdavkov hradená z národných zdrojov.</w:t>
      </w:r>
    </w:p>
    <w:p w14:paraId="3D3210EE" w14:textId="7B3D007C" w:rsidR="00563559" w:rsidRDefault="00563559" w:rsidP="009956A9">
      <w:pPr>
        <w:spacing w:before="120" w:after="120" w:line="240" w:lineRule="auto"/>
        <w:ind w:left="709"/>
        <w:jc w:val="both"/>
      </w:pPr>
      <w:r>
        <w:t>V kapitole Ministerstva obrany to bolo predovšetkým navýšenie výdavkov na špeciálny materiál o </w:t>
      </w:r>
      <w:r w:rsidRPr="00E21F68">
        <w:t>86 304</w:t>
      </w:r>
      <w:r>
        <w:t> tis. eur z dôvodu realizácie celoplošného testovania a medziročne boli vyššie poskytnuté bežné transfery príspevkovým organizáciám kapitoly o </w:t>
      </w:r>
      <w:r w:rsidRPr="00E21F68">
        <w:t>52 790</w:t>
      </w:r>
      <w:r>
        <w:t xml:space="preserve"> tis. eur. Rovnako v kapitole Ministerstva zdravotníctva boli vyššie </w:t>
      </w:r>
      <w:r w:rsidRPr="00A67B28">
        <w:t xml:space="preserve">bežné transfery príspevkovým organizáciám o 46 530 tis. eur. Uvedené navýšenie bolo spojené s výdavkami pre nemocnice v súvislosti s pandémiou. Kapitola Ministerstva školstva poskytla medziročne vyššie bežné transfery verejným vysokým školám o 119 519 tis. eur, ktoré súvisí s poskytnutím dodatočných prostriedkov na zvládnutie </w:t>
      </w:r>
      <w:proofErr w:type="spellStart"/>
      <w:r w:rsidRPr="00A67B28">
        <w:t>pandemickej</w:t>
      </w:r>
      <w:proofErr w:type="spellEnd"/>
      <w:r w:rsidRPr="00A67B28">
        <w:t xml:space="preserve"> situácie.</w:t>
      </w:r>
      <w:r w:rsidRPr="009956A9">
        <w:rPr>
          <w:color w:val="1F497D"/>
        </w:rPr>
        <w:t xml:space="preserve"> </w:t>
      </w:r>
      <w:r w:rsidRPr="00A67B28">
        <w:t>V kapitole Správa štátnych hmotných rezerv bolo vynaložených v roku 2020 107 449 tis. eur na doplnenie a tvorbu pohotovostných zásob, čo bolo o 106 105 tis. eur viac ako v roku 2019. Zo štátneho rozpočtu sa zvýšili aj dávky jednotlivcom a neziskovým právnickým osobám, z toho najmä ostatné dávky poskytované štátom z kapitoly Ministerstva práce sociálnych vecí a rodiny o 232 353 tis. eur a peňažné príspevky na kompenzáciu o 828 258 tis. eur určené na podporu zamestnanosti</w:t>
      </w:r>
      <w:r>
        <w:t xml:space="preserve"> najmä v rámci opatrenia Prvá pomoc</w:t>
      </w:r>
      <w:r w:rsidRPr="00A67B28">
        <w:t>. Transfery</w:t>
      </w:r>
      <w:r>
        <w:t xml:space="preserve"> zo štátneho rozpočtu z kapitoly Ministerstva hospodárstva nefinančným subjektom na podporu podnikania medziročne vzrástli o 214 982 tis. eur.</w:t>
      </w:r>
    </w:p>
    <w:p w14:paraId="44C050DA" w14:textId="77777777" w:rsidR="00563559" w:rsidRPr="00BC44BF" w:rsidRDefault="00563559" w:rsidP="009956A9">
      <w:pPr>
        <w:pStyle w:val="Odsekzoznamu"/>
        <w:numPr>
          <w:ilvl w:val="0"/>
          <w:numId w:val="44"/>
        </w:numPr>
        <w:spacing w:after="120"/>
        <w:ind w:left="709" w:hanging="425"/>
        <w:jc w:val="both"/>
      </w:pPr>
      <w:r w:rsidRPr="00091628">
        <w:rPr>
          <w:b/>
        </w:rPr>
        <w:t>medziročným nárastom miezd a poistného</w:t>
      </w:r>
      <w:r>
        <w:t xml:space="preserve"> vo výške 346 594 tis. eur, ktoré bolo </w:t>
      </w:r>
      <w:r w:rsidRPr="00BC44BF">
        <w:t>ovplyvn</w:t>
      </w:r>
      <w:r>
        <w:t>ené</w:t>
      </w:r>
      <w:r w:rsidRPr="00BC44BF">
        <w:t xml:space="preserve"> predovšetkým zvýšen</w:t>
      </w:r>
      <w:r>
        <w:t>ím</w:t>
      </w:r>
      <w:r w:rsidRPr="00BC44BF">
        <w:t xml:space="preserve"> platov štátnych zamestnancov (v štátnozamestnaneckom aj služobnom pomere</w:t>
      </w:r>
      <w:r>
        <w:t>)</w:t>
      </w:r>
      <w:r w:rsidRPr="00BC44BF">
        <w:t xml:space="preserve"> a zamestnancov pri výkone práce vo verejnom záujme o 10 % s účinnosťou od 1. januára 2020</w:t>
      </w:r>
      <w:r>
        <w:t xml:space="preserve">. Toto zvýšenie sa týkalo aj </w:t>
      </w:r>
      <w:r w:rsidRPr="00BC44BF">
        <w:t>platových taríf pedagogický</w:t>
      </w:r>
      <w:r>
        <w:t>ch a odborných zamestnancov</w:t>
      </w:r>
      <w:r w:rsidRPr="00BC44BF">
        <w:t>.</w:t>
      </w:r>
    </w:p>
    <w:p w14:paraId="20EAA599" w14:textId="77777777" w:rsidR="00563559" w:rsidRDefault="00563559" w:rsidP="009956A9">
      <w:pPr>
        <w:spacing w:before="120" w:after="120" w:line="240" w:lineRule="auto"/>
        <w:ind w:left="709"/>
        <w:jc w:val="both"/>
      </w:pPr>
      <w:r>
        <w:t>Rovnako boli v roku 2020 boli vyplatené odm</w:t>
      </w:r>
      <w:r w:rsidRPr="00BC44BF">
        <w:t>eny zdravotníckym pracovníkom, vojakom, policajtom, hasičom a zamestnancom zariadení sociálnych služieb a ďalších pracovníkov, ktorí pracovali v boji s pandémiou COVID-19 v I.</w:t>
      </w:r>
      <w:r>
        <w:t> </w:t>
      </w:r>
      <w:r w:rsidRPr="00BC44BF">
        <w:t>línii</w:t>
      </w:r>
      <w:r>
        <w:t xml:space="preserve"> </w:t>
      </w:r>
      <w:r w:rsidRPr="00BC44BF">
        <w:t xml:space="preserve">a v červenej zóne </w:t>
      </w:r>
    </w:p>
    <w:p w14:paraId="64DF8F5C" w14:textId="77777777" w:rsidR="00563559" w:rsidRDefault="00563559" w:rsidP="009956A9">
      <w:pPr>
        <w:pStyle w:val="Odsekzoznamu"/>
        <w:numPr>
          <w:ilvl w:val="0"/>
          <w:numId w:val="24"/>
        </w:numPr>
        <w:spacing w:before="120" w:after="120"/>
        <w:ind w:left="714" w:hanging="357"/>
        <w:jc w:val="both"/>
      </w:pPr>
      <w:r w:rsidRPr="00A67B28">
        <w:rPr>
          <w:b/>
        </w:rPr>
        <w:t>nárast hotovostného schodku štátneho rozpočtu v súvislosti s realizáciou výdavkov</w:t>
      </w:r>
      <w:r>
        <w:t xml:space="preserve"> </w:t>
      </w:r>
      <w:r w:rsidRPr="0008776A">
        <w:rPr>
          <w:b/>
        </w:rPr>
        <w:t>na zmiernenie následkov pandémie COVID-19</w:t>
      </w:r>
      <w:r>
        <w:t>. Čiastočne budú tieto výdavky refundované z EU zdrojov a vplyv na schodok verejnej správy mala preto len časť výdavkov hradená z národných zdrojov.</w:t>
      </w:r>
    </w:p>
    <w:p w14:paraId="1A6E4F3C" w14:textId="77777777" w:rsidR="00135AB2" w:rsidRDefault="00563559" w:rsidP="00135AB2">
      <w:pPr>
        <w:spacing w:after="120" w:line="240" w:lineRule="auto"/>
        <w:ind w:left="709"/>
        <w:jc w:val="both"/>
      </w:pPr>
      <w:r>
        <w:lastRenderedPageBreak/>
        <w:t>V kapitole Ministerstva obrany to bolo predovšetkým navýšenie výdavkov na špeciálny materiál o </w:t>
      </w:r>
      <w:r w:rsidRPr="00E21F68">
        <w:t>86 304</w:t>
      </w:r>
      <w:r>
        <w:t> tis. eur z dôvodu realizácie celoplošného testovania a medziročne boli vyššie poskytnuté bežné transfery príspevkovým organizáciám kapitoly o </w:t>
      </w:r>
      <w:r w:rsidRPr="00E21F68">
        <w:t>52 790</w:t>
      </w:r>
      <w:r>
        <w:t xml:space="preserve"> tis. eur. Rovnako v kapitole Ministerstva zdravotníctva boli vyššie </w:t>
      </w:r>
      <w:r w:rsidRPr="00A67B28">
        <w:t>bežné transfery príspevkovým organizáciám o 46 530 tis. eur. Uvedené navýšenie bolo spojené s výdavkami pre nemocnice v súvislosti s pandémiou</w:t>
      </w:r>
      <w:r w:rsidR="00135AB2">
        <w:t>.</w:t>
      </w:r>
    </w:p>
    <w:p w14:paraId="12D88F25" w14:textId="77777777" w:rsidR="00135AB2" w:rsidRDefault="00563559" w:rsidP="00135AB2">
      <w:pPr>
        <w:spacing w:after="120" w:line="240" w:lineRule="auto"/>
        <w:ind w:left="709"/>
        <w:jc w:val="both"/>
      </w:pPr>
      <w:r w:rsidRPr="00A67B28">
        <w:t xml:space="preserve">Kapitola Ministerstva školstva poskytla medziročne vyššie bežné transfery verejným vysokým školám o 119 519 tis. eur, ktoré súvisí s poskytnutím dodatočných prostriedkov na zvládnutie </w:t>
      </w:r>
      <w:proofErr w:type="spellStart"/>
      <w:r w:rsidRPr="00A67B28">
        <w:t>pandemickej</w:t>
      </w:r>
      <w:proofErr w:type="spellEnd"/>
      <w:r w:rsidRPr="00A67B28">
        <w:t xml:space="preserve"> situácie.</w:t>
      </w:r>
      <w:r w:rsidRPr="00A67B28">
        <w:rPr>
          <w:color w:val="1F497D"/>
        </w:rPr>
        <w:t xml:space="preserve"> </w:t>
      </w:r>
      <w:r w:rsidRPr="00A67B28">
        <w:t>V kapitole Správa štátnych hmotných rezerv bolo vynaložených v roku 2020 107 449 tis. eur na doplnenie a tvorbu pohotovostných zásob, čo bolo o 106 105 tis. eur viac ako v roku 2019.</w:t>
      </w:r>
    </w:p>
    <w:p w14:paraId="6F8B9FC6" w14:textId="03ACAF95" w:rsidR="00563559" w:rsidRDefault="00563559" w:rsidP="00135AB2">
      <w:pPr>
        <w:spacing w:after="120" w:line="240" w:lineRule="auto"/>
        <w:ind w:left="709"/>
        <w:jc w:val="both"/>
      </w:pPr>
      <w:r w:rsidRPr="00A67B28">
        <w:t>Zo štátneho rozpočtu sa zvýšili aj dávky jednotlivcom a neziskovým právnickým osobám, z toho najmä ostatné dávky poskytované štátom z kapitoly Ministerstva práce sociálnych vecí a rodiny o 232 353 tis. eur a peňažné príspevky na kompenzáciu o 828 258 tis. eur určené na podporu zamestnanosti</w:t>
      </w:r>
      <w:r>
        <w:t xml:space="preserve"> najmä v rámci opatrenia Prvá pomoc</w:t>
      </w:r>
      <w:r w:rsidRPr="00A67B28">
        <w:t>. Transfery</w:t>
      </w:r>
      <w:r>
        <w:t xml:space="preserve"> zo štátneho rozpočtu z kapitoly Ministerstva hospodárstva nefinančným subjektom na podporu podnikania medziročne vzrástli o 214 982 tis. eur.</w:t>
      </w:r>
    </w:p>
    <w:p w14:paraId="7D2932A6" w14:textId="24206ED8" w:rsidR="00056165" w:rsidRDefault="00563559" w:rsidP="00056165">
      <w:pPr>
        <w:pStyle w:val="Odsekzoznamu"/>
        <w:numPr>
          <w:ilvl w:val="0"/>
          <w:numId w:val="24"/>
        </w:numPr>
        <w:spacing w:before="120" w:after="120"/>
        <w:jc w:val="both"/>
      </w:pPr>
      <w:r w:rsidRPr="00056165">
        <w:rPr>
          <w:b/>
        </w:rPr>
        <w:t>Transfery územnej samospráve</w:t>
      </w:r>
      <w:r>
        <w:t xml:space="preserve"> boli medziročne vyššie o 321 259 tis. eur, z toho bežné 298 134 tis. eur a kapitálové 23 125 tis. eur. Bežné transfery predstavovali najmä </w:t>
      </w:r>
      <w:r w:rsidDel="00385807">
        <w:t xml:space="preserve"> </w:t>
      </w:r>
      <w:r>
        <w:t xml:space="preserve">úhradu nákladov na prenesený výkon štátnej správy (rast o 184 061 tis. eur) a ostatné transfery (rast o 114 073 tis. eur). Najväčšie medziročné zvýšenie týchto výdavkov smerujúcich do územnej samosprávy zaznamenalo Ministerstvo vnútra SR 122 830 tis. eur, Ministerstvo práce, sociálnych vecí a rodiny SR 93 609 tis. eur a Ministerstvo kultúry SR 49 245 tis. eur. </w:t>
      </w:r>
    </w:p>
    <w:p w14:paraId="0B4929D1" w14:textId="77777777" w:rsidR="00056165" w:rsidRDefault="00056165" w:rsidP="00056165">
      <w:pPr>
        <w:pStyle w:val="Odsekzoznamu"/>
        <w:spacing w:before="120" w:after="120"/>
        <w:jc w:val="both"/>
      </w:pPr>
    </w:p>
    <w:p w14:paraId="012FCEC1" w14:textId="7E816776" w:rsidR="00056165" w:rsidRDefault="00563559" w:rsidP="00056165">
      <w:pPr>
        <w:pStyle w:val="Odsekzoznamu"/>
        <w:numPr>
          <w:ilvl w:val="0"/>
          <w:numId w:val="24"/>
        </w:numPr>
        <w:spacing w:before="120" w:after="120"/>
        <w:jc w:val="both"/>
      </w:pPr>
      <w:r w:rsidRPr="00056165">
        <w:rPr>
          <w:b/>
        </w:rPr>
        <w:t>zhoršenie akruálnych príjmov z daní</w:t>
      </w:r>
      <w:r w:rsidRPr="001400C8">
        <w:t xml:space="preserve"> (bez ŠFA) o</w:t>
      </w:r>
      <w:r>
        <w:t> 304 835 </w:t>
      </w:r>
      <w:r w:rsidRPr="001400C8">
        <w:t>tis. eur</w:t>
      </w:r>
      <w:r>
        <w:t>,</w:t>
      </w:r>
      <w:r w:rsidRPr="001400C8">
        <w:t xml:space="preserve"> z ktorých najvýraznejšie medziročne klesli pr</w:t>
      </w:r>
      <w:r>
        <w:t>íjmy zo spotrebných daní  o 139 719 tis. </w:t>
      </w:r>
      <w:r w:rsidRPr="001400C8">
        <w:t>eur , daň z príjmov právnických osôb o</w:t>
      </w:r>
      <w:r>
        <w:t> </w:t>
      </w:r>
      <w:r w:rsidRPr="001400C8">
        <w:t>67</w:t>
      </w:r>
      <w:r>
        <w:t> </w:t>
      </w:r>
      <w:r w:rsidRPr="001400C8">
        <w:t>853</w:t>
      </w:r>
      <w:r>
        <w:t> </w:t>
      </w:r>
      <w:r w:rsidRPr="001400C8">
        <w:t>tis.</w:t>
      </w:r>
      <w:r>
        <w:t> </w:t>
      </w:r>
      <w:r w:rsidRPr="001400C8">
        <w:t>eur a daň z príjmov fyzických osôb o 42</w:t>
      </w:r>
      <w:r>
        <w:t> </w:t>
      </w:r>
      <w:r w:rsidRPr="001400C8">
        <w:t>942</w:t>
      </w:r>
      <w:r>
        <w:t> </w:t>
      </w:r>
      <w:r w:rsidRPr="001400C8">
        <w:t>tis.</w:t>
      </w:r>
      <w:r>
        <w:t> </w:t>
      </w:r>
      <w:r w:rsidRPr="001400C8">
        <w:t>eur.</w:t>
      </w:r>
      <w:r>
        <w:t xml:space="preserve"> Dôvodom bol pokles ekonomickej aktivity, zahraničného obchodu, vynútený </w:t>
      </w:r>
      <w:proofErr w:type="spellStart"/>
      <w:r>
        <w:t>lockdown</w:t>
      </w:r>
      <w:proofErr w:type="spellEnd"/>
      <w:r>
        <w:t xml:space="preserve"> a prepad spotreby obyvateľstva.</w:t>
      </w:r>
    </w:p>
    <w:p w14:paraId="456B0D68" w14:textId="77777777" w:rsidR="00056165" w:rsidRDefault="00056165" w:rsidP="00056165">
      <w:pPr>
        <w:pStyle w:val="Odsekzoznamu"/>
        <w:spacing w:before="120" w:after="120"/>
        <w:jc w:val="both"/>
      </w:pPr>
    </w:p>
    <w:p w14:paraId="19F6429C" w14:textId="3EF0CEC5" w:rsidR="00056165" w:rsidRDefault="00563559" w:rsidP="00056165">
      <w:pPr>
        <w:pStyle w:val="Odsekzoznamu"/>
        <w:numPr>
          <w:ilvl w:val="0"/>
          <w:numId w:val="24"/>
        </w:numPr>
        <w:spacing w:before="120" w:after="120"/>
        <w:jc w:val="both"/>
      </w:pPr>
      <w:r w:rsidRPr="00056165">
        <w:rPr>
          <w:b/>
        </w:rPr>
        <w:t>transfery Sociálnej poisťovni</w:t>
      </w:r>
      <w:r w:rsidRPr="001400C8">
        <w:t xml:space="preserve"> vo výške </w:t>
      </w:r>
      <w:r w:rsidRPr="007A536F">
        <w:t>969 865 tis</w:t>
      </w:r>
      <w:r w:rsidRPr="001400C8">
        <w:t>.</w:t>
      </w:r>
      <w:r>
        <w:t> </w:t>
      </w:r>
      <w:r w:rsidRPr="001400C8">
        <w:t xml:space="preserve">eur a zdravotným poisťovniam vo výške </w:t>
      </w:r>
      <w:r w:rsidRPr="00C026DD">
        <w:t>168 000</w:t>
      </w:r>
      <w:r>
        <w:t> tis. </w:t>
      </w:r>
      <w:r w:rsidRPr="001400C8">
        <w:t xml:space="preserve">eur, tieto transfery sa v rámci verejnej správy </w:t>
      </w:r>
      <w:proofErr w:type="spellStart"/>
      <w:r w:rsidRPr="001400C8">
        <w:t>vykonsolidovali</w:t>
      </w:r>
      <w:proofErr w:type="spellEnd"/>
      <w:r w:rsidRPr="001400C8">
        <w:t>.</w:t>
      </w:r>
      <w:r>
        <w:t xml:space="preserve"> V roku 2019 na </w:t>
      </w:r>
      <w:r w:rsidRPr="0048542E">
        <w:t xml:space="preserve">rozdiel od roku 2020 nebolo nutné tieto výdavky </w:t>
      </w:r>
      <w:r>
        <w:t xml:space="preserve">zo štátneho rozpočtu do poisťovní </w:t>
      </w:r>
      <w:r w:rsidRPr="0048542E">
        <w:t>z dôvodu nedostatku zdrojov realizovať.</w:t>
      </w:r>
    </w:p>
    <w:p w14:paraId="37392F0A" w14:textId="77777777" w:rsidR="00056165" w:rsidRDefault="00056165" w:rsidP="00056165">
      <w:pPr>
        <w:pStyle w:val="Odsekzoznamu"/>
        <w:spacing w:before="120" w:after="120"/>
        <w:jc w:val="both"/>
      </w:pPr>
    </w:p>
    <w:p w14:paraId="39A402C5" w14:textId="2B5BFFE1" w:rsidR="00056165" w:rsidRDefault="00563559" w:rsidP="00056165">
      <w:pPr>
        <w:pStyle w:val="Odsekzoznamu"/>
        <w:numPr>
          <w:ilvl w:val="0"/>
          <w:numId w:val="24"/>
        </w:numPr>
        <w:spacing w:before="120" w:after="120"/>
        <w:jc w:val="both"/>
      </w:pPr>
      <w:r w:rsidRPr="00056165">
        <w:rPr>
          <w:b/>
        </w:rPr>
        <w:t>príjmy štátneho rozpočtu z ESA dividend</w:t>
      </w:r>
      <w:r w:rsidRPr="0048542E">
        <w:t xml:space="preserve"> zaznamenali </w:t>
      </w:r>
      <w:r>
        <w:t xml:space="preserve">medziročný </w:t>
      </w:r>
      <w:r w:rsidRPr="0048542E">
        <w:t>pokles o 45 859 tis. eur,</w:t>
      </w:r>
      <w:r>
        <w:t xml:space="preserve"> ale naopak </w:t>
      </w:r>
      <w:proofErr w:type="spellStart"/>
      <w:r>
        <w:t>superdividenda</w:t>
      </w:r>
      <w:proofErr w:type="spellEnd"/>
      <w:r>
        <w:t>, ktorá nie je ESA príjmom bola vyššie o 40 288 tis. eur.</w:t>
      </w:r>
    </w:p>
    <w:p w14:paraId="0374310F" w14:textId="77777777" w:rsidR="00056165" w:rsidRDefault="00056165" w:rsidP="00056165">
      <w:pPr>
        <w:pStyle w:val="Odsekzoznamu"/>
        <w:spacing w:before="120" w:after="120"/>
        <w:jc w:val="both"/>
      </w:pPr>
    </w:p>
    <w:p w14:paraId="69C021F3" w14:textId="0EE93585" w:rsidR="00056165" w:rsidRDefault="00563559" w:rsidP="00056165">
      <w:pPr>
        <w:pStyle w:val="Odsekzoznamu"/>
        <w:numPr>
          <w:ilvl w:val="0"/>
          <w:numId w:val="24"/>
        </w:numPr>
        <w:spacing w:before="120" w:after="120"/>
        <w:jc w:val="both"/>
      </w:pPr>
      <w:r w:rsidRPr="00056165">
        <w:rPr>
          <w:b/>
        </w:rPr>
        <w:t>vplyv zaznamenania transakcií v súvislosti zo zelenou energiou</w:t>
      </w:r>
      <w:r>
        <w:t xml:space="preserve"> bol medziročne negatívnejší o 115 410 tis. eur, </w:t>
      </w:r>
      <w:r w:rsidRPr="0048542E">
        <w:t>imputované výdavkové subvencie na zelenú energiu sa medziročne zvýšili o 168 220 tis. eur, čo bolo čiastočne kompenzované vyššími imputovanými daňovými</w:t>
      </w:r>
      <w:r w:rsidRPr="001400C8">
        <w:t xml:space="preserve"> príjmami zo zelenej energie o 52</w:t>
      </w:r>
      <w:r>
        <w:t> </w:t>
      </w:r>
      <w:r w:rsidRPr="001400C8">
        <w:t>810</w:t>
      </w:r>
      <w:r>
        <w:t> </w:t>
      </w:r>
      <w:r w:rsidRPr="001400C8">
        <w:t>tis.</w:t>
      </w:r>
      <w:r>
        <w:t> </w:t>
      </w:r>
      <w:r w:rsidRPr="001400C8">
        <w:t>eur.</w:t>
      </w:r>
    </w:p>
    <w:p w14:paraId="23B6DE73" w14:textId="77777777" w:rsidR="00056165" w:rsidRDefault="00056165" w:rsidP="00056165">
      <w:pPr>
        <w:pStyle w:val="Odsekzoznamu"/>
        <w:spacing w:before="120" w:after="120"/>
        <w:jc w:val="both"/>
      </w:pPr>
    </w:p>
    <w:p w14:paraId="05464FC7" w14:textId="10DC2D3C" w:rsidR="00563559" w:rsidRDefault="00563559" w:rsidP="00056165">
      <w:pPr>
        <w:pStyle w:val="Odsekzoznamu"/>
        <w:numPr>
          <w:ilvl w:val="0"/>
          <w:numId w:val="24"/>
        </w:numPr>
        <w:spacing w:before="120" w:after="120"/>
        <w:jc w:val="both"/>
      </w:pPr>
      <w:r w:rsidRPr="00056165">
        <w:rPr>
          <w:b/>
        </w:rPr>
        <w:t xml:space="preserve">časové rozlíšenie prijatých a platených úrokov, </w:t>
      </w:r>
      <w:proofErr w:type="spellStart"/>
      <w:r w:rsidRPr="00056165">
        <w:rPr>
          <w:b/>
        </w:rPr>
        <w:t>disážia</w:t>
      </w:r>
      <w:proofErr w:type="spellEnd"/>
      <w:r w:rsidRPr="00056165">
        <w:rPr>
          <w:b/>
        </w:rPr>
        <w:t xml:space="preserve"> a prémie v štátnom dlhu</w:t>
      </w:r>
      <w:r>
        <w:t xml:space="preserve"> malo z dôvodu prijatých vyšších prémií z emitovaných štátnych dlhopisov v porovnaní s rokom 2019 negatívny vplyv vyšší o 194 341 tis. eur (v roku </w:t>
      </w:r>
      <w:r w:rsidRPr="001400C8">
        <w:t>2019 bol</w:t>
      </w:r>
      <w:r>
        <w:t xml:space="preserve"> negatívny vplyv vo výške </w:t>
      </w:r>
      <w:r w:rsidRPr="00F77326">
        <w:t>50</w:t>
      </w:r>
      <w:r>
        <w:t> </w:t>
      </w:r>
      <w:r w:rsidRPr="00F77326">
        <w:t>478 </w:t>
      </w:r>
      <w:r>
        <w:t>tis. eur a v roku 2020 negatívny vplyv vo výške 244 819 tis. eur).</w:t>
      </w:r>
    </w:p>
    <w:p w14:paraId="756F3A0A" w14:textId="1687DB71" w:rsidR="00094682" w:rsidRDefault="00094682">
      <w:pPr>
        <w:rPr>
          <w:rFonts w:cs="Book Antiqua"/>
          <w:szCs w:val="22"/>
          <w:lang w:eastAsia="sk-SK"/>
        </w:rPr>
      </w:pPr>
      <w:r>
        <w:br w:type="page"/>
      </w:r>
    </w:p>
    <w:tbl>
      <w:tblPr>
        <w:tblW w:w="9304" w:type="dxa"/>
        <w:tblLayout w:type="fixed"/>
        <w:tblCellMar>
          <w:left w:w="70" w:type="dxa"/>
          <w:right w:w="70" w:type="dxa"/>
        </w:tblCellMar>
        <w:tblLook w:val="04A0" w:firstRow="1" w:lastRow="0" w:firstColumn="1" w:lastColumn="0" w:noHBand="0" w:noVBand="1"/>
      </w:tblPr>
      <w:tblGrid>
        <w:gridCol w:w="185"/>
        <w:gridCol w:w="185"/>
        <w:gridCol w:w="2341"/>
        <w:gridCol w:w="432"/>
        <w:gridCol w:w="968"/>
        <w:gridCol w:w="992"/>
        <w:gridCol w:w="993"/>
        <w:gridCol w:w="1134"/>
        <w:gridCol w:w="1134"/>
        <w:gridCol w:w="940"/>
      </w:tblGrid>
      <w:tr w:rsidR="00563559" w:rsidRPr="00A97D79" w14:paraId="120DA1B2" w14:textId="77777777" w:rsidTr="00094682">
        <w:trPr>
          <w:trHeight w:val="264"/>
        </w:trPr>
        <w:tc>
          <w:tcPr>
            <w:tcW w:w="7230" w:type="dxa"/>
            <w:gridSpan w:val="8"/>
            <w:tcBorders>
              <w:top w:val="nil"/>
              <w:left w:val="nil"/>
              <w:bottom w:val="single" w:sz="4" w:space="0" w:color="auto"/>
              <w:right w:val="nil"/>
            </w:tcBorders>
            <w:shd w:val="clear" w:color="000000" w:fill="000000"/>
            <w:noWrap/>
            <w:vAlign w:val="center"/>
            <w:hideMark/>
          </w:tcPr>
          <w:p w14:paraId="47128D0A" w14:textId="56A6EAB3" w:rsidR="00563559" w:rsidRPr="00A97D79" w:rsidRDefault="00884682" w:rsidP="00884682">
            <w:pPr>
              <w:pStyle w:val="popistabuliek"/>
            </w:pPr>
            <w:r w:rsidRPr="00884682">
              <w:lastRenderedPageBreak/>
              <w:t xml:space="preserve">Tab. </w:t>
            </w:r>
            <w:r>
              <w:t>5</w:t>
            </w:r>
            <w:r w:rsidRPr="00884682">
              <w:t xml:space="preserve"> - </w:t>
            </w:r>
            <w:r w:rsidR="00563559" w:rsidRPr="00A97D79">
              <w:t xml:space="preserve">Schodok verejnej správy podľa jednotlivých (skupín) subjektov                                                                </w:t>
            </w:r>
          </w:p>
        </w:tc>
        <w:tc>
          <w:tcPr>
            <w:tcW w:w="1134" w:type="dxa"/>
            <w:tcBorders>
              <w:top w:val="nil"/>
              <w:left w:val="nil"/>
              <w:bottom w:val="single" w:sz="4" w:space="0" w:color="auto"/>
              <w:right w:val="nil"/>
            </w:tcBorders>
            <w:shd w:val="clear" w:color="000000" w:fill="000000"/>
            <w:noWrap/>
            <w:vAlign w:val="center"/>
            <w:hideMark/>
          </w:tcPr>
          <w:p w14:paraId="2DB998C4" w14:textId="77777777" w:rsidR="00563559" w:rsidRPr="00A97D79" w:rsidRDefault="00563559" w:rsidP="00884682">
            <w:pPr>
              <w:pStyle w:val="popistabuliek"/>
            </w:pPr>
          </w:p>
        </w:tc>
        <w:tc>
          <w:tcPr>
            <w:tcW w:w="940" w:type="dxa"/>
            <w:tcBorders>
              <w:top w:val="nil"/>
              <w:left w:val="nil"/>
              <w:bottom w:val="nil"/>
              <w:right w:val="nil"/>
            </w:tcBorders>
            <w:shd w:val="clear" w:color="000000" w:fill="000000"/>
            <w:noWrap/>
            <w:vAlign w:val="center"/>
            <w:hideMark/>
          </w:tcPr>
          <w:p w14:paraId="442672C4" w14:textId="77777777" w:rsidR="00563559" w:rsidRPr="00A97D79" w:rsidRDefault="00563559" w:rsidP="00884682">
            <w:pPr>
              <w:pStyle w:val="popistabuliek"/>
            </w:pPr>
            <w:r w:rsidRPr="00A97D79">
              <w:t xml:space="preserve">   v tis. eur</w:t>
            </w:r>
          </w:p>
        </w:tc>
      </w:tr>
      <w:tr w:rsidR="00563559" w:rsidRPr="00A97D79" w14:paraId="55EB6A6A" w14:textId="77777777" w:rsidTr="00094682">
        <w:trPr>
          <w:trHeight w:val="456"/>
        </w:trPr>
        <w:tc>
          <w:tcPr>
            <w:tcW w:w="185" w:type="dxa"/>
            <w:tcBorders>
              <w:top w:val="nil"/>
              <w:left w:val="nil"/>
              <w:bottom w:val="nil"/>
              <w:right w:val="nil"/>
            </w:tcBorders>
            <w:shd w:val="clear" w:color="000000" w:fill="BFBFBF"/>
            <w:noWrap/>
            <w:vAlign w:val="center"/>
            <w:hideMark/>
          </w:tcPr>
          <w:p w14:paraId="3000F0FF"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 </w:t>
            </w:r>
          </w:p>
        </w:tc>
        <w:tc>
          <w:tcPr>
            <w:tcW w:w="2526" w:type="dxa"/>
            <w:gridSpan w:val="2"/>
            <w:tcBorders>
              <w:top w:val="nil"/>
              <w:left w:val="nil"/>
              <w:bottom w:val="nil"/>
              <w:right w:val="nil"/>
            </w:tcBorders>
            <w:shd w:val="clear" w:color="000000" w:fill="BFBFBF"/>
            <w:noWrap/>
            <w:vAlign w:val="center"/>
            <w:hideMark/>
          </w:tcPr>
          <w:p w14:paraId="2F2A3D7B"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 </w:t>
            </w:r>
          </w:p>
        </w:tc>
        <w:tc>
          <w:tcPr>
            <w:tcW w:w="432" w:type="dxa"/>
            <w:tcBorders>
              <w:top w:val="nil"/>
              <w:left w:val="nil"/>
              <w:bottom w:val="nil"/>
              <w:right w:val="nil"/>
            </w:tcBorders>
            <w:shd w:val="clear" w:color="000000" w:fill="BFBFBF"/>
            <w:noWrap/>
            <w:vAlign w:val="center"/>
            <w:hideMark/>
          </w:tcPr>
          <w:p w14:paraId="02855F2B"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 </w:t>
            </w:r>
          </w:p>
        </w:tc>
        <w:tc>
          <w:tcPr>
            <w:tcW w:w="2953" w:type="dxa"/>
            <w:gridSpan w:val="3"/>
            <w:tcBorders>
              <w:top w:val="single" w:sz="4" w:space="0" w:color="auto"/>
              <w:left w:val="nil"/>
              <w:bottom w:val="nil"/>
              <w:right w:val="nil"/>
            </w:tcBorders>
            <w:shd w:val="clear" w:color="000000" w:fill="BFBFBF"/>
            <w:noWrap/>
            <w:vAlign w:val="center"/>
            <w:hideMark/>
          </w:tcPr>
          <w:p w14:paraId="51A0B309"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Skutočnosť</w:t>
            </w:r>
          </w:p>
        </w:tc>
        <w:tc>
          <w:tcPr>
            <w:tcW w:w="1134" w:type="dxa"/>
            <w:tcBorders>
              <w:top w:val="nil"/>
              <w:left w:val="nil"/>
              <w:bottom w:val="nil"/>
              <w:right w:val="nil"/>
            </w:tcBorders>
            <w:shd w:val="clear" w:color="000000" w:fill="BFBFBF"/>
            <w:vAlign w:val="center"/>
            <w:hideMark/>
          </w:tcPr>
          <w:p w14:paraId="1D0145E1"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Rozpočet po novele ŠR</w:t>
            </w:r>
          </w:p>
        </w:tc>
        <w:tc>
          <w:tcPr>
            <w:tcW w:w="1134" w:type="dxa"/>
            <w:tcBorders>
              <w:top w:val="nil"/>
              <w:left w:val="nil"/>
              <w:bottom w:val="nil"/>
              <w:right w:val="nil"/>
            </w:tcBorders>
            <w:shd w:val="clear" w:color="000000" w:fill="BFBFBF"/>
            <w:vAlign w:val="center"/>
            <w:hideMark/>
          </w:tcPr>
          <w:p w14:paraId="54E2788B" w14:textId="77777777" w:rsidR="00563559" w:rsidRPr="00A97D79" w:rsidRDefault="00563559" w:rsidP="00094682">
            <w:pPr>
              <w:spacing w:after="0" w:line="240" w:lineRule="auto"/>
              <w:jc w:val="center"/>
              <w:rPr>
                <w:b/>
                <w:bCs/>
                <w:sz w:val="18"/>
                <w:szCs w:val="18"/>
                <w:lang w:eastAsia="sk-SK"/>
              </w:rPr>
            </w:pPr>
            <w:r>
              <w:rPr>
                <w:b/>
                <w:bCs/>
                <w:sz w:val="18"/>
                <w:szCs w:val="18"/>
                <w:lang w:eastAsia="sk-SK"/>
              </w:rPr>
              <w:t xml:space="preserve">Medziročný </w:t>
            </w:r>
          </w:p>
        </w:tc>
        <w:tc>
          <w:tcPr>
            <w:tcW w:w="940" w:type="dxa"/>
            <w:tcBorders>
              <w:top w:val="nil"/>
              <w:left w:val="nil"/>
              <w:bottom w:val="nil"/>
              <w:right w:val="nil"/>
            </w:tcBorders>
            <w:shd w:val="clear" w:color="000000" w:fill="BFBFBF"/>
            <w:vAlign w:val="center"/>
            <w:hideMark/>
          </w:tcPr>
          <w:p w14:paraId="0F3741FE"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 xml:space="preserve">Rozdiel </w:t>
            </w:r>
            <w:r w:rsidRPr="00A97D79">
              <w:rPr>
                <w:b/>
                <w:bCs/>
                <w:sz w:val="18"/>
                <w:szCs w:val="18"/>
                <w:lang w:eastAsia="sk-SK"/>
              </w:rPr>
              <w:br/>
              <w:t>S-R</w:t>
            </w:r>
          </w:p>
        </w:tc>
      </w:tr>
      <w:tr w:rsidR="00563559" w:rsidRPr="00A97D79" w14:paraId="79E41360" w14:textId="77777777" w:rsidTr="00094682">
        <w:trPr>
          <w:trHeight w:val="264"/>
        </w:trPr>
        <w:tc>
          <w:tcPr>
            <w:tcW w:w="185" w:type="dxa"/>
            <w:tcBorders>
              <w:top w:val="nil"/>
              <w:left w:val="nil"/>
              <w:bottom w:val="nil"/>
              <w:right w:val="nil"/>
            </w:tcBorders>
            <w:shd w:val="clear" w:color="000000" w:fill="BFBFBF"/>
            <w:noWrap/>
            <w:vAlign w:val="center"/>
            <w:hideMark/>
          </w:tcPr>
          <w:p w14:paraId="435E46BD"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 </w:t>
            </w:r>
          </w:p>
        </w:tc>
        <w:tc>
          <w:tcPr>
            <w:tcW w:w="2526" w:type="dxa"/>
            <w:gridSpan w:val="2"/>
            <w:tcBorders>
              <w:top w:val="nil"/>
              <w:left w:val="nil"/>
              <w:bottom w:val="nil"/>
              <w:right w:val="nil"/>
            </w:tcBorders>
            <w:shd w:val="clear" w:color="000000" w:fill="BFBFBF"/>
            <w:noWrap/>
            <w:vAlign w:val="center"/>
            <w:hideMark/>
          </w:tcPr>
          <w:p w14:paraId="12CC9F86"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 </w:t>
            </w:r>
          </w:p>
        </w:tc>
        <w:tc>
          <w:tcPr>
            <w:tcW w:w="432" w:type="dxa"/>
            <w:tcBorders>
              <w:top w:val="nil"/>
              <w:left w:val="nil"/>
              <w:bottom w:val="nil"/>
              <w:right w:val="nil"/>
            </w:tcBorders>
            <w:shd w:val="clear" w:color="000000" w:fill="BFBFBF"/>
            <w:noWrap/>
            <w:vAlign w:val="center"/>
            <w:hideMark/>
          </w:tcPr>
          <w:p w14:paraId="4F108982"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 </w:t>
            </w:r>
          </w:p>
        </w:tc>
        <w:tc>
          <w:tcPr>
            <w:tcW w:w="968" w:type="dxa"/>
            <w:tcBorders>
              <w:top w:val="nil"/>
              <w:left w:val="nil"/>
              <w:bottom w:val="nil"/>
              <w:right w:val="nil"/>
            </w:tcBorders>
            <w:shd w:val="clear" w:color="000000" w:fill="BFBFBF"/>
            <w:noWrap/>
            <w:vAlign w:val="center"/>
            <w:hideMark/>
          </w:tcPr>
          <w:p w14:paraId="4878120C"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2018</w:t>
            </w:r>
          </w:p>
        </w:tc>
        <w:tc>
          <w:tcPr>
            <w:tcW w:w="992" w:type="dxa"/>
            <w:tcBorders>
              <w:top w:val="nil"/>
              <w:left w:val="nil"/>
              <w:bottom w:val="nil"/>
              <w:right w:val="nil"/>
            </w:tcBorders>
            <w:shd w:val="clear" w:color="000000" w:fill="BFBFBF"/>
            <w:noWrap/>
            <w:vAlign w:val="center"/>
            <w:hideMark/>
          </w:tcPr>
          <w:p w14:paraId="41593DB0"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2019</w:t>
            </w:r>
          </w:p>
        </w:tc>
        <w:tc>
          <w:tcPr>
            <w:tcW w:w="993" w:type="dxa"/>
            <w:tcBorders>
              <w:top w:val="nil"/>
              <w:left w:val="nil"/>
              <w:bottom w:val="nil"/>
              <w:right w:val="nil"/>
            </w:tcBorders>
            <w:shd w:val="clear" w:color="000000" w:fill="BFBFBF"/>
            <w:noWrap/>
            <w:vAlign w:val="center"/>
            <w:hideMark/>
          </w:tcPr>
          <w:p w14:paraId="17A04EEC"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2020</w:t>
            </w:r>
          </w:p>
        </w:tc>
        <w:tc>
          <w:tcPr>
            <w:tcW w:w="1134" w:type="dxa"/>
            <w:tcBorders>
              <w:top w:val="nil"/>
              <w:left w:val="nil"/>
              <w:bottom w:val="nil"/>
              <w:right w:val="nil"/>
            </w:tcBorders>
            <w:shd w:val="clear" w:color="000000" w:fill="BFBFBF"/>
            <w:noWrap/>
            <w:vAlign w:val="center"/>
            <w:hideMark/>
          </w:tcPr>
          <w:p w14:paraId="7C00803C"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2020</w:t>
            </w:r>
          </w:p>
        </w:tc>
        <w:tc>
          <w:tcPr>
            <w:tcW w:w="1134" w:type="dxa"/>
            <w:tcBorders>
              <w:top w:val="nil"/>
              <w:left w:val="nil"/>
              <w:bottom w:val="nil"/>
              <w:right w:val="nil"/>
            </w:tcBorders>
            <w:shd w:val="clear" w:color="000000" w:fill="BFBFBF"/>
            <w:noWrap/>
            <w:hideMark/>
          </w:tcPr>
          <w:p w14:paraId="3A446918" w14:textId="77777777" w:rsidR="00563559" w:rsidRPr="00A97D79" w:rsidRDefault="00563559" w:rsidP="00094682">
            <w:pPr>
              <w:spacing w:after="0" w:line="240" w:lineRule="auto"/>
              <w:jc w:val="center"/>
              <w:rPr>
                <w:b/>
                <w:bCs/>
                <w:sz w:val="18"/>
                <w:szCs w:val="18"/>
                <w:lang w:eastAsia="sk-SK"/>
              </w:rPr>
            </w:pPr>
            <w:r>
              <w:rPr>
                <w:b/>
                <w:bCs/>
                <w:sz w:val="18"/>
                <w:szCs w:val="18"/>
                <w:lang w:eastAsia="sk-SK"/>
              </w:rPr>
              <w:t>rozdiel</w:t>
            </w:r>
          </w:p>
        </w:tc>
        <w:tc>
          <w:tcPr>
            <w:tcW w:w="940" w:type="dxa"/>
            <w:tcBorders>
              <w:top w:val="nil"/>
              <w:left w:val="nil"/>
              <w:bottom w:val="nil"/>
              <w:right w:val="nil"/>
            </w:tcBorders>
            <w:shd w:val="clear" w:color="000000" w:fill="BFBFBF"/>
            <w:noWrap/>
            <w:vAlign w:val="center"/>
            <w:hideMark/>
          </w:tcPr>
          <w:p w14:paraId="6D809BC0"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2020</w:t>
            </w:r>
          </w:p>
        </w:tc>
      </w:tr>
      <w:tr w:rsidR="00563559" w:rsidRPr="00A97D79" w14:paraId="60D1B088" w14:textId="77777777" w:rsidTr="00094682">
        <w:trPr>
          <w:trHeight w:val="264"/>
        </w:trPr>
        <w:tc>
          <w:tcPr>
            <w:tcW w:w="185" w:type="dxa"/>
            <w:tcBorders>
              <w:top w:val="nil"/>
              <w:left w:val="nil"/>
              <w:bottom w:val="nil"/>
              <w:right w:val="nil"/>
            </w:tcBorders>
            <w:shd w:val="clear" w:color="000000" w:fill="BFBFBF"/>
            <w:noWrap/>
            <w:vAlign w:val="center"/>
            <w:hideMark/>
          </w:tcPr>
          <w:p w14:paraId="3DC8492E"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 </w:t>
            </w:r>
          </w:p>
        </w:tc>
        <w:tc>
          <w:tcPr>
            <w:tcW w:w="2526" w:type="dxa"/>
            <w:gridSpan w:val="2"/>
            <w:tcBorders>
              <w:top w:val="nil"/>
              <w:left w:val="nil"/>
              <w:bottom w:val="nil"/>
              <w:right w:val="nil"/>
            </w:tcBorders>
            <w:shd w:val="clear" w:color="000000" w:fill="BFBFBF"/>
            <w:noWrap/>
            <w:vAlign w:val="center"/>
            <w:hideMark/>
          </w:tcPr>
          <w:p w14:paraId="47AC3490"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 </w:t>
            </w:r>
          </w:p>
        </w:tc>
        <w:tc>
          <w:tcPr>
            <w:tcW w:w="432" w:type="dxa"/>
            <w:tcBorders>
              <w:top w:val="nil"/>
              <w:left w:val="nil"/>
              <w:bottom w:val="nil"/>
              <w:right w:val="nil"/>
            </w:tcBorders>
            <w:shd w:val="clear" w:color="000000" w:fill="BFBFBF"/>
            <w:noWrap/>
            <w:vAlign w:val="center"/>
            <w:hideMark/>
          </w:tcPr>
          <w:p w14:paraId="346963C3"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 </w:t>
            </w:r>
          </w:p>
        </w:tc>
        <w:tc>
          <w:tcPr>
            <w:tcW w:w="968" w:type="dxa"/>
            <w:tcBorders>
              <w:top w:val="nil"/>
              <w:left w:val="nil"/>
              <w:bottom w:val="nil"/>
              <w:right w:val="nil"/>
            </w:tcBorders>
            <w:shd w:val="clear" w:color="000000" w:fill="BFBFBF"/>
            <w:noWrap/>
            <w:vAlign w:val="center"/>
            <w:hideMark/>
          </w:tcPr>
          <w:p w14:paraId="4A24F573"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1</w:t>
            </w:r>
          </w:p>
        </w:tc>
        <w:tc>
          <w:tcPr>
            <w:tcW w:w="992" w:type="dxa"/>
            <w:tcBorders>
              <w:top w:val="nil"/>
              <w:left w:val="nil"/>
              <w:bottom w:val="nil"/>
              <w:right w:val="nil"/>
            </w:tcBorders>
            <w:shd w:val="clear" w:color="000000" w:fill="BFBFBF"/>
            <w:noWrap/>
            <w:vAlign w:val="center"/>
            <w:hideMark/>
          </w:tcPr>
          <w:p w14:paraId="06E90CCE"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2</w:t>
            </w:r>
          </w:p>
        </w:tc>
        <w:tc>
          <w:tcPr>
            <w:tcW w:w="993" w:type="dxa"/>
            <w:tcBorders>
              <w:top w:val="nil"/>
              <w:left w:val="nil"/>
              <w:bottom w:val="nil"/>
              <w:right w:val="nil"/>
            </w:tcBorders>
            <w:shd w:val="clear" w:color="000000" w:fill="BFBFBF"/>
            <w:noWrap/>
            <w:vAlign w:val="center"/>
            <w:hideMark/>
          </w:tcPr>
          <w:p w14:paraId="359CEE03"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3</w:t>
            </w:r>
          </w:p>
        </w:tc>
        <w:tc>
          <w:tcPr>
            <w:tcW w:w="1134" w:type="dxa"/>
            <w:tcBorders>
              <w:top w:val="nil"/>
              <w:left w:val="nil"/>
              <w:bottom w:val="nil"/>
              <w:right w:val="nil"/>
            </w:tcBorders>
            <w:shd w:val="clear" w:color="000000" w:fill="BFBFBF"/>
            <w:noWrap/>
            <w:vAlign w:val="center"/>
            <w:hideMark/>
          </w:tcPr>
          <w:p w14:paraId="6063C540"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4</w:t>
            </w:r>
          </w:p>
        </w:tc>
        <w:tc>
          <w:tcPr>
            <w:tcW w:w="1134" w:type="dxa"/>
            <w:tcBorders>
              <w:top w:val="nil"/>
              <w:left w:val="nil"/>
              <w:bottom w:val="nil"/>
              <w:right w:val="nil"/>
            </w:tcBorders>
            <w:shd w:val="clear" w:color="000000" w:fill="BFBFBF"/>
            <w:noWrap/>
            <w:vAlign w:val="center"/>
            <w:hideMark/>
          </w:tcPr>
          <w:p w14:paraId="6E93121F"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5=3-2</w:t>
            </w:r>
          </w:p>
        </w:tc>
        <w:tc>
          <w:tcPr>
            <w:tcW w:w="940" w:type="dxa"/>
            <w:tcBorders>
              <w:top w:val="nil"/>
              <w:left w:val="nil"/>
              <w:bottom w:val="nil"/>
              <w:right w:val="nil"/>
            </w:tcBorders>
            <w:shd w:val="clear" w:color="000000" w:fill="BFBFBF"/>
            <w:noWrap/>
            <w:vAlign w:val="center"/>
            <w:hideMark/>
          </w:tcPr>
          <w:p w14:paraId="1B2B225B" w14:textId="77777777" w:rsidR="00563559" w:rsidRPr="00A97D79" w:rsidRDefault="00563559" w:rsidP="00094682">
            <w:pPr>
              <w:spacing w:after="0" w:line="240" w:lineRule="auto"/>
              <w:jc w:val="center"/>
              <w:rPr>
                <w:b/>
                <w:bCs/>
                <w:sz w:val="18"/>
                <w:szCs w:val="18"/>
                <w:lang w:eastAsia="sk-SK"/>
              </w:rPr>
            </w:pPr>
            <w:r w:rsidRPr="00A97D79">
              <w:rPr>
                <w:b/>
                <w:bCs/>
                <w:sz w:val="18"/>
                <w:szCs w:val="18"/>
                <w:lang w:eastAsia="sk-SK"/>
              </w:rPr>
              <w:t>6=3-4</w:t>
            </w:r>
          </w:p>
        </w:tc>
      </w:tr>
      <w:tr w:rsidR="00563559" w:rsidRPr="00A97D79" w14:paraId="38CBB2CA" w14:textId="77777777" w:rsidTr="00094682">
        <w:trPr>
          <w:trHeight w:val="264"/>
        </w:trPr>
        <w:tc>
          <w:tcPr>
            <w:tcW w:w="3143" w:type="dxa"/>
            <w:gridSpan w:val="4"/>
            <w:tcBorders>
              <w:top w:val="nil"/>
              <w:left w:val="nil"/>
              <w:bottom w:val="nil"/>
              <w:right w:val="nil"/>
            </w:tcBorders>
            <w:shd w:val="clear" w:color="000000" w:fill="FFFFFF"/>
            <w:noWrap/>
            <w:vAlign w:val="center"/>
            <w:hideMark/>
          </w:tcPr>
          <w:p w14:paraId="676E4970" w14:textId="77777777" w:rsidR="00563559" w:rsidRPr="00A97D79" w:rsidRDefault="00563559" w:rsidP="00094682">
            <w:pPr>
              <w:spacing w:after="0" w:line="240" w:lineRule="auto"/>
              <w:rPr>
                <w:b/>
                <w:bCs/>
                <w:color w:val="000000"/>
                <w:sz w:val="18"/>
                <w:szCs w:val="18"/>
                <w:lang w:eastAsia="sk-SK"/>
              </w:rPr>
            </w:pPr>
            <w:r w:rsidRPr="00A97D79">
              <w:rPr>
                <w:b/>
                <w:bCs/>
                <w:color w:val="000000"/>
                <w:sz w:val="18"/>
                <w:szCs w:val="18"/>
                <w:lang w:eastAsia="sk-SK"/>
              </w:rPr>
              <w:t>Ústredná správa, z toho</w:t>
            </w:r>
          </w:p>
        </w:tc>
        <w:tc>
          <w:tcPr>
            <w:tcW w:w="968" w:type="dxa"/>
            <w:tcBorders>
              <w:top w:val="nil"/>
              <w:left w:val="nil"/>
              <w:bottom w:val="nil"/>
              <w:right w:val="nil"/>
            </w:tcBorders>
            <w:shd w:val="clear" w:color="000000" w:fill="FFFFFF"/>
            <w:noWrap/>
            <w:vAlign w:val="center"/>
            <w:hideMark/>
          </w:tcPr>
          <w:p w14:paraId="0D044D72"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-1 065 255</w:t>
            </w:r>
          </w:p>
        </w:tc>
        <w:tc>
          <w:tcPr>
            <w:tcW w:w="992" w:type="dxa"/>
            <w:tcBorders>
              <w:top w:val="nil"/>
              <w:left w:val="nil"/>
              <w:bottom w:val="nil"/>
              <w:right w:val="nil"/>
            </w:tcBorders>
            <w:shd w:val="clear" w:color="000000" w:fill="FFFFFF"/>
            <w:noWrap/>
            <w:vAlign w:val="center"/>
            <w:hideMark/>
          </w:tcPr>
          <w:p w14:paraId="791BB646"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-1 568 781</w:t>
            </w:r>
          </w:p>
        </w:tc>
        <w:tc>
          <w:tcPr>
            <w:tcW w:w="993" w:type="dxa"/>
            <w:tcBorders>
              <w:top w:val="nil"/>
              <w:left w:val="nil"/>
              <w:bottom w:val="nil"/>
              <w:right w:val="nil"/>
            </w:tcBorders>
            <w:shd w:val="clear" w:color="000000" w:fill="BFBFBF"/>
            <w:noWrap/>
            <w:vAlign w:val="center"/>
            <w:hideMark/>
          </w:tcPr>
          <w:p w14:paraId="372C8D8C"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-5 590 781</w:t>
            </w:r>
          </w:p>
        </w:tc>
        <w:tc>
          <w:tcPr>
            <w:tcW w:w="1134" w:type="dxa"/>
            <w:tcBorders>
              <w:top w:val="nil"/>
              <w:left w:val="nil"/>
              <w:bottom w:val="nil"/>
              <w:right w:val="nil"/>
            </w:tcBorders>
            <w:shd w:val="clear" w:color="000000" w:fill="FFFFFF"/>
            <w:noWrap/>
            <w:vAlign w:val="center"/>
            <w:hideMark/>
          </w:tcPr>
          <w:p w14:paraId="433EFFE9"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-9 899 647</w:t>
            </w:r>
          </w:p>
        </w:tc>
        <w:tc>
          <w:tcPr>
            <w:tcW w:w="1134" w:type="dxa"/>
            <w:tcBorders>
              <w:top w:val="nil"/>
              <w:left w:val="nil"/>
              <w:bottom w:val="nil"/>
              <w:right w:val="nil"/>
            </w:tcBorders>
            <w:shd w:val="clear" w:color="auto" w:fill="auto"/>
            <w:noWrap/>
            <w:vAlign w:val="center"/>
            <w:hideMark/>
          </w:tcPr>
          <w:p w14:paraId="62EC757E"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-4 022 000</w:t>
            </w:r>
          </w:p>
        </w:tc>
        <w:tc>
          <w:tcPr>
            <w:tcW w:w="940" w:type="dxa"/>
            <w:tcBorders>
              <w:top w:val="nil"/>
              <w:left w:val="nil"/>
              <w:bottom w:val="nil"/>
              <w:right w:val="nil"/>
            </w:tcBorders>
            <w:shd w:val="clear" w:color="auto" w:fill="auto"/>
            <w:noWrap/>
            <w:vAlign w:val="center"/>
            <w:hideMark/>
          </w:tcPr>
          <w:p w14:paraId="24645989"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-4 308 866</w:t>
            </w:r>
          </w:p>
        </w:tc>
      </w:tr>
      <w:tr w:rsidR="00563559" w:rsidRPr="00A97D79" w14:paraId="3919C2C8" w14:textId="77777777" w:rsidTr="00094682">
        <w:trPr>
          <w:trHeight w:val="288"/>
        </w:trPr>
        <w:tc>
          <w:tcPr>
            <w:tcW w:w="185" w:type="dxa"/>
            <w:tcBorders>
              <w:top w:val="nil"/>
              <w:left w:val="nil"/>
              <w:bottom w:val="nil"/>
              <w:right w:val="nil"/>
            </w:tcBorders>
            <w:shd w:val="clear" w:color="000000" w:fill="FFFFFF"/>
            <w:noWrap/>
            <w:vAlign w:val="center"/>
            <w:hideMark/>
          </w:tcPr>
          <w:p w14:paraId="7996B6F0"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 </w:t>
            </w:r>
          </w:p>
        </w:tc>
        <w:tc>
          <w:tcPr>
            <w:tcW w:w="2958" w:type="dxa"/>
            <w:gridSpan w:val="3"/>
            <w:tcBorders>
              <w:top w:val="nil"/>
              <w:left w:val="nil"/>
              <w:bottom w:val="nil"/>
              <w:right w:val="nil"/>
            </w:tcBorders>
            <w:shd w:val="clear" w:color="000000" w:fill="FFFFFF"/>
            <w:noWrap/>
            <w:vAlign w:val="center"/>
            <w:hideMark/>
          </w:tcPr>
          <w:p w14:paraId="25F500F0" w14:textId="77777777" w:rsidR="00563559" w:rsidRPr="00A97D79" w:rsidRDefault="00563559" w:rsidP="00094682">
            <w:pPr>
              <w:spacing w:after="0" w:line="240" w:lineRule="auto"/>
              <w:rPr>
                <w:sz w:val="18"/>
                <w:szCs w:val="18"/>
                <w:lang w:eastAsia="sk-SK"/>
              </w:rPr>
            </w:pPr>
            <w:r w:rsidRPr="00A97D79">
              <w:rPr>
                <w:sz w:val="18"/>
                <w:szCs w:val="18"/>
                <w:lang w:eastAsia="sk-SK"/>
              </w:rPr>
              <w:t>Štátny rozpočet</w:t>
            </w:r>
            <w:r w:rsidRPr="00A97D79">
              <w:rPr>
                <w:sz w:val="18"/>
                <w:szCs w:val="18"/>
                <w:vertAlign w:val="superscript"/>
                <w:lang w:eastAsia="sk-SK"/>
              </w:rPr>
              <w:t>1</w:t>
            </w:r>
            <w:r w:rsidRPr="00A97D79">
              <w:rPr>
                <w:color w:val="000000"/>
                <w:sz w:val="18"/>
                <w:szCs w:val="18"/>
                <w:vertAlign w:val="superscript"/>
                <w:lang w:eastAsia="sk-SK"/>
              </w:rPr>
              <w:t>)</w:t>
            </w:r>
          </w:p>
        </w:tc>
        <w:tc>
          <w:tcPr>
            <w:tcW w:w="968" w:type="dxa"/>
            <w:tcBorders>
              <w:top w:val="nil"/>
              <w:left w:val="nil"/>
              <w:bottom w:val="nil"/>
              <w:right w:val="nil"/>
            </w:tcBorders>
            <w:shd w:val="clear" w:color="000000" w:fill="FFFFFF"/>
            <w:noWrap/>
            <w:vAlign w:val="center"/>
            <w:hideMark/>
          </w:tcPr>
          <w:p w14:paraId="4331B275"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-1 498 741</w:t>
            </w:r>
          </w:p>
        </w:tc>
        <w:tc>
          <w:tcPr>
            <w:tcW w:w="992" w:type="dxa"/>
            <w:tcBorders>
              <w:top w:val="nil"/>
              <w:left w:val="nil"/>
              <w:bottom w:val="nil"/>
              <w:right w:val="nil"/>
            </w:tcBorders>
            <w:shd w:val="clear" w:color="000000" w:fill="FFFFFF"/>
            <w:noWrap/>
            <w:vAlign w:val="center"/>
            <w:hideMark/>
          </w:tcPr>
          <w:p w14:paraId="6497FFFA"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-1 774 115</w:t>
            </w:r>
          </w:p>
        </w:tc>
        <w:tc>
          <w:tcPr>
            <w:tcW w:w="993" w:type="dxa"/>
            <w:tcBorders>
              <w:top w:val="nil"/>
              <w:left w:val="nil"/>
              <w:bottom w:val="nil"/>
              <w:right w:val="nil"/>
            </w:tcBorders>
            <w:shd w:val="clear" w:color="000000" w:fill="BFBFBF"/>
            <w:noWrap/>
            <w:vAlign w:val="center"/>
            <w:hideMark/>
          </w:tcPr>
          <w:p w14:paraId="364412FB"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-5 834 164</w:t>
            </w:r>
          </w:p>
        </w:tc>
        <w:tc>
          <w:tcPr>
            <w:tcW w:w="1134" w:type="dxa"/>
            <w:tcBorders>
              <w:top w:val="nil"/>
              <w:left w:val="nil"/>
              <w:bottom w:val="nil"/>
              <w:right w:val="nil"/>
            </w:tcBorders>
            <w:shd w:val="clear" w:color="000000" w:fill="FFFFFF"/>
            <w:noWrap/>
            <w:vAlign w:val="center"/>
            <w:hideMark/>
          </w:tcPr>
          <w:p w14:paraId="6C98F601"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-9 833 796</w:t>
            </w:r>
          </w:p>
        </w:tc>
        <w:tc>
          <w:tcPr>
            <w:tcW w:w="1134" w:type="dxa"/>
            <w:tcBorders>
              <w:top w:val="nil"/>
              <w:left w:val="nil"/>
              <w:bottom w:val="nil"/>
              <w:right w:val="nil"/>
            </w:tcBorders>
            <w:shd w:val="clear" w:color="auto" w:fill="auto"/>
            <w:noWrap/>
            <w:vAlign w:val="center"/>
            <w:hideMark/>
          </w:tcPr>
          <w:p w14:paraId="432287DD"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-4 060 049</w:t>
            </w:r>
          </w:p>
        </w:tc>
        <w:tc>
          <w:tcPr>
            <w:tcW w:w="940" w:type="dxa"/>
            <w:tcBorders>
              <w:top w:val="nil"/>
              <w:left w:val="nil"/>
              <w:bottom w:val="nil"/>
              <w:right w:val="nil"/>
            </w:tcBorders>
            <w:shd w:val="clear" w:color="auto" w:fill="auto"/>
            <w:noWrap/>
            <w:vAlign w:val="center"/>
            <w:hideMark/>
          </w:tcPr>
          <w:p w14:paraId="1EC2FABC"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-3 999 632</w:t>
            </w:r>
          </w:p>
        </w:tc>
      </w:tr>
      <w:tr w:rsidR="00563559" w:rsidRPr="00A97D79" w14:paraId="7386452D" w14:textId="77777777" w:rsidTr="00094682">
        <w:trPr>
          <w:trHeight w:val="264"/>
        </w:trPr>
        <w:tc>
          <w:tcPr>
            <w:tcW w:w="185" w:type="dxa"/>
            <w:tcBorders>
              <w:top w:val="nil"/>
              <w:left w:val="nil"/>
              <w:bottom w:val="nil"/>
              <w:right w:val="nil"/>
            </w:tcBorders>
            <w:shd w:val="clear" w:color="000000" w:fill="FFFFFF"/>
            <w:noWrap/>
            <w:vAlign w:val="center"/>
            <w:hideMark/>
          </w:tcPr>
          <w:p w14:paraId="2C524D3F"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 </w:t>
            </w:r>
          </w:p>
        </w:tc>
        <w:tc>
          <w:tcPr>
            <w:tcW w:w="2958" w:type="dxa"/>
            <w:gridSpan w:val="3"/>
            <w:tcBorders>
              <w:top w:val="nil"/>
              <w:left w:val="nil"/>
              <w:bottom w:val="nil"/>
              <w:right w:val="nil"/>
            </w:tcBorders>
            <w:shd w:val="clear" w:color="000000" w:fill="FFFFFF"/>
            <w:noWrap/>
            <w:vAlign w:val="center"/>
            <w:hideMark/>
          </w:tcPr>
          <w:p w14:paraId="6C6A3483" w14:textId="77777777" w:rsidR="00563559" w:rsidRPr="00A97D79" w:rsidRDefault="00563559" w:rsidP="00094682">
            <w:pPr>
              <w:spacing w:after="0" w:line="240" w:lineRule="auto"/>
              <w:rPr>
                <w:sz w:val="18"/>
                <w:szCs w:val="18"/>
                <w:lang w:eastAsia="sk-SK"/>
              </w:rPr>
            </w:pPr>
            <w:r w:rsidRPr="00A97D79">
              <w:rPr>
                <w:sz w:val="18"/>
                <w:szCs w:val="18"/>
                <w:lang w:eastAsia="sk-SK"/>
              </w:rPr>
              <w:t xml:space="preserve">Príspevkové organizácie </w:t>
            </w:r>
          </w:p>
        </w:tc>
        <w:tc>
          <w:tcPr>
            <w:tcW w:w="968" w:type="dxa"/>
            <w:tcBorders>
              <w:top w:val="nil"/>
              <w:left w:val="nil"/>
              <w:bottom w:val="nil"/>
              <w:right w:val="nil"/>
            </w:tcBorders>
            <w:shd w:val="clear" w:color="000000" w:fill="FFFFFF"/>
            <w:noWrap/>
            <w:vAlign w:val="center"/>
            <w:hideMark/>
          </w:tcPr>
          <w:p w14:paraId="416D827F"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2 002</w:t>
            </w:r>
          </w:p>
        </w:tc>
        <w:tc>
          <w:tcPr>
            <w:tcW w:w="992" w:type="dxa"/>
            <w:tcBorders>
              <w:top w:val="nil"/>
              <w:left w:val="nil"/>
              <w:bottom w:val="nil"/>
              <w:right w:val="nil"/>
            </w:tcBorders>
            <w:shd w:val="clear" w:color="000000" w:fill="FFFFFF"/>
            <w:noWrap/>
            <w:vAlign w:val="center"/>
            <w:hideMark/>
          </w:tcPr>
          <w:p w14:paraId="2134142F"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22 675</w:t>
            </w:r>
          </w:p>
        </w:tc>
        <w:tc>
          <w:tcPr>
            <w:tcW w:w="993" w:type="dxa"/>
            <w:tcBorders>
              <w:top w:val="nil"/>
              <w:left w:val="nil"/>
              <w:bottom w:val="nil"/>
              <w:right w:val="nil"/>
            </w:tcBorders>
            <w:shd w:val="clear" w:color="000000" w:fill="BFBFBF"/>
            <w:noWrap/>
            <w:vAlign w:val="center"/>
            <w:hideMark/>
          </w:tcPr>
          <w:p w14:paraId="65F724F1"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34 154</w:t>
            </w:r>
          </w:p>
        </w:tc>
        <w:tc>
          <w:tcPr>
            <w:tcW w:w="1134" w:type="dxa"/>
            <w:tcBorders>
              <w:top w:val="nil"/>
              <w:left w:val="nil"/>
              <w:bottom w:val="nil"/>
              <w:right w:val="nil"/>
            </w:tcBorders>
            <w:shd w:val="clear" w:color="000000" w:fill="FFFFFF"/>
            <w:noWrap/>
            <w:vAlign w:val="center"/>
            <w:hideMark/>
          </w:tcPr>
          <w:p w14:paraId="55511188"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-5 862</w:t>
            </w:r>
          </w:p>
        </w:tc>
        <w:tc>
          <w:tcPr>
            <w:tcW w:w="1134" w:type="dxa"/>
            <w:tcBorders>
              <w:top w:val="nil"/>
              <w:left w:val="nil"/>
              <w:bottom w:val="nil"/>
              <w:right w:val="nil"/>
            </w:tcBorders>
            <w:shd w:val="clear" w:color="auto" w:fill="auto"/>
            <w:noWrap/>
            <w:vAlign w:val="center"/>
            <w:hideMark/>
          </w:tcPr>
          <w:p w14:paraId="221A8266"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11 479</w:t>
            </w:r>
          </w:p>
        </w:tc>
        <w:tc>
          <w:tcPr>
            <w:tcW w:w="940" w:type="dxa"/>
            <w:tcBorders>
              <w:top w:val="nil"/>
              <w:left w:val="nil"/>
              <w:bottom w:val="nil"/>
              <w:right w:val="nil"/>
            </w:tcBorders>
            <w:shd w:val="clear" w:color="auto" w:fill="auto"/>
            <w:noWrap/>
            <w:vAlign w:val="center"/>
            <w:hideMark/>
          </w:tcPr>
          <w:p w14:paraId="6E093D6C"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-40 016</w:t>
            </w:r>
          </w:p>
        </w:tc>
      </w:tr>
      <w:tr w:rsidR="00563559" w:rsidRPr="00A97D79" w14:paraId="54D27F44" w14:textId="77777777" w:rsidTr="00094682">
        <w:trPr>
          <w:trHeight w:val="264"/>
        </w:trPr>
        <w:tc>
          <w:tcPr>
            <w:tcW w:w="185" w:type="dxa"/>
            <w:tcBorders>
              <w:top w:val="nil"/>
              <w:left w:val="nil"/>
              <w:bottom w:val="nil"/>
              <w:right w:val="nil"/>
            </w:tcBorders>
            <w:shd w:val="clear" w:color="000000" w:fill="FFFFFF"/>
            <w:noWrap/>
            <w:vAlign w:val="center"/>
            <w:hideMark/>
          </w:tcPr>
          <w:p w14:paraId="0118D3C0"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 </w:t>
            </w:r>
          </w:p>
        </w:tc>
        <w:tc>
          <w:tcPr>
            <w:tcW w:w="2958" w:type="dxa"/>
            <w:gridSpan w:val="3"/>
            <w:tcBorders>
              <w:top w:val="nil"/>
              <w:left w:val="nil"/>
              <w:bottom w:val="nil"/>
              <w:right w:val="nil"/>
            </w:tcBorders>
            <w:shd w:val="clear" w:color="000000" w:fill="FFFFFF"/>
            <w:noWrap/>
            <w:vAlign w:val="center"/>
            <w:hideMark/>
          </w:tcPr>
          <w:p w14:paraId="30801EBA" w14:textId="77777777" w:rsidR="00563559" w:rsidRPr="00A97D79" w:rsidRDefault="00563559" w:rsidP="00094682">
            <w:pPr>
              <w:spacing w:after="0" w:line="240" w:lineRule="auto"/>
              <w:rPr>
                <w:sz w:val="18"/>
                <w:szCs w:val="18"/>
                <w:lang w:eastAsia="sk-SK"/>
              </w:rPr>
            </w:pPr>
            <w:r w:rsidRPr="00A97D79">
              <w:rPr>
                <w:sz w:val="18"/>
                <w:szCs w:val="18"/>
                <w:lang w:eastAsia="sk-SK"/>
              </w:rPr>
              <w:t>Štátne fondy</w:t>
            </w:r>
          </w:p>
        </w:tc>
        <w:tc>
          <w:tcPr>
            <w:tcW w:w="968" w:type="dxa"/>
            <w:tcBorders>
              <w:top w:val="nil"/>
              <w:left w:val="nil"/>
              <w:bottom w:val="nil"/>
              <w:right w:val="nil"/>
            </w:tcBorders>
            <w:shd w:val="clear" w:color="000000" w:fill="FFFFFF"/>
            <w:noWrap/>
            <w:vAlign w:val="center"/>
            <w:hideMark/>
          </w:tcPr>
          <w:p w14:paraId="3E27A555"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101 098</w:t>
            </w:r>
          </w:p>
        </w:tc>
        <w:tc>
          <w:tcPr>
            <w:tcW w:w="992" w:type="dxa"/>
            <w:tcBorders>
              <w:top w:val="nil"/>
              <w:left w:val="nil"/>
              <w:bottom w:val="nil"/>
              <w:right w:val="nil"/>
            </w:tcBorders>
            <w:shd w:val="clear" w:color="000000" w:fill="FFFFFF"/>
            <w:noWrap/>
            <w:vAlign w:val="center"/>
            <w:hideMark/>
          </w:tcPr>
          <w:p w14:paraId="11FE721B"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87 162</w:t>
            </w:r>
          </w:p>
        </w:tc>
        <w:tc>
          <w:tcPr>
            <w:tcW w:w="993" w:type="dxa"/>
            <w:tcBorders>
              <w:top w:val="nil"/>
              <w:left w:val="nil"/>
              <w:bottom w:val="nil"/>
              <w:right w:val="nil"/>
            </w:tcBorders>
            <w:shd w:val="clear" w:color="000000" w:fill="BFBFBF"/>
            <w:noWrap/>
            <w:vAlign w:val="center"/>
            <w:hideMark/>
          </w:tcPr>
          <w:p w14:paraId="696C24DD"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140 513</w:t>
            </w:r>
          </w:p>
        </w:tc>
        <w:tc>
          <w:tcPr>
            <w:tcW w:w="1134" w:type="dxa"/>
            <w:tcBorders>
              <w:top w:val="nil"/>
              <w:left w:val="nil"/>
              <w:bottom w:val="nil"/>
              <w:right w:val="nil"/>
            </w:tcBorders>
            <w:shd w:val="clear" w:color="000000" w:fill="FFFFFF"/>
            <w:noWrap/>
            <w:vAlign w:val="center"/>
            <w:hideMark/>
          </w:tcPr>
          <w:p w14:paraId="74CF0ED2"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97 664</w:t>
            </w:r>
          </w:p>
        </w:tc>
        <w:tc>
          <w:tcPr>
            <w:tcW w:w="1134" w:type="dxa"/>
            <w:tcBorders>
              <w:top w:val="nil"/>
              <w:left w:val="nil"/>
              <w:bottom w:val="nil"/>
              <w:right w:val="nil"/>
            </w:tcBorders>
            <w:shd w:val="clear" w:color="auto" w:fill="auto"/>
            <w:noWrap/>
            <w:vAlign w:val="center"/>
            <w:hideMark/>
          </w:tcPr>
          <w:p w14:paraId="467874A4"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53 351</w:t>
            </w:r>
          </w:p>
        </w:tc>
        <w:tc>
          <w:tcPr>
            <w:tcW w:w="940" w:type="dxa"/>
            <w:tcBorders>
              <w:top w:val="nil"/>
              <w:left w:val="nil"/>
              <w:bottom w:val="nil"/>
              <w:right w:val="nil"/>
            </w:tcBorders>
            <w:shd w:val="clear" w:color="auto" w:fill="auto"/>
            <w:noWrap/>
            <w:vAlign w:val="center"/>
            <w:hideMark/>
          </w:tcPr>
          <w:p w14:paraId="161F9637"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-42 849</w:t>
            </w:r>
          </w:p>
        </w:tc>
      </w:tr>
      <w:tr w:rsidR="00563559" w:rsidRPr="00A97D79" w14:paraId="153E6FDB" w14:textId="77777777" w:rsidTr="00094682">
        <w:trPr>
          <w:trHeight w:val="264"/>
        </w:trPr>
        <w:tc>
          <w:tcPr>
            <w:tcW w:w="185" w:type="dxa"/>
            <w:tcBorders>
              <w:top w:val="nil"/>
              <w:left w:val="nil"/>
              <w:bottom w:val="nil"/>
              <w:right w:val="nil"/>
            </w:tcBorders>
            <w:shd w:val="clear" w:color="000000" w:fill="FFFFFF"/>
            <w:noWrap/>
            <w:vAlign w:val="center"/>
            <w:hideMark/>
          </w:tcPr>
          <w:p w14:paraId="2A6931E4"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 </w:t>
            </w:r>
          </w:p>
        </w:tc>
        <w:tc>
          <w:tcPr>
            <w:tcW w:w="2958" w:type="dxa"/>
            <w:gridSpan w:val="3"/>
            <w:tcBorders>
              <w:top w:val="nil"/>
              <w:left w:val="nil"/>
              <w:bottom w:val="nil"/>
              <w:right w:val="nil"/>
            </w:tcBorders>
            <w:shd w:val="clear" w:color="000000" w:fill="FFFFFF"/>
            <w:noWrap/>
            <w:vAlign w:val="center"/>
            <w:hideMark/>
          </w:tcPr>
          <w:p w14:paraId="20ABB7AB" w14:textId="77777777" w:rsidR="00563559" w:rsidRPr="00A97D79" w:rsidRDefault="00563559" w:rsidP="00094682">
            <w:pPr>
              <w:spacing w:after="0" w:line="240" w:lineRule="auto"/>
              <w:rPr>
                <w:sz w:val="18"/>
                <w:szCs w:val="18"/>
                <w:lang w:eastAsia="sk-SK"/>
              </w:rPr>
            </w:pPr>
            <w:r w:rsidRPr="00A97D79">
              <w:rPr>
                <w:sz w:val="18"/>
                <w:szCs w:val="18"/>
                <w:lang w:eastAsia="sk-SK"/>
              </w:rPr>
              <w:t>Eximbanka SR</w:t>
            </w:r>
          </w:p>
        </w:tc>
        <w:tc>
          <w:tcPr>
            <w:tcW w:w="968" w:type="dxa"/>
            <w:tcBorders>
              <w:top w:val="nil"/>
              <w:left w:val="nil"/>
              <w:bottom w:val="nil"/>
              <w:right w:val="nil"/>
            </w:tcBorders>
            <w:shd w:val="clear" w:color="000000" w:fill="FFFFFF"/>
            <w:noWrap/>
            <w:vAlign w:val="center"/>
            <w:hideMark/>
          </w:tcPr>
          <w:p w14:paraId="76B1EBAA"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13 776</w:t>
            </w:r>
          </w:p>
        </w:tc>
        <w:tc>
          <w:tcPr>
            <w:tcW w:w="992" w:type="dxa"/>
            <w:tcBorders>
              <w:top w:val="nil"/>
              <w:left w:val="nil"/>
              <w:bottom w:val="nil"/>
              <w:right w:val="nil"/>
            </w:tcBorders>
            <w:shd w:val="clear" w:color="000000" w:fill="FFFFFF"/>
            <w:noWrap/>
            <w:vAlign w:val="center"/>
            <w:hideMark/>
          </w:tcPr>
          <w:p w14:paraId="22AAE314"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4 414</w:t>
            </w:r>
          </w:p>
        </w:tc>
        <w:tc>
          <w:tcPr>
            <w:tcW w:w="993" w:type="dxa"/>
            <w:tcBorders>
              <w:top w:val="nil"/>
              <w:left w:val="nil"/>
              <w:bottom w:val="nil"/>
              <w:right w:val="nil"/>
            </w:tcBorders>
            <w:shd w:val="clear" w:color="000000" w:fill="BFBFBF"/>
            <w:noWrap/>
            <w:vAlign w:val="center"/>
            <w:hideMark/>
          </w:tcPr>
          <w:p w14:paraId="10D635BC"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2 026</w:t>
            </w:r>
          </w:p>
        </w:tc>
        <w:tc>
          <w:tcPr>
            <w:tcW w:w="1134" w:type="dxa"/>
            <w:tcBorders>
              <w:top w:val="nil"/>
              <w:left w:val="nil"/>
              <w:bottom w:val="nil"/>
              <w:right w:val="nil"/>
            </w:tcBorders>
            <w:shd w:val="clear" w:color="000000" w:fill="FFFFFF"/>
            <w:noWrap/>
            <w:vAlign w:val="center"/>
            <w:hideMark/>
          </w:tcPr>
          <w:p w14:paraId="04D81B02"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1 100</w:t>
            </w:r>
          </w:p>
        </w:tc>
        <w:tc>
          <w:tcPr>
            <w:tcW w:w="1134" w:type="dxa"/>
            <w:tcBorders>
              <w:top w:val="nil"/>
              <w:left w:val="nil"/>
              <w:bottom w:val="nil"/>
              <w:right w:val="nil"/>
            </w:tcBorders>
            <w:shd w:val="clear" w:color="auto" w:fill="auto"/>
            <w:noWrap/>
            <w:vAlign w:val="center"/>
            <w:hideMark/>
          </w:tcPr>
          <w:p w14:paraId="7190C78F"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-2 388</w:t>
            </w:r>
          </w:p>
        </w:tc>
        <w:tc>
          <w:tcPr>
            <w:tcW w:w="940" w:type="dxa"/>
            <w:tcBorders>
              <w:top w:val="nil"/>
              <w:left w:val="nil"/>
              <w:bottom w:val="nil"/>
              <w:right w:val="nil"/>
            </w:tcBorders>
            <w:shd w:val="clear" w:color="auto" w:fill="auto"/>
            <w:noWrap/>
            <w:vAlign w:val="center"/>
            <w:hideMark/>
          </w:tcPr>
          <w:p w14:paraId="5A449CC1"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-926</w:t>
            </w:r>
          </w:p>
        </w:tc>
      </w:tr>
      <w:tr w:rsidR="00563559" w:rsidRPr="00A97D79" w14:paraId="6C4F1BE8" w14:textId="77777777" w:rsidTr="00094682">
        <w:trPr>
          <w:trHeight w:val="264"/>
        </w:trPr>
        <w:tc>
          <w:tcPr>
            <w:tcW w:w="185" w:type="dxa"/>
            <w:tcBorders>
              <w:top w:val="nil"/>
              <w:left w:val="nil"/>
              <w:bottom w:val="nil"/>
              <w:right w:val="nil"/>
            </w:tcBorders>
            <w:shd w:val="clear" w:color="000000" w:fill="FFFFFF"/>
            <w:noWrap/>
            <w:vAlign w:val="center"/>
            <w:hideMark/>
          </w:tcPr>
          <w:p w14:paraId="1755F2F0"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 </w:t>
            </w:r>
          </w:p>
        </w:tc>
        <w:tc>
          <w:tcPr>
            <w:tcW w:w="2958" w:type="dxa"/>
            <w:gridSpan w:val="3"/>
            <w:tcBorders>
              <w:top w:val="nil"/>
              <w:left w:val="nil"/>
              <w:bottom w:val="nil"/>
              <w:right w:val="nil"/>
            </w:tcBorders>
            <w:shd w:val="clear" w:color="000000" w:fill="FFFFFF"/>
            <w:noWrap/>
            <w:vAlign w:val="center"/>
            <w:hideMark/>
          </w:tcPr>
          <w:p w14:paraId="57559483" w14:textId="77777777" w:rsidR="00563559" w:rsidRPr="00A97D79" w:rsidRDefault="00563559" w:rsidP="00094682">
            <w:pPr>
              <w:spacing w:after="0" w:line="240" w:lineRule="auto"/>
              <w:rPr>
                <w:sz w:val="18"/>
                <w:szCs w:val="18"/>
                <w:lang w:eastAsia="sk-SK"/>
              </w:rPr>
            </w:pPr>
            <w:r w:rsidRPr="00A97D79">
              <w:rPr>
                <w:sz w:val="18"/>
                <w:szCs w:val="18"/>
                <w:lang w:eastAsia="sk-SK"/>
              </w:rPr>
              <w:t>Obchodné spoločnosti štátu</w:t>
            </w:r>
          </w:p>
        </w:tc>
        <w:tc>
          <w:tcPr>
            <w:tcW w:w="968" w:type="dxa"/>
            <w:tcBorders>
              <w:top w:val="nil"/>
              <w:left w:val="nil"/>
              <w:bottom w:val="nil"/>
              <w:right w:val="nil"/>
            </w:tcBorders>
            <w:shd w:val="clear" w:color="000000" w:fill="FFFFFF"/>
            <w:noWrap/>
            <w:vAlign w:val="center"/>
            <w:hideMark/>
          </w:tcPr>
          <w:p w14:paraId="092F4FB1"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-17 711</w:t>
            </w:r>
          </w:p>
        </w:tc>
        <w:tc>
          <w:tcPr>
            <w:tcW w:w="992" w:type="dxa"/>
            <w:tcBorders>
              <w:top w:val="nil"/>
              <w:left w:val="nil"/>
              <w:bottom w:val="nil"/>
              <w:right w:val="nil"/>
            </w:tcBorders>
            <w:shd w:val="clear" w:color="000000" w:fill="FFFFFF"/>
            <w:noWrap/>
            <w:vAlign w:val="center"/>
            <w:hideMark/>
          </w:tcPr>
          <w:p w14:paraId="7710F491"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-44 207</w:t>
            </w:r>
          </w:p>
        </w:tc>
        <w:tc>
          <w:tcPr>
            <w:tcW w:w="993" w:type="dxa"/>
            <w:tcBorders>
              <w:top w:val="nil"/>
              <w:left w:val="nil"/>
              <w:bottom w:val="nil"/>
              <w:right w:val="nil"/>
            </w:tcBorders>
            <w:shd w:val="clear" w:color="000000" w:fill="BFBFBF"/>
            <w:noWrap/>
            <w:vAlign w:val="center"/>
            <w:hideMark/>
          </w:tcPr>
          <w:p w14:paraId="60835283"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2 548</w:t>
            </w:r>
          </w:p>
        </w:tc>
        <w:tc>
          <w:tcPr>
            <w:tcW w:w="1134" w:type="dxa"/>
            <w:tcBorders>
              <w:top w:val="nil"/>
              <w:left w:val="nil"/>
              <w:bottom w:val="nil"/>
              <w:right w:val="nil"/>
            </w:tcBorders>
            <w:shd w:val="clear" w:color="000000" w:fill="FFFFFF"/>
            <w:noWrap/>
            <w:vAlign w:val="center"/>
            <w:hideMark/>
          </w:tcPr>
          <w:p w14:paraId="290164E7"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-113 696</w:t>
            </w:r>
          </w:p>
        </w:tc>
        <w:tc>
          <w:tcPr>
            <w:tcW w:w="1134" w:type="dxa"/>
            <w:tcBorders>
              <w:top w:val="nil"/>
              <w:left w:val="nil"/>
              <w:bottom w:val="nil"/>
              <w:right w:val="nil"/>
            </w:tcBorders>
            <w:shd w:val="clear" w:color="auto" w:fill="auto"/>
            <w:noWrap/>
            <w:vAlign w:val="center"/>
            <w:hideMark/>
          </w:tcPr>
          <w:p w14:paraId="3588A851"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46 755</w:t>
            </w:r>
          </w:p>
        </w:tc>
        <w:tc>
          <w:tcPr>
            <w:tcW w:w="940" w:type="dxa"/>
            <w:tcBorders>
              <w:top w:val="nil"/>
              <w:left w:val="nil"/>
              <w:bottom w:val="nil"/>
              <w:right w:val="nil"/>
            </w:tcBorders>
            <w:shd w:val="clear" w:color="auto" w:fill="auto"/>
            <w:noWrap/>
            <w:vAlign w:val="center"/>
            <w:hideMark/>
          </w:tcPr>
          <w:p w14:paraId="56AE0052"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-116 244</w:t>
            </w:r>
          </w:p>
        </w:tc>
      </w:tr>
      <w:tr w:rsidR="00563559" w:rsidRPr="00A97D79" w14:paraId="7936D109" w14:textId="77777777" w:rsidTr="00094682">
        <w:trPr>
          <w:trHeight w:val="264"/>
        </w:trPr>
        <w:tc>
          <w:tcPr>
            <w:tcW w:w="185" w:type="dxa"/>
            <w:tcBorders>
              <w:top w:val="nil"/>
              <w:left w:val="nil"/>
              <w:bottom w:val="nil"/>
              <w:right w:val="nil"/>
            </w:tcBorders>
            <w:shd w:val="clear" w:color="000000" w:fill="FFFFFF"/>
            <w:noWrap/>
            <w:vAlign w:val="center"/>
            <w:hideMark/>
          </w:tcPr>
          <w:p w14:paraId="31EE967B"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 </w:t>
            </w:r>
          </w:p>
        </w:tc>
        <w:tc>
          <w:tcPr>
            <w:tcW w:w="185" w:type="dxa"/>
            <w:tcBorders>
              <w:top w:val="nil"/>
              <w:left w:val="nil"/>
              <w:bottom w:val="nil"/>
              <w:right w:val="nil"/>
            </w:tcBorders>
            <w:shd w:val="clear" w:color="auto" w:fill="auto"/>
            <w:noWrap/>
            <w:vAlign w:val="bottom"/>
            <w:hideMark/>
          </w:tcPr>
          <w:p w14:paraId="290FC89F" w14:textId="77777777" w:rsidR="00563559" w:rsidRPr="00A97D79" w:rsidRDefault="00563559" w:rsidP="00094682">
            <w:pPr>
              <w:spacing w:after="0" w:line="240" w:lineRule="auto"/>
              <w:jc w:val="right"/>
              <w:rPr>
                <w:sz w:val="18"/>
                <w:szCs w:val="18"/>
                <w:lang w:eastAsia="sk-SK"/>
              </w:rPr>
            </w:pPr>
          </w:p>
        </w:tc>
        <w:tc>
          <w:tcPr>
            <w:tcW w:w="2773" w:type="dxa"/>
            <w:gridSpan w:val="2"/>
            <w:tcBorders>
              <w:top w:val="nil"/>
              <w:left w:val="nil"/>
              <w:bottom w:val="nil"/>
              <w:right w:val="nil"/>
            </w:tcBorders>
            <w:shd w:val="clear" w:color="000000" w:fill="FFFFFF"/>
            <w:noWrap/>
            <w:vAlign w:val="center"/>
            <w:hideMark/>
          </w:tcPr>
          <w:p w14:paraId="5D9050BB" w14:textId="77777777" w:rsidR="00563559" w:rsidRPr="00A97D79" w:rsidRDefault="00563559" w:rsidP="00094682">
            <w:pPr>
              <w:spacing w:after="0" w:line="240" w:lineRule="auto"/>
              <w:rPr>
                <w:sz w:val="18"/>
                <w:szCs w:val="18"/>
                <w:lang w:eastAsia="sk-SK"/>
              </w:rPr>
            </w:pPr>
            <w:r w:rsidRPr="00A97D79">
              <w:rPr>
                <w:sz w:val="18"/>
                <w:szCs w:val="18"/>
                <w:lang w:eastAsia="sk-SK"/>
              </w:rPr>
              <w:t>z toho:</w:t>
            </w:r>
          </w:p>
        </w:tc>
        <w:tc>
          <w:tcPr>
            <w:tcW w:w="968" w:type="dxa"/>
            <w:tcBorders>
              <w:top w:val="nil"/>
              <w:left w:val="nil"/>
              <w:bottom w:val="nil"/>
              <w:right w:val="nil"/>
            </w:tcBorders>
            <w:shd w:val="clear" w:color="000000" w:fill="FFFFFF"/>
            <w:noWrap/>
            <w:vAlign w:val="center"/>
            <w:hideMark/>
          </w:tcPr>
          <w:p w14:paraId="0475EF07" w14:textId="77777777" w:rsidR="00563559" w:rsidRPr="00A97D79" w:rsidRDefault="00563559" w:rsidP="00094682">
            <w:pPr>
              <w:spacing w:after="0" w:line="240" w:lineRule="auto"/>
              <w:rPr>
                <w:sz w:val="18"/>
                <w:szCs w:val="18"/>
                <w:lang w:eastAsia="sk-SK"/>
              </w:rPr>
            </w:pPr>
            <w:r w:rsidRPr="00A97D79">
              <w:rPr>
                <w:sz w:val="18"/>
                <w:szCs w:val="18"/>
                <w:lang w:eastAsia="sk-SK"/>
              </w:rPr>
              <w:t> </w:t>
            </w:r>
          </w:p>
        </w:tc>
        <w:tc>
          <w:tcPr>
            <w:tcW w:w="992" w:type="dxa"/>
            <w:tcBorders>
              <w:top w:val="nil"/>
              <w:left w:val="nil"/>
              <w:bottom w:val="nil"/>
              <w:right w:val="nil"/>
            </w:tcBorders>
            <w:shd w:val="clear" w:color="000000" w:fill="FFFFFF"/>
            <w:noWrap/>
            <w:vAlign w:val="center"/>
            <w:hideMark/>
          </w:tcPr>
          <w:p w14:paraId="3B5F91E5"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 </w:t>
            </w:r>
          </w:p>
        </w:tc>
        <w:tc>
          <w:tcPr>
            <w:tcW w:w="993" w:type="dxa"/>
            <w:tcBorders>
              <w:top w:val="nil"/>
              <w:left w:val="nil"/>
              <w:bottom w:val="nil"/>
              <w:right w:val="nil"/>
            </w:tcBorders>
            <w:shd w:val="clear" w:color="000000" w:fill="BFBFBF"/>
            <w:noWrap/>
            <w:vAlign w:val="center"/>
            <w:hideMark/>
          </w:tcPr>
          <w:p w14:paraId="5C6CDA6D"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 </w:t>
            </w:r>
          </w:p>
        </w:tc>
        <w:tc>
          <w:tcPr>
            <w:tcW w:w="1134" w:type="dxa"/>
            <w:tcBorders>
              <w:top w:val="nil"/>
              <w:left w:val="nil"/>
              <w:bottom w:val="nil"/>
              <w:right w:val="nil"/>
            </w:tcBorders>
            <w:shd w:val="clear" w:color="000000" w:fill="FFFFFF"/>
            <w:noWrap/>
            <w:vAlign w:val="center"/>
            <w:hideMark/>
          </w:tcPr>
          <w:p w14:paraId="57047870" w14:textId="77777777" w:rsidR="00563559" w:rsidRPr="00A97D79" w:rsidRDefault="00563559" w:rsidP="00094682">
            <w:pPr>
              <w:spacing w:after="0" w:line="240" w:lineRule="auto"/>
              <w:rPr>
                <w:sz w:val="18"/>
                <w:szCs w:val="18"/>
                <w:lang w:eastAsia="sk-SK"/>
              </w:rPr>
            </w:pPr>
            <w:r w:rsidRPr="00A97D79">
              <w:rPr>
                <w:sz w:val="18"/>
                <w:szCs w:val="18"/>
                <w:lang w:eastAsia="sk-SK"/>
              </w:rPr>
              <w:t> </w:t>
            </w:r>
          </w:p>
        </w:tc>
        <w:tc>
          <w:tcPr>
            <w:tcW w:w="1134" w:type="dxa"/>
            <w:tcBorders>
              <w:top w:val="nil"/>
              <w:left w:val="nil"/>
              <w:bottom w:val="nil"/>
              <w:right w:val="nil"/>
            </w:tcBorders>
            <w:shd w:val="clear" w:color="auto" w:fill="auto"/>
            <w:noWrap/>
            <w:vAlign w:val="center"/>
            <w:hideMark/>
          </w:tcPr>
          <w:p w14:paraId="618D4FA8"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0</w:t>
            </w:r>
          </w:p>
        </w:tc>
        <w:tc>
          <w:tcPr>
            <w:tcW w:w="940" w:type="dxa"/>
            <w:tcBorders>
              <w:top w:val="nil"/>
              <w:left w:val="nil"/>
              <w:bottom w:val="nil"/>
              <w:right w:val="nil"/>
            </w:tcBorders>
            <w:shd w:val="clear" w:color="auto" w:fill="auto"/>
            <w:noWrap/>
            <w:vAlign w:val="center"/>
            <w:hideMark/>
          </w:tcPr>
          <w:p w14:paraId="0535BA40"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0</w:t>
            </w:r>
          </w:p>
        </w:tc>
      </w:tr>
      <w:tr w:rsidR="00563559" w:rsidRPr="00A97D79" w14:paraId="7987EFC3" w14:textId="77777777" w:rsidTr="00094682">
        <w:trPr>
          <w:trHeight w:val="264"/>
        </w:trPr>
        <w:tc>
          <w:tcPr>
            <w:tcW w:w="185" w:type="dxa"/>
            <w:tcBorders>
              <w:top w:val="nil"/>
              <w:left w:val="nil"/>
              <w:bottom w:val="nil"/>
              <w:right w:val="nil"/>
            </w:tcBorders>
            <w:shd w:val="clear" w:color="000000" w:fill="FFFFFF"/>
            <w:noWrap/>
            <w:vAlign w:val="center"/>
            <w:hideMark/>
          </w:tcPr>
          <w:p w14:paraId="46FE316B"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 </w:t>
            </w:r>
          </w:p>
        </w:tc>
        <w:tc>
          <w:tcPr>
            <w:tcW w:w="185" w:type="dxa"/>
            <w:tcBorders>
              <w:top w:val="nil"/>
              <w:left w:val="nil"/>
              <w:bottom w:val="nil"/>
              <w:right w:val="nil"/>
            </w:tcBorders>
            <w:shd w:val="clear" w:color="000000" w:fill="FFFFFF"/>
            <w:noWrap/>
            <w:vAlign w:val="center"/>
            <w:hideMark/>
          </w:tcPr>
          <w:p w14:paraId="20BAA61F" w14:textId="77777777" w:rsidR="00563559" w:rsidRPr="00A97D79" w:rsidRDefault="00563559" w:rsidP="00094682">
            <w:pPr>
              <w:spacing w:after="0" w:line="240" w:lineRule="auto"/>
              <w:rPr>
                <w:sz w:val="18"/>
                <w:szCs w:val="18"/>
                <w:lang w:eastAsia="sk-SK"/>
              </w:rPr>
            </w:pPr>
            <w:r w:rsidRPr="00A97D79">
              <w:rPr>
                <w:sz w:val="18"/>
                <w:szCs w:val="18"/>
                <w:lang w:eastAsia="sk-SK"/>
              </w:rPr>
              <w:t> </w:t>
            </w:r>
          </w:p>
        </w:tc>
        <w:tc>
          <w:tcPr>
            <w:tcW w:w="2773" w:type="dxa"/>
            <w:gridSpan w:val="2"/>
            <w:tcBorders>
              <w:top w:val="nil"/>
              <w:left w:val="nil"/>
              <w:bottom w:val="nil"/>
              <w:right w:val="nil"/>
            </w:tcBorders>
            <w:shd w:val="clear" w:color="000000" w:fill="FFFFFF"/>
            <w:noWrap/>
            <w:vAlign w:val="center"/>
            <w:hideMark/>
          </w:tcPr>
          <w:p w14:paraId="3383BB58" w14:textId="77777777" w:rsidR="00563559" w:rsidRPr="00A97D79" w:rsidRDefault="00563559" w:rsidP="00094682">
            <w:pPr>
              <w:spacing w:after="0" w:line="240" w:lineRule="auto"/>
              <w:rPr>
                <w:sz w:val="18"/>
                <w:szCs w:val="18"/>
                <w:lang w:eastAsia="sk-SK"/>
              </w:rPr>
            </w:pPr>
            <w:r w:rsidRPr="00A97D79">
              <w:rPr>
                <w:sz w:val="18"/>
                <w:szCs w:val="18"/>
                <w:lang w:eastAsia="sk-SK"/>
              </w:rPr>
              <w:t>Národná diaľničná spoločnosť, a.s.</w:t>
            </w:r>
          </w:p>
        </w:tc>
        <w:tc>
          <w:tcPr>
            <w:tcW w:w="968" w:type="dxa"/>
            <w:tcBorders>
              <w:top w:val="nil"/>
              <w:left w:val="nil"/>
              <w:bottom w:val="nil"/>
              <w:right w:val="nil"/>
            </w:tcBorders>
            <w:shd w:val="clear" w:color="000000" w:fill="FFFFFF"/>
            <w:noWrap/>
            <w:vAlign w:val="center"/>
            <w:hideMark/>
          </w:tcPr>
          <w:p w14:paraId="5FB6EEC4"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9 541</w:t>
            </w:r>
          </w:p>
        </w:tc>
        <w:tc>
          <w:tcPr>
            <w:tcW w:w="992" w:type="dxa"/>
            <w:tcBorders>
              <w:top w:val="nil"/>
              <w:left w:val="nil"/>
              <w:bottom w:val="nil"/>
              <w:right w:val="nil"/>
            </w:tcBorders>
            <w:shd w:val="clear" w:color="000000" w:fill="FFFFFF"/>
            <w:noWrap/>
            <w:vAlign w:val="center"/>
            <w:hideMark/>
          </w:tcPr>
          <w:p w14:paraId="07F2C034"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10 110</w:t>
            </w:r>
          </w:p>
        </w:tc>
        <w:tc>
          <w:tcPr>
            <w:tcW w:w="993" w:type="dxa"/>
            <w:tcBorders>
              <w:top w:val="nil"/>
              <w:left w:val="nil"/>
              <w:bottom w:val="nil"/>
              <w:right w:val="nil"/>
            </w:tcBorders>
            <w:shd w:val="clear" w:color="000000" w:fill="BFBFBF"/>
            <w:noWrap/>
            <w:vAlign w:val="center"/>
            <w:hideMark/>
          </w:tcPr>
          <w:p w14:paraId="06C44D0E"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112 294</w:t>
            </w:r>
          </w:p>
        </w:tc>
        <w:tc>
          <w:tcPr>
            <w:tcW w:w="1134" w:type="dxa"/>
            <w:tcBorders>
              <w:top w:val="nil"/>
              <w:left w:val="nil"/>
              <w:bottom w:val="nil"/>
              <w:right w:val="nil"/>
            </w:tcBorders>
            <w:shd w:val="clear" w:color="000000" w:fill="FFFFFF"/>
            <w:noWrap/>
            <w:vAlign w:val="center"/>
            <w:hideMark/>
          </w:tcPr>
          <w:p w14:paraId="33CCD479"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22 660</w:t>
            </w:r>
          </w:p>
        </w:tc>
        <w:tc>
          <w:tcPr>
            <w:tcW w:w="1134" w:type="dxa"/>
            <w:tcBorders>
              <w:top w:val="nil"/>
              <w:left w:val="nil"/>
              <w:bottom w:val="nil"/>
              <w:right w:val="nil"/>
            </w:tcBorders>
            <w:shd w:val="clear" w:color="auto" w:fill="auto"/>
            <w:noWrap/>
            <w:vAlign w:val="center"/>
            <w:hideMark/>
          </w:tcPr>
          <w:p w14:paraId="53FFFD3F"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102 184</w:t>
            </w:r>
          </w:p>
        </w:tc>
        <w:tc>
          <w:tcPr>
            <w:tcW w:w="940" w:type="dxa"/>
            <w:tcBorders>
              <w:top w:val="nil"/>
              <w:left w:val="nil"/>
              <w:bottom w:val="nil"/>
              <w:right w:val="nil"/>
            </w:tcBorders>
            <w:shd w:val="clear" w:color="auto" w:fill="auto"/>
            <w:noWrap/>
            <w:vAlign w:val="center"/>
            <w:hideMark/>
          </w:tcPr>
          <w:p w14:paraId="1EA34B2E"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-89 634</w:t>
            </w:r>
          </w:p>
        </w:tc>
      </w:tr>
      <w:tr w:rsidR="00563559" w:rsidRPr="00A97D79" w14:paraId="70B0A00E" w14:textId="77777777" w:rsidTr="00094682">
        <w:trPr>
          <w:trHeight w:val="264"/>
        </w:trPr>
        <w:tc>
          <w:tcPr>
            <w:tcW w:w="185" w:type="dxa"/>
            <w:tcBorders>
              <w:top w:val="nil"/>
              <w:left w:val="nil"/>
              <w:bottom w:val="nil"/>
              <w:right w:val="nil"/>
            </w:tcBorders>
            <w:shd w:val="clear" w:color="000000" w:fill="FFFFFF"/>
            <w:noWrap/>
            <w:vAlign w:val="center"/>
            <w:hideMark/>
          </w:tcPr>
          <w:p w14:paraId="6F05F3B0"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 </w:t>
            </w:r>
          </w:p>
        </w:tc>
        <w:tc>
          <w:tcPr>
            <w:tcW w:w="185" w:type="dxa"/>
            <w:tcBorders>
              <w:top w:val="nil"/>
              <w:left w:val="nil"/>
              <w:bottom w:val="nil"/>
              <w:right w:val="nil"/>
            </w:tcBorders>
            <w:shd w:val="clear" w:color="000000" w:fill="FFFFFF"/>
            <w:noWrap/>
            <w:vAlign w:val="center"/>
            <w:hideMark/>
          </w:tcPr>
          <w:p w14:paraId="52629DD9" w14:textId="77777777" w:rsidR="00563559" w:rsidRPr="00A97D79" w:rsidRDefault="00563559" w:rsidP="00094682">
            <w:pPr>
              <w:spacing w:after="0" w:line="240" w:lineRule="auto"/>
              <w:rPr>
                <w:color w:val="000000"/>
                <w:sz w:val="18"/>
                <w:szCs w:val="18"/>
                <w:lang w:eastAsia="sk-SK"/>
              </w:rPr>
            </w:pPr>
            <w:r w:rsidRPr="00A97D79">
              <w:rPr>
                <w:color w:val="000000"/>
                <w:sz w:val="18"/>
                <w:szCs w:val="18"/>
                <w:lang w:eastAsia="sk-SK"/>
              </w:rPr>
              <w:t> </w:t>
            </w:r>
          </w:p>
        </w:tc>
        <w:tc>
          <w:tcPr>
            <w:tcW w:w="2773" w:type="dxa"/>
            <w:gridSpan w:val="2"/>
            <w:tcBorders>
              <w:top w:val="nil"/>
              <w:left w:val="nil"/>
              <w:bottom w:val="nil"/>
              <w:right w:val="nil"/>
            </w:tcBorders>
            <w:shd w:val="clear" w:color="000000" w:fill="FFFFFF"/>
            <w:noWrap/>
            <w:vAlign w:val="center"/>
            <w:hideMark/>
          </w:tcPr>
          <w:p w14:paraId="2C4E71DD" w14:textId="77777777" w:rsidR="00563559" w:rsidRPr="00A97D79" w:rsidRDefault="00563559" w:rsidP="00094682">
            <w:pPr>
              <w:spacing w:after="0" w:line="240" w:lineRule="auto"/>
              <w:rPr>
                <w:sz w:val="18"/>
                <w:szCs w:val="18"/>
                <w:lang w:eastAsia="sk-SK"/>
              </w:rPr>
            </w:pPr>
            <w:r w:rsidRPr="00A97D79">
              <w:rPr>
                <w:sz w:val="18"/>
                <w:szCs w:val="18"/>
                <w:lang w:eastAsia="sk-SK"/>
              </w:rPr>
              <w:t>JAVYS, a.s.</w:t>
            </w:r>
          </w:p>
        </w:tc>
        <w:tc>
          <w:tcPr>
            <w:tcW w:w="968" w:type="dxa"/>
            <w:tcBorders>
              <w:top w:val="nil"/>
              <w:left w:val="nil"/>
              <w:bottom w:val="nil"/>
              <w:right w:val="nil"/>
            </w:tcBorders>
            <w:shd w:val="clear" w:color="000000" w:fill="FFFFFF"/>
            <w:noWrap/>
            <w:vAlign w:val="center"/>
            <w:hideMark/>
          </w:tcPr>
          <w:p w14:paraId="5872F191"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7 324</w:t>
            </w:r>
          </w:p>
        </w:tc>
        <w:tc>
          <w:tcPr>
            <w:tcW w:w="992" w:type="dxa"/>
            <w:tcBorders>
              <w:top w:val="nil"/>
              <w:left w:val="nil"/>
              <w:bottom w:val="nil"/>
              <w:right w:val="nil"/>
            </w:tcBorders>
            <w:shd w:val="clear" w:color="000000" w:fill="FFFFFF"/>
            <w:noWrap/>
            <w:vAlign w:val="center"/>
            <w:hideMark/>
          </w:tcPr>
          <w:p w14:paraId="4CAA300D"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403</w:t>
            </w:r>
          </w:p>
        </w:tc>
        <w:tc>
          <w:tcPr>
            <w:tcW w:w="993" w:type="dxa"/>
            <w:tcBorders>
              <w:top w:val="nil"/>
              <w:left w:val="nil"/>
              <w:bottom w:val="nil"/>
              <w:right w:val="nil"/>
            </w:tcBorders>
            <w:shd w:val="clear" w:color="000000" w:fill="BFBFBF"/>
            <w:noWrap/>
            <w:vAlign w:val="center"/>
            <w:hideMark/>
          </w:tcPr>
          <w:p w14:paraId="38023D89"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8 578</w:t>
            </w:r>
          </w:p>
        </w:tc>
        <w:tc>
          <w:tcPr>
            <w:tcW w:w="1134" w:type="dxa"/>
            <w:tcBorders>
              <w:top w:val="nil"/>
              <w:left w:val="nil"/>
              <w:bottom w:val="nil"/>
              <w:right w:val="nil"/>
            </w:tcBorders>
            <w:shd w:val="clear" w:color="000000" w:fill="FFFFFF"/>
            <w:noWrap/>
            <w:vAlign w:val="center"/>
            <w:hideMark/>
          </w:tcPr>
          <w:p w14:paraId="48FF904E"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-15 024</w:t>
            </w:r>
          </w:p>
        </w:tc>
        <w:tc>
          <w:tcPr>
            <w:tcW w:w="1134" w:type="dxa"/>
            <w:tcBorders>
              <w:top w:val="nil"/>
              <w:left w:val="nil"/>
              <w:bottom w:val="nil"/>
              <w:right w:val="nil"/>
            </w:tcBorders>
            <w:shd w:val="clear" w:color="auto" w:fill="auto"/>
            <w:noWrap/>
            <w:vAlign w:val="center"/>
            <w:hideMark/>
          </w:tcPr>
          <w:p w14:paraId="0F4FCA85"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8 175</w:t>
            </w:r>
          </w:p>
        </w:tc>
        <w:tc>
          <w:tcPr>
            <w:tcW w:w="940" w:type="dxa"/>
            <w:tcBorders>
              <w:top w:val="nil"/>
              <w:left w:val="nil"/>
              <w:bottom w:val="nil"/>
              <w:right w:val="nil"/>
            </w:tcBorders>
            <w:shd w:val="clear" w:color="auto" w:fill="auto"/>
            <w:noWrap/>
            <w:vAlign w:val="center"/>
            <w:hideMark/>
          </w:tcPr>
          <w:p w14:paraId="0318FD0D"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-23 602</w:t>
            </w:r>
          </w:p>
        </w:tc>
      </w:tr>
      <w:tr w:rsidR="00563559" w:rsidRPr="00A97D79" w14:paraId="53CC3E12" w14:textId="77777777" w:rsidTr="00094682">
        <w:trPr>
          <w:trHeight w:val="264"/>
        </w:trPr>
        <w:tc>
          <w:tcPr>
            <w:tcW w:w="185" w:type="dxa"/>
            <w:tcBorders>
              <w:top w:val="nil"/>
              <w:left w:val="nil"/>
              <w:bottom w:val="nil"/>
              <w:right w:val="nil"/>
            </w:tcBorders>
            <w:shd w:val="clear" w:color="000000" w:fill="FFFFFF"/>
            <w:noWrap/>
            <w:vAlign w:val="center"/>
            <w:hideMark/>
          </w:tcPr>
          <w:p w14:paraId="42F92C1A"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 </w:t>
            </w:r>
          </w:p>
        </w:tc>
        <w:tc>
          <w:tcPr>
            <w:tcW w:w="185" w:type="dxa"/>
            <w:tcBorders>
              <w:top w:val="nil"/>
              <w:left w:val="nil"/>
              <w:bottom w:val="nil"/>
              <w:right w:val="nil"/>
            </w:tcBorders>
            <w:shd w:val="clear" w:color="000000" w:fill="FFFFFF"/>
            <w:noWrap/>
            <w:vAlign w:val="center"/>
            <w:hideMark/>
          </w:tcPr>
          <w:p w14:paraId="6C1DCB51" w14:textId="77777777" w:rsidR="00563559" w:rsidRPr="00A97D79" w:rsidRDefault="00563559" w:rsidP="00094682">
            <w:pPr>
              <w:spacing w:after="0" w:line="240" w:lineRule="auto"/>
              <w:rPr>
                <w:color w:val="000000"/>
                <w:sz w:val="18"/>
                <w:szCs w:val="18"/>
                <w:lang w:eastAsia="sk-SK"/>
              </w:rPr>
            </w:pPr>
            <w:r w:rsidRPr="00A97D79">
              <w:rPr>
                <w:color w:val="000000"/>
                <w:sz w:val="18"/>
                <w:szCs w:val="18"/>
                <w:lang w:eastAsia="sk-SK"/>
              </w:rPr>
              <w:t> </w:t>
            </w:r>
          </w:p>
        </w:tc>
        <w:tc>
          <w:tcPr>
            <w:tcW w:w="2773" w:type="dxa"/>
            <w:gridSpan w:val="2"/>
            <w:tcBorders>
              <w:top w:val="nil"/>
              <w:left w:val="nil"/>
              <w:bottom w:val="nil"/>
              <w:right w:val="nil"/>
            </w:tcBorders>
            <w:shd w:val="clear" w:color="000000" w:fill="FFFFFF"/>
            <w:noWrap/>
            <w:vAlign w:val="center"/>
            <w:hideMark/>
          </w:tcPr>
          <w:p w14:paraId="4E0DD584" w14:textId="77777777" w:rsidR="00563559" w:rsidRPr="00A97D79" w:rsidRDefault="00563559" w:rsidP="00094682">
            <w:pPr>
              <w:spacing w:after="0" w:line="240" w:lineRule="auto"/>
              <w:rPr>
                <w:sz w:val="18"/>
                <w:szCs w:val="18"/>
                <w:lang w:eastAsia="sk-SK"/>
              </w:rPr>
            </w:pPr>
            <w:r w:rsidRPr="00A97D79">
              <w:rPr>
                <w:sz w:val="18"/>
                <w:szCs w:val="18"/>
                <w:lang w:eastAsia="sk-SK"/>
              </w:rPr>
              <w:t xml:space="preserve">MH </w:t>
            </w:r>
            <w:proofErr w:type="spellStart"/>
            <w:r w:rsidRPr="00A97D79">
              <w:rPr>
                <w:sz w:val="18"/>
                <w:szCs w:val="18"/>
                <w:lang w:eastAsia="sk-SK"/>
              </w:rPr>
              <w:t>Invest</w:t>
            </w:r>
            <w:proofErr w:type="spellEnd"/>
            <w:r w:rsidRPr="00A97D79">
              <w:rPr>
                <w:sz w:val="18"/>
                <w:szCs w:val="18"/>
                <w:lang w:eastAsia="sk-SK"/>
              </w:rPr>
              <w:t xml:space="preserve">, </w:t>
            </w:r>
            <w:proofErr w:type="spellStart"/>
            <w:r w:rsidRPr="00A97D79">
              <w:rPr>
                <w:sz w:val="18"/>
                <w:szCs w:val="18"/>
                <w:lang w:eastAsia="sk-SK"/>
              </w:rPr>
              <w:t>s.r.o</w:t>
            </w:r>
            <w:proofErr w:type="spellEnd"/>
            <w:r w:rsidRPr="00A97D79">
              <w:rPr>
                <w:sz w:val="18"/>
                <w:szCs w:val="18"/>
                <w:lang w:eastAsia="sk-SK"/>
              </w:rPr>
              <w:t>.</w:t>
            </w:r>
          </w:p>
        </w:tc>
        <w:tc>
          <w:tcPr>
            <w:tcW w:w="968" w:type="dxa"/>
            <w:tcBorders>
              <w:top w:val="nil"/>
              <w:left w:val="nil"/>
              <w:bottom w:val="nil"/>
              <w:right w:val="nil"/>
            </w:tcBorders>
            <w:shd w:val="clear" w:color="000000" w:fill="FFFFFF"/>
            <w:noWrap/>
            <w:vAlign w:val="center"/>
            <w:hideMark/>
          </w:tcPr>
          <w:p w14:paraId="03C502CC"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-10 990</w:t>
            </w:r>
          </w:p>
        </w:tc>
        <w:tc>
          <w:tcPr>
            <w:tcW w:w="992" w:type="dxa"/>
            <w:tcBorders>
              <w:top w:val="nil"/>
              <w:left w:val="nil"/>
              <w:bottom w:val="nil"/>
              <w:right w:val="nil"/>
            </w:tcBorders>
            <w:shd w:val="clear" w:color="000000" w:fill="FFFFFF"/>
            <w:noWrap/>
            <w:vAlign w:val="center"/>
            <w:hideMark/>
          </w:tcPr>
          <w:p w14:paraId="3808F76B"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-3 448</w:t>
            </w:r>
          </w:p>
        </w:tc>
        <w:tc>
          <w:tcPr>
            <w:tcW w:w="993" w:type="dxa"/>
            <w:tcBorders>
              <w:top w:val="nil"/>
              <w:left w:val="nil"/>
              <w:bottom w:val="nil"/>
              <w:right w:val="nil"/>
            </w:tcBorders>
            <w:shd w:val="clear" w:color="000000" w:fill="BFBFBF"/>
            <w:noWrap/>
            <w:vAlign w:val="center"/>
            <w:hideMark/>
          </w:tcPr>
          <w:p w14:paraId="4B089D43"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-1 429</w:t>
            </w:r>
          </w:p>
        </w:tc>
        <w:tc>
          <w:tcPr>
            <w:tcW w:w="1134" w:type="dxa"/>
            <w:tcBorders>
              <w:top w:val="nil"/>
              <w:left w:val="nil"/>
              <w:bottom w:val="nil"/>
              <w:right w:val="nil"/>
            </w:tcBorders>
            <w:shd w:val="clear" w:color="000000" w:fill="FFFFFF"/>
            <w:noWrap/>
            <w:vAlign w:val="center"/>
            <w:hideMark/>
          </w:tcPr>
          <w:p w14:paraId="2485E191"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-6 552</w:t>
            </w:r>
          </w:p>
        </w:tc>
        <w:tc>
          <w:tcPr>
            <w:tcW w:w="1134" w:type="dxa"/>
            <w:tcBorders>
              <w:top w:val="nil"/>
              <w:left w:val="nil"/>
              <w:bottom w:val="nil"/>
              <w:right w:val="nil"/>
            </w:tcBorders>
            <w:shd w:val="clear" w:color="auto" w:fill="auto"/>
            <w:noWrap/>
            <w:vAlign w:val="center"/>
            <w:hideMark/>
          </w:tcPr>
          <w:p w14:paraId="3F2B436E"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2 019</w:t>
            </w:r>
          </w:p>
        </w:tc>
        <w:tc>
          <w:tcPr>
            <w:tcW w:w="940" w:type="dxa"/>
            <w:tcBorders>
              <w:top w:val="nil"/>
              <w:left w:val="nil"/>
              <w:bottom w:val="nil"/>
              <w:right w:val="nil"/>
            </w:tcBorders>
            <w:shd w:val="clear" w:color="auto" w:fill="auto"/>
            <w:noWrap/>
            <w:vAlign w:val="center"/>
            <w:hideMark/>
          </w:tcPr>
          <w:p w14:paraId="79C69EEF"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-5 123</w:t>
            </w:r>
          </w:p>
        </w:tc>
      </w:tr>
      <w:tr w:rsidR="00563559" w:rsidRPr="00A97D79" w14:paraId="37C94686" w14:textId="77777777" w:rsidTr="00094682">
        <w:trPr>
          <w:trHeight w:val="264"/>
        </w:trPr>
        <w:tc>
          <w:tcPr>
            <w:tcW w:w="185" w:type="dxa"/>
            <w:tcBorders>
              <w:top w:val="nil"/>
              <w:left w:val="nil"/>
              <w:bottom w:val="nil"/>
              <w:right w:val="nil"/>
            </w:tcBorders>
            <w:shd w:val="clear" w:color="000000" w:fill="FFFFFF"/>
            <w:noWrap/>
            <w:vAlign w:val="center"/>
            <w:hideMark/>
          </w:tcPr>
          <w:p w14:paraId="5D760D22"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 </w:t>
            </w:r>
          </w:p>
        </w:tc>
        <w:tc>
          <w:tcPr>
            <w:tcW w:w="185" w:type="dxa"/>
            <w:tcBorders>
              <w:top w:val="nil"/>
              <w:left w:val="nil"/>
              <w:bottom w:val="nil"/>
              <w:right w:val="nil"/>
            </w:tcBorders>
            <w:shd w:val="clear" w:color="000000" w:fill="FFFFFF"/>
            <w:noWrap/>
            <w:vAlign w:val="center"/>
            <w:hideMark/>
          </w:tcPr>
          <w:p w14:paraId="14E2ADF7" w14:textId="77777777" w:rsidR="00563559" w:rsidRPr="00A97D79" w:rsidRDefault="00563559" w:rsidP="00094682">
            <w:pPr>
              <w:spacing w:after="0" w:line="240" w:lineRule="auto"/>
              <w:rPr>
                <w:color w:val="000000"/>
                <w:sz w:val="18"/>
                <w:szCs w:val="18"/>
                <w:lang w:eastAsia="sk-SK"/>
              </w:rPr>
            </w:pPr>
            <w:r w:rsidRPr="00A97D79">
              <w:rPr>
                <w:color w:val="000000"/>
                <w:sz w:val="18"/>
                <w:szCs w:val="18"/>
                <w:lang w:eastAsia="sk-SK"/>
              </w:rPr>
              <w:t> </w:t>
            </w:r>
          </w:p>
        </w:tc>
        <w:tc>
          <w:tcPr>
            <w:tcW w:w="2773" w:type="dxa"/>
            <w:gridSpan w:val="2"/>
            <w:tcBorders>
              <w:top w:val="nil"/>
              <w:left w:val="nil"/>
              <w:bottom w:val="nil"/>
              <w:right w:val="nil"/>
            </w:tcBorders>
            <w:shd w:val="clear" w:color="000000" w:fill="FFFFFF"/>
            <w:noWrap/>
            <w:vAlign w:val="center"/>
            <w:hideMark/>
          </w:tcPr>
          <w:p w14:paraId="5738A3B0" w14:textId="77777777" w:rsidR="00563559" w:rsidRPr="00A97D79" w:rsidRDefault="00563559" w:rsidP="00094682">
            <w:pPr>
              <w:spacing w:after="0" w:line="240" w:lineRule="auto"/>
              <w:rPr>
                <w:sz w:val="18"/>
                <w:szCs w:val="18"/>
                <w:lang w:eastAsia="sk-SK"/>
              </w:rPr>
            </w:pPr>
            <w:r w:rsidRPr="00A97D79">
              <w:rPr>
                <w:sz w:val="18"/>
                <w:szCs w:val="18"/>
                <w:lang w:eastAsia="sk-SK"/>
              </w:rPr>
              <w:t>MH Manažment, a.s.</w:t>
            </w:r>
          </w:p>
        </w:tc>
        <w:tc>
          <w:tcPr>
            <w:tcW w:w="968" w:type="dxa"/>
            <w:tcBorders>
              <w:top w:val="nil"/>
              <w:left w:val="nil"/>
              <w:bottom w:val="nil"/>
              <w:right w:val="nil"/>
            </w:tcBorders>
            <w:shd w:val="clear" w:color="000000" w:fill="FFFFFF"/>
            <w:noWrap/>
            <w:vAlign w:val="center"/>
            <w:hideMark/>
          </w:tcPr>
          <w:p w14:paraId="32EC714D"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-8 055</w:t>
            </w:r>
          </w:p>
        </w:tc>
        <w:tc>
          <w:tcPr>
            <w:tcW w:w="992" w:type="dxa"/>
            <w:tcBorders>
              <w:top w:val="nil"/>
              <w:left w:val="nil"/>
              <w:bottom w:val="nil"/>
              <w:right w:val="nil"/>
            </w:tcBorders>
            <w:shd w:val="clear" w:color="000000" w:fill="FFFFFF"/>
            <w:noWrap/>
            <w:vAlign w:val="center"/>
            <w:hideMark/>
          </w:tcPr>
          <w:p w14:paraId="33C37310"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-2 644</w:t>
            </w:r>
          </w:p>
        </w:tc>
        <w:tc>
          <w:tcPr>
            <w:tcW w:w="993" w:type="dxa"/>
            <w:tcBorders>
              <w:top w:val="nil"/>
              <w:left w:val="nil"/>
              <w:bottom w:val="nil"/>
              <w:right w:val="nil"/>
            </w:tcBorders>
            <w:shd w:val="clear" w:color="000000" w:fill="BFBFBF"/>
            <w:noWrap/>
            <w:vAlign w:val="center"/>
            <w:hideMark/>
          </w:tcPr>
          <w:p w14:paraId="6C21E95A"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-3 619</w:t>
            </w:r>
          </w:p>
        </w:tc>
        <w:tc>
          <w:tcPr>
            <w:tcW w:w="1134" w:type="dxa"/>
            <w:tcBorders>
              <w:top w:val="nil"/>
              <w:left w:val="nil"/>
              <w:bottom w:val="nil"/>
              <w:right w:val="nil"/>
            </w:tcBorders>
            <w:shd w:val="clear" w:color="000000" w:fill="FFFFFF"/>
            <w:noWrap/>
            <w:vAlign w:val="center"/>
            <w:hideMark/>
          </w:tcPr>
          <w:p w14:paraId="6C0218E7"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-2 115</w:t>
            </w:r>
          </w:p>
        </w:tc>
        <w:tc>
          <w:tcPr>
            <w:tcW w:w="1134" w:type="dxa"/>
            <w:tcBorders>
              <w:top w:val="nil"/>
              <w:left w:val="nil"/>
              <w:bottom w:val="nil"/>
              <w:right w:val="nil"/>
            </w:tcBorders>
            <w:shd w:val="clear" w:color="auto" w:fill="auto"/>
            <w:noWrap/>
            <w:vAlign w:val="center"/>
            <w:hideMark/>
          </w:tcPr>
          <w:p w14:paraId="278255D3"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-975</w:t>
            </w:r>
          </w:p>
        </w:tc>
        <w:tc>
          <w:tcPr>
            <w:tcW w:w="940" w:type="dxa"/>
            <w:tcBorders>
              <w:top w:val="nil"/>
              <w:left w:val="nil"/>
              <w:bottom w:val="nil"/>
              <w:right w:val="nil"/>
            </w:tcBorders>
            <w:shd w:val="clear" w:color="auto" w:fill="auto"/>
            <w:noWrap/>
            <w:vAlign w:val="center"/>
            <w:hideMark/>
          </w:tcPr>
          <w:p w14:paraId="4E233586"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1 504</w:t>
            </w:r>
          </w:p>
        </w:tc>
      </w:tr>
      <w:tr w:rsidR="00563559" w:rsidRPr="00A97D79" w14:paraId="4649C755" w14:textId="77777777" w:rsidTr="00094682">
        <w:trPr>
          <w:trHeight w:val="264"/>
        </w:trPr>
        <w:tc>
          <w:tcPr>
            <w:tcW w:w="185" w:type="dxa"/>
            <w:tcBorders>
              <w:top w:val="nil"/>
              <w:left w:val="nil"/>
              <w:bottom w:val="nil"/>
              <w:right w:val="nil"/>
            </w:tcBorders>
            <w:shd w:val="clear" w:color="000000" w:fill="FFFFFF"/>
            <w:noWrap/>
            <w:vAlign w:val="center"/>
            <w:hideMark/>
          </w:tcPr>
          <w:p w14:paraId="3FA34B49"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 </w:t>
            </w:r>
          </w:p>
        </w:tc>
        <w:tc>
          <w:tcPr>
            <w:tcW w:w="185" w:type="dxa"/>
            <w:tcBorders>
              <w:top w:val="nil"/>
              <w:left w:val="nil"/>
              <w:bottom w:val="nil"/>
              <w:right w:val="nil"/>
            </w:tcBorders>
            <w:shd w:val="clear" w:color="auto" w:fill="auto"/>
            <w:noWrap/>
            <w:vAlign w:val="bottom"/>
            <w:hideMark/>
          </w:tcPr>
          <w:p w14:paraId="768C09BB" w14:textId="77777777" w:rsidR="00563559" w:rsidRPr="00A97D79" w:rsidRDefault="00563559" w:rsidP="00094682">
            <w:pPr>
              <w:spacing w:after="0" w:line="240" w:lineRule="auto"/>
              <w:jc w:val="right"/>
              <w:rPr>
                <w:sz w:val="18"/>
                <w:szCs w:val="18"/>
                <w:lang w:eastAsia="sk-SK"/>
              </w:rPr>
            </w:pPr>
          </w:p>
        </w:tc>
        <w:tc>
          <w:tcPr>
            <w:tcW w:w="2773" w:type="dxa"/>
            <w:gridSpan w:val="2"/>
            <w:tcBorders>
              <w:top w:val="nil"/>
              <w:left w:val="nil"/>
              <w:bottom w:val="nil"/>
              <w:right w:val="nil"/>
            </w:tcBorders>
            <w:shd w:val="clear" w:color="000000" w:fill="FFFFFF"/>
            <w:noWrap/>
            <w:vAlign w:val="center"/>
            <w:hideMark/>
          </w:tcPr>
          <w:p w14:paraId="755E3F72" w14:textId="77777777" w:rsidR="00563559" w:rsidRPr="00A97D79" w:rsidRDefault="00563559" w:rsidP="00094682">
            <w:pPr>
              <w:spacing w:after="0" w:line="240" w:lineRule="auto"/>
              <w:rPr>
                <w:sz w:val="18"/>
                <w:szCs w:val="18"/>
                <w:lang w:eastAsia="sk-SK"/>
              </w:rPr>
            </w:pPr>
            <w:r w:rsidRPr="00A97D79">
              <w:rPr>
                <w:sz w:val="18"/>
                <w:szCs w:val="18"/>
                <w:lang w:eastAsia="sk-SK"/>
              </w:rPr>
              <w:t xml:space="preserve">SIH a investičné fondy SIH-u </w:t>
            </w:r>
          </w:p>
        </w:tc>
        <w:tc>
          <w:tcPr>
            <w:tcW w:w="968" w:type="dxa"/>
            <w:tcBorders>
              <w:top w:val="nil"/>
              <w:left w:val="nil"/>
              <w:bottom w:val="nil"/>
              <w:right w:val="nil"/>
            </w:tcBorders>
            <w:shd w:val="clear" w:color="000000" w:fill="FFFFFF"/>
            <w:noWrap/>
            <w:vAlign w:val="center"/>
            <w:hideMark/>
          </w:tcPr>
          <w:p w14:paraId="3BB4E3A3"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-4 149</w:t>
            </w:r>
          </w:p>
        </w:tc>
        <w:tc>
          <w:tcPr>
            <w:tcW w:w="992" w:type="dxa"/>
            <w:tcBorders>
              <w:top w:val="nil"/>
              <w:left w:val="nil"/>
              <w:bottom w:val="nil"/>
              <w:right w:val="nil"/>
            </w:tcBorders>
            <w:shd w:val="clear" w:color="000000" w:fill="FFFFFF"/>
            <w:noWrap/>
            <w:vAlign w:val="center"/>
            <w:hideMark/>
          </w:tcPr>
          <w:p w14:paraId="258DBB5C"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-829</w:t>
            </w:r>
          </w:p>
        </w:tc>
        <w:tc>
          <w:tcPr>
            <w:tcW w:w="993" w:type="dxa"/>
            <w:tcBorders>
              <w:top w:val="nil"/>
              <w:left w:val="nil"/>
              <w:bottom w:val="nil"/>
              <w:right w:val="nil"/>
            </w:tcBorders>
            <w:shd w:val="clear" w:color="000000" w:fill="BFBFBF"/>
            <w:noWrap/>
            <w:vAlign w:val="center"/>
            <w:hideMark/>
          </w:tcPr>
          <w:p w14:paraId="4959756A"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-5 475</w:t>
            </w:r>
          </w:p>
        </w:tc>
        <w:tc>
          <w:tcPr>
            <w:tcW w:w="1134" w:type="dxa"/>
            <w:tcBorders>
              <w:top w:val="nil"/>
              <w:left w:val="nil"/>
              <w:bottom w:val="nil"/>
              <w:right w:val="nil"/>
            </w:tcBorders>
            <w:shd w:val="clear" w:color="000000" w:fill="FFFFFF"/>
            <w:noWrap/>
            <w:vAlign w:val="center"/>
            <w:hideMark/>
          </w:tcPr>
          <w:p w14:paraId="07FA37CE"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0</w:t>
            </w:r>
          </w:p>
        </w:tc>
        <w:tc>
          <w:tcPr>
            <w:tcW w:w="1134" w:type="dxa"/>
            <w:tcBorders>
              <w:top w:val="nil"/>
              <w:left w:val="nil"/>
              <w:bottom w:val="nil"/>
              <w:right w:val="nil"/>
            </w:tcBorders>
            <w:shd w:val="clear" w:color="auto" w:fill="auto"/>
            <w:noWrap/>
            <w:vAlign w:val="center"/>
            <w:hideMark/>
          </w:tcPr>
          <w:p w14:paraId="253B9A93"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-4 646</w:t>
            </w:r>
          </w:p>
        </w:tc>
        <w:tc>
          <w:tcPr>
            <w:tcW w:w="940" w:type="dxa"/>
            <w:tcBorders>
              <w:top w:val="nil"/>
              <w:left w:val="nil"/>
              <w:bottom w:val="nil"/>
              <w:right w:val="nil"/>
            </w:tcBorders>
            <w:shd w:val="clear" w:color="auto" w:fill="auto"/>
            <w:noWrap/>
            <w:vAlign w:val="center"/>
            <w:hideMark/>
          </w:tcPr>
          <w:p w14:paraId="7AA5D0D7"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5 475</w:t>
            </w:r>
          </w:p>
        </w:tc>
      </w:tr>
      <w:tr w:rsidR="00563559" w:rsidRPr="00A97D79" w14:paraId="72AE5B7A" w14:textId="77777777" w:rsidTr="00094682">
        <w:trPr>
          <w:trHeight w:val="235"/>
        </w:trPr>
        <w:tc>
          <w:tcPr>
            <w:tcW w:w="185" w:type="dxa"/>
            <w:tcBorders>
              <w:top w:val="nil"/>
              <w:left w:val="nil"/>
              <w:bottom w:val="nil"/>
              <w:right w:val="nil"/>
            </w:tcBorders>
            <w:shd w:val="clear" w:color="000000" w:fill="FFFFFF"/>
            <w:noWrap/>
            <w:vAlign w:val="center"/>
            <w:hideMark/>
          </w:tcPr>
          <w:p w14:paraId="1770F234"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 </w:t>
            </w:r>
          </w:p>
        </w:tc>
        <w:tc>
          <w:tcPr>
            <w:tcW w:w="185" w:type="dxa"/>
            <w:tcBorders>
              <w:top w:val="nil"/>
              <w:left w:val="nil"/>
              <w:bottom w:val="nil"/>
              <w:right w:val="nil"/>
            </w:tcBorders>
            <w:shd w:val="clear" w:color="000000" w:fill="FFFFFF"/>
            <w:noWrap/>
            <w:vAlign w:val="center"/>
            <w:hideMark/>
          </w:tcPr>
          <w:p w14:paraId="63088510" w14:textId="77777777" w:rsidR="00563559" w:rsidRPr="00A97D79" w:rsidRDefault="00563559" w:rsidP="00094682">
            <w:pPr>
              <w:spacing w:after="0" w:line="240" w:lineRule="auto"/>
              <w:rPr>
                <w:color w:val="000000"/>
                <w:sz w:val="18"/>
                <w:szCs w:val="18"/>
                <w:lang w:eastAsia="sk-SK"/>
              </w:rPr>
            </w:pPr>
            <w:r w:rsidRPr="00A97D79">
              <w:rPr>
                <w:color w:val="000000"/>
                <w:sz w:val="18"/>
                <w:szCs w:val="18"/>
                <w:lang w:eastAsia="sk-SK"/>
              </w:rPr>
              <w:t> </w:t>
            </w:r>
          </w:p>
        </w:tc>
        <w:tc>
          <w:tcPr>
            <w:tcW w:w="2773" w:type="dxa"/>
            <w:gridSpan w:val="2"/>
            <w:tcBorders>
              <w:top w:val="nil"/>
              <w:left w:val="nil"/>
              <w:bottom w:val="nil"/>
              <w:right w:val="nil"/>
            </w:tcBorders>
            <w:shd w:val="clear" w:color="000000" w:fill="FFFFFF"/>
            <w:noWrap/>
            <w:hideMark/>
          </w:tcPr>
          <w:p w14:paraId="58E59E4A" w14:textId="77777777" w:rsidR="00563559" w:rsidRPr="00A97D79" w:rsidRDefault="00563559" w:rsidP="00094682">
            <w:pPr>
              <w:spacing w:after="0" w:line="240" w:lineRule="auto"/>
              <w:rPr>
                <w:sz w:val="18"/>
                <w:szCs w:val="18"/>
                <w:lang w:eastAsia="sk-SK"/>
              </w:rPr>
            </w:pPr>
            <w:r w:rsidRPr="00A97D79">
              <w:rPr>
                <w:sz w:val="18"/>
                <w:szCs w:val="18"/>
                <w:lang w:eastAsia="sk-SK"/>
              </w:rPr>
              <w:t>Slovenská konsolidačná, a.s.</w:t>
            </w:r>
          </w:p>
        </w:tc>
        <w:tc>
          <w:tcPr>
            <w:tcW w:w="968" w:type="dxa"/>
            <w:tcBorders>
              <w:top w:val="nil"/>
              <w:left w:val="nil"/>
              <w:bottom w:val="nil"/>
              <w:right w:val="nil"/>
            </w:tcBorders>
            <w:shd w:val="clear" w:color="000000" w:fill="FFFFFF"/>
            <w:noWrap/>
            <w:vAlign w:val="center"/>
            <w:hideMark/>
          </w:tcPr>
          <w:p w14:paraId="7BF650CD"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951</w:t>
            </w:r>
          </w:p>
        </w:tc>
        <w:tc>
          <w:tcPr>
            <w:tcW w:w="992" w:type="dxa"/>
            <w:tcBorders>
              <w:top w:val="nil"/>
              <w:left w:val="nil"/>
              <w:bottom w:val="nil"/>
              <w:right w:val="nil"/>
            </w:tcBorders>
            <w:shd w:val="clear" w:color="000000" w:fill="FFFFFF"/>
            <w:noWrap/>
            <w:vAlign w:val="center"/>
            <w:hideMark/>
          </w:tcPr>
          <w:p w14:paraId="3386B319"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1 575</w:t>
            </w:r>
          </w:p>
        </w:tc>
        <w:tc>
          <w:tcPr>
            <w:tcW w:w="993" w:type="dxa"/>
            <w:tcBorders>
              <w:top w:val="nil"/>
              <w:left w:val="nil"/>
              <w:bottom w:val="nil"/>
              <w:right w:val="nil"/>
            </w:tcBorders>
            <w:shd w:val="clear" w:color="000000" w:fill="BFBFBF"/>
            <w:noWrap/>
            <w:vAlign w:val="center"/>
            <w:hideMark/>
          </w:tcPr>
          <w:p w14:paraId="51918BD7"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-9 337</w:t>
            </w:r>
          </w:p>
        </w:tc>
        <w:tc>
          <w:tcPr>
            <w:tcW w:w="1134" w:type="dxa"/>
            <w:tcBorders>
              <w:top w:val="nil"/>
              <w:left w:val="nil"/>
              <w:bottom w:val="nil"/>
              <w:right w:val="nil"/>
            </w:tcBorders>
            <w:shd w:val="clear" w:color="000000" w:fill="FFFFFF"/>
            <w:noWrap/>
            <w:vAlign w:val="center"/>
            <w:hideMark/>
          </w:tcPr>
          <w:p w14:paraId="57AE9510"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-16 356</w:t>
            </w:r>
          </w:p>
        </w:tc>
        <w:tc>
          <w:tcPr>
            <w:tcW w:w="1134" w:type="dxa"/>
            <w:tcBorders>
              <w:top w:val="nil"/>
              <w:left w:val="nil"/>
              <w:bottom w:val="nil"/>
              <w:right w:val="nil"/>
            </w:tcBorders>
            <w:shd w:val="clear" w:color="auto" w:fill="auto"/>
            <w:noWrap/>
            <w:vAlign w:val="center"/>
            <w:hideMark/>
          </w:tcPr>
          <w:p w14:paraId="5F997E79"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-10 912</w:t>
            </w:r>
          </w:p>
        </w:tc>
        <w:tc>
          <w:tcPr>
            <w:tcW w:w="940" w:type="dxa"/>
            <w:tcBorders>
              <w:top w:val="nil"/>
              <w:left w:val="nil"/>
              <w:bottom w:val="nil"/>
              <w:right w:val="nil"/>
            </w:tcBorders>
            <w:shd w:val="clear" w:color="auto" w:fill="auto"/>
            <w:noWrap/>
            <w:vAlign w:val="center"/>
            <w:hideMark/>
          </w:tcPr>
          <w:p w14:paraId="1E95C4DF"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-7 019</w:t>
            </w:r>
          </w:p>
        </w:tc>
      </w:tr>
      <w:tr w:rsidR="00563559" w:rsidRPr="00A97D79" w14:paraId="44734B70" w14:textId="77777777" w:rsidTr="00094682">
        <w:trPr>
          <w:trHeight w:val="264"/>
        </w:trPr>
        <w:tc>
          <w:tcPr>
            <w:tcW w:w="185" w:type="dxa"/>
            <w:tcBorders>
              <w:top w:val="nil"/>
              <w:left w:val="nil"/>
              <w:bottom w:val="nil"/>
              <w:right w:val="nil"/>
            </w:tcBorders>
            <w:shd w:val="clear" w:color="000000" w:fill="FFFFFF"/>
            <w:noWrap/>
            <w:vAlign w:val="center"/>
            <w:hideMark/>
          </w:tcPr>
          <w:p w14:paraId="25F84791"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 </w:t>
            </w:r>
          </w:p>
        </w:tc>
        <w:tc>
          <w:tcPr>
            <w:tcW w:w="185" w:type="dxa"/>
            <w:tcBorders>
              <w:top w:val="nil"/>
              <w:left w:val="nil"/>
              <w:bottom w:val="nil"/>
              <w:right w:val="nil"/>
            </w:tcBorders>
            <w:shd w:val="clear" w:color="000000" w:fill="FFFFFF"/>
            <w:noWrap/>
            <w:vAlign w:val="center"/>
            <w:hideMark/>
          </w:tcPr>
          <w:p w14:paraId="40DE3D0C" w14:textId="77777777" w:rsidR="00563559" w:rsidRPr="00A97D79" w:rsidRDefault="00563559" w:rsidP="00094682">
            <w:pPr>
              <w:spacing w:after="0" w:line="240" w:lineRule="auto"/>
              <w:rPr>
                <w:sz w:val="18"/>
                <w:szCs w:val="18"/>
                <w:lang w:eastAsia="sk-SK"/>
              </w:rPr>
            </w:pPr>
            <w:r w:rsidRPr="00A97D79">
              <w:rPr>
                <w:sz w:val="18"/>
                <w:szCs w:val="18"/>
                <w:lang w:eastAsia="sk-SK"/>
              </w:rPr>
              <w:t> </w:t>
            </w:r>
          </w:p>
        </w:tc>
        <w:tc>
          <w:tcPr>
            <w:tcW w:w="2773" w:type="dxa"/>
            <w:gridSpan w:val="2"/>
            <w:tcBorders>
              <w:top w:val="nil"/>
              <w:left w:val="nil"/>
              <w:bottom w:val="nil"/>
              <w:right w:val="nil"/>
            </w:tcBorders>
            <w:shd w:val="clear" w:color="000000" w:fill="FFFFFF"/>
            <w:noWrap/>
            <w:vAlign w:val="center"/>
            <w:hideMark/>
          </w:tcPr>
          <w:p w14:paraId="28D8D81E" w14:textId="77777777" w:rsidR="00563559" w:rsidRPr="00A97D79" w:rsidRDefault="00563559" w:rsidP="00094682">
            <w:pPr>
              <w:spacing w:after="0" w:line="240" w:lineRule="auto"/>
              <w:rPr>
                <w:sz w:val="18"/>
                <w:szCs w:val="18"/>
                <w:lang w:eastAsia="sk-SK"/>
              </w:rPr>
            </w:pPr>
            <w:r w:rsidRPr="00A97D79">
              <w:rPr>
                <w:sz w:val="18"/>
                <w:szCs w:val="18"/>
                <w:lang w:eastAsia="sk-SK"/>
              </w:rPr>
              <w:t>Železnice Slovenskej republiky</w:t>
            </w:r>
          </w:p>
        </w:tc>
        <w:tc>
          <w:tcPr>
            <w:tcW w:w="968" w:type="dxa"/>
            <w:tcBorders>
              <w:top w:val="nil"/>
              <w:left w:val="nil"/>
              <w:bottom w:val="nil"/>
              <w:right w:val="nil"/>
            </w:tcBorders>
            <w:shd w:val="clear" w:color="000000" w:fill="FFFFFF"/>
            <w:noWrap/>
            <w:vAlign w:val="center"/>
            <w:hideMark/>
          </w:tcPr>
          <w:p w14:paraId="21E7B9D0"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537</w:t>
            </w:r>
          </w:p>
        </w:tc>
        <w:tc>
          <w:tcPr>
            <w:tcW w:w="992" w:type="dxa"/>
            <w:tcBorders>
              <w:top w:val="nil"/>
              <w:left w:val="nil"/>
              <w:bottom w:val="nil"/>
              <w:right w:val="nil"/>
            </w:tcBorders>
            <w:shd w:val="clear" w:color="000000" w:fill="FFFFFF"/>
            <w:noWrap/>
            <w:vAlign w:val="center"/>
            <w:hideMark/>
          </w:tcPr>
          <w:p w14:paraId="51D01BE8"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718</w:t>
            </w:r>
          </w:p>
        </w:tc>
        <w:tc>
          <w:tcPr>
            <w:tcW w:w="993" w:type="dxa"/>
            <w:tcBorders>
              <w:top w:val="nil"/>
              <w:left w:val="nil"/>
              <w:bottom w:val="nil"/>
              <w:right w:val="nil"/>
            </w:tcBorders>
            <w:shd w:val="clear" w:color="000000" w:fill="BFBFBF"/>
            <w:noWrap/>
            <w:vAlign w:val="center"/>
            <w:hideMark/>
          </w:tcPr>
          <w:p w14:paraId="37CB67BA"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-10 050</w:t>
            </w:r>
          </w:p>
        </w:tc>
        <w:tc>
          <w:tcPr>
            <w:tcW w:w="1134" w:type="dxa"/>
            <w:tcBorders>
              <w:top w:val="nil"/>
              <w:left w:val="nil"/>
              <w:bottom w:val="nil"/>
              <w:right w:val="nil"/>
            </w:tcBorders>
            <w:shd w:val="clear" w:color="000000" w:fill="FFFFFF"/>
            <w:noWrap/>
            <w:vAlign w:val="center"/>
            <w:hideMark/>
          </w:tcPr>
          <w:p w14:paraId="11571940"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-26 983</w:t>
            </w:r>
          </w:p>
        </w:tc>
        <w:tc>
          <w:tcPr>
            <w:tcW w:w="1134" w:type="dxa"/>
            <w:tcBorders>
              <w:top w:val="nil"/>
              <w:left w:val="nil"/>
              <w:bottom w:val="nil"/>
              <w:right w:val="nil"/>
            </w:tcBorders>
            <w:shd w:val="clear" w:color="auto" w:fill="auto"/>
            <w:noWrap/>
            <w:vAlign w:val="center"/>
            <w:hideMark/>
          </w:tcPr>
          <w:p w14:paraId="55705516"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-10 768</w:t>
            </w:r>
          </w:p>
        </w:tc>
        <w:tc>
          <w:tcPr>
            <w:tcW w:w="940" w:type="dxa"/>
            <w:tcBorders>
              <w:top w:val="nil"/>
              <w:left w:val="nil"/>
              <w:bottom w:val="nil"/>
              <w:right w:val="nil"/>
            </w:tcBorders>
            <w:shd w:val="clear" w:color="auto" w:fill="auto"/>
            <w:noWrap/>
            <w:vAlign w:val="center"/>
            <w:hideMark/>
          </w:tcPr>
          <w:p w14:paraId="517D069B"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-16 933</w:t>
            </w:r>
          </w:p>
        </w:tc>
      </w:tr>
      <w:tr w:rsidR="00563559" w:rsidRPr="00A97D79" w14:paraId="526449EC" w14:textId="77777777" w:rsidTr="00094682">
        <w:trPr>
          <w:trHeight w:val="264"/>
        </w:trPr>
        <w:tc>
          <w:tcPr>
            <w:tcW w:w="185" w:type="dxa"/>
            <w:tcBorders>
              <w:top w:val="nil"/>
              <w:left w:val="nil"/>
              <w:bottom w:val="nil"/>
              <w:right w:val="nil"/>
            </w:tcBorders>
            <w:shd w:val="clear" w:color="000000" w:fill="FFFFFF"/>
            <w:noWrap/>
            <w:vAlign w:val="center"/>
            <w:hideMark/>
          </w:tcPr>
          <w:p w14:paraId="1621ED71"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 </w:t>
            </w:r>
          </w:p>
        </w:tc>
        <w:tc>
          <w:tcPr>
            <w:tcW w:w="185" w:type="dxa"/>
            <w:tcBorders>
              <w:top w:val="nil"/>
              <w:left w:val="nil"/>
              <w:bottom w:val="nil"/>
              <w:right w:val="nil"/>
            </w:tcBorders>
            <w:shd w:val="clear" w:color="000000" w:fill="FFFFFF"/>
            <w:noWrap/>
            <w:vAlign w:val="center"/>
            <w:hideMark/>
          </w:tcPr>
          <w:p w14:paraId="2E9ED527" w14:textId="77777777" w:rsidR="00563559" w:rsidRPr="00A97D79" w:rsidRDefault="00563559" w:rsidP="00094682">
            <w:pPr>
              <w:spacing w:after="0" w:line="240" w:lineRule="auto"/>
              <w:rPr>
                <w:sz w:val="18"/>
                <w:szCs w:val="18"/>
                <w:lang w:eastAsia="sk-SK"/>
              </w:rPr>
            </w:pPr>
            <w:r w:rsidRPr="00A97D79">
              <w:rPr>
                <w:sz w:val="18"/>
                <w:szCs w:val="18"/>
                <w:lang w:eastAsia="sk-SK"/>
              </w:rPr>
              <w:t> </w:t>
            </w:r>
          </w:p>
        </w:tc>
        <w:tc>
          <w:tcPr>
            <w:tcW w:w="2773" w:type="dxa"/>
            <w:gridSpan w:val="2"/>
            <w:tcBorders>
              <w:top w:val="nil"/>
              <w:left w:val="nil"/>
              <w:bottom w:val="nil"/>
              <w:right w:val="nil"/>
            </w:tcBorders>
            <w:shd w:val="clear" w:color="000000" w:fill="FFFFFF"/>
            <w:noWrap/>
            <w:vAlign w:val="center"/>
            <w:hideMark/>
          </w:tcPr>
          <w:p w14:paraId="1E640F7D" w14:textId="77777777" w:rsidR="00563559" w:rsidRPr="00A97D79" w:rsidRDefault="00563559" w:rsidP="00094682">
            <w:pPr>
              <w:spacing w:after="0" w:line="240" w:lineRule="auto"/>
              <w:rPr>
                <w:sz w:val="18"/>
                <w:szCs w:val="18"/>
                <w:lang w:eastAsia="sk-SK"/>
              </w:rPr>
            </w:pPr>
            <w:r w:rsidRPr="00A97D79">
              <w:rPr>
                <w:sz w:val="18"/>
                <w:szCs w:val="18"/>
                <w:lang w:eastAsia="sk-SK"/>
              </w:rPr>
              <w:t>Železničná spoločnosť Slovensko,</w:t>
            </w:r>
            <w:r>
              <w:rPr>
                <w:sz w:val="18"/>
                <w:szCs w:val="18"/>
                <w:lang w:eastAsia="sk-SK"/>
              </w:rPr>
              <w:t xml:space="preserve"> </w:t>
            </w:r>
            <w:r w:rsidRPr="00A97D79">
              <w:rPr>
                <w:sz w:val="18"/>
                <w:szCs w:val="18"/>
                <w:lang w:eastAsia="sk-SK"/>
              </w:rPr>
              <w:t>a.s.</w:t>
            </w:r>
          </w:p>
        </w:tc>
        <w:tc>
          <w:tcPr>
            <w:tcW w:w="968" w:type="dxa"/>
            <w:tcBorders>
              <w:top w:val="nil"/>
              <w:left w:val="nil"/>
              <w:bottom w:val="nil"/>
              <w:right w:val="nil"/>
            </w:tcBorders>
            <w:shd w:val="clear" w:color="000000" w:fill="FFFFFF"/>
            <w:noWrap/>
            <w:vAlign w:val="center"/>
            <w:hideMark/>
          </w:tcPr>
          <w:p w14:paraId="7FB2EB79"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-12 221</w:t>
            </w:r>
          </w:p>
        </w:tc>
        <w:tc>
          <w:tcPr>
            <w:tcW w:w="992" w:type="dxa"/>
            <w:tcBorders>
              <w:top w:val="nil"/>
              <w:left w:val="nil"/>
              <w:bottom w:val="nil"/>
              <w:right w:val="nil"/>
            </w:tcBorders>
            <w:shd w:val="clear" w:color="000000" w:fill="FFFFFF"/>
            <w:noWrap/>
            <w:vAlign w:val="center"/>
            <w:hideMark/>
          </w:tcPr>
          <w:p w14:paraId="0E008296"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-39 517</w:t>
            </w:r>
          </w:p>
        </w:tc>
        <w:tc>
          <w:tcPr>
            <w:tcW w:w="993" w:type="dxa"/>
            <w:tcBorders>
              <w:top w:val="nil"/>
              <w:left w:val="nil"/>
              <w:bottom w:val="nil"/>
              <w:right w:val="nil"/>
            </w:tcBorders>
            <w:shd w:val="clear" w:color="000000" w:fill="BFBFBF"/>
            <w:noWrap/>
            <w:vAlign w:val="center"/>
            <w:hideMark/>
          </w:tcPr>
          <w:p w14:paraId="449E7142"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-87 861</w:t>
            </w:r>
          </w:p>
        </w:tc>
        <w:tc>
          <w:tcPr>
            <w:tcW w:w="1134" w:type="dxa"/>
            <w:tcBorders>
              <w:top w:val="nil"/>
              <w:left w:val="nil"/>
              <w:bottom w:val="nil"/>
              <w:right w:val="nil"/>
            </w:tcBorders>
            <w:shd w:val="clear" w:color="000000" w:fill="FFFFFF"/>
            <w:noWrap/>
            <w:vAlign w:val="center"/>
            <w:hideMark/>
          </w:tcPr>
          <w:p w14:paraId="0D6BD6BC"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-73 172</w:t>
            </w:r>
          </w:p>
        </w:tc>
        <w:tc>
          <w:tcPr>
            <w:tcW w:w="1134" w:type="dxa"/>
            <w:tcBorders>
              <w:top w:val="nil"/>
              <w:left w:val="nil"/>
              <w:bottom w:val="nil"/>
              <w:right w:val="nil"/>
            </w:tcBorders>
            <w:shd w:val="clear" w:color="auto" w:fill="auto"/>
            <w:noWrap/>
            <w:vAlign w:val="center"/>
            <w:hideMark/>
          </w:tcPr>
          <w:p w14:paraId="7D199108"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-48 344</w:t>
            </w:r>
          </w:p>
        </w:tc>
        <w:tc>
          <w:tcPr>
            <w:tcW w:w="940" w:type="dxa"/>
            <w:tcBorders>
              <w:top w:val="nil"/>
              <w:left w:val="nil"/>
              <w:bottom w:val="nil"/>
              <w:right w:val="nil"/>
            </w:tcBorders>
            <w:shd w:val="clear" w:color="auto" w:fill="auto"/>
            <w:noWrap/>
            <w:vAlign w:val="center"/>
            <w:hideMark/>
          </w:tcPr>
          <w:p w14:paraId="58DDDC96"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14 689</w:t>
            </w:r>
          </w:p>
        </w:tc>
      </w:tr>
      <w:tr w:rsidR="00563559" w:rsidRPr="00A97D79" w14:paraId="48A63330" w14:textId="77777777" w:rsidTr="00094682">
        <w:trPr>
          <w:trHeight w:val="264"/>
        </w:trPr>
        <w:tc>
          <w:tcPr>
            <w:tcW w:w="185" w:type="dxa"/>
            <w:tcBorders>
              <w:top w:val="nil"/>
              <w:left w:val="nil"/>
              <w:bottom w:val="nil"/>
              <w:right w:val="nil"/>
            </w:tcBorders>
            <w:shd w:val="clear" w:color="000000" w:fill="FFFFFF"/>
            <w:noWrap/>
            <w:vAlign w:val="center"/>
            <w:hideMark/>
          </w:tcPr>
          <w:p w14:paraId="6C74BDFF"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 </w:t>
            </w:r>
          </w:p>
        </w:tc>
        <w:tc>
          <w:tcPr>
            <w:tcW w:w="2958" w:type="dxa"/>
            <w:gridSpan w:val="3"/>
            <w:tcBorders>
              <w:top w:val="nil"/>
              <w:left w:val="nil"/>
              <w:bottom w:val="nil"/>
              <w:right w:val="nil"/>
            </w:tcBorders>
            <w:shd w:val="clear" w:color="000000" w:fill="FFFFFF"/>
            <w:noWrap/>
            <w:vAlign w:val="center"/>
            <w:hideMark/>
          </w:tcPr>
          <w:p w14:paraId="55A9C29E" w14:textId="77777777" w:rsidR="00563559" w:rsidRPr="00A97D79" w:rsidRDefault="00563559" w:rsidP="00094682">
            <w:pPr>
              <w:spacing w:after="0" w:line="240" w:lineRule="auto"/>
              <w:rPr>
                <w:sz w:val="18"/>
                <w:szCs w:val="18"/>
                <w:lang w:eastAsia="sk-SK"/>
              </w:rPr>
            </w:pPr>
            <w:r w:rsidRPr="00A97D79">
              <w:rPr>
                <w:sz w:val="18"/>
                <w:szCs w:val="18"/>
                <w:lang w:eastAsia="sk-SK"/>
              </w:rPr>
              <w:t>Verejné vysoké školy</w:t>
            </w:r>
          </w:p>
        </w:tc>
        <w:tc>
          <w:tcPr>
            <w:tcW w:w="968" w:type="dxa"/>
            <w:tcBorders>
              <w:top w:val="nil"/>
              <w:left w:val="nil"/>
              <w:bottom w:val="nil"/>
              <w:right w:val="nil"/>
            </w:tcBorders>
            <w:shd w:val="clear" w:color="000000" w:fill="FFFFFF"/>
            <w:noWrap/>
            <w:vAlign w:val="center"/>
            <w:hideMark/>
          </w:tcPr>
          <w:p w14:paraId="6C9BFF49"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30 982</w:t>
            </w:r>
          </w:p>
        </w:tc>
        <w:tc>
          <w:tcPr>
            <w:tcW w:w="992" w:type="dxa"/>
            <w:tcBorders>
              <w:top w:val="nil"/>
              <w:left w:val="nil"/>
              <w:bottom w:val="nil"/>
              <w:right w:val="nil"/>
            </w:tcBorders>
            <w:shd w:val="clear" w:color="000000" w:fill="FFFFFF"/>
            <w:noWrap/>
            <w:vAlign w:val="center"/>
            <w:hideMark/>
          </w:tcPr>
          <w:p w14:paraId="379D9632"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-4 406</w:t>
            </w:r>
          </w:p>
        </w:tc>
        <w:tc>
          <w:tcPr>
            <w:tcW w:w="993" w:type="dxa"/>
            <w:tcBorders>
              <w:top w:val="nil"/>
              <w:left w:val="nil"/>
              <w:bottom w:val="nil"/>
              <w:right w:val="nil"/>
            </w:tcBorders>
            <w:shd w:val="clear" w:color="000000" w:fill="BFBFBF"/>
            <w:noWrap/>
            <w:vAlign w:val="center"/>
            <w:hideMark/>
          </w:tcPr>
          <w:p w14:paraId="3397CD9D"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105 938</w:t>
            </w:r>
          </w:p>
        </w:tc>
        <w:tc>
          <w:tcPr>
            <w:tcW w:w="1134" w:type="dxa"/>
            <w:tcBorders>
              <w:top w:val="nil"/>
              <w:left w:val="nil"/>
              <w:bottom w:val="nil"/>
              <w:right w:val="nil"/>
            </w:tcBorders>
            <w:shd w:val="clear" w:color="000000" w:fill="FFFFFF"/>
            <w:noWrap/>
            <w:vAlign w:val="center"/>
            <w:hideMark/>
          </w:tcPr>
          <w:p w14:paraId="61B7C485"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-44 042</w:t>
            </w:r>
          </w:p>
        </w:tc>
        <w:tc>
          <w:tcPr>
            <w:tcW w:w="1134" w:type="dxa"/>
            <w:tcBorders>
              <w:top w:val="nil"/>
              <w:left w:val="nil"/>
              <w:bottom w:val="nil"/>
              <w:right w:val="nil"/>
            </w:tcBorders>
            <w:shd w:val="clear" w:color="auto" w:fill="auto"/>
            <w:noWrap/>
            <w:vAlign w:val="center"/>
            <w:hideMark/>
          </w:tcPr>
          <w:p w14:paraId="61FAFCE7"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110 344</w:t>
            </w:r>
          </w:p>
        </w:tc>
        <w:tc>
          <w:tcPr>
            <w:tcW w:w="940" w:type="dxa"/>
            <w:tcBorders>
              <w:top w:val="nil"/>
              <w:left w:val="nil"/>
              <w:bottom w:val="nil"/>
              <w:right w:val="nil"/>
            </w:tcBorders>
            <w:shd w:val="clear" w:color="auto" w:fill="auto"/>
            <w:noWrap/>
            <w:vAlign w:val="center"/>
            <w:hideMark/>
          </w:tcPr>
          <w:p w14:paraId="74C51AE8"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-149 980</w:t>
            </w:r>
          </w:p>
        </w:tc>
      </w:tr>
      <w:tr w:rsidR="00563559" w:rsidRPr="00A97D79" w14:paraId="168A501B" w14:textId="77777777" w:rsidTr="00094682">
        <w:trPr>
          <w:trHeight w:val="264"/>
        </w:trPr>
        <w:tc>
          <w:tcPr>
            <w:tcW w:w="185" w:type="dxa"/>
            <w:tcBorders>
              <w:top w:val="nil"/>
              <w:left w:val="nil"/>
              <w:bottom w:val="nil"/>
              <w:right w:val="nil"/>
            </w:tcBorders>
            <w:shd w:val="clear" w:color="000000" w:fill="FFFFFF"/>
            <w:noWrap/>
            <w:vAlign w:val="center"/>
            <w:hideMark/>
          </w:tcPr>
          <w:p w14:paraId="2B068A7C"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 </w:t>
            </w:r>
          </w:p>
        </w:tc>
        <w:tc>
          <w:tcPr>
            <w:tcW w:w="2958" w:type="dxa"/>
            <w:gridSpan w:val="3"/>
            <w:tcBorders>
              <w:top w:val="nil"/>
              <w:left w:val="nil"/>
              <w:bottom w:val="nil"/>
              <w:right w:val="nil"/>
            </w:tcBorders>
            <w:shd w:val="clear" w:color="000000" w:fill="FFFFFF"/>
            <w:noWrap/>
            <w:vAlign w:val="center"/>
            <w:hideMark/>
          </w:tcPr>
          <w:p w14:paraId="34FB8CEA" w14:textId="77777777" w:rsidR="00563559" w:rsidRPr="00A97D79" w:rsidRDefault="00563559" w:rsidP="00094682">
            <w:pPr>
              <w:spacing w:after="0" w:line="240" w:lineRule="auto"/>
              <w:rPr>
                <w:sz w:val="18"/>
                <w:szCs w:val="18"/>
                <w:lang w:eastAsia="sk-SK"/>
              </w:rPr>
            </w:pPr>
            <w:r w:rsidRPr="00A97D79">
              <w:rPr>
                <w:sz w:val="18"/>
                <w:szCs w:val="18"/>
                <w:lang w:eastAsia="sk-SK"/>
              </w:rPr>
              <w:t xml:space="preserve">Zdravotnícke zariadenia </w:t>
            </w:r>
          </w:p>
        </w:tc>
        <w:tc>
          <w:tcPr>
            <w:tcW w:w="968" w:type="dxa"/>
            <w:tcBorders>
              <w:top w:val="nil"/>
              <w:left w:val="nil"/>
              <w:bottom w:val="nil"/>
              <w:right w:val="nil"/>
            </w:tcBorders>
            <w:shd w:val="clear" w:color="000000" w:fill="FFFFFF"/>
            <w:noWrap/>
            <w:vAlign w:val="center"/>
            <w:hideMark/>
          </w:tcPr>
          <w:p w14:paraId="3159CCFE"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213 109</w:t>
            </w:r>
          </w:p>
        </w:tc>
        <w:tc>
          <w:tcPr>
            <w:tcW w:w="992" w:type="dxa"/>
            <w:tcBorders>
              <w:top w:val="nil"/>
              <w:left w:val="nil"/>
              <w:bottom w:val="nil"/>
              <w:right w:val="nil"/>
            </w:tcBorders>
            <w:shd w:val="clear" w:color="000000" w:fill="FFFFFF"/>
            <w:noWrap/>
            <w:vAlign w:val="center"/>
            <w:hideMark/>
          </w:tcPr>
          <w:p w14:paraId="5D19F9E6"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-51 277</w:t>
            </w:r>
          </w:p>
        </w:tc>
        <w:tc>
          <w:tcPr>
            <w:tcW w:w="993" w:type="dxa"/>
            <w:tcBorders>
              <w:top w:val="nil"/>
              <w:left w:val="nil"/>
              <w:bottom w:val="nil"/>
              <w:right w:val="nil"/>
            </w:tcBorders>
            <w:shd w:val="clear" w:color="000000" w:fill="BFBFBF"/>
            <w:noWrap/>
            <w:vAlign w:val="center"/>
            <w:hideMark/>
          </w:tcPr>
          <w:p w14:paraId="4894CD49"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-47 352</w:t>
            </w:r>
          </w:p>
        </w:tc>
        <w:tc>
          <w:tcPr>
            <w:tcW w:w="1134" w:type="dxa"/>
            <w:tcBorders>
              <w:top w:val="nil"/>
              <w:left w:val="nil"/>
              <w:bottom w:val="nil"/>
              <w:right w:val="nil"/>
            </w:tcBorders>
            <w:shd w:val="clear" w:color="000000" w:fill="FFFFFF"/>
            <w:noWrap/>
            <w:vAlign w:val="center"/>
            <w:hideMark/>
          </w:tcPr>
          <w:p w14:paraId="0F945678"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-43 558</w:t>
            </w:r>
          </w:p>
        </w:tc>
        <w:tc>
          <w:tcPr>
            <w:tcW w:w="1134" w:type="dxa"/>
            <w:tcBorders>
              <w:top w:val="nil"/>
              <w:left w:val="nil"/>
              <w:bottom w:val="nil"/>
              <w:right w:val="nil"/>
            </w:tcBorders>
            <w:shd w:val="clear" w:color="auto" w:fill="auto"/>
            <w:noWrap/>
            <w:vAlign w:val="center"/>
            <w:hideMark/>
          </w:tcPr>
          <w:p w14:paraId="48C5F11E"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3 925</w:t>
            </w:r>
          </w:p>
        </w:tc>
        <w:tc>
          <w:tcPr>
            <w:tcW w:w="940" w:type="dxa"/>
            <w:tcBorders>
              <w:top w:val="nil"/>
              <w:left w:val="nil"/>
              <w:bottom w:val="nil"/>
              <w:right w:val="nil"/>
            </w:tcBorders>
            <w:shd w:val="clear" w:color="auto" w:fill="auto"/>
            <w:noWrap/>
            <w:vAlign w:val="center"/>
            <w:hideMark/>
          </w:tcPr>
          <w:p w14:paraId="6CBFD63A"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3 794</w:t>
            </w:r>
          </w:p>
        </w:tc>
      </w:tr>
      <w:tr w:rsidR="00563559" w:rsidRPr="00A97D79" w14:paraId="5681F428" w14:textId="77777777" w:rsidTr="00094682">
        <w:trPr>
          <w:trHeight w:val="288"/>
        </w:trPr>
        <w:tc>
          <w:tcPr>
            <w:tcW w:w="185" w:type="dxa"/>
            <w:tcBorders>
              <w:top w:val="nil"/>
              <w:left w:val="nil"/>
              <w:bottom w:val="nil"/>
              <w:right w:val="nil"/>
            </w:tcBorders>
            <w:shd w:val="clear" w:color="000000" w:fill="FFFFFF"/>
            <w:noWrap/>
            <w:vAlign w:val="center"/>
            <w:hideMark/>
          </w:tcPr>
          <w:p w14:paraId="532FD7FA"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 </w:t>
            </w:r>
          </w:p>
        </w:tc>
        <w:tc>
          <w:tcPr>
            <w:tcW w:w="2958" w:type="dxa"/>
            <w:gridSpan w:val="3"/>
            <w:tcBorders>
              <w:top w:val="nil"/>
              <w:left w:val="nil"/>
              <w:bottom w:val="nil"/>
              <w:right w:val="nil"/>
            </w:tcBorders>
            <w:shd w:val="clear" w:color="000000" w:fill="FFFFFF"/>
            <w:noWrap/>
            <w:vAlign w:val="center"/>
            <w:hideMark/>
          </w:tcPr>
          <w:p w14:paraId="6D7D6630" w14:textId="77777777" w:rsidR="00563559" w:rsidRPr="00A97D79" w:rsidRDefault="00563559" w:rsidP="00094682">
            <w:pPr>
              <w:spacing w:after="0" w:line="240" w:lineRule="auto"/>
              <w:rPr>
                <w:sz w:val="18"/>
                <w:szCs w:val="18"/>
                <w:lang w:eastAsia="sk-SK"/>
              </w:rPr>
            </w:pPr>
            <w:r w:rsidRPr="00A97D79">
              <w:rPr>
                <w:sz w:val="18"/>
                <w:szCs w:val="18"/>
                <w:lang w:eastAsia="sk-SK"/>
              </w:rPr>
              <w:t>Ostatné subjekty ústrednej správy</w:t>
            </w:r>
            <w:r w:rsidRPr="00A97D79">
              <w:rPr>
                <w:sz w:val="18"/>
                <w:szCs w:val="18"/>
                <w:vertAlign w:val="superscript"/>
                <w:lang w:eastAsia="sk-SK"/>
              </w:rPr>
              <w:t>2)</w:t>
            </w:r>
          </w:p>
        </w:tc>
        <w:tc>
          <w:tcPr>
            <w:tcW w:w="968" w:type="dxa"/>
            <w:tcBorders>
              <w:top w:val="nil"/>
              <w:left w:val="nil"/>
              <w:bottom w:val="nil"/>
              <w:right w:val="nil"/>
            </w:tcBorders>
            <w:shd w:val="clear" w:color="000000" w:fill="FFFFFF"/>
            <w:noWrap/>
            <w:vAlign w:val="center"/>
            <w:hideMark/>
          </w:tcPr>
          <w:p w14:paraId="7EC62D81"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90 230</w:t>
            </w:r>
          </w:p>
        </w:tc>
        <w:tc>
          <w:tcPr>
            <w:tcW w:w="992" w:type="dxa"/>
            <w:tcBorders>
              <w:top w:val="nil"/>
              <w:left w:val="nil"/>
              <w:bottom w:val="nil"/>
              <w:right w:val="nil"/>
            </w:tcBorders>
            <w:shd w:val="clear" w:color="000000" w:fill="FFFFFF"/>
            <w:noWrap/>
            <w:vAlign w:val="center"/>
            <w:hideMark/>
          </w:tcPr>
          <w:p w14:paraId="13CCA7A0"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190 973</w:t>
            </w:r>
          </w:p>
        </w:tc>
        <w:tc>
          <w:tcPr>
            <w:tcW w:w="993" w:type="dxa"/>
            <w:tcBorders>
              <w:top w:val="nil"/>
              <w:left w:val="nil"/>
              <w:bottom w:val="nil"/>
              <w:right w:val="nil"/>
            </w:tcBorders>
            <w:shd w:val="clear" w:color="000000" w:fill="BFBFBF"/>
            <w:noWrap/>
            <w:vAlign w:val="center"/>
            <w:hideMark/>
          </w:tcPr>
          <w:p w14:paraId="2D475F0C"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5 556</w:t>
            </w:r>
          </w:p>
        </w:tc>
        <w:tc>
          <w:tcPr>
            <w:tcW w:w="1134" w:type="dxa"/>
            <w:tcBorders>
              <w:top w:val="nil"/>
              <w:left w:val="nil"/>
              <w:bottom w:val="nil"/>
              <w:right w:val="nil"/>
            </w:tcBorders>
            <w:shd w:val="clear" w:color="000000" w:fill="FFFFFF"/>
            <w:noWrap/>
            <w:vAlign w:val="center"/>
            <w:hideMark/>
          </w:tcPr>
          <w:p w14:paraId="2616127F"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42 543</w:t>
            </w:r>
          </w:p>
        </w:tc>
        <w:tc>
          <w:tcPr>
            <w:tcW w:w="1134" w:type="dxa"/>
            <w:tcBorders>
              <w:top w:val="nil"/>
              <w:left w:val="nil"/>
              <w:bottom w:val="nil"/>
              <w:right w:val="nil"/>
            </w:tcBorders>
            <w:shd w:val="clear" w:color="auto" w:fill="auto"/>
            <w:noWrap/>
            <w:vAlign w:val="center"/>
            <w:hideMark/>
          </w:tcPr>
          <w:p w14:paraId="37D06263"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-185 417</w:t>
            </w:r>
          </w:p>
        </w:tc>
        <w:tc>
          <w:tcPr>
            <w:tcW w:w="940" w:type="dxa"/>
            <w:tcBorders>
              <w:top w:val="nil"/>
              <w:left w:val="nil"/>
              <w:bottom w:val="nil"/>
              <w:right w:val="nil"/>
            </w:tcBorders>
            <w:shd w:val="clear" w:color="auto" w:fill="auto"/>
            <w:noWrap/>
            <w:vAlign w:val="center"/>
            <w:hideMark/>
          </w:tcPr>
          <w:p w14:paraId="505B380C"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36 987</w:t>
            </w:r>
          </w:p>
        </w:tc>
      </w:tr>
      <w:tr w:rsidR="00563559" w:rsidRPr="00A97D79" w14:paraId="50616197" w14:textId="77777777" w:rsidTr="00094682">
        <w:trPr>
          <w:trHeight w:val="264"/>
        </w:trPr>
        <w:tc>
          <w:tcPr>
            <w:tcW w:w="3143" w:type="dxa"/>
            <w:gridSpan w:val="4"/>
            <w:tcBorders>
              <w:top w:val="nil"/>
              <w:left w:val="nil"/>
              <w:bottom w:val="nil"/>
              <w:right w:val="nil"/>
            </w:tcBorders>
            <w:shd w:val="clear" w:color="000000" w:fill="FFFFFF"/>
            <w:noWrap/>
            <w:vAlign w:val="center"/>
            <w:hideMark/>
          </w:tcPr>
          <w:p w14:paraId="52808D87" w14:textId="77777777" w:rsidR="00563559" w:rsidRPr="00A97D79" w:rsidRDefault="00563559" w:rsidP="00094682">
            <w:pPr>
              <w:spacing w:after="0" w:line="240" w:lineRule="auto"/>
              <w:rPr>
                <w:b/>
                <w:bCs/>
                <w:color w:val="000000"/>
                <w:sz w:val="18"/>
                <w:szCs w:val="18"/>
                <w:lang w:eastAsia="sk-SK"/>
              </w:rPr>
            </w:pPr>
            <w:r w:rsidRPr="00A97D79">
              <w:rPr>
                <w:b/>
                <w:bCs/>
                <w:color w:val="000000"/>
                <w:sz w:val="18"/>
                <w:szCs w:val="18"/>
                <w:lang w:eastAsia="sk-SK"/>
              </w:rPr>
              <w:t>Územná samospráva, z toho</w:t>
            </w:r>
          </w:p>
        </w:tc>
        <w:tc>
          <w:tcPr>
            <w:tcW w:w="968" w:type="dxa"/>
            <w:tcBorders>
              <w:top w:val="nil"/>
              <w:left w:val="nil"/>
              <w:bottom w:val="nil"/>
              <w:right w:val="nil"/>
            </w:tcBorders>
            <w:shd w:val="clear" w:color="000000" w:fill="FFFFFF"/>
            <w:noWrap/>
            <w:vAlign w:val="center"/>
            <w:hideMark/>
          </w:tcPr>
          <w:p w14:paraId="28C25C92"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129 280</w:t>
            </w:r>
          </w:p>
        </w:tc>
        <w:tc>
          <w:tcPr>
            <w:tcW w:w="992" w:type="dxa"/>
            <w:tcBorders>
              <w:top w:val="nil"/>
              <w:left w:val="nil"/>
              <w:bottom w:val="nil"/>
              <w:right w:val="nil"/>
            </w:tcBorders>
            <w:shd w:val="clear" w:color="000000" w:fill="FFFFFF"/>
            <w:noWrap/>
            <w:vAlign w:val="center"/>
            <w:hideMark/>
          </w:tcPr>
          <w:p w14:paraId="43660F6D"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145 837</w:t>
            </w:r>
          </w:p>
        </w:tc>
        <w:tc>
          <w:tcPr>
            <w:tcW w:w="993" w:type="dxa"/>
            <w:tcBorders>
              <w:top w:val="nil"/>
              <w:left w:val="nil"/>
              <w:bottom w:val="nil"/>
              <w:right w:val="nil"/>
            </w:tcBorders>
            <w:shd w:val="clear" w:color="000000" w:fill="BFBFBF"/>
            <w:noWrap/>
            <w:vAlign w:val="center"/>
            <w:hideMark/>
          </w:tcPr>
          <w:p w14:paraId="3D6A9FE4"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179 160</w:t>
            </w:r>
          </w:p>
        </w:tc>
        <w:tc>
          <w:tcPr>
            <w:tcW w:w="1134" w:type="dxa"/>
            <w:tcBorders>
              <w:top w:val="nil"/>
              <w:left w:val="nil"/>
              <w:bottom w:val="nil"/>
              <w:right w:val="nil"/>
            </w:tcBorders>
            <w:shd w:val="clear" w:color="000000" w:fill="FFFFFF"/>
            <w:noWrap/>
            <w:vAlign w:val="center"/>
            <w:hideMark/>
          </w:tcPr>
          <w:p w14:paraId="3E84B8C2"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-195 950</w:t>
            </w:r>
          </w:p>
        </w:tc>
        <w:tc>
          <w:tcPr>
            <w:tcW w:w="1134" w:type="dxa"/>
            <w:tcBorders>
              <w:top w:val="nil"/>
              <w:left w:val="nil"/>
              <w:bottom w:val="nil"/>
              <w:right w:val="nil"/>
            </w:tcBorders>
            <w:shd w:val="clear" w:color="auto" w:fill="auto"/>
            <w:noWrap/>
            <w:vAlign w:val="center"/>
            <w:hideMark/>
          </w:tcPr>
          <w:p w14:paraId="04B0B688"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33 323</w:t>
            </w:r>
          </w:p>
        </w:tc>
        <w:tc>
          <w:tcPr>
            <w:tcW w:w="940" w:type="dxa"/>
            <w:tcBorders>
              <w:top w:val="nil"/>
              <w:left w:val="nil"/>
              <w:bottom w:val="nil"/>
              <w:right w:val="nil"/>
            </w:tcBorders>
            <w:shd w:val="clear" w:color="auto" w:fill="auto"/>
            <w:noWrap/>
            <w:vAlign w:val="center"/>
            <w:hideMark/>
          </w:tcPr>
          <w:p w14:paraId="0A5740E6"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-375 110</w:t>
            </w:r>
          </w:p>
        </w:tc>
      </w:tr>
      <w:tr w:rsidR="00563559" w:rsidRPr="00A97D79" w14:paraId="4D068B0D" w14:textId="77777777" w:rsidTr="00094682">
        <w:trPr>
          <w:trHeight w:val="288"/>
        </w:trPr>
        <w:tc>
          <w:tcPr>
            <w:tcW w:w="185" w:type="dxa"/>
            <w:tcBorders>
              <w:top w:val="nil"/>
              <w:left w:val="nil"/>
              <w:bottom w:val="nil"/>
              <w:right w:val="nil"/>
            </w:tcBorders>
            <w:shd w:val="clear" w:color="000000" w:fill="FFFFFF"/>
            <w:noWrap/>
            <w:vAlign w:val="center"/>
            <w:hideMark/>
          </w:tcPr>
          <w:p w14:paraId="42E9B3E0" w14:textId="77777777" w:rsidR="00563559" w:rsidRPr="00A97D79" w:rsidRDefault="00563559" w:rsidP="00094682">
            <w:pPr>
              <w:spacing w:after="0" w:line="240" w:lineRule="auto"/>
              <w:rPr>
                <w:color w:val="000000"/>
                <w:sz w:val="18"/>
                <w:szCs w:val="18"/>
                <w:lang w:eastAsia="sk-SK"/>
              </w:rPr>
            </w:pPr>
            <w:r w:rsidRPr="00A97D79">
              <w:rPr>
                <w:color w:val="000000"/>
                <w:sz w:val="18"/>
                <w:szCs w:val="18"/>
                <w:lang w:eastAsia="sk-SK"/>
              </w:rPr>
              <w:t> </w:t>
            </w:r>
          </w:p>
        </w:tc>
        <w:tc>
          <w:tcPr>
            <w:tcW w:w="2958" w:type="dxa"/>
            <w:gridSpan w:val="3"/>
            <w:tcBorders>
              <w:top w:val="nil"/>
              <w:left w:val="nil"/>
              <w:bottom w:val="nil"/>
              <w:right w:val="nil"/>
            </w:tcBorders>
            <w:shd w:val="clear" w:color="000000" w:fill="FFFFFF"/>
            <w:noWrap/>
            <w:vAlign w:val="center"/>
            <w:hideMark/>
          </w:tcPr>
          <w:p w14:paraId="1AA65FEF" w14:textId="77777777" w:rsidR="00563559" w:rsidRPr="00A97D79" w:rsidRDefault="00563559" w:rsidP="00094682">
            <w:pPr>
              <w:spacing w:after="0" w:line="240" w:lineRule="auto"/>
              <w:rPr>
                <w:sz w:val="18"/>
                <w:szCs w:val="18"/>
                <w:lang w:eastAsia="sk-SK"/>
              </w:rPr>
            </w:pPr>
            <w:r w:rsidRPr="00A97D79">
              <w:rPr>
                <w:sz w:val="18"/>
                <w:szCs w:val="18"/>
                <w:lang w:eastAsia="sk-SK"/>
              </w:rPr>
              <w:t>Obce</w:t>
            </w:r>
            <w:r w:rsidRPr="00A97D79">
              <w:rPr>
                <w:sz w:val="18"/>
                <w:szCs w:val="18"/>
                <w:vertAlign w:val="superscript"/>
                <w:lang w:eastAsia="sk-SK"/>
              </w:rPr>
              <w:t xml:space="preserve"> </w:t>
            </w:r>
            <w:r w:rsidRPr="00A97D79">
              <w:rPr>
                <w:sz w:val="18"/>
                <w:szCs w:val="18"/>
                <w:lang w:eastAsia="sk-SK"/>
              </w:rPr>
              <w:t>a ich rozpočtové organizácie</w:t>
            </w:r>
          </w:p>
        </w:tc>
        <w:tc>
          <w:tcPr>
            <w:tcW w:w="968" w:type="dxa"/>
            <w:tcBorders>
              <w:top w:val="nil"/>
              <w:left w:val="nil"/>
              <w:bottom w:val="nil"/>
              <w:right w:val="nil"/>
            </w:tcBorders>
            <w:shd w:val="clear" w:color="000000" w:fill="FFFFFF"/>
            <w:noWrap/>
            <w:vAlign w:val="center"/>
            <w:hideMark/>
          </w:tcPr>
          <w:p w14:paraId="7BBB1934"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-29 323</w:t>
            </w:r>
          </w:p>
        </w:tc>
        <w:tc>
          <w:tcPr>
            <w:tcW w:w="992" w:type="dxa"/>
            <w:tcBorders>
              <w:top w:val="nil"/>
              <w:left w:val="nil"/>
              <w:bottom w:val="nil"/>
              <w:right w:val="nil"/>
            </w:tcBorders>
            <w:shd w:val="clear" w:color="000000" w:fill="FFFFFF"/>
            <w:noWrap/>
            <w:vAlign w:val="center"/>
            <w:hideMark/>
          </w:tcPr>
          <w:p w14:paraId="53C2E7BC"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55 868</w:t>
            </w:r>
          </w:p>
        </w:tc>
        <w:tc>
          <w:tcPr>
            <w:tcW w:w="993" w:type="dxa"/>
            <w:tcBorders>
              <w:top w:val="nil"/>
              <w:left w:val="nil"/>
              <w:bottom w:val="nil"/>
              <w:right w:val="nil"/>
            </w:tcBorders>
            <w:shd w:val="clear" w:color="000000" w:fill="BFBFBF"/>
            <w:noWrap/>
            <w:vAlign w:val="center"/>
            <w:hideMark/>
          </w:tcPr>
          <w:p w14:paraId="7740FD45"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140 673</w:t>
            </w:r>
          </w:p>
        </w:tc>
        <w:tc>
          <w:tcPr>
            <w:tcW w:w="1134" w:type="dxa"/>
            <w:tcBorders>
              <w:top w:val="nil"/>
              <w:left w:val="nil"/>
              <w:bottom w:val="nil"/>
              <w:right w:val="nil"/>
            </w:tcBorders>
            <w:shd w:val="clear" w:color="000000" w:fill="FFFFFF"/>
            <w:noWrap/>
            <w:vAlign w:val="center"/>
            <w:hideMark/>
          </w:tcPr>
          <w:p w14:paraId="13414870"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-226 701</w:t>
            </w:r>
          </w:p>
        </w:tc>
        <w:tc>
          <w:tcPr>
            <w:tcW w:w="1134" w:type="dxa"/>
            <w:tcBorders>
              <w:top w:val="nil"/>
              <w:left w:val="nil"/>
              <w:bottom w:val="nil"/>
              <w:right w:val="nil"/>
            </w:tcBorders>
            <w:shd w:val="clear" w:color="auto" w:fill="auto"/>
            <w:noWrap/>
            <w:vAlign w:val="center"/>
            <w:hideMark/>
          </w:tcPr>
          <w:p w14:paraId="4A84BAA4"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84 805</w:t>
            </w:r>
          </w:p>
        </w:tc>
        <w:tc>
          <w:tcPr>
            <w:tcW w:w="940" w:type="dxa"/>
            <w:tcBorders>
              <w:top w:val="nil"/>
              <w:left w:val="nil"/>
              <w:bottom w:val="nil"/>
              <w:right w:val="nil"/>
            </w:tcBorders>
            <w:shd w:val="clear" w:color="auto" w:fill="auto"/>
            <w:noWrap/>
            <w:vAlign w:val="center"/>
            <w:hideMark/>
          </w:tcPr>
          <w:p w14:paraId="60F90A21"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-367 374</w:t>
            </w:r>
          </w:p>
        </w:tc>
      </w:tr>
      <w:tr w:rsidR="00563559" w:rsidRPr="00A97D79" w14:paraId="652CFEF7" w14:textId="77777777" w:rsidTr="00094682">
        <w:trPr>
          <w:trHeight w:val="264"/>
        </w:trPr>
        <w:tc>
          <w:tcPr>
            <w:tcW w:w="185" w:type="dxa"/>
            <w:tcBorders>
              <w:top w:val="nil"/>
              <w:left w:val="nil"/>
              <w:bottom w:val="nil"/>
              <w:right w:val="nil"/>
            </w:tcBorders>
            <w:shd w:val="clear" w:color="000000" w:fill="FFFFFF"/>
            <w:noWrap/>
            <w:vAlign w:val="center"/>
            <w:hideMark/>
          </w:tcPr>
          <w:p w14:paraId="0F113D41" w14:textId="77777777" w:rsidR="00563559" w:rsidRPr="00A97D79" w:rsidRDefault="00563559" w:rsidP="00094682">
            <w:pPr>
              <w:spacing w:after="0" w:line="240" w:lineRule="auto"/>
              <w:rPr>
                <w:color w:val="000000"/>
                <w:sz w:val="18"/>
                <w:szCs w:val="18"/>
                <w:lang w:eastAsia="sk-SK"/>
              </w:rPr>
            </w:pPr>
            <w:r w:rsidRPr="00A97D79">
              <w:rPr>
                <w:color w:val="000000"/>
                <w:sz w:val="18"/>
                <w:szCs w:val="18"/>
                <w:lang w:eastAsia="sk-SK"/>
              </w:rPr>
              <w:t> </w:t>
            </w:r>
          </w:p>
        </w:tc>
        <w:tc>
          <w:tcPr>
            <w:tcW w:w="2526" w:type="dxa"/>
            <w:gridSpan w:val="2"/>
            <w:tcBorders>
              <w:top w:val="nil"/>
              <w:left w:val="nil"/>
              <w:bottom w:val="nil"/>
              <w:right w:val="nil"/>
            </w:tcBorders>
            <w:shd w:val="clear" w:color="000000" w:fill="FFFFFF"/>
            <w:noWrap/>
            <w:vAlign w:val="center"/>
            <w:hideMark/>
          </w:tcPr>
          <w:p w14:paraId="23679DB0" w14:textId="77777777" w:rsidR="00563559" w:rsidRPr="00A97D79" w:rsidRDefault="00563559" w:rsidP="00094682">
            <w:pPr>
              <w:spacing w:after="0" w:line="240" w:lineRule="auto"/>
              <w:rPr>
                <w:sz w:val="18"/>
                <w:szCs w:val="18"/>
                <w:lang w:eastAsia="sk-SK"/>
              </w:rPr>
            </w:pPr>
            <w:r w:rsidRPr="00A97D79">
              <w:rPr>
                <w:sz w:val="18"/>
                <w:szCs w:val="18"/>
                <w:lang w:eastAsia="sk-SK"/>
              </w:rPr>
              <w:t>VÚC a ich rozpočtové organizácie</w:t>
            </w:r>
          </w:p>
        </w:tc>
        <w:tc>
          <w:tcPr>
            <w:tcW w:w="432" w:type="dxa"/>
            <w:tcBorders>
              <w:top w:val="nil"/>
              <w:left w:val="nil"/>
              <w:bottom w:val="nil"/>
              <w:right w:val="nil"/>
            </w:tcBorders>
            <w:shd w:val="clear" w:color="auto" w:fill="auto"/>
            <w:vAlign w:val="center"/>
            <w:hideMark/>
          </w:tcPr>
          <w:p w14:paraId="59192FD2" w14:textId="77777777" w:rsidR="00563559" w:rsidRPr="00A97D79" w:rsidRDefault="00563559" w:rsidP="00094682">
            <w:pPr>
              <w:spacing w:after="0" w:line="240" w:lineRule="auto"/>
              <w:rPr>
                <w:sz w:val="18"/>
                <w:szCs w:val="18"/>
                <w:lang w:eastAsia="sk-SK"/>
              </w:rPr>
            </w:pPr>
          </w:p>
        </w:tc>
        <w:tc>
          <w:tcPr>
            <w:tcW w:w="968" w:type="dxa"/>
            <w:tcBorders>
              <w:top w:val="nil"/>
              <w:left w:val="nil"/>
              <w:bottom w:val="nil"/>
              <w:right w:val="nil"/>
            </w:tcBorders>
            <w:shd w:val="clear" w:color="000000" w:fill="FFFFFF"/>
            <w:noWrap/>
            <w:vAlign w:val="center"/>
            <w:hideMark/>
          </w:tcPr>
          <w:p w14:paraId="364C5EAF"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102 822</w:t>
            </w:r>
          </w:p>
        </w:tc>
        <w:tc>
          <w:tcPr>
            <w:tcW w:w="992" w:type="dxa"/>
            <w:tcBorders>
              <w:top w:val="nil"/>
              <w:left w:val="nil"/>
              <w:bottom w:val="nil"/>
              <w:right w:val="nil"/>
            </w:tcBorders>
            <w:shd w:val="clear" w:color="000000" w:fill="FFFFFF"/>
            <w:noWrap/>
            <w:vAlign w:val="center"/>
            <w:hideMark/>
          </w:tcPr>
          <w:p w14:paraId="2AD93FC9"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45 582</w:t>
            </w:r>
          </w:p>
        </w:tc>
        <w:tc>
          <w:tcPr>
            <w:tcW w:w="993" w:type="dxa"/>
            <w:tcBorders>
              <w:top w:val="nil"/>
              <w:left w:val="nil"/>
              <w:bottom w:val="nil"/>
              <w:right w:val="nil"/>
            </w:tcBorders>
            <w:shd w:val="clear" w:color="000000" w:fill="BFBFBF"/>
            <w:noWrap/>
            <w:vAlign w:val="center"/>
            <w:hideMark/>
          </w:tcPr>
          <w:p w14:paraId="6B70BE2F"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7 735</w:t>
            </w:r>
          </w:p>
        </w:tc>
        <w:tc>
          <w:tcPr>
            <w:tcW w:w="1134" w:type="dxa"/>
            <w:tcBorders>
              <w:top w:val="nil"/>
              <w:left w:val="nil"/>
              <w:bottom w:val="nil"/>
              <w:right w:val="nil"/>
            </w:tcBorders>
            <w:shd w:val="clear" w:color="000000" w:fill="FFFFFF"/>
            <w:noWrap/>
            <w:vAlign w:val="center"/>
            <w:hideMark/>
          </w:tcPr>
          <w:p w14:paraId="5F3D0BCE"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13 888</w:t>
            </w:r>
          </w:p>
        </w:tc>
        <w:tc>
          <w:tcPr>
            <w:tcW w:w="1134" w:type="dxa"/>
            <w:tcBorders>
              <w:top w:val="nil"/>
              <w:left w:val="nil"/>
              <w:bottom w:val="nil"/>
              <w:right w:val="nil"/>
            </w:tcBorders>
            <w:shd w:val="clear" w:color="auto" w:fill="auto"/>
            <w:noWrap/>
            <w:vAlign w:val="center"/>
            <w:hideMark/>
          </w:tcPr>
          <w:p w14:paraId="43FACC0E"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-37 847</w:t>
            </w:r>
          </w:p>
        </w:tc>
        <w:tc>
          <w:tcPr>
            <w:tcW w:w="940" w:type="dxa"/>
            <w:tcBorders>
              <w:top w:val="nil"/>
              <w:left w:val="nil"/>
              <w:bottom w:val="nil"/>
              <w:right w:val="nil"/>
            </w:tcBorders>
            <w:shd w:val="clear" w:color="auto" w:fill="auto"/>
            <w:noWrap/>
            <w:vAlign w:val="center"/>
            <w:hideMark/>
          </w:tcPr>
          <w:p w14:paraId="07731659"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6 153</w:t>
            </w:r>
          </w:p>
        </w:tc>
      </w:tr>
      <w:tr w:rsidR="00563559" w:rsidRPr="00A97D79" w14:paraId="1292CCA8" w14:textId="77777777" w:rsidTr="00094682">
        <w:trPr>
          <w:trHeight w:val="264"/>
        </w:trPr>
        <w:tc>
          <w:tcPr>
            <w:tcW w:w="185" w:type="dxa"/>
            <w:tcBorders>
              <w:top w:val="nil"/>
              <w:left w:val="nil"/>
              <w:bottom w:val="nil"/>
              <w:right w:val="nil"/>
            </w:tcBorders>
            <w:shd w:val="clear" w:color="000000" w:fill="FFFFFF"/>
            <w:noWrap/>
            <w:vAlign w:val="center"/>
            <w:hideMark/>
          </w:tcPr>
          <w:p w14:paraId="0A3E3123" w14:textId="77777777" w:rsidR="00563559" w:rsidRPr="00A97D79" w:rsidRDefault="00563559" w:rsidP="00094682">
            <w:pPr>
              <w:spacing w:after="0" w:line="240" w:lineRule="auto"/>
              <w:rPr>
                <w:color w:val="000000"/>
                <w:sz w:val="18"/>
                <w:szCs w:val="18"/>
                <w:lang w:eastAsia="sk-SK"/>
              </w:rPr>
            </w:pPr>
            <w:r w:rsidRPr="00A97D79">
              <w:rPr>
                <w:color w:val="000000"/>
                <w:sz w:val="18"/>
                <w:szCs w:val="18"/>
                <w:lang w:eastAsia="sk-SK"/>
              </w:rPr>
              <w:t> </w:t>
            </w:r>
          </w:p>
        </w:tc>
        <w:tc>
          <w:tcPr>
            <w:tcW w:w="2958" w:type="dxa"/>
            <w:gridSpan w:val="3"/>
            <w:tcBorders>
              <w:top w:val="nil"/>
              <w:left w:val="nil"/>
              <w:bottom w:val="nil"/>
              <w:right w:val="nil"/>
            </w:tcBorders>
            <w:shd w:val="clear" w:color="000000" w:fill="FFFFFF"/>
            <w:noWrap/>
            <w:vAlign w:val="center"/>
            <w:hideMark/>
          </w:tcPr>
          <w:p w14:paraId="0EEFB24E" w14:textId="77777777" w:rsidR="00563559" w:rsidRPr="00A97D79" w:rsidRDefault="00563559" w:rsidP="00094682">
            <w:pPr>
              <w:spacing w:after="0" w:line="240" w:lineRule="auto"/>
              <w:rPr>
                <w:sz w:val="18"/>
                <w:szCs w:val="18"/>
                <w:lang w:eastAsia="sk-SK"/>
              </w:rPr>
            </w:pPr>
            <w:r w:rsidRPr="00A97D79">
              <w:rPr>
                <w:sz w:val="18"/>
                <w:szCs w:val="18"/>
                <w:lang w:eastAsia="sk-SK"/>
              </w:rPr>
              <w:t>Príspevkové organizácie obcí</w:t>
            </w:r>
          </w:p>
        </w:tc>
        <w:tc>
          <w:tcPr>
            <w:tcW w:w="968" w:type="dxa"/>
            <w:tcBorders>
              <w:top w:val="nil"/>
              <w:left w:val="nil"/>
              <w:bottom w:val="nil"/>
              <w:right w:val="nil"/>
            </w:tcBorders>
            <w:shd w:val="clear" w:color="000000" w:fill="FFFFFF"/>
            <w:noWrap/>
            <w:vAlign w:val="center"/>
            <w:hideMark/>
          </w:tcPr>
          <w:p w14:paraId="1C9822B8"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5 482</w:t>
            </w:r>
          </w:p>
        </w:tc>
        <w:tc>
          <w:tcPr>
            <w:tcW w:w="992" w:type="dxa"/>
            <w:tcBorders>
              <w:top w:val="nil"/>
              <w:left w:val="nil"/>
              <w:bottom w:val="nil"/>
              <w:right w:val="nil"/>
            </w:tcBorders>
            <w:shd w:val="clear" w:color="000000" w:fill="FFFFFF"/>
            <w:noWrap/>
            <w:vAlign w:val="center"/>
            <w:hideMark/>
          </w:tcPr>
          <w:p w14:paraId="1378B228"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1 491</w:t>
            </w:r>
          </w:p>
        </w:tc>
        <w:tc>
          <w:tcPr>
            <w:tcW w:w="993" w:type="dxa"/>
            <w:tcBorders>
              <w:top w:val="nil"/>
              <w:left w:val="nil"/>
              <w:bottom w:val="nil"/>
              <w:right w:val="nil"/>
            </w:tcBorders>
            <w:shd w:val="clear" w:color="000000" w:fill="BFBFBF"/>
            <w:noWrap/>
            <w:vAlign w:val="center"/>
            <w:hideMark/>
          </w:tcPr>
          <w:p w14:paraId="18575CAF"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5 734</w:t>
            </w:r>
          </w:p>
        </w:tc>
        <w:tc>
          <w:tcPr>
            <w:tcW w:w="1134" w:type="dxa"/>
            <w:tcBorders>
              <w:top w:val="nil"/>
              <w:left w:val="nil"/>
              <w:bottom w:val="nil"/>
              <w:right w:val="nil"/>
            </w:tcBorders>
            <w:shd w:val="clear" w:color="000000" w:fill="FFFFFF"/>
            <w:noWrap/>
            <w:vAlign w:val="center"/>
            <w:hideMark/>
          </w:tcPr>
          <w:p w14:paraId="6A8B693B"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4 948</w:t>
            </w:r>
          </w:p>
        </w:tc>
        <w:tc>
          <w:tcPr>
            <w:tcW w:w="1134" w:type="dxa"/>
            <w:tcBorders>
              <w:top w:val="nil"/>
              <w:left w:val="nil"/>
              <w:bottom w:val="nil"/>
              <w:right w:val="nil"/>
            </w:tcBorders>
            <w:shd w:val="clear" w:color="auto" w:fill="auto"/>
            <w:noWrap/>
            <w:vAlign w:val="center"/>
            <w:hideMark/>
          </w:tcPr>
          <w:p w14:paraId="0150FD77"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4 243</w:t>
            </w:r>
          </w:p>
        </w:tc>
        <w:tc>
          <w:tcPr>
            <w:tcW w:w="940" w:type="dxa"/>
            <w:tcBorders>
              <w:top w:val="nil"/>
              <w:left w:val="nil"/>
              <w:bottom w:val="nil"/>
              <w:right w:val="nil"/>
            </w:tcBorders>
            <w:shd w:val="clear" w:color="auto" w:fill="auto"/>
            <w:noWrap/>
            <w:vAlign w:val="center"/>
            <w:hideMark/>
          </w:tcPr>
          <w:p w14:paraId="1B186977"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-786</w:t>
            </w:r>
          </w:p>
        </w:tc>
      </w:tr>
      <w:tr w:rsidR="00563559" w:rsidRPr="00A97D79" w14:paraId="7BE769D1" w14:textId="77777777" w:rsidTr="00094682">
        <w:trPr>
          <w:trHeight w:val="264"/>
        </w:trPr>
        <w:tc>
          <w:tcPr>
            <w:tcW w:w="185" w:type="dxa"/>
            <w:tcBorders>
              <w:top w:val="nil"/>
              <w:left w:val="nil"/>
              <w:bottom w:val="nil"/>
              <w:right w:val="nil"/>
            </w:tcBorders>
            <w:shd w:val="clear" w:color="000000" w:fill="FFFFFF"/>
            <w:noWrap/>
            <w:vAlign w:val="center"/>
            <w:hideMark/>
          </w:tcPr>
          <w:p w14:paraId="24C20085" w14:textId="77777777" w:rsidR="00563559" w:rsidRPr="00A97D79" w:rsidRDefault="00563559" w:rsidP="00094682">
            <w:pPr>
              <w:spacing w:after="0" w:line="240" w:lineRule="auto"/>
              <w:rPr>
                <w:color w:val="000000"/>
                <w:sz w:val="18"/>
                <w:szCs w:val="18"/>
                <w:lang w:eastAsia="sk-SK"/>
              </w:rPr>
            </w:pPr>
            <w:r w:rsidRPr="00A97D79">
              <w:rPr>
                <w:color w:val="000000"/>
                <w:sz w:val="18"/>
                <w:szCs w:val="18"/>
                <w:lang w:eastAsia="sk-SK"/>
              </w:rPr>
              <w:t> </w:t>
            </w:r>
          </w:p>
        </w:tc>
        <w:tc>
          <w:tcPr>
            <w:tcW w:w="2958" w:type="dxa"/>
            <w:gridSpan w:val="3"/>
            <w:tcBorders>
              <w:top w:val="nil"/>
              <w:left w:val="nil"/>
              <w:bottom w:val="nil"/>
              <w:right w:val="nil"/>
            </w:tcBorders>
            <w:shd w:val="clear" w:color="000000" w:fill="FFFFFF"/>
            <w:noWrap/>
            <w:vAlign w:val="center"/>
            <w:hideMark/>
          </w:tcPr>
          <w:p w14:paraId="419AA1FB" w14:textId="77777777" w:rsidR="00563559" w:rsidRPr="00A97D79" w:rsidRDefault="00563559" w:rsidP="00094682">
            <w:pPr>
              <w:spacing w:after="0" w:line="240" w:lineRule="auto"/>
              <w:rPr>
                <w:sz w:val="18"/>
                <w:szCs w:val="18"/>
                <w:lang w:eastAsia="sk-SK"/>
              </w:rPr>
            </w:pPr>
            <w:r w:rsidRPr="00A97D79">
              <w:rPr>
                <w:sz w:val="18"/>
                <w:szCs w:val="18"/>
                <w:lang w:eastAsia="sk-SK"/>
              </w:rPr>
              <w:t>Príspevkové organizácie VÚC</w:t>
            </w:r>
          </w:p>
        </w:tc>
        <w:tc>
          <w:tcPr>
            <w:tcW w:w="968" w:type="dxa"/>
            <w:tcBorders>
              <w:top w:val="nil"/>
              <w:left w:val="nil"/>
              <w:bottom w:val="nil"/>
              <w:right w:val="nil"/>
            </w:tcBorders>
            <w:shd w:val="clear" w:color="000000" w:fill="FFFFFF"/>
            <w:noWrap/>
            <w:vAlign w:val="center"/>
            <w:hideMark/>
          </w:tcPr>
          <w:p w14:paraId="6444EA18"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2 630</w:t>
            </w:r>
          </w:p>
        </w:tc>
        <w:tc>
          <w:tcPr>
            <w:tcW w:w="992" w:type="dxa"/>
            <w:tcBorders>
              <w:top w:val="nil"/>
              <w:left w:val="nil"/>
              <w:bottom w:val="nil"/>
              <w:right w:val="nil"/>
            </w:tcBorders>
            <w:shd w:val="clear" w:color="000000" w:fill="FFFFFF"/>
            <w:noWrap/>
            <w:vAlign w:val="center"/>
            <w:hideMark/>
          </w:tcPr>
          <w:p w14:paraId="42D57D06"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1 546</w:t>
            </w:r>
          </w:p>
        </w:tc>
        <w:tc>
          <w:tcPr>
            <w:tcW w:w="993" w:type="dxa"/>
            <w:tcBorders>
              <w:top w:val="nil"/>
              <w:left w:val="nil"/>
              <w:bottom w:val="nil"/>
              <w:right w:val="nil"/>
            </w:tcBorders>
            <w:shd w:val="clear" w:color="000000" w:fill="BFBFBF"/>
            <w:noWrap/>
            <w:vAlign w:val="center"/>
            <w:hideMark/>
          </w:tcPr>
          <w:p w14:paraId="132A3503"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7 609</w:t>
            </w:r>
          </w:p>
        </w:tc>
        <w:tc>
          <w:tcPr>
            <w:tcW w:w="1134" w:type="dxa"/>
            <w:tcBorders>
              <w:top w:val="nil"/>
              <w:left w:val="nil"/>
              <w:bottom w:val="nil"/>
              <w:right w:val="nil"/>
            </w:tcBorders>
            <w:shd w:val="clear" w:color="000000" w:fill="FFFFFF"/>
            <w:noWrap/>
            <w:vAlign w:val="center"/>
            <w:hideMark/>
          </w:tcPr>
          <w:p w14:paraId="554061CC"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8 560</w:t>
            </w:r>
          </w:p>
        </w:tc>
        <w:tc>
          <w:tcPr>
            <w:tcW w:w="1134" w:type="dxa"/>
            <w:tcBorders>
              <w:top w:val="nil"/>
              <w:left w:val="nil"/>
              <w:bottom w:val="nil"/>
              <w:right w:val="nil"/>
            </w:tcBorders>
            <w:shd w:val="clear" w:color="auto" w:fill="auto"/>
            <w:noWrap/>
            <w:vAlign w:val="center"/>
            <w:hideMark/>
          </w:tcPr>
          <w:p w14:paraId="21F4A14F"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6 063</w:t>
            </w:r>
          </w:p>
        </w:tc>
        <w:tc>
          <w:tcPr>
            <w:tcW w:w="940" w:type="dxa"/>
            <w:tcBorders>
              <w:top w:val="nil"/>
              <w:left w:val="nil"/>
              <w:bottom w:val="nil"/>
              <w:right w:val="nil"/>
            </w:tcBorders>
            <w:shd w:val="clear" w:color="auto" w:fill="auto"/>
            <w:noWrap/>
            <w:vAlign w:val="center"/>
            <w:hideMark/>
          </w:tcPr>
          <w:p w14:paraId="40DD1124"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951</w:t>
            </w:r>
          </w:p>
        </w:tc>
      </w:tr>
      <w:tr w:rsidR="00563559" w:rsidRPr="00A97D79" w14:paraId="6025478B" w14:textId="77777777" w:rsidTr="00094682">
        <w:trPr>
          <w:trHeight w:val="264"/>
        </w:trPr>
        <w:tc>
          <w:tcPr>
            <w:tcW w:w="185" w:type="dxa"/>
            <w:tcBorders>
              <w:top w:val="nil"/>
              <w:left w:val="nil"/>
              <w:bottom w:val="nil"/>
              <w:right w:val="nil"/>
            </w:tcBorders>
            <w:shd w:val="clear" w:color="000000" w:fill="FFFFFF"/>
            <w:noWrap/>
            <w:vAlign w:val="center"/>
            <w:hideMark/>
          </w:tcPr>
          <w:p w14:paraId="77D36BA9" w14:textId="77777777" w:rsidR="00563559" w:rsidRPr="00A97D79" w:rsidRDefault="00563559" w:rsidP="00094682">
            <w:pPr>
              <w:spacing w:after="0" w:line="240" w:lineRule="auto"/>
              <w:rPr>
                <w:color w:val="000000"/>
                <w:sz w:val="18"/>
                <w:szCs w:val="18"/>
                <w:lang w:eastAsia="sk-SK"/>
              </w:rPr>
            </w:pPr>
            <w:r w:rsidRPr="00A97D79">
              <w:rPr>
                <w:color w:val="000000"/>
                <w:sz w:val="18"/>
                <w:szCs w:val="18"/>
                <w:lang w:eastAsia="sk-SK"/>
              </w:rPr>
              <w:t> </w:t>
            </w:r>
          </w:p>
        </w:tc>
        <w:tc>
          <w:tcPr>
            <w:tcW w:w="2958" w:type="dxa"/>
            <w:gridSpan w:val="3"/>
            <w:tcBorders>
              <w:top w:val="nil"/>
              <w:left w:val="nil"/>
              <w:bottom w:val="nil"/>
              <w:right w:val="nil"/>
            </w:tcBorders>
            <w:shd w:val="clear" w:color="000000" w:fill="FFFFFF"/>
            <w:noWrap/>
            <w:vAlign w:val="center"/>
            <w:hideMark/>
          </w:tcPr>
          <w:p w14:paraId="04D6329A" w14:textId="77777777" w:rsidR="00563559" w:rsidRPr="00A97D79" w:rsidRDefault="00563559" w:rsidP="00094682">
            <w:pPr>
              <w:spacing w:after="0" w:line="240" w:lineRule="auto"/>
              <w:rPr>
                <w:sz w:val="18"/>
                <w:szCs w:val="18"/>
                <w:lang w:eastAsia="sk-SK"/>
              </w:rPr>
            </w:pPr>
            <w:r w:rsidRPr="00A97D79">
              <w:rPr>
                <w:sz w:val="18"/>
                <w:szCs w:val="18"/>
                <w:lang w:eastAsia="sk-SK"/>
              </w:rPr>
              <w:t>Dopravné podniky</w:t>
            </w:r>
          </w:p>
        </w:tc>
        <w:tc>
          <w:tcPr>
            <w:tcW w:w="968" w:type="dxa"/>
            <w:tcBorders>
              <w:top w:val="nil"/>
              <w:left w:val="nil"/>
              <w:bottom w:val="nil"/>
              <w:right w:val="nil"/>
            </w:tcBorders>
            <w:shd w:val="clear" w:color="000000" w:fill="FFFFFF"/>
            <w:noWrap/>
            <w:vAlign w:val="center"/>
            <w:hideMark/>
          </w:tcPr>
          <w:p w14:paraId="285FE955"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10 990</w:t>
            </w:r>
          </w:p>
        </w:tc>
        <w:tc>
          <w:tcPr>
            <w:tcW w:w="992" w:type="dxa"/>
            <w:tcBorders>
              <w:top w:val="nil"/>
              <w:left w:val="nil"/>
              <w:bottom w:val="nil"/>
              <w:right w:val="nil"/>
            </w:tcBorders>
            <w:shd w:val="clear" w:color="000000" w:fill="FFFFFF"/>
            <w:noWrap/>
            <w:vAlign w:val="center"/>
            <w:hideMark/>
          </w:tcPr>
          <w:p w14:paraId="02871BE1"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32 438</w:t>
            </w:r>
          </w:p>
        </w:tc>
        <w:tc>
          <w:tcPr>
            <w:tcW w:w="993" w:type="dxa"/>
            <w:tcBorders>
              <w:top w:val="nil"/>
              <w:left w:val="nil"/>
              <w:bottom w:val="nil"/>
              <w:right w:val="nil"/>
            </w:tcBorders>
            <w:shd w:val="clear" w:color="000000" w:fill="BFBFBF"/>
            <w:noWrap/>
            <w:vAlign w:val="center"/>
            <w:hideMark/>
          </w:tcPr>
          <w:p w14:paraId="14452A7B"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4 572</w:t>
            </w:r>
          </w:p>
        </w:tc>
        <w:tc>
          <w:tcPr>
            <w:tcW w:w="1134" w:type="dxa"/>
            <w:tcBorders>
              <w:top w:val="nil"/>
              <w:left w:val="nil"/>
              <w:bottom w:val="nil"/>
              <w:right w:val="nil"/>
            </w:tcBorders>
            <w:shd w:val="clear" w:color="000000" w:fill="FFFFFF"/>
            <w:noWrap/>
            <w:vAlign w:val="center"/>
            <w:hideMark/>
          </w:tcPr>
          <w:p w14:paraId="3C7B7CD0"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7 124</w:t>
            </w:r>
          </w:p>
        </w:tc>
        <w:tc>
          <w:tcPr>
            <w:tcW w:w="1134" w:type="dxa"/>
            <w:tcBorders>
              <w:top w:val="nil"/>
              <w:left w:val="nil"/>
              <w:bottom w:val="nil"/>
              <w:right w:val="nil"/>
            </w:tcBorders>
            <w:shd w:val="clear" w:color="auto" w:fill="auto"/>
            <w:noWrap/>
            <w:vAlign w:val="center"/>
            <w:hideMark/>
          </w:tcPr>
          <w:p w14:paraId="68701705"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-27 866</w:t>
            </w:r>
          </w:p>
        </w:tc>
        <w:tc>
          <w:tcPr>
            <w:tcW w:w="940" w:type="dxa"/>
            <w:tcBorders>
              <w:top w:val="nil"/>
              <w:left w:val="nil"/>
              <w:bottom w:val="nil"/>
              <w:right w:val="nil"/>
            </w:tcBorders>
            <w:shd w:val="clear" w:color="auto" w:fill="auto"/>
            <w:noWrap/>
            <w:vAlign w:val="center"/>
            <w:hideMark/>
          </w:tcPr>
          <w:p w14:paraId="2F300464"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2 552</w:t>
            </w:r>
          </w:p>
        </w:tc>
      </w:tr>
      <w:tr w:rsidR="00563559" w:rsidRPr="00A97D79" w14:paraId="16EFFC49" w14:textId="77777777" w:rsidTr="00094682">
        <w:trPr>
          <w:trHeight w:val="264"/>
        </w:trPr>
        <w:tc>
          <w:tcPr>
            <w:tcW w:w="185" w:type="dxa"/>
            <w:tcBorders>
              <w:top w:val="nil"/>
              <w:left w:val="nil"/>
              <w:bottom w:val="nil"/>
              <w:right w:val="nil"/>
            </w:tcBorders>
            <w:shd w:val="clear" w:color="000000" w:fill="FFFFFF"/>
            <w:noWrap/>
            <w:vAlign w:val="center"/>
            <w:hideMark/>
          </w:tcPr>
          <w:p w14:paraId="113689D3" w14:textId="77777777" w:rsidR="00563559" w:rsidRPr="00A97D79" w:rsidRDefault="00563559" w:rsidP="00094682">
            <w:pPr>
              <w:spacing w:after="0" w:line="240" w:lineRule="auto"/>
              <w:rPr>
                <w:color w:val="000000"/>
                <w:sz w:val="18"/>
                <w:szCs w:val="18"/>
                <w:lang w:eastAsia="sk-SK"/>
              </w:rPr>
            </w:pPr>
            <w:r w:rsidRPr="00A97D79">
              <w:rPr>
                <w:color w:val="000000"/>
                <w:sz w:val="18"/>
                <w:szCs w:val="18"/>
                <w:lang w:eastAsia="sk-SK"/>
              </w:rPr>
              <w:t> </w:t>
            </w:r>
          </w:p>
        </w:tc>
        <w:tc>
          <w:tcPr>
            <w:tcW w:w="2526" w:type="dxa"/>
            <w:gridSpan w:val="2"/>
            <w:tcBorders>
              <w:top w:val="nil"/>
              <w:left w:val="nil"/>
              <w:bottom w:val="nil"/>
              <w:right w:val="nil"/>
            </w:tcBorders>
            <w:shd w:val="clear" w:color="000000" w:fill="FFFFFF"/>
            <w:noWrap/>
            <w:vAlign w:val="center"/>
            <w:hideMark/>
          </w:tcPr>
          <w:p w14:paraId="74520D76" w14:textId="77777777" w:rsidR="00563559" w:rsidRPr="00A97D79" w:rsidRDefault="00563559" w:rsidP="00094682">
            <w:pPr>
              <w:spacing w:after="0" w:line="240" w:lineRule="auto"/>
              <w:rPr>
                <w:sz w:val="18"/>
                <w:szCs w:val="18"/>
                <w:lang w:eastAsia="sk-SK"/>
              </w:rPr>
            </w:pPr>
            <w:r w:rsidRPr="00A97D79">
              <w:rPr>
                <w:sz w:val="18"/>
                <w:szCs w:val="18"/>
                <w:lang w:eastAsia="sk-SK"/>
              </w:rPr>
              <w:t xml:space="preserve">Zdravotnícke zariadenia </w:t>
            </w:r>
          </w:p>
        </w:tc>
        <w:tc>
          <w:tcPr>
            <w:tcW w:w="432" w:type="dxa"/>
            <w:tcBorders>
              <w:top w:val="nil"/>
              <w:left w:val="nil"/>
              <w:bottom w:val="nil"/>
              <w:right w:val="nil"/>
            </w:tcBorders>
            <w:shd w:val="clear" w:color="auto" w:fill="auto"/>
            <w:vAlign w:val="center"/>
            <w:hideMark/>
          </w:tcPr>
          <w:p w14:paraId="0ADB4F59" w14:textId="77777777" w:rsidR="00563559" w:rsidRPr="00A97D79" w:rsidRDefault="00563559" w:rsidP="00094682">
            <w:pPr>
              <w:spacing w:after="0" w:line="240" w:lineRule="auto"/>
              <w:rPr>
                <w:sz w:val="18"/>
                <w:szCs w:val="18"/>
                <w:lang w:eastAsia="sk-SK"/>
              </w:rPr>
            </w:pPr>
          </w:p>
        </w:tc>
        <w:tc>
          <w:tcPr>
            <w:tcW w:w="968" w:type="dxa"/>
            <w:tcBorders>
              <w:top w:val="nil"/>
              <w:left w:val="nil"/>
              <w:bottom w:val="nil"/>
              <w:right w:val="nil"/>
            </w:tcBorders>
            <w:shd w:val="clear" w:color="000000" w:fill="FFFFFF"/>
            <w:noWrap/>
            <w:vAlign w:val="center"/>
            <w:hideMark/>
          </w:tcPr>
          <w:p w14:paraId="1A7FB6F7"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44 319</w:t>
            </w:r>
          </w:p>
        </w:tc>
        <w:tc>
          <w:tcPr>
            <w:tcW w:w="992" w:type="dxa"/>
            <w:tcBorders>
              <w:top w:val="nil"/>
              <w:left w:val="nil"/>
              <w:bottom w:val="nil"/>
              <w:right w:val="nil"/>
            </w:tcBorders>
            <w:shd w:val="clear" w:color="000000" w:fill="FFFFFF"/>
            <w:noWrap/>
            <w:vAlign w:val="center"/>
            <w:hideMark/>
          </w:tcPr>
          <w:p w14:paraId="309AECF6"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-6 703</w:t>
            </w:r>
          </w:p>
        </w:tc>
        <w:tc>
          <w:tcPr>
            <w:tcW w:w="993" w:type="dxa"/>
            <w:tcBorders>
              <w:top w:val="nil"/>
              <w:left w:val="nil"/>
              <w:bottom w:val="nil"/>
              <w:right w:val="nil"/>
            </w:tcBorders>
            <w:shd w:val="clear" w:color="000000" w:fill="BFBFBF"/>
            <w:noWrap/>
            <w:vAlign w:val="center"/>
            <w:hideMark/>
          </w:tcPr>
          <w:p w14:paraId="42815AEE"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9 003</w:t>
            </w:r>
          </w:p>
        </w:tc>
        <w:tc>
          <w:tcPr>
            <w:tcW w:w="1134" w:type="dxa"/>
            <w:tcBorders>
              <w:top w:val="nil"/>
              <w:left w:val="nil"/>
              <w:bottom w:val="nil"/>
              <w:right w:val="nil"/>
            </w:tcBorders>
            <w:shd w:val="clear" w:color="000000" w:fill="FFFFFF"/>
            <w:noWrap/>
            <w:vAlign w:val="center"/>
            <w:hideMark/>
          </w:tcPr>
          <w:p w14:paraId="778A33D3"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-3 769</w:t>
            </w:r>
          </w:p>
        </w:tc>
        <w:tc>
          <w:tcPr>
            <w:tcW w:w="1134" w:type="dxa"/>
            <w:tcBorders>
              <w:top w:val="nil"/>
              <w:left w:val="nil"/>
              <w:bottom w:val="nil"/>
              <w:right w:val="nil"/>
            </w:tcBorders>
            <w:shd w:val="clear" w:color="auto" w:fill="auto"/>
            <w:noWrap/>
            <w:vAlign w:val="center"/>
            <w:hideMark/>
          </w:tcPr>
          <w:p w14:paraId="0BF31DEA"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15 706</w:t>
            </w:r>
          </w:p>
        </w:tc>
        <w:tc>
          <w:tcPr>
            <w:tcW w:w="940" w:type="dxa"/>
            <w:tcBorders>
              <w:top w:val="nil"/>
              <w:left w:val="nil"/>
              <w:bottom w:val="nil"/>
              <w:right w:val="nil"/>
            </w:tcBorders>
            <w:shd w:val="clear" w:color="auto" w:fill="auto"/>
            <w:noWrap/>
            <w:vAlign w:val="center"/>
            <w:hideMark/>
          </w:tcPr>
          <w:p w14:paraId="08CF6205"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-12 772</w:t>
            </w:r>
          </w:p>
        </w:tc>
      </w:tr>
      <w:tr w:rsidR="00563559" w:rsidRPr="00A97D79" w14:paraId="5ACEEA40" w14:textId="77777777" w:rsidTr="00094682">
        <w:trPr>
          <w:trHeight w:val="264"/>
        </w:trPr>
        <w:tc>
          <w:tcPr>
            <w:tcW w:w="185" w:type="dxa"/>
            <w:tcBorders>
              <w:top w:val="nil"/>
              <w:left w:val="nil"/>
              <w:bottom w:val="nil"/>
              <w:right w:val="nil"/>
            </w:tcBorders>
            <w:shd w:val="clear" w:color="000000" w:fill="FFFFFF"/>
            <w:noWrap/>
            <w:vAlign w:val="center"/>
            <w:hideMark/>
          </w:tcPr>
          <w:p w14:paraId="0FAE4547" w14:textId="77777777" w:rsidR="00563559" w:rsidRPr="00A97D79" w:rsidRDefault="00563559" w:rsidP="00094682">
            <w:pPr>
              <w:spacing w:after="0" w:line="240" w:lineRule="auto"/>
              <w:rPr>
                <w:color w:val="000000"/>
                <w:sz w:val="18"/>
                <w:szCs w:val="18"/>
                <w:lang w:eastAsia="sk-SK"/>
              </w:rPr>
            </w:pPr>
            <w:r w:rsidRPr="00A97D79">
              <w:rPr>
                <w:color w:val="000000"/>
                <w:sz w:val="18"/>
                <w:szCs w:val="18"/>
                <w:lang w:eastAsia="sk-SK"/>
              </w:rPr>
              <w:t> </w:t>
            </w:r>
          </w:p>
        </w:tc>
        <w:tc>
          <w:tcPr>
            <w:tcW w:w="2958" w:type="dxa"/>
            <w:gridSpan w:val="3"/>
            <w:tcBorders>
              <w:top w:val="nil"/>
              <w:left w:val="nil"/>
              <w:bottom w:val="nil"/>
              <w:right w:val="nil"/>
            </w:tcBorders>
            <w:shd w:val="clear" w:color="000000" w:fill="FFFFFF"/>
            <w:noWrap/>
            <w:vAlign w:val="center"/>
            <w:hideMark/>
          </w:tcPr>
          <w:p w14:paraId="2BA47695" w14:textId="77777777" w:rsidR="00563559" w:rsidRPr="00A97D79" w:rsidRDefault="00563559" w:rsidP="00094682">
            <w:pPr>
              <w:spacing w:after="0" w:line="240" w:lineRule="auto"/>
              <w:rPr>
                <w:sz w:val="18"/>
                <w:szCs w:val="18"/>
                <w:lang w:eastAsia="sk-SK"/>
              </w:rPr>
            </w:pPr>
            <w:r w:rsidRPr="00A97D79">
              <w:rPr>
                <w:sz w:val="18"/>
                <w:szCs w:val="18"/>
                <w:lang w:eastAsia="sk-SK"/>
              </w:rPr>
              <w:t>Ostatné subjekty územnej samosprávy</w:t>
            </w:r>
          </w:p>
        </w:tc>
        <w:tc>
          <w:tcPr>
            <w:tcW w:w="968" w:type="dxa"/>
            <w:tcBorders>
              <w:top w:val="nil"/>
              <w:left w:val="nil"/>
              <w:bottom w:val="nil"/>
              <w:right w:val="nil"/>
            </w:tcBorders>
            <w:shd w:val="clear" w:color="000000" w:fill="FFFFFF"/>
            <w:noWrap/>
            <w:vAlign w:val="center"/>
            <w:hideMark/>
          </w:tcPr>
          <w:p w14:paraId="5F65F809"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-7 640</w:t>
            </w:r>
          </w:p>
        </w:tc>
        <w:tc>
          <w:tcPr>
            <w:tcW w:w="992" w:type="dxa"/>
            <w:tcBorders>
              <w:top w:val="nil"/>
              <w:left w:val="nil"/>
              <w:bottom w:val="nil"/>
              <w:right w:val="nil"/>
            </w:tcBorders>
            <w:shd w:val="clear" w:color="000000" w:fill="FFFFFF"/>
            <w:noWrap/>
            <w:vAlign w:val="center"/>
            <w:hideMark/>
          </w:tcPr>
          <w:p w14:paraId="65E95D2A"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15 615</w:t>
            </w:r>
          </w:p>
        </w:tc>
        <w:tc>
          <w:tcPr>
            <w:tcW w:w="993" w:type="dxa"/>
            <w:tcBorders>
              <w:top w:val="nil"/>
              <w:left w:val="nil"/>
              <w:bottom w:val="nil"/>
              <w:right w:val="nil"/>
            </w:tcBorders>
            <w:shd w:val="clear" w:color="000000" w:fill="BFBFBF"/>
            <w:noWrap/>
            <w:vAlign w:val="center"/>
            <w:hideMark/>
          </w:tcPr>
          <w:p w14:paraId="44A803AD"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3 834</w:t>
            </w:r>
          </w:p>
        </w:tc>
        <w:tc>
          <w:tcPr>
            <w:tcW w:w="1134" w:type="dxa"/>
            <w:tcBorders>
              <w:top w:val="nil"/>
              <w:left w:val="nil"/>
              <w:bottom w:val="nil"/>
              <w:right w:val="nil"/>
            </w:tcBorders>
            <w:shd w:val="clear" w:color="000000" w:fill="FFFFFF"/>
            <w:noWrap/>
            <w:vAlign w:val="center"/>
            <w:hideMark/>
          </w:tcPr>
          <w:p w14:paraId="7CA1E181"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0</w:t>
            </w:r>
          </w:p>
        </w:tc>
        <w:tc>
          <w:tcPr>
            <w:tcW w:w="1134" w:type="dxa"/>
            <w:tcBorders>
              <w:top w:val="nil"/>
              <w:left w:val="nil"/>
              <w:bottom w:val="nil"/>
              <w:right w:val="nil"/>
            </w:tcBorders>
            <w:shd w:val="clear" w:color="auto" w:fill="auto"/>
            <w:noWrap/>
            <w:vAlign w:val="center"/>
            <w:hideMark/>
          </w:tcPr>
          <w:p w14:paraId="69551403"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-11 781</w:t>
            </w:r>
          </w:p>
        </w:tc>
        <w:tc>
          <w:tcPr>
            <w:tcW w:w="940" w:type="dxa"/>
            <w:tcBorders>
              <w:top w:val="nil"/>
              <w:left w:val="nil"/>
              <w:bottom w:val="nil"/>
              <w:right w:val="nil"/>
            </w:tcBorders>
            <w:shd w:val="clear" w:color="auto" w:fill="auto"/>
            <w:noWrap/>
            <w:vAlign w:val="center"/>
            <w:hideMark/>
          </w:tcPr>
          <w:p w14:paraId="7FEDA48E"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-3 834</w:t>
            </w:r>
          </w:p>
        </w:tc>
      </w:tr>
      <w:tr w:rsidR="00563559" w:rsidRPr="00A97D79" w14:paraId="577984F6" w14:textId="77777777" w:rsidTr="00094682">
        <w:trPr>
          <w:trHeight w:val="264"/>
        </w:trPr>
        <w:tc>
          <w:tcPr>
            <w:tcW w:w="3143" w:type="dxa"/>
            <w:gridSpan w:val="4"/>
            <w:tcBorders>
              <w:top w:val="nil"/>
              <w:left w:val="nil"/>
              <w:bottom w:val="nil"/>
              <w:right w:val="nil"/>
            </w:tcBorders>
            <w:shd w:val="clear" w:color="000000" w:fill="FFFFFF"/>
            <w:noWrap/>
            <w:vAlign w:val="center"/>
            <w:hideMark/>
          </w:tcPr>
          <w:p w14:paraId="4EFD6D18" w14:textId="77777777" w:rsidR="00563559" w:rsidRPr="00A97D79" w:rsidRDefault="00563559" w:rsidP="00094682">
            <w:pPr>
              <w:spacing w:after="0" w:line="240" w:lineRule="auto"/>
              <w:rPr>
                <w:b/>
                <w:bCs/>
                <w:color w:val="000000"/>
                <w:sz w:val="18"/>
                <w:szCs w:val="18"/>
                <w:lang w:eastAsia="sk-SK"/>
              </w:rPr>
            </w:pPr>
            <w:r w:rsidRPr="00A97D79">
              <w:rPr>
                <w:b/>
                <w:bCs/>
                <w:color w:val="000000"/>
                <w:sz w:val="18"/>
                <w:szCs w:val="18"/>
                <w:lang w:eastAsia="sk-SK"/>
              </w:rPr>
              <w:t>Fondy sociálneho zabezpečenia</w:t>
            </w:r>
          </w:p>
        </w:tc>
        <w:tc>
          <w:tcPr>
            <w:tcW w:w="968" w:type="dxa"/>
            <w:tcBorders>
              <w:top w:val="nil"/>
              <w:left w:val="nil"/>
              <w:bottom w:val="nil"/>
              <w:right w:val="nil"/>
            </w:tcBorders>
            <w:shd w:val="clear" w:color="000000" w:fill="FFFFFF"/>
            <w:noWrap/>
            <w:vAlign w:val="center"/>
            <w:hideMark/>
          </w:tcPr>
          <w:p w14:paraId="6B4F155F"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31 041</w:t>
            </w:r>
          </w:p>
        </w:tc>
        <w:tc>
          <w:tcPr>
            <w:tcW w:w="992" w:type="dxa"/>
            <w:tcBorders>
              <w:top w:val="nil"/>
              <w:left w:val="nil"/>
              <w:bottom w:val="nil"/>
              <w:right w:val="nil"/>
            </w:tcBorders>
            <w:shd w:val="clear" w:color="000000" w:fill="FFFFFF"/>
            <w:noWrap/>
            <w:vAlign w:val="center"/>
            <w:hideMark/>
          </w:tcPr>
          <w:p w14:paraId="53F3CDAE"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170 544</w:t>
            </w:r>
          </w:p>
        </w:tc>
        <w:tc>
          <w:tcPr>
            <w:tcW w:w="993" w:type="dxa"/>
            <w:tcBorders>
              <w:top w:val="nil"/>
              <w:left w:val="nil"/>
              <w:bottom w:val="nil"/>
              <w:right w:val="nil"/>
            </w:tcBorders>
            <w:shd w:val="clear" w:color="000000" w:fill="BFBFBF"/>
            <w:noWrap/>
            <w:vAlign w:val="center"/>
            <w:hideMark/>
          </w:tcPr>
          <w:p w14:paraId="4B2662E7"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349 780</w:t>
            </w:r>
          </w:p>
        </w:tc>
        <w:tc>
          <w:tcPr>
            <w:tcW w:w="1134" w:type="dxa"/>
            <w:tcBorders>
              <w:top w:val="nil"/>
              <w:left w:val="nil"/>
              <w:bottom w:val="nil"/>
              <w:right w:val="nil"/>
            </w:tcBorders>
            <w:shd w:val="clear" w:color="000000" w:fill="FFFFFF"/>
            <w:noWrap/>
            <w:vAlign w:val="center"/>
            <w:hideMark/>
          </w:tcPr>
          <w:p w14:paraId="1AAD17D4"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70 220</w:t>
            </w:r>
          </w:p>
        </w:tc>
        <w:tc>
          <w:tcPr>
            <w:tcW w:w="1134" w:type="dxa"/>
            <w:tcBorders>
              <w:top w:val="nil"/>
              <w:left w:val="nil"/>
              <w:bottom w:val="nil"/>
              <w:right w:val="nil"/>
            </w:tcBorders>
            <w:shd w:val="clear" w:color="auto" w:fill="auto"/>
            <w:noWrap/>
            <w:vAlign w:val="center"/>
            <w:hideMark/>
          </w:tcPr>
          <w:p w14:paraId="7D77E6AB"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179 236</w:t>
            </w:r>
          </w:p>
        </w:tc>
        <w:tc>
          <w:tcPr>
            <w:tcW w:w="940" w:type="dxa"/>
            <w:tcBorders>
              <w:top w:val="nil"/>
              <w:left w:val="nil"/>
              <w:bottom w:val="nil"/>
              <w:right w:val="nil"/>
            </w:tcBorders>
            <w:shd w:val="clear" w:color="auto" w:fill="auto"/>
            <w:noWrap/>
            <w:vAlign w:val="center"/>
            <w:hideMark/>
          </w:tcPr>
          <w:p w14:paraId="7BD93956"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-279 560</w:t>
            </w:r>
          </w:p>
        </w:tc>
      </w:tr>
      <w:tr w:rsidR="00563559" w:rsidRPr="00A97D79" w14:paraId="7EB22ED6" w14:textId="77777777" w:rsidTr="00094682">
        <w:trPr>
          <w:trHeight w:val="264"/>
        </w:trPr>
        <w:tc>
          <w:tcPr>
            <w:tcW w:w="185" w:type="dxa"/>
            <w:tcBorders>
              <w:top w:val="nil"/>
              <w:left w:val="nil"/>
              <w:bottom w:val="nil"/>
              <w:right w:val="nil"/>
            </w:tcBorders>
            <w:shd w:val="clear" w:color="000000" w:fill="FFFFFF"/>
            <w:noWrap/>
            <w:vAlign w:val="center"/>
            <w:hideMark/>
          </w:tcPr>
          <w:p w14:paraId="6BEEC0C8" w14:textId="77777777" w:rsidR="00563559" w:rsidRPr="00A97D79" w:rsidRDefault="00563559" w:rsidP="00094682">
            <w:pPr>
              <w:spacing w:after="0" w:line="240" w:lineRule="auto"/>
              <w:rPr>
                <w:sz w:val="18"/>
                <w:szCs w:val="18"/>
                <w:lang w:eastAsia="sk-SK"/>
              </w:rPr>
            </w:pPr>
            <w:r w:rsidRPr="00A97D79">
              <w:rPr>
                <w:sz w:val="18"/>
                <w:szCs w:val="18"/>
                <w:lang w:eastAsia="sk-SK"/>
              </w:rPr>
              <w:t> </w:t>
            </w:r>
          </w:p>
        </w:tc>
        <w:tc>
          <w:tcPr>
            <w:tcW w:w="2958" w:type="dxa"/>
            <w:gridSpan w:val="3"/>
            <w:tcBorders>
              <w:top w:val="nil"/>
              <w:left w:val="nil"/>
              <w:bottom w:val="nil"/>
              <w:right w:val="nil"/>
            </w:tcBorders>
            <w:shd w:val="clear" w:color="000000" w:fill="FFFFFF"/>
            <w:noWrap/>
            <w:vAlign w:val="center"/>
            <w:hideMark/>
          </w:tcPr>
          <w:p w14:paraId="4166BCAE" w14:textId="77777777" w:rsidR="00563559" w:rsidRPr="00A97D79" w:rsidRDefault="00563559" w:rsidP="00094682">
            <w:pPr>
              <w:spacing w:after="0" w:line="240" w:lineRule="auto"/>
              <w:rPr>
                <w:sz w:val="18"/>
                <w:szCs w:val="18"/>
                <w:lang w:eastAsia="sk-SK"/>
              </w:rPr>
            </w:pPr>
            <w:r w:rsidRPr="00A97D79">
              <w:rPr>
                <w:sz w:val="18"/>
                <w:szCs w:val="18"/>
                <w:lang w:eastAsia="sk-SK"/>
              </w:rPr>
              <w:t>Sociálna poisťovňa</w:t>
            </w:r>
          </w:p>
        </w:tc>
        <w:tc>
          <w:tcPr>
            <w:tcW w:w="968" w:type="dxa"/>
            <w:tcBorders>
              <w:top w:val="nil"/>
              <w:left w:val="nil"/>
              <w:bottom w:val="nil"/>
              <w:right w:val="nil"/>
            </w:tcBorders>
            <w:shd w:val="clear" w:color="000000" w:fill="FFFFFF"/>
            <w:noWrap/>
            <w:vAlign w:val="center"/>
            <w:hideMark/>
          </w:tcPr>
          <w:p w14:paraId="1D613B26"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24 670</w:t>
            </w:r>
          </w:p>
        </w:tc>
        <w:tc>
          <w:tcPr>
            <w:tcW w:w="992" w:type="dxa"/>
            <w:tcBorders>
              <w:top w:val="nil"/>
              <w:left w:val="nil"/>
              <w:bottom w:val="nil"/>
              <w:right w:val="nil"/>
            </w:tcBorders>
            <w:shd w:val="clear" w:color="000000" w:fill="FFFFFF"/>
            <w:noWrap/>
            <w:vAlign w:val="center"/>
            <w:hideMark/>
          </w:tcPr>
          <w:p w14:paraId="3626F5C6"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50 352</w:t>
            </w:r>
          </w:p>
        </w:tc>
        <w:tc>
          <w:tcPr>
            <w:tcW w:w="993" w:type="dxa"/>
            <w:tcBorders>
              <w:top w:val="nil"/>
              <w:left w:val="nil"/>
              <w:bottom w:val="nil"/>
              <w:right w:val="nil"/>
            </w:tcBorders>
            <w:shd w:val="clear" w:color="000000" w:fill="BFBFBF"/>
            <w:noWrap/>
            <w:vAlign w:val="center"/>
            <w:hideMark/>
          </w:tcPr>
          <w:p w14:paraId="0FAF8606"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222 488</w:t>
            </w:r>
          </w:p>
        </w:tc>
        <w:tc>
          <w:tcPr>
            <w:tcW w:w="1134" w:type="dxa"/>
            <w:tcBorders>
              <w:top w:val="nil"/>
              <w:left w:val="nil"/>
              <w:bottom w:val="nil"/>
              <w:right w:val="nil"/>
            </w:tcBorders>
            <w:shd w:val="clear" w:color="000000" w:fill="FFFFFF"/>
            <w:noWrap/>
            <w:vAlign w:val="center"/>
            <w:hideMark/>
          </w:tcPr>
          <w:p w14:paraId="5BB54688"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69 322</w:t>
            </w:r>
          </w:p>
        </w:tc>
        <w:tc>
          <w:tcPr>
            <w:tcW w:w="1134" w:type="dxa"/>
            <w:tcBorders>
              <w:top w:val="nil"/>
              <w:left w:val="nil"/>
              <w:bottom w:val="nil"/>
              <w:right w:val="nil"/>
            </w:tcBorders>
            <w:shd w:val="clear" w:color="auto" w:fill="auto"/>
            <w:noWrap/>
            <w:vAlign w:val="center"/>
            <w:hideMark/>
          </w:tcPr>
          <w:p w14:paraId="545FABA4"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172 136</w:t>
            </w:r>
          </w:p>
        </w:tc>
        <w:tc>
          <w:tcPr>
            <w:tcW w:w="940" w:type="dxa"/>
            <w:tcBorders>
              <w:top w:val="nil"/>
              <w:left w:val="nil"/>
              <w:bottom w:val="nil"/>
              <w:right w:val="nil"/>
            </w:tcBorders>
            <w:shd w:val="clear" w:color="auto" w:fill="auto"/>
            <w:noWrap/>
            <w:vAlign w:val="center"/>
            <w:hideMark/>
          </w:tcPr>
          <w:p w14:paraId="7548A36B"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-153 166</w:t>
            </w:r>
          </w:p>
        </w:tc>
      </w:tr>
      <w:tr w:rsidR="00563559" w:rsidRPr="00A97D79" w14:paraId="0A19099D" w14:textId="77777777" w:rsidTr="00094682">
        <w:trPr>
          <w:trHeight w:val="264"/>
        </w:trPr>
        <w:tc>
          <w:tcPr>
            <w:tcW w:w="185" w:type="dxa"/>
            <w:tcBorders>
              <w:top w:val="nil"/>
              <w:left w:val="nil"/>
              <w:bottom w:val="nil"/>
              <w:right w:val="nil"/>
            </w:tcBorders>
            <w:shd w:val="clear" w:color="000000" w:fill="FFFFFF"/>
            <w:noWrap/>
            <w:vAlign w:val="center"/>
            <w:hideMark/>
          </w:tcPr>
          <w:p w14:paraId="14BBC866" w14:textId="77777777" w:rsidR="00563559" w:rsidRPr="00A97D79" w:rsidRDefault="00563559" w:rsidP="00094682">
            <w:pPr>
              <w:spacing w:after="0" w:line="240" w:lineRule="auto"/>
              <w:rPr>
                <w:sz w:val="18"/>
                <w:szCs w:val="18"/>
                <w:lang w:eastAsia="sk-SK"/>
              </w:rPr>
            </w:pPr>
            <w:r w:rsidRPr="00A97D79">
              <w:rPr>
                <w:sz w:val="18"/>
                <w:szCs w:val="18"/>
                <w:lang w:eastAsia="sk-SK"/>
              </w:rPr>
              <w:t> </w:t>
            </w:r>
          </w:p>
        </w:tc>
        <w:tc>
          <w:tcPr>
            <w:tcW w:w="2958" w:type="dxa"/>
            <w:gridSpan w:val="3"/>
            <w:tcBorders>
              <w:top w:val="nil"/>
              <w:left w:val="nil"/>
              <w:bottom w:val="nil"/>
              <w:right w:val="nil"/>
            </w:tcBorders>
            <w:shd w:val="clear" w:color="000000" w:fill="FFFFFF"/>
            <w:noWrap/>
            <w:vAlign w:val="center"/>
            <w:hideMark/>
          </w:tcPr>
          <w:p w14:paraId="03039FE4" w14:textId="77777777" w:rsidR="00563559" w:rsidRPr="00A97D79" w:rsidRDefault="00563559" w:rsidP="00094682">
            <w:pPr>
              <w:spacing w:after="0" w:line="240" w:lineRule="auto"/>
              <w:rPr>
                <w:sz w:val="18"/>
                <w:szCs w:val="18"/>
                <w:lang w:eastAsia="sk-SK"/>
              </w:rPr>
            </w:pPr>
            <w:r w:rsidRPr="00A97D79">
              <w:rPr>
                <w:sz w:val="18"/>
                <w:szCs w:val="18"/>
                <w:lang w:eastAsia="sk-SK"/>
              </w:rPr>
              <w:t>Verejné zdravotné poistenie</w:t>
            </w:r>
          </w:p>
        </w:tc>
        <w:tc>
          <w:tcPr>
            <w:tcW w:w="968" w:type="dxa"/>
            <w:tcBorders>
              <w:top w:val="nil"/>
              <w:left w:val="nil"/>
              <w:bottom w:val="nil"/>
              <w:right w:val="nil"/>
            </w:tcBorders>
            <w:shd w:val="clear" w:color="000000" w:fill="FFFFFF"/>
            <w:noWrap/>
            <w:vAlign w:val="center"/>
            <w:hideMark/>
          </w:tcPr>
          <w:p w14:paraId="3D198F19"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6 371</w:t>
            </w:r>
          </w:p>
        </w:tc>
        <w:tc>
          <w:tcPr>
            <w:tcW w:w="992" w:type="dxa"/>
            <w:tcBorders>
              <w:top w:val="nil"/>
              <w:left w:val="nil"/>
              <w:bottom w:val="nil"/>
              <w:right w:val="nil"/>
            </w:tcBorders>
            <w:shd w:val="clear" w:color="000000" w:fill="FFFFFF"/>
            <w:noWrap/>
            <w:vAlign w:val="center"/>
            <w:hideMark/>
          </w:tcPr>
          <w:p w14:paraId="18937E70"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120 192</w:t>
            </w:r>
          </w:p>
        </w:tc>
        <w:tc>
          <w:tcPr>
            <w:tcW w:w="993" w:type="dxa"/>
            <w:tcBorders>
              <w:top w:val="nil"/>
              <w:left w:val="nil"/>
              <w:bottom w:val="nil"/>
              <w:right w:val="nil"/>
            </w:tcBorders>
            <w:shd w:val="clear" w:color="000000" w:fill="BFBFBF"/>
            <w:noWrap/>
            <w:vAlign w:val="center"/>
            <w:hideMark/>
          </w:tcPr>
          <w:p w14:paraId="6D665CAF"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127 292</w:t>
            </w:r>
          </w:p>
        </w:tc>
        <w:tc>
          <w:tcPr>
            <w:tcW w:w="1134" w:type="dxa"/>
            <w:tcBorders>
              <w:top w:val="nil"/>
              <w:left w:val="nil"/>
              <w:bottom w:val="nil"/>
              <w:right w:val="nil"/>
            </w:tcBorders>
            <w:shd w:val="clear" w:color="000000" w:fill="FFFFFF"/>
            <w:noWrap/>
            <w:vAlign w:val="center"/>
            <w:hideMark/>
          </w:tcPr>
          <w:p w14:paraId="0AFEA927"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898</w:t>
            </w:r>
          </w:p>
        </w:tc>
        <w:tc>
          <w:tcPr>
            <w:tcW w:w="1134" w:type="dxa"/>
            <w:tcBorders>
              <w:top w:val="nil"/>
              <w:left w:val="nil"/>
              <w:bottom w:val="nil"/>
              <w:right w:val="nil"/>
            </w:tcBorders>
            <w:shd w:val="clear" w:color="auto" w:fill="auto"/>
            <w:noWrap/>
            <w:vAlign w:val="center"/>
            <w:hideMark/>
          </w:tcPr>
          <w:p w14:paraId="66ABEF25"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7 100</w:t>
            </w:r>
          </w:p>
        </w:tc>
        <w:tc>
          <w:tcPr>
            <w:tcW w:w="940" w:type="dxa"/>
            <w:tcBorders>
              <w:top w:val="nil"/>
              <w:left w:val="nil"/>
              <w:bottom w:val="nil"/>
              <w:right w:val="nil"/>
            </w:tcBorders>
            <w:shd w:val="clear" w:color="auto" w:fill="auto"/>
            <w:noWrap/>
            <w:vAlign w:val="center"/>
            <w:hideMark/>
          </w:tcPr>
          <w:p w14:paraId="6D023E33" w14:textId="77777777" w:rsidR="00563559" w:rsidRPr="00A97D79" w:rsidRDefault="00563559" w:rsidP="00094682">
            <w:pPr>
              <w:spacing w:after="0" w:line="240" w:lineRule="auto"/>
              <w:jc w:val="right"/>
              <w:rPr>
                <w:sz w:val="18"/>
                <w:szCs w:val="18"/>
                <w:lang w:eastAsia="sk-SK"/>
              </w:rPr>
            </w:pPr>
            <w:r w:rsidRPr="00A97D79">
              <w:rPr>
                <w:sz w:val="18"/>
                <w:szCs w:val="18"/>
                <w:lang w:eastAsia="sk-SK"/>
              </w:rPr>
              <w:t>-126 394</w:t>
            </w:r>
          </w:p>
        </w:tc>
      </w:tr>
      <w:tr w:rsidR="00563559" w:rsidRPr="00A97D79" w14:paraId="453B2DAE" w14:textId="77777777" w:rsidTr="00094682">
        <w:trPr>
          <w:trHeight w:val="264"/>
        </w:trPr>
        <w:tc>
          <w:tcPr>
            <w:tcW w:w="3143" w:type="dxa"/>
            <w:gridSpan w:val="4"/>
            <w:tcBorders>
              <w:top w:val="single" w:sz="4" w:space="0" w:color="auto"/>
              <w:left w:val="nil"/>
              <w:bottom w:val="nil"/>
              <w:right w:val="nil"/>
            </w:tcBorders>
            <w:shd w:val="clear" w:color="auto" w:fill="auto"/>
            <w:noWrap/>
            <w:vAlign w:val="center"/>
            <w:hideMark/>
          </w:tcPr>
          <w:p w14:paraId="7D9292D7" w14:textId="77777777" w:rsidR="00563559" w:rsidRPr="00A97D79" w:rsidRDefault="00563559" w:rsidP="00094682">
            <w:pPr>
              <w:spacing w:after="0" w:line="240" w:lineRule="auto"/>
              <w:rPr>
                <w:b/>
                <w:bCs/>
                <w:sz w:val="18"/>
                <w:szCs w:val="18"/>
                <w:lang w:eastAsia="sk-SK"/>
              </w:rPr>
            </w:pPr>
            <w:r w:rsidRPr="00A97D79">
              <w:rPr>
                <w:b/>
                <w:bCs/>
                <w:sz w:val="18"/>
                <w:szCs w:val="18"/>
                <w:lang w:eastAsia="sk-SK"/>
              </w:rPr>
              <w:t>Schodok verejnej správy spolu</w:t>
            </w:r>
          </w:p>
        </w:tc>
        <w:tc>
          <w:tcPr>
            <w:tcW w:w="968" w:type="dxa"/>
            <w:tcBorders>
              <w:top w:val="single" w:sz="4" w:space="0" w:color="auto"/>
              <w:left w:val="nil"/>
              <w:bottom w:val="nil"/>
              <w:right w:val="nil"/>
            </w:tcBorders>
            <w:shd w:val="clear" w:color="auto" w:fill="auto"/>
            <w:noWrap/>
            <w:vAlign w:val="center"/>
            <w:hideMark/>
          </w:tcPr>
          <w:p w14:paraId="7B1834E4"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-904 934</w:t>
            </w:r>
          </w:p>
        </w:tc>
        <w:tc>
          <w:tcPr>
            <w:tcW w:w="992" w:type="dxa"/>
            <w:tcBorders>
              <w:top w:val="single" w:sz="4" w:space="0" w:color="auto"/>
              <w:left w:val="nil"/>
              <w:bottom w:val="nil"/>
              <w:right w:val="nil"/>
            </w:tcBorders>
            <w:shd w:val="clear" w:color="auto" w:fill="auto"/>
            <w:noWrap/>
            <w:vAlign w:val="center"/>
            <w:hideMark/>
          </w:tcPr>
          <w:p w14:paraId="6AB21985"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-1 252 400</w:t>
            </w:r>
          </w:p>
        </w:tc>
        <w:tc>
          <w:tcPr>
            <w:tcW w:w="993" w:type="dxa"/>
            <w:tcBorders>
              <w:top w:val="single" w:sz="4" w:space="0" w:color="auto"/>
              <w:left w:val="nil"/>
              <w:bottom w:val="nil"/>
              <w:right w:val="nil"/>
            </w:tcBorders>
            <w:shd w:val="clear" w:color="000000" w:fill="BFBFBF"/>
            <w:noWrap/>
            <w:vAlign w:val="center"/>
            <w:hideMark/>
          </w:tcPr>
          <w:p w14:paraId="4D89E58C"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-5 061 841</w:t>
            </w:r>
          </w:p>
        </w:tc>
        <w:tc>
          <w:tcPr>
            <w:tcW w:w="1134" w:type="dxa"/>
            <w:tcBorders>
              <w:top w:val="single" w:sz="4" w:space="0" w:color="auto"/>
              <w:left w:val="nil"/>
              <w:bottom w:val="nil"/>
              <w:right w:val="nil"/>
            </w:tcBorders>
            <w:shd w:val="clear" w:color="auto" w:fill="auto"/>
            <w:noWrap/>
            <w:vAlign w:val="center"/>
            <w:hideMark/>
          </w:tcPr>
          <w:p w14:paraId="3E380AB8"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-10 025 377</w:t>
            </w:r>
          </w:p>
        </w:tc>
        <w:tc>
          <w:tcPr>
            <w:tcW w:w="1134" w:type="dxa"/>
            <w:tcBorders>
              <w:top w:val="single" w:sz="4" w:space="0" w:color="auto"/>
              <w:left w:val="nil"/>
              <w:bottom w:val="nil"/>
              <w:right w:val="nil"/>
            </w:tcBorders>
            <w:shd w:val="clear" w:color="auto" w:fill="auto"/>
            <w:noWrap/>
            <w:vAlign w:val="center"/>
            <w:hideMark/>
          </w:tcPr>
          <w:p w14:paraId="07000D0A"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-3 809 441</w:t>
            </w:r>
          </w:p>
        </w:tc>
        <w:tc>
          <w:tcPr>
            <w:tcW w:w="940" w:type="dxa"/>
            <w:tcBorders>
              <w:top w:val="single" w:sz="4" w:space="0" w:color="auto"/>
              <w:left w:val="nil"/>
              <w:bottom w:val="nil"/>
              <w:right w:val="nil"/>
            </w:tcBorders>
            <w:shd w:val="clear" w:color="auto" w:fill="auto"/>
            <w:noWrap/>
            <w:vAlign w:val="center"/>
            <w:hideMark/>
          </w:tcPr>
          <w:p w14:paraId="2800E418"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-4 963 536</w:t>
            </w:r>
          </w:p>
        </w:tc>
      </w:tr>
      <w:tr w:rsidR="00563559" w:rsidRPr="00A97D79" w14:paraId="3C17C77B" w14:textId="77777777" w:rsidTr="00094682">
        <w:trPr>
          <w:trHeight w:val="264"/>
        </w:trPr>
        <w:tc>
          <w:tcPr>
            <w:tcW w:w="3143" w:type="dxa"/>
            <w:gridSpan w:val="4"/>
            <w:tcBorders>
              <w:top w:val="nil"/>
              <w:left w:val="nil"/>
              <w:bottom w:val="single" w:sz="4" w:space="0" w:color="auto"/>
              <w:right w:val="nil"/>
            </w:tcBorders>
            <w:shd w:val="clear" w:color="auto" w:fill="auto"/>
            <w:noWrap/>
            <w:vAlign w:val="center"/>
            <w:hideMark/>
          </w:tcPr>
          <w:p w14:paraId="0A545890" w14:textId="77777777" w:rsidR="00563559" w:rsidRPr="00A97D79" w:rsidRDefault="00563559" w:rsidP="00094682">
            <w:pPr>
              <w:spacing w:after="0" w:line="240" w:lineRule="auto"/>
              <w:rPr>
                <w:b/>
                <w:bCs/>
                <w:sz w:val="18"/>
                <w:szCs w:val="18"/>
                <w:lang w:eastAsia="sk-SK"/>
              </w:rPr>
            </w:pPr>
            <w:r w:rsidRPr="00A97D79">
              <w:rPr>
                <w:b/>
                <w:bCs/>
                <w:sz w:val="18"/>
                <w:szCs w:val="18"/>
                <w:lang w:eastAsia="sk-SK"/>
              </w:rPr>
              <w:t>% z HDP</w:t>
            </w:r>
          </w:p>
        </w:tc>
        <w:tc>
          <w:tcPr>
            <w:tcW w:w="968" w:type="dxa"/>
            <w:tcBorders>
              <w:top w:val="nil"/>
              <w:left w:val="nil"/>
              <w:bottom w:val="single" w:sz="4" w:space="0" w:color="auto"/>
              <w:right w:val="nil"/>
            </w:tcBorders>
            <w:shd w:val="clear" w:color="auto" w:fill="auto"/>
            <w:noWrap/>
            <w:vAlign w:val="center"/>
            <w:hideMark/>
          </w:tcPr>
          <w:p w14:paraId="60D63273"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-1,0</w:t>
            </w:r>
          </w:p>
        </w:tc>
        <w:tc>
          <w:tcPr>
            <w:tcW w:w="992" w:type="dxa"/>
            <w:tcBorders>
              <w:top w:val="nil"/>
              <w:left w:val="nil"/>
              <w:bottom w:val="single" w:sz="4" w:space="0" w:color="auto"/>
              <w:right w:val="nil"/>
            </w:tcBorders>
            <w:shd w:val="clear" w:color="auto" w:fill="auto"/>
            <w:noWrap/>
            <w:vAlign w:val="center"/>
            <w:hideMark/>
          </w:tcPr>
          <w:p w14:paraId="145A5114"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-1,3</w:t>
            </w:r>
          </w:p>
        </w:tc>
        <w:tc>
          <w:tcPr>
            <w:tcW w:w="993" w:type="dxa"/>
            <w:tcBorders>
              <w:top w:val="nil"/>
              <w:left w:val="nil"/>
              <w:bottom w:val="single" w:sz="4" w:space="0" w:color="auto"/>
              <w:right w:val="nil"/>
            </w:tcBorders>
            <w:shd w:val="clear" w:color="000000" w:fill="BFBFBF"/>
            <w:noWrap/>
            <w:vAlign w:val="center"/>
            <w:hideMark/>
          </w:tcPr>
          <w:p w14:paraId="67E523EF"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-5,5</w:t>
            </w:r>
          </w:p>
        </w:tc>
        <w:tc>
          <w:tcPr>
            <w:tcW w:w="1134" w:type="dxa"/>
            <w:tcBorders>
              <w:top w:val="nil"/>
              <w:left w:val="nil"/>
              <w:bottom w:val="single" w:sz="4" w:space="0" w:color="auto"/>
              <w:right w:val="nil"/>
            </w:tcBorders>
            <w:shd w:val="clear" w:color="auto" w:fill="auto"/>
            <w:noWrap/>
            <w:vAlign w:val="center"/>
            <w:hideMark/>
          </w:tcPr>
          <w:p w14:paraId="5CA08674"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-11,6</w:t>
            </w:r>
          </w:p>
        </w:tc>
        <w:tc>
          <w:tcPr>
            <w:tcW w:w="1134" w:type="dxa"/>
            <w:tcBorders>
              <w:top w:val="nil"/>
              <w:left w:val="nil"/>
              <w:bottom w:val="single" w:sz="4" w:space="0" w:color="auto"/>
              <w:right w:val="nil"/>
            </w:tcBorders>
            <w:shd w:val="clear" w:color="auto" w:fill="auto"/>
            <w:noWrap/>
            <w:vAlign w:val="center"/>
            <w:hideMark/>
          </w:tcPr>
          <w:p w14:paraId="1552E8EF"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-4,2</w:t>
            </w:r>
          </w:p>
        </w:tc>
        <w:tc>
          <w:tcPr>
            <w:tcW w:w="940" w:type="dxa"/>
            <w:tcBorders>
              <w:top w:val="nil"/>
              <w:left w:val="nil"/>
              <w:bottom w:val="single" w:sz="4" w:space="0" w:color="auto"/>
              <w:right w:val="nil"/>
            </w:tcBorders>
            <w:shd w:val="clear" w:color="auto" w:fill="auto"/>
            <w:noWrap/>
            <w:vAlign w:val="center"/>
            <w:hideMark/>
          </w:tcPr>
          <w:p w14:paraId="28BED5AB" w14:textId="77777777" w:rsidR="00563559" w:rsidRPr="00A97D79" w:rsidRDefault="00563559" w:rsidP="00094682">
            <w:pPr>
              <w:spacing w:after="0" w:line="240" w:lineRule="auto"/>
              <w:jc w:val="right"/>
              <w:rPr>
                <w:b/>
                <w:bCs/>
                <w:sz w:val="18"/>
                <w:szCs w:val="18"/>
                <w:lang w:eastAsia="sk-SK"/>
              </w:rPr>
            </w:pPr>
            <w:r w:rsidRPr="00A97D79">
              <w:rPr>
                <w:b/>
                <w:bCs/>
                <w:sz w:val="18"/>
                <w:szCs w:val="18"/>
                <w:lang w:eastAsia="sk-SK"/>
              </w:rPr>
              <w:t>-6,1</w:t>
            </w:r>
          </w:p>
        </w:tc>
      </w:tr>
    </w:tbl>
    <w:p w14:paraId="774C82A9" w14:textId="77777777" w:rsidR="00563559" w:rsidRPr="00193B3B" w:rsidRDefault="00563559" w:rsidP="00563559">
      <w:pPr>
        <w:spacing w:after="0" w:line="240" w:lineRule="auto"/>
        <w:ind w:right="-285"/>
        <w:jc w:val="both"/>
        <w:rPr>
          <w:sz w:val="16"/>
          <w:szCs w:val="16"/>
          <w:lang w:eastAsia="sk-SK"/>
        </w:rPr>
      </w:pPr>
      <w:r w:rsidRPr="00193B3B">
        <w:rPr>
          <w:color w:val="000000"/>
          <w:sz w:val="16"/>
          <w:szCs w:val="16"/>
          <w:vertAlign w:val="superscript"/>
          <w:lang w:eastAsia="sk-SK"/>
        </w:rPr>
        <w:t xml:space="preserve">1) </w:t>
      </w:r>
      <w:r w:rsidRPr="00193B3B">
        <w:rPr>
          <w:color w:val="000000"/>
          <w:sz w:val="16"/>
          <w:szCs w:val="16"/>
          <w:lang w:eastAsia="sk-SK"/>
        </w:rPr>
        <w:t>Vrátane štátnych finančných aktív, mimorozpočtových účtov a salda účtu štátneho dlhu</w:t>
      </w:r>
      <w:r w:rsidRPr="00193B3B">
        <w:rPr>
          <w:color w:val="000000"/>
          <w:sz w:val="16"/>
          <w:szCs w:val="16"/>
          <w:lang w:eastAsia="sk-SK"/>
        </w:rPr>
        <w:tab/>
      </w:r>
      <w:r w:rsidRPr="00193B3B">
        <w:rPr>
          <w:color w:val="000000"/>
          <w:sz w:val="16"/>
          <w:szCs w:val="16"/>
          <w:lang w:eastAsia="sk-SK"/>
        </w:rPr>
        <w:tab/>
      </w:r>
      <w:r w:rsidRPr="00193B3B">
        <w:rPr>
          <w:color w:val="000000"/>
          <w:sz w:val="16"/>
          <w:szCs w:val="16"/>
          <w:lang w:eastAsia="sk-SK"/>
        </w:rPr>
        <w:tab/>
        <w:t xml:space="preserve">         </w:t>
      </w:r>
      <w:r>
        <w:rPr>
          <w:color w:val="000000"/>
          <w:sz w:val="16"/>
          <w:szCs w:val="16"/>
          <w:lang w:eastAsia="sk-SK"/>
        </w:rPr>
        <w:t xml:space="preserve">   </w:t>
      </w:r>
      <w:r w:rsidRPr="00193B3B">
        <w:rPr>
          <w:color w:val="000000"/>
          <w:sz w:val="16"/>
          <w:szCs w:val="16"/>
          <w:lang w:eastAsia="sk-SK"/>
        </w:rPr>
        <w:t xml:space="preserve">  </w:t>
      </w:r>
      <w:r w:rsidRPr="00193B3B">
        <w:rPr>
          <w:sz w:val="16"/>
          <w:szCs w:val="16"/>
          <w:lang w:eastAsia="sk-SK"/>
        </w:rPr>
        <w:t>Zdroj: MF SR</w:t>
      </w:r>
    </w:p>
    <w:p w14:paraId="4D3D8A73" w14:textId="77777777" w:rsidR="00563559" w:rsidRDefault="00563559" w:rsidP="00563559">
      <w:pPr>
        <w:spacing w:after="120" w:line="240" w:lineRule="auto"/>
        <w:jc w:val="both"/>
        <w:rPr>
          <w:sz w:val="16"/>
          <w:szCs w:val="16"/>
          <w:lang w:eastAsia="sk-SK"/>
        </w:rPr>
      </w:pPr>
      <w:r w:rsidRPr="00193B3B">
        <w:rPr>
          <w:sz w:val="16"/>
          <w:szCs w:val="16"/>
          <w:vertAlign w:val="superscript"/>
          <w:lang w:eastAsia="sk-SK"/>
        </w:rPr>
        <w:t xml:space="preserve">2) </w:t>
      </w:r>
      <w:r w:rsidRPr="00193B3B">
        <w:rPr>
          <w:sz w:val="16"/>
          <w:szCs w:val="16"/>
          <w:lang w:eastAsia="sk-SK"/>
        </w:rPr>
        <w:t>Ostatné subjekty ústrednej správy zahŕňajú: Rozhlas a televíziu Slovenska, Slovenský pozemkový fond, Agentúru pre núdzové zásoby ropy a ropných výrobkov, neziskové organizácie ústrednej správy a ostatné ústredné podniky.</w:t>
      </w:r>
    </w:p>
    <w:p w14:paraId="4CF53DC3" w14:textId="77777777" w:rsidR="00563559" w:rsidRDefault="00563559" w:rsidP="0039640B">
      <w:pPr>
        <w:spacing w:after="120" w:line="240" w:lineRule="auto"/>
        <w:jc w:val="both"/>
        <w:rPr>
          <w:b/>
          <w:szCs w:val="22"/>
        </w:rPr>
      </w:pPr>
      <w:r w:rsidRPr="00193B3B">
        <w:rPr>
          <w:b/>
          <w:szCs w:val="22"/>
        </w:rPr>
        <w:t>Nasledujúci text hodnotí skutočne dosiahnuté saldo vybraných skupín subjektov verejnej správy alebo konkrétnych subjektov za rok 2020 a jeho medziročnú zmenu. Porovnanie skutočnosti roku 2020 s rozpočtom 2020 je predmetom Štátneho záverečného účtu SR</w:t>
      </w:r>
      <w:r w:rsidRPr="00193B3B">
        <w:rPr>
          <w:rStyle w:val="Odkaznapoznmkupodiarou"/>
          <w:b/>
          <w:szCs w:val="22"/>
        </w:rPr>
        <w:footnoteReference w:id="8"/>
      </w:r>
      <w:r w:rsidRPr="00193B3B">
        <w:rPr>
          <w:b/>
          <w:szCs w:val="22"/>
        </w:rPr>
        <w:t>.</w:t>
      </w:r>
    </w:p>
    <w:p w14:paraId="07BE3063" w14:textId="77777777" w:rsidR="00D75E77" w:rsidRDefault="00D75E77">
      <w:pPr>
        <w:rPr>
          <w:b/>
          <w:color w:val="0070C0"/>
          <w:sz w:val="24"/>
          <w:szCs w:val="24"/>
        </w:rPr>
      </w:pPr>
      <w:r>
        <w:rPr>
          <w:b/>
          <w:color w:val="0070C0"/>
          <w:sz w:val="24"/>
          <w:szCs w:val="24"/>
        </w:rPr>
        <w:br w:type="page"/>
      </w:r>
    </w:p>
    <w:p w14:paraId="774F2F76" w14:textId="4DF694FB" w:rsidR="00563559" w:rsidRPr="0039640B" w:rsidRDefault="00563559" w:rsidP="00563559">
      <w:pPr>
        <w:spacing w:after="120" w:line="240" w:lineRule="auto"/>
        <w:jc w:val="both"/>
        <w:rPr>
          <w:b/>
          <w:color w:val="0070C0"/>
          <w:szCs w:val="22"/>
        </w:rPr>
      </w:pPr>
      <w:r w:rsidRPr="0039640B">
        <w:rPr>
          <w:b/>
          <w:color w:val="0070C0"/>
          <w:sz w:val="24"/>
          <w:szCs w:val="24"/>
        </w:rPr>
        <w:lastRenderedPageBreak/>
        <w:t>Príspevkové organizácie ústrednej správy</w:t>
      </w:r>
    </w:p>
    <w:p w14:paraId="33DCC8F7" w14:textId="77777777" w:rsidR="00563559" w:rsidRDefault="00563559" w:rsidP="00563559">
      <w:pPr>
        <w:spacing w:after="120" w:line="240" w:lineRule="auto"/>
        <w:jc w:val="both"/>
        <w:rPr>
          <w:szCs w:val="22"/>
        </w:rPr>
      </w:pPr>
      <w:r w:rsidRPr="00193B3B">
        <w:rPr>
          <w:szCs w:val="22"/>
        </w:rPr>
        <w:t xml:space="preserve">ESA prebytok </w:t>
      </w:r>
      <w:r w:rsidRPr="00E56BD4">
        <w:rPr>
          <w:szCs w:val="22"/>
        </w:rPr>
        <w:t>príspevkových organizácií ústrednej správy</w:t>
      </w:r>
      <w:r>
        <w:rPr>
          <w:szCs w:val="22"/>
        </w:rPr>
        <w:t xml:space="preserve"> (132 subjektov)</w:t>
      </w:r>
      <w:r w:rsidRPr="00E56BD4">
        <w:rPr>
          <w:szCs w:val="22"/>
        </w:rPr>
        <w:t xml:space="preserve"> za</w:t>
      </w:r>
      <w:r w:rsidRPr="00193B3B">
        <w:rPr>
          <w:szCs w:val="22"/>
        </w:rPr>
        <w:t xml:space="preserve"> rok 2020 dosiahol hodnotu 34 154 tis. eur, v porovnaní s rokom 2019 bol vyšší o 11</w:t>
      </w:r>
      <w:r>
        <w:rPr>
          <w:szCs w:val="22"/>
        </w:rPr>
        <w:t> </w:t>
      </w:r>
      <w:r w:rsidRPr="00193B3B">
        <w:rPr>
          <w:szCs w:val="22"/>
        </w:rPr>
        <w:t>479</w:t>
      </w:r>
      <w:r>
        <w:rPr>
          <w:szCs w:val="22"/>
        </w:rPr>
        <w:t xml:space="preserve"> </w:t>
      </w:r>
      <w:r w:rsidRPr="00193B3B">
        <w:rPr>
          <w:szCs w:val="22"/>
        </w:rPr>
        <w:t>tis. eur. K zvýšeniu ESA prebytku podstatnou mierou prispel najmä medziročný nárast pohľadávok o 6 729 tis. eur, pričom v predchádzajúcom roku bol medziročný pokles o 7 467 tis. eur, čiže celková zmena pohľadávok</w:t>
      </w:r>
      <w:r>
        <w:rPr>
          <w:szCs w:val="22"/>
        </w:rPr>
        <w:t xml:space="preserve"> za posledné dva roky</w:t>
      </w:r>
      <w:r w:rsidRPr="00193B3B">
        <w:rPr>
          <w:szCs w:val="22"/>
        </w:rPr>
        <w:t xml:space="preserve"> je nárast o 14 196 tis. eur. </w:t>
      </w:r>
      <w:r>
        <w:rPr>
          <w:szCs w:val="22"/>
        </w:rPr>
        <w:t xml:space="preserve">Najvýznamnejší nárast bol u </w:t>
      </w:r>
      <w:r w:rsidRPr="00193B3B">
        <w:rPr>
          <w:szCs w:val="22"/>
        </w:rPr>
        <w:t>Centr</w:t>
      </w:r>
      <w:r>
        <w:rPr>
          <w:szCs w:val="22"/>
        </w:rPr>
        <w:t>a</w:t>
      </w:r>
      <w:r w:rsidRPr="00193B3B">
        <w:rPr>
          <w:szCs w:val="22"/>
        </w:rPr>
        <w:t xml:space="preserve"> vedecko technických informácií SR</w:t>
      </w:r>
      <w:r>
        <w:rPr>
          <w:szCs w:val="22"/>
        </w:rPr>
        <w:t xml:space="preserve"> za pohľadávky z</w:t>
      </w:r>
      <w:r w:rsidRPr="00193B3B">
        <w:rPr>
          <w:szCs w:val="22"/>
        </w:rPr>
        <w:t xml:space="preserve"> prístup</w:t>
      </w:r>
      <w:r>
        <w:rPr>
          <w:szCs w:val="22"/>
        </w:rPr>
        <w:t>u</w:t>
      </w:r>
      <w:r w:rsidRPr="00193B3B">
        <w:rPr>
          <w:szCs w:val="22"/>
        </w:rPr>
        <w:t xml:space="preserve"> do databáz (elektronické informačné zdroje) v celkovej výške 6 361 tis. eur za národný projekt  NISPEZ IV (Informačný systém výskumu a vývoja – prístupy do databáz pre potreby výskumných inštitúcií). V predchádzajúcom roku nebol tento projekt obnovený, takže </w:t>
      </w:r>
      <w:r>
        <w:rPr>
          <w:szCs w:val="22"/>
        </w:rPr>
        <w:t>pohľadávky</w:t>
      </w:r>
      <w:r w:rsidRPr="00193B3B">
        <w:rPr>
          <w:szCs w:val="22"/>
        </w:rPr>
        <w:t xml:space="preserve"> boli 0 eur.</w:t>
      </w:r>
    </w:p>
    <w:p w14:paraId="38167263" w14:textId="77777777" w:rsidR="00563559" w:rsidRPr="00E56BD4" w:rsidRDefault="00563559" w:rsidP="00563559">
      <w:pPr>
        <w:spacing w:after="120" w:line="240" w:lineRule="auto"/>
        <w:jc w:val="both"/>
        <w:rPr>
          <w:b/>
          <w:color w:val="0070C0"/>
          <w:sz w:val="24"/>
          <w:szCs w:val="24"/>
        </w:rPr>
      </w:pPr>
      <w:r w:rsidRPr="00E56BD4">
        <w:rPr>
          <w:b/>
          <w:color w:val="0070C0"/>
          <w:sz w:val="24"/>
          <w:szCs w:val="24"/>
        </w:rPr>
        <w:t>Štátne fondy</w:t>
      </w:r>
    </w:p>
    <w:p w14:paraId="7DDE0A8D" w14:textId="77777777" w:rsidR="00D75E77" w:rsidRDefault="00563559" w:rsidP="00D75E77">
      <w:pPr>
        <w:spacing w:after="120" w:line="240" w:lineRule="auto"/>
        <w:jc w:val="both"/>
      </w:pPr>
      <w:r w:rsidRPr="00DA654B">
        <w:rPr>
          <w:rFonts w:eastAsiaTheme="minorHAnsi" w:cstheme="minorBidi"/>
          <w:szCs w:val="22"/>
        </w:rPr>
        <w:t>Štátne fondy</w:t>
      </w:r>
      <w:r w:rsidRPr="00E30A8E">
        <w:rPr>
          <w:rFonts w:eastAsiaTheme="minorHAnsi" w:cstheme="minorBidi"/>
          <w:szCs w:val="22"/>
        </w:rPr>
        <w:t xml:space="preserve"> h</w:t>
      </w:r>
      <w:r>
        <w:rPr>
          <w:szCs w:val="22"/>
        </w:rPr>
        <w:t>ospodárili v roku 2020 s prebytkom 140 513 tis. </w:t>
      </w:r>
      <w:r w:rsidRPr="00B747C5">
        <w:rPr>
          <w:szCs w:val="22"/>
        </w:rPr>
        <w:t>eur, čo predstavuje zlepšenie výsledku hospodá</w:t>
      </w:r>
      <w:r>
        <w:rPr>
          <w:szCs w:val="22"/>
        </w:rPr>
        <w:t>renia oproti roku 2019 o 53 351 tis. </w:t>
      </w:r>
      <w:r w:rsidRPr="00B747C5">
        <w:rPr>
          <w:szCs w:val="22"/>
        </w:rPr>
        <w:t>eur. Najväčší vplyv na tento výsledok má hospodárenie Environmentálneho fondu, ktorý</w:t>
      </w:r>
      <w:r>
        <w:rPr>
          <w:szCs w:val="22"/>
        </w:rPr>
        <w:t xml:space="preserve"> zlepšil hospodárenie</w:t>
      </w:r>
      <w:r w:rsidRPr="00B747C5">
        <w:rPr>
          <w:szCs w:val="22"/>
        </w:rPr>
        <w:t xml:space="preserve"> </w:t>
      </w:r>
      <w:r>
        <w:rPr>
          <w:szCs w:val="22"/>
        </w:rPr>
        <w:t>medziročne o 57 498 tis. </w:t>
      </w:r>
      <w:r w:rsidRPr="00B747C5">
        <w:rPr>
          <w:szCs w:val="22"/>
        </w:rPr>
        <w:t>eur.</w:t>
      </w:r>
      <w:r>
        <w:rPr>
          <w:szCs w:val="22"/>
        </w:rPr>
        <w:t xml:space="preserve"> Je to spôsobené najmä vyšším medziročným príjmom z predaja emisií reálne spotrebovaných v ekonomike v roku 2020 o 26 954 tis. eur z dôvodu zvýšenia cien za emisné povolenky o 2,04 eura za povolenku oproti roku 2019.</w:t>
      </w:r>
      <w:r w:rsidDel="00982E64">
        <w:rPr>
          <w:szCs w:val="22"/>
        </w:rPr>
        <w:t xml:space="preserve"> </w:t>
      </w:r>
      <w:r>
        <w:rPr>
          <w:rFonts w:eastAsiaTheme="minorHAnsi" w:cstheme="minorBidi"/>
          <w:szCs w:val="22"/>
        </w:rPr>
        <w:t>V roku 2020</w:t>
      </w:r>
      <w:r w:rsidRPr="005335C6">
        <w:rPr>
          <w:rFonts w:eastAsiaTheme="minorHAnsi" w:cstheme="minorBidi"/>
          <w:szCs w:val="22"/>
        </w:rPr>
        <w:t xml:space="preserve"> bol tento príjem vo</w:t>
      </w:r>
      <w:r>
        <w:rPr>
          <w:rFonts w:eastAsiaTheme="minorHAnsi" w:cstheme="minorBidi"/>
          <w:szCs w:val="22"/>
        </w:rPr>
        <w:t> výške 141 093 </w:t>
      </w:r>
      <w:r w:rsidRPr="005335C6">
        <w:rPr>
          <w:rFonts w:eastAsiaTheme="minorHAnsi" w:cstheme="minorBidi"/>
          <w:szCs w:val="22"/>
        </w:rPr>
        <w:t>tis.</w:t>
      </w:r>
      <w:r>
        <w:rPr>
          <w:rFonts w:eastAsiaTheme="minorHAnsi" w:cstheme="minorBidi"/>
          <w:szCs w:val="22"/>
        </w:rPr>
        <w:t xml:space="preserve"> eur. Na strane výdavkov malo pozitívny vplyv na hospodárenie nižšie  medziročne čerpanie kapitálových transferov o 22 610 tis. eur, ktoré bolo určené prevažne obciam </w:t>
      </w:r>
      <w:r>
        <w:t>na budovanie kanalizácií a vodovodov a realizáciu opatrení na zvyšovanie energetic</w:t>
      </w:r>
      <w:r w:rsidR="00D75E77">
        <w:t xml:space="preserve">kej účinnosti verejných budov. </w:t>
      </w:r>
    </w:p>
    <w:p w14:paraId="7B2FECA0" w14:textId="77777777" w:rsidR="00D75E77" w:rsidRPr="00D75E77" w:rsidRDefault="00563559" w:rsidP="00D75E77">
      <w:pPr>
        <w:spacing w:after="120" w:line="240" w:lineRule="auto"/>
        <w:jc w:val="both"/>
      </w:pPr>
      <w:r>
        <w:t xml:space="preserve">K lepšiemu hospodáreniu o 10 344 tis. eur v porovnaní s rokom 2019 prispel aj Národný jadrový fond, ktorý však aj napriek tomu dosiahol schodok 1 507 tis. eur. Zlepšené medziročné hospodárenie je spôsobené najmä nárastom pohľadávok o 14 037 tis. eur na úroveň 342 tis. eur v dôsledku toho, že v roku 2019 </w:t>
      </w:r>
      <w:r>
        <w:rPr>
          <w:szCs w:val="22"/>
        </w:rPr>
        <w:t>nastala medziročná zmena vo vykazovaní povinných príspevkov od prevádzkovateľov a</w:t>
      </w:r>
      <w:r w:rsidRPr="00E454B3">
        <w:rPr>
          <w:szCs w:val="22"/>
        </w:rPr>
        <w:t xml:space="preserve"> </w:t>
      </w:r>
      <w:r w:rsidRPr="002A6B30">
        <w:rPr>
          <w:szCs w:val="22"/>
        </w:rPr>
        <w:t>podľa nariadenia vlády č.</w:t>
      </w:r>
      <w:r>
        <w:rPr>
          <w:szCs w:val="22"/>
        </w:rPr>
        <w:t xml:space="preserve">  22/2019 </w:t>
      </w:r>
      <w:r w:rsidRPr="002A6B30">
        <w:rPr>
          <w:szCs w:val="22"/>
        </w:rPr>
        <w:t>sa ustanovilo, že povinné príspevky sú splatné raz ročn</w:t>
      </w:r>
      <w:r>
        <w:rPr>
          <w:szCs w:val="22"/>
        </w:rPr>
        <w:t>e</w:t>
      </w:r>
      <w:r w:rsidRPr="002A6B30">
        <w:rPr>
          <w:szCs w:val="22"/>
        </w:rPr>
        <w:t xml:space="preserve"> do 1.12. príslušného </w:t>
      </w:r>
      <w:r w:rsidRPr="00D75E77">
        <w:t>kalendárneho roka (v minulosti boli splatné do 31. 1. nasledujúceho roka).</w:t>
      </w:r>
    </w:p>
    <w:p w14:paraId="29FDB38C" w14:textId="12023ECD" w:rsidR="00563559" w:rsidRPr="00193B3B" w:rsidRDefault="00563559" w:rsidP="00D75E77">
      <w:pPr>
        <w:spacing w:after="120" w:line="240" w:lineRule="auto"/>
        <w:jc w:val="both"/>
        <w:rPr>
          <w:szCs w:val="22"/>
        </w:rPr>
      </w:pPr>
      <w:r w:rsidRPr="00D75E77">
        <w:t>Štátny</w:t>
      </w:r>
      <w:r>
        <w:rPr>
          <w:szCs w:val="22"/>
        </w:rPr>
        <w:t xml:space="preserve"> fond rozvoja bývania hospodáril s prebytkom 40 425 tis. eur, čo však predstavuje medziročné zhoršenie o 14 491 tis. eur. Je to najmä z dôvodu, že v minulom roku boli dočerpané prostriedky z IROP a IROP II určené na obnovu bytových budov v dôsledku čoho v roku 2020 medziročne klesli príjmy na grantoch a transferoch o 66 325 tis. eur. Samotné prostriedky z EÚ zdrojov sme však každoročne vylučovali (v roku 2019 suma 54 044 tis. eur), a tak sa granty a transfery medziročne znížili o 12 281 tis. eur, čo predstavuje hodnotu spolufinancovania zo ŠR.</w:t>
      </w:r>
    </w:p>
    <w:p w14:paraId="04DDBA6F" w14:textId="77777777" w:rsidR="00563559" w:rsidRDefault="00563559" w:rsidP="00563559">
      <w:pPr>
        <w:spacing w:after="120" w:line="240" w:lineRule="auto"/>
        <w:jc w:val="both"/>
        <w:rPr>
          <w:rFonts w:cs="Book Antiqua"/>
          <w:color w:val="0070C0"/>
          <w:sz w:val="24"/>
          <w:szCs w:val="24"/>
          <w:lang w:eastAsia="sk-SK"/>
        </w:rPr>
      </w:pPr>
      <w:r w:rsidRPr="00E56BD4">
        <w:rPr>
          <w:rFonts w:cs="Book Antiqua"/>
          <w:b/>
          <w:color w:val="0070C0"/>
          <w:sz w:val="24"/>
          <w:szCs w:val="24"/>
          <w:lang w:eastAsia="sk-SK"/>
        </w:rPr>
        <w:t>Obchodné spoločnosti ústrednej správy</w:t>
      </w:r>
      <w:r w:rsidRPr="00E56BD4">
        <w:rPr>
          <w:rFonts w:cs="Book Antiqua"/>
          <w:color w:val="0070C0"/>
          <w:sz w:val="24"/>
          <w:szCs w:val="24"/>
          <w:lang w:eastAsia="sk-SK"/>
        </w:rPr>
        <w:t xml:space="preserve"> </w:t>
      </w:r>
    </w:p>
    <w:p w14:paraId="4945ED1F" w14:textId="77777777" w:rsidR="00563559" w:rsidRPr="00E56BD4" w:rsidRDefault="00563559" w:rsidP="00563559">
      <w:pPr>
        <w:keepNext/>
        <w:spacing w:after="120" w:line="240" w:lineRule="auto"/>
        <w:jc w:val="both"/>
        <w:rPr>
          <w:rFonts w:cs="Book Antiqua"/>
          <w:szCs w:val="22"/>
          <w:lang w:eastAsia="sk-SK"/>
        </w:rPr>
      </w:pPr>
      <w:r w:rsidRPr="00E56BD4">
        <w:rPr>
          <w:rFonts w:cs="Book Antiqua"/>
          <w:szCs w:val="22"/>
          <w:lang w:eastAsia="sk-SK"/>
        </w:rPr>
        <w:t xml:space="preserve">Obchodné spoločnosti ústrednej správy dosiahli </w:t>
      </w:r>
      <w:r>
        <w:rPr>
          <w:rFonts w:cs="Book Antiqua"/>
          <w:szCs w:val="22"/>
          <w:lang w:eastAsia="sk-SK"/>
        </w:rPr>
        <w:t xml:space="preserve">úhrnom medziročné </w:t>
      </w:r>
      <w:r w:rsidRPr="00E56BD4">
        <w:rPr>
          <w:rFonts w:cs="Book Antiqua"/>
          <w:szCs w:val="22"/>
          <w:lang w:eastAsia="sk-SK"/>
        </w:rPr>
        <w:t>zlepšenie hospodárenia o </w:t>
      </w:r>
      <w:r w:rsidRPr="00091628">
        <w:rPr>
          <w:rFonts w:cs="Book Antiqua"/>
          <w:szCs w:val="22"/>
          <w:lang w:eastAsia="sk-SK"/>
        </w:rPr>
        <w:t>46 755 tis</w:t>
      </w:r>
      <w:r w:rsidRPr="00E56BD4">
        <w:rPr>
          <w:rFonts w:cs="Book Antiqua"/>
          <w:szCs w:val="22"/>
          <w:lang w:eastAsia="sk-SK"/>
        </w:rPr>
        <w:t>. eur oproti roku 2019. V rámci tejto zložky verejnej správy je vykazované hospodárenie celkovo za 10 subjektov, pričom v rozhodujúcej miere sa na výsled</w:t>
      </w:r>
      <w:r>
        <w:rPr>
          <w:rFonts w:cs="Book Antiqua"/>
          <w:szCs w:val="22"/>
          <w:lang w:eastAsia="sk-SK"/>
        </w:rPr>
        <w:t xml:space="preserve">ku podieľajú najmä spoločnosti v oblasti dopravy a dopravnej infraštruktúry ako sú </w:t>
      </w:r>
      <w:r w:rsidRPr="00E56BD4">
        <w:rPr>
          <w:rFonts w:cs="Book Antiqua"/>
          <w:szCs w:val="22"/>
          <w:lang w:eastAsia="sk-SK"/>
        </w:rPr>
        <w:t>Národná diaľničná spoločnosť,</w:t>
      </w:r>
      <w:r>
        <w:rPr>
          <w:rFonts w:cs="Book Antiqua"/>
          <w:szCs w:val="22"/>
          <w:lang w:eastAsia="sk-SK"/>
        </w:rPr>
        <w:t> </w:t>
      </w:r>
      <w:r w:rsidRPr="00E56BD4">
        <w:rPr>
          <w:rFonts w:cs="Book Antiqua"/>
          <w:szCs w:val="22"/>
          <w:lang w:eastAsia="sk-SK"/>
        </w:rPr>
        <w:t>a. s., Železničná spoločnosť Slovensko, a. s. a Železnice Slovenskej republiky.</w:t>
      </w:r>
    </w:p>
    <w:p w14:paraId="1AA68BF7" w14:textId="77777777" w:rsidR="00563559" w:rsidRPr="00D75E77" w:rsidRDefault="00563559" w:rsidP="00D75E77">
      <w:pPr>
        <w:spacing w:after="120" w:line="240" w:lineRule="auto"/>
        <w:jc w:val="both"/>
      </w:pPr>
      <w:r w:rsidRPr="00E56BD4">
        <w:rPr>
          <w:rFonts w:cs="Book Antiqua"/>
          <w:szCs w:val="22"/>
          <w:u w:val="single"/>
          <w:lang w:eastAsia="sk-SK"/>
        </w:rPr>
        <w:t>Národná diaľničná spoločnosť, a. s. (NDS)</w:t>
      </w:r>
      <w:r w:rsidRPr="00E56BD4">
        <w:rPr>
          <w:rFonts w:cs="Book Antiqua"/>
          <w:szCs w:val="22"/>
          <w:lang w:eastAsia="sk-SK"/>
        </w:rPr>
        <w:t xml:space="preserve"> dosiahla v roku 2020 ESA prebytok 112 2</w:t>
      </w:r>
      <w:r>
        <w:rPr>
          <w:rFonts w:cs="Book Antiqua"/>
          <w:szCs w:val="22"/>
          <w:lang w:eastAsia="sk-SK"/>
        </w:rPr>
        <w:t>94</w:t>
      </w:r>
      <w:r w:rsidRPr="00E56BD4">
        <w:rPr>
          <w:rFonts w:cs="Book Antiqua"/>
          <w:szCs w:val="22"/>
          <w:lang w:eastAsia="sk-SK"/>
        </w:rPr>
        <w:t> tis. eur, čo predstavu</w:t>
      </w:r>
      <w:r>
        <w:rPr>
          <w:rFonts w:cs="Book Antiqua"/>
          <w:szCs w:val="22"/>
          <w:lang w:eastAsia="sk-SK"/>
        </w:rPr>
        <w:t>je medziročné zlepšenie o 102 184</w:t>
      </w:r>
      <w:r w:rsidRPr="00E56BD4">
        <w:rPr>
          <w:rFonts w:cs="Book Antiqua"/>
          <w:szCs w:val="22"/>
          <w:lang w:eastAsia="sk-SK"/>
        </w:rPr>
        <w:t xml:space="preserve"> tis. eur. Na túto skutočnosť pozitívne vplýval nárast hotovostných príjmov o 37 660 tis. eur a súčasný pokles hotovostných výdavkov o 90 362 tis. eur. </w:t>
      </w:r>
      <w:r w:rsidRPr="002E0862">
        <w:rPr>
          <w:rFonts w:cs="Book Antiqua"/>
          <w:szCs w:val="22"/>
          <w:lang w:eastAsia="sk-SK"/>
        </w:rPr>
        <w:t xml:space="preserve">Z príjmov zaznamenali nárast predovšetkým príjmy z grantov a transferov zo štátneho rozpočtu </w:t>
      </w:r>
      <w:r>
        <w:rPr>
          <w:rFonts w:cs="Book Antiqua"/>
          <w:szCs w:val="22"/>
          <w:lang w:eastAsia="sk-SK"/>
        </w:rPr>
        <w:t xml:space="preserve">celkom </w:t>
      </w:r>
      <w:r w:rsidRPr="002E0862">
        <w:rPr>
          <w:rFonts w:cs="Book Antiqua"/>
          <w:szCs w:val="22"/>
          <w:lang w:eastAsia="sk-SK"/>
        </w:rPr>
        <w:t>o 159 779 tis. eur</w:t>
      </w:r>
      <w:r>
        <w:rPr>
          <w:rFonts w:cs="Book Antiqua"/>
          <w:szCs w:val="22"/>
          <w:lang w:eastAsia="sk-SK"/>
        </w:rPr>
        <w:t>. B</w:t>
      </w:r>
      <w:r w:rsidRPr="002E0862">
        <w:rPr>
          <w:rFonts w:cs="Book Antiqua"/>
          <w:szCs w:val="22"/>
          <w:lang w:eastAsia="sk-SK"/>
        </w:rPr>
        <w:t>ežné transfery zo ŠR</w:t>
      </w:r>
      <w:r>
        <w:rPr>
          <w:rFonts w:cs="Book Antiqua"/>
          <w:szCs w:val="22"/>
          <w:lang w:eastAsia="sk-SK"/>
        </w:rPr>
        <w:t xml:space="preserve"> boli v roku 2020 navýšené</w:t>
      </w:r>
      <w:r w:rsidRPr="002E0862">
        <w:rPr>
          <w:rFonts w:cs="Book Antiqua"/>
          <w:szCs w:val="22"/>
          <w:lang w:eastAsia="sk-SK"/>
        </w:rPr>
        <w:t xml:space="preserve"> o 39 978 tis. eur</w:t>
      </w:r>
      <w:r>
        <w:rPr>
          <w:rFonts w:cs="Book Antiqua"/>
          <w:szCs w:val="22"/>
          <w:lang w:eastAsia="sk-SK"/>
        </w:rPr>
        <w:t xml:space="preserve"> </w:t>
      </w:r>
      <w:r w:rsidRPr="002E0862">
        <w:rPr>
          <w:rFonts w:cs="Book Antiqua"/>
          <w:szCs w:val="22"/>
          <w:lang w:eastAsia="sk-SK"/>
        </w:rPr>
        <w:t>rozpo</w:t>
      </w:r>
      <w:r w:rsidRPr="002E0862">
        <w:rPr>
          <w:rFonts w:cs="Book Antiqua" w:hint="eastAsia"/>
          <w:szCs w:val="22"/>
          <w:lang w:eastAsia="sk-SK"/>
        </w:rPr>
        <w:t>č</w:t>
      </w:r>
      <w:r w:rsidRPr="002E0862">
        <w:rPr>
          <w:rFonts w:cs="Book Antiqua"/>
          <w:szCs w:val="22"/>
          <w:lang w:eastAsia="sk-SK"/>
        </w:rPr>
        <w:t>tov</w:t>
      </w:r>
      <w:r w:rsidRPr="002E0862">
        <w:rPr>
          <w:rFonts w:cs="Book Antiqua" w:hint="eastAsia"/>
          <w:szCs w:val="22"/>
          <w:lang w:eastAsia="sk-SK"/>
        </w:rPr>
        <w:t>ý</w:t>
      </w:r>
      <w:r w:rsidRPr="002E0862">
        <w:rPr>
          <w:rFonts w:cs="Book Antiqua"/>
          <w:szCs w:val="22"/>
          <w:lang w:eastAsia="sk-SK"/>
        </w:rPr>
        <w:t>m opatren</w:t>
      </w:r>
      <w:r w:rsidRPr="002E0862">
        <w:rPr>
          <w:rFonts w:cs="Book Antiqua" w:hint="eastAsia"/>
          <w:szCs w:val="22"/>
          <w:lang w:eastAsia="sk-SK"/>
        </w:rPr>
        <w:t>í</w:t>
      </w:r>
      <w:r w:rsidRPr="002E0862">
        <w:rPr>
          <w:rFonts w:cs="Book Antiqua"/>
          <w:szCs w:val="22"/>
          <w:lang w:eastAsia="sk-SK"/>
        </w:rPr>
        <w:t>m MF SR</w:t>
      </w:r>
      <w:r>
        <w:rPr>
          <w:rFonts w:cs="Book Antiqua"/>
          <w:szCs w:val="22"/>
          <w:lang w:eastAsia="sk-SK"/>
        </w:rPr>
        <w:t xml:space="preserve"> z</w:t>
      </w:r>
      <w:r w:rsidRPr="002E0862">
        <w:rPr>
          <w:rFonts w:cs="Book Antiqua"/>
          <w:szCs w:val="22"/>
          <w:lang w:eastAsia="sk-SK"/>
        </w:rPr>
        <w:t xml:space="preserve"> d</w:t>
      </w:r>
      <w:r w:rsidRPr="002E0862">
        <w:rPr>
          <w:rFonts w:cs="Book Antiqua" w:hint="eastAsia"/>
          <w:szCs w:val="22"/>
          <w:lang w:eastAsia="sk-SK"/>
        </w:rPr>
        <w:t>ô</w:t>
      </w:r>
      <w:r w:rsidRPr="002E0862">
        <w:rPr>
          <w:rFonts w:cs="Book Antiqua"/>
          <w:szCs w:val="22"/>
          <w:lang w:eastAsia="sk-SK"/>
        </w:rPr>
        <w:t>vodu kompenz</w:t>
      </w:r>
      <w:r w:rsidRPr="002E0862">
        <w:rPr>
          <w:rFonts w:cs="Book Antiqua" w:hint="eastAsia"/>
          <w:szCs w:val="22"/>
          <w:lang w:eastAsia="sk-SK"/>
        </w:rPr>
        <w:t>á</w:t>
      </w:r>
      <w:r w:rsidRPr="002E0862">
        <w:rPr>
          <w:rFonts w:cs="Book Antiqua"/>
          <w:szCs w:val="22"/>
          <w:lang w:eastAsia="sk-SK"/>
        </w:rPr>
        <w:t>cie negat</w:t>
      </w:r>
      <w:r w:rsidRPr="002E0862">
        <w:rPr>
          <w:rFonts w:cs="Book Antiqua" w:hint="eastAsia"/>
          <w:szCs w:val="22"/>
          <w:lang w:eastAsia="sk-SK"/>
        </w:rPr>
        <w:t>í</w:t>
      </w:r>
      <w:r w:rsidRPr="002E0862">
        <w:rPr>
          <w:rFonts w:cs="Book Antiqua"/>
          <w:szCs w:val="22"/>
          <w:lang w:eastAsia="sk-SK"/>
        </w:rPr>
        <w:t>vneho vplyvu pand</w:t>
      </w:r>
      <w:r w:rsidRPr="002E0862">
        <w:rPr>
          <w:rFonts w:cs="Book Antiqua" w:hint="eastAsia"/>
          <w:szCs w:val="22"/>
          <w:lang w:eastAsia="sk-SK"/>
        </w:rPr>
        <w:t>é</w:t>
      </w:r>
      <w:r w:rsidRPr="002E0862">
        <w:rPr>
          <w:rFonts w:cs="Book Antiqua"/>
          <w:szCs w:val="22"/>
          <w:lang w:eastAsia="sk-SK"/>
        </w:rPr>
        <w:t>mie COVID-19 na v</w:t>
      </w:r>
      <w:r w:rsidRPr="002E0862">
        <w:rPr>
          <w:rFonts w:cs="Book Antiqua" w:hint="eastAsia"/>
          <w:szCs w:val="22"/>
          <w:lang w:eastAsia="sk-SK"/>
        </w:rPr>
        <w:t>ý</w:t>
      </w:r>
      <w:r w:rsidRPr="002E0862">
        <w:rPr>
          <w:rFonts w:cs="Book Antiqua"/>
          <w:szCs w:val="22"/>
          <w:lang w:eastAsia="sk-SK"/>
        </w:rPr>
        <w:t>nosy NDS</w:t>
      </w:r>
      <w:r>
        <w:rPr>
          <w:rFonts w:cs="Book Antiqua"/>
          <w:szCs w:val="22"/>
          <w:lang w:eastAsia="sk-SK"/>
        </w:rPr>
        <w:t xml:space="preserve">. </w:t>
      </w:r>
      <w:r w:rsidRPr="002E0862">
        <w:rPr>
          <w:rFonts w:cs="Book Antiqua"/>
          <w:szCs w:val="22"/>
          <w:lang w:eastAsia="sk-SK"/>
        </w:rPr>
        <w:t>V zmysle tohto rozpo</w:t>
      </w:r>
      <w:r w:rsidRPr="002E0862">
        <w:rPr>
          <w:rFonts w:cs="Book Antiqua" w:hint="eastAsia"/>
          <w:szCs w:val="22"/>
          <w:lang w:eastAsia="sk-SK"/>
        </w:rPr>
        <w:t>č</w:t>
      </w:r>
      <w:r w:rsidRPr="002E0862">
        <w:rPr>
          <w:rFonts w:cs="Book Antiqua"/>
          <w:szCs w:val="22"/>
          <w:lang w:eastAsia="sk-SK"/>
        </w:rPr>
        <w:t>tov</w:t>
      </w:r>
      <w:r w:rsidRPr="002E0862">
        <w:rPr>
          <w:rFonts w:cs="Book Antiqua" w:hint="eastAsia"/>
          <w:szCs w:val="22"/>
          <w:lang w:eastAsia="sk-SK"/>
        </w:rPr>
        <w:t>é</w:t>
      </w:r>
      <w:r w:rsidRPr="002E0862">
        <w:rPr>
          <w:rFonts w:cs="Book Antiqua"/>
          <w:szCs w:val="22"/>
          <w:lang w:eastAsia="sk-SK"/>
        </w:rPr>
        <w:t>ho opatrenia je kapitola MDV SR povinn</w:t>
      </w:r>
      <w:r w:rsidRPr="002E0862">
        <w:rPr>
          <w:rFonts w:cs="Book Antiqua" w:hint="eastAsia"/>
          <w:szCs w:val="22"/>
          <w:lang w:eastAsia="sk-SK"/>
        </w:rPr>
        <w:t>á</w:t>
      </w:r>
      <w:r w:rsidRPr="002E0862">
        <w:rPr>
          <w:rFonts w:cs="Book Antiqua"/>
          <w:szCs w:val="22"/>
          <w:lang w:eastAsia="sk-SK"/>
        </w:rPr>
        <w:t xml:space="preserve"> vr</w:t>
      </w:r>
      <w:r w:rsidRPr="002E0862">
        <w:rPr>
          <w:rFonts w:cs="Book Antiqua" w:hint="eastAsia"/>
          <w:szCs w:val="22"/>
          <w:lang w:eastAsia="sk-SK"/>
        </w:rPr>
        <w:t>á</w:t>
      </w:r>
      <w:r w:rsidRPr="002E0862">
        <w:rPr>
          <w:rFonts w:cs="Book Antiqua"/>
          <w:szCs w:val="22"/>
          <w:lang w:eastAsia="sk-SK"/>
        </w:rPr>
        <w:t>ti</w:t>
      </w:r>
      <w:r w:rsidRPr="002E0862">
        <w:rPr>
          <w:rFonts w:cs="Book Antiqua" w:hint="eastAsia"/>
          <w:szCs w:val="22"/>
          <w:lang w:eastAsia="sk-SK"/>
        </w:rPr>
        <w:t>ť</w:t>
      </w:r>
      <w:r w:rsidRPr="002E0862">
        <w:rPr>
          <w:rFonts w:cs="Book Antiqua"/>
          <w:szCs w:val="22"/>
          <w:lang w:eastAsia="sk-SK"/>
        </w:rPr>
        <w:t xml:space="preserve"> tieto finan</w:t>
      </w:r>
      <w:r w:rsidRPr="002E0862">
        <w:rPr>
          <w:rFonts w:cs="Book Antiqua" w:hint="eastAsia"/>
          <w:szCs w:val="22"/>
          <w:lang w:eastAsia="sk-SK"/>
        </w:rPr>
        <w:t>č</w:t>
      </w:r>
      <w:r w:rsidRPr="002E0862">
        <w:rPr>
          <w:rFonts w:cs="Book Antiqua"/>
          <w:szCs w:val="22"/>
          <w:lang w:eastAsia="sk-SK"/>
        </w:rPr>
        <w:t>n</w:t>
      </w:r>
      <w:r w:rsidRPr="002E0862">
        <w:rPr>
          <w:rFonts w:cs="Book Antiqua" w:hint="eastAsia"/>
          <w:szCs w:val="22"/>
          <w:lang w:eastAsia="sk-SK"/>
        </w:rPr>
        <w:t>é</w:t>
      </w:r>
      <w:r w:rsidRPr="002E0862">
        <w:rPr>
          <w:rFonts w:cs="Book Antiqua"/>
          <w:szCs w:val="22"/>
          <w:lang w:eastAsia="sk-SK"/>
        </w:rPr>
        <w:t xml:space="preserve"> prostriedky v pr</w:t>
      </w:r>
      <w:r w:rsidRPr="002E0862">
        <w:rPr>
          <w:rFonts w:cs="Book Antiqua" w:hint="eastAsia"/>
          <w:szCs w:val="22"/>
          <w:lang w:eastAsia="sk-SK"/>
        </w:rPr>
        <w:t>í</w:t>
      </w:r>
      <w:r w:rsidRPr="002E0862">
        <w:rPr>
          <w:rFonts w:cs="Book Antiqua"/>
          <w:szCs w:val="22"/>
          <w:lang w:eastAsia="sk-SK"/>
        </w:rPr>
        <w:t>pade ich nevy</w:t>
      </w:r>
      <w:r w:rsidRPr="002E0862">
        <w:rPr>
          <w:rFonts w:cs="Book Antiqua" w:hint="eastAsia"/>
          <w:szCs w:val="22"/>
          <w:lang w:eastAsia="sk-SK"/>
        </w:rPr>
        <w:t>č</w:t>
      </w:r>
      <w:r w:rsidRPr="002E0862">
        <w:rPr>
          <w:rFonts w:cs="Book Antiqua"/>
          <w:szCs w:val="22"/>
          <w:lang w:eastAsia="sk-SK"/>
        </w:rPr>
        <w:t>erpania na ur</w:t>
      </w:r>
      <w:r w:rsidRPr="002E0862">
        <w:rPr>
          <w:rFonts w:cs="Book Antiqua" w:hint="eastAsia"/>
          <w:szCs w:val="22"/>
          <w:lang w:eastAsia="sk-SK"/>
        </w:rPr>
        <w:t>č</w:t>
      </w:r>
      <w:r w:rsidRPr="002E0862">
        <w:rPr>
          <w:rFonts w:cs="Book Antiqua"/>
          <w:szCs w:val="22"/>
          <w:lang w:eastAsia="sk-SK"/>
        </w:rPr>
        <w:t>en</w:t>
      </w:r>
      <w:r w:rsidRPr="002E0862">
        <w:rPr>
          <w:rFonts w:cs="Book Antiqua" w:hint="eastAsia"/>
          <w:szCs w:val="22"/>
          <w:lang w:eastAsia="sk-SK"/>
        </w:rPr>
        <w:t>ý</w:t>
      </w:r>
      <w:r w:rsidRPr="002E0862">
        <w:rPr>
          <w:rFonts w:cs="Book Antiqua"/>
          <w:szCs w:val="22"/>
          <w:lang w:eastAsia="sk-SK"/>
        </w:rPr>
        <w:t xml:space="preserve"> </w:t>
      </w:r>
      <w:r w:rsidRPr="002E0862">
        <w:rPr>
          <w:rFonts w:cs="Book Antiqua" w:hint="eastAsia"/>
          <w:szCs w:val="22"/>
          <w:lang w:eastAsia="sk-SK"/>
        </w:rPr>
        <w:t>úč</w:t>
      </w:r>
      <w:r w:rsidRPr="002E0862">
        <w:rPr>
          <w:rFonts w:cs="Book Antiqua"/>
          <w:szCs w:val="22"/>
          <w:lang w:eastAsia="sk-SK"/>
        </w:rPr>
        <w:t>el. Kapitálové transfery zo ŠR vzrástli o 119 801 tis. eur a boli poukázané v zmysle Zmluvy o poskytnutí dotácií a jej dodatkov z rozpočtovej kapitoly MDV SR.</w:t>
      </w:r>
      <w:r w:rsidRPr="00E56BD4">
        <w:rPr>
          <w:rFonts w:cs="Book Antiqua"/>
          <w:szCs w:val="22"/>
          <w:lang w:eastAsia="sk-SK"/>
        </w:rPr>
        <w:t xml:space="preserve"> Tento nárast bol výrazne redukovaný poklesom grantov z programu CEF o 15 319 tis. eur a poklesom príjmov z refundácií z EŠIF a  spolufinancovania zo ŠR spolu o 91 754 tis. eur</w:t>
      </w:r>
      <w:r>
        <w:rPr>
          <w:rFonts w:cs="Book Antiqua"/>
          <w:szCs w:val="22"/>
          <w:lang w:eastAsia="sk-SK"/>
        </w:rPr>
        <w:t xml:space="preserve">, z dôvodu nižších investičných </w:t>
      </w:r>
      <w:r w:rsidRPr="00D75E77">
        <w:t>výdavkov financovaných z EŠIF.</w:t>
      </w:r>
    </w:p>
    <w:p w14:paraId="02544412" w14:textId="77777777" w:rsidR="00563559" w:rsidRDefault="00563559" w:rsidP="00D75E77">
      <w:pPr>
        <w:spacing w:after="120" w:line="240" w:lineRule="auto"/>
        <w:jc w:val="both"/>
        <w:rPr>
          <w:rFonts w:cs="Book Antiqua"/>
          <w:szCs w:val="22"/>
          <w:lang w:eastAsia="sk-SK"/>
        </w:rPr>
      </w:pPr>
      <w:r w:rsidRPr="00D75E77">
        <w:lastRenderedPageBreak/>
        <w:t>D</w:t>
      </w:r>
      <w:r w:rsidRPr="00E56BD4">
        <w:rPr>
          <w:rFonts w:cs="Book Antiqua"/>
          <w:szCs w:val="22"/>
          <w:lang w:eastAsia="sk-SK"/>
        </w:rPr>
        <w:t>lhodobý rastúci trend príjmov z predaja výrobkov, tovarov a služieb bol v roku 2020 prerušený, keď NDS zaznamenala pokles tržieb o 15 345 tis. eur. Tržby z vybraného mýta medziročne klesli o 5,13 %, tržby z diaľničných známok sa znížili o 10,09 %, keď sa predalo o 1 211 tis.</w:t>
      </w:r>
      <w:r>
        <w:rPr>
          <w:rFonts w:cs="Book Antiqua"/>
          <w:szCs w:val="22"/>
          <w:lang w:eastAsia="sk-SK"/>
        </w:rPr>
        <w:t> </w:t>
      </w:r>
      <w:r w:rsidRPr="00E56BD4">
        <w:rPr>
          <w:rFonts w:cs="Book Antiqua"/>
          <w:szCs w:val="22"/>
          <w:lang w:eastAsia="sk-SK"/>
        </w:rPr>
        <w:t xml:space="preserve">ks </w:t>
      </w:r>
      <w:proofErr w:type="spellStart"/>
      <w:r>
        <w:rPr>
          <w:rFonts w:cs="Book Antiqua"/>
          <w:szCs w:val="22"/>
          <w:lang w:eastAsia="sk-SK"/>
        </w:rPr>
        <w:t>e</w:t>
      </w:r>
      <w:r w:rsidRPr="00553C15">
        <w:rPr>
          <w:rFonts w:cs="Book Antiqua"/>
          <w:szCs w:val="22"/>
          <w:lang w:eastAsia="sk-SK"/>
        </w:rPr>
        <w:t>DZ</w:t>
      </w:r>
      <w:proofErr w:type="spellEnd"/>
      <w:r w:rsidRPr="00553C15">
        <w:rPr>
          <w:rFonts w:cs="Book Antiqua"/>
          <w:szCs w:val="22"/>
          <w:lang w:eastAsia="sk-SK"/>
        </w:rPr>
        <w:t xml:space="preserve"> menej. </w:t>
      </w:r>
      <w:r>
        <w:rPr>
          <w:rFonts w:cs="Book Antiqua"/>
          <w:szCs w:val="22"/>
          <w:lang w:eastAsia="sk-SK"/>
        </w:rPr>
        <w:t>Dôvodom</w:t>
      </w:r>
      <w:r w:rsidRPr="00553C15">
        <w:rPr>
          <w:rFonts w:cs="Book Antiqua"/>
          <w:szCs w:val="22"/>
          <w:lang w:eastAsia="sk-SK"/>
        </w:rPr>
        <w:t xml:space="preserve"> bolo </w:t>
      </w:r>
      <w:r>
        <w:rPr>
          <w:rFonts w:cs="Book Antiqua"/>
          <w:szCs w:val="22"/>
          <w:lang w:eastAsia="sk-SK"/>
        </w:rPr>
        <w:t xml:space="preserve">zníženie mobility občanov a medzinárodného tranzitu cez naše územie v dôsledku </w:t>
      </w:r>
      <w:proofErr w:type="spellStart"/>
      <w:r w:rsidRPr="00553C15">
        <w:rPr>
          <w:rFonts w:cs="Book Antiqua"/>
          <w:szCs w:val="22"/>
          <w:lang w:eastAsia="sk-SK"/>
        </w:rPr>
        <w:t>protipandemick</w:t>
      </w:r>
      <w:r w:rsidRPr="00553C15">
        <w:rPr>
          <w:rFonts w:cs="Book Antiqua" w:hint="eastAsia"/>
          <w:szCs w:val="22"/>
          <w:lang w:eastAsia="sk-SK"/>
        </w:rPr>
        <w:t>ý</w:t>
      </w:r>
      <w:r>
        <w:rPr>
          <w:rFonts w:cs="Book Antiqua"/>
          <w:szCs w:val="22"/>
          <w:lang w:eastAsia="sk-SK"/>
        </w:rPr>
        <w:t>ch</w:t>
      </w:r>
      <w:proofErr w:type="spellEnd"/>
      <w:r>
        <w:rPr>
          <w:rFonts w:cs="Book Antiqua"/>
          <w:szCs w:val="22"/>
          <w:lang w:eastAsia="sk-SK"/>
        </w:rPr>
        <w:t xml:space="preserve"> opatrení</w:t>
      </w:r>
      <w:r w:rsidRPr="00553C15">
        <w:rPr>
          <w:rFonts w:cs="Book Antiqua"/>
          <w:szCs w:val="22"/>
          <w:lang w:eastAsia="sk-SK"/>
        </w:rPr>
        <w:t xml:space="preserve"> v</w:t>
      </w:r>
      <w:r>
        <w:rPr>
          <w:rFonts w:cs="Book Antiqua"/>
          <w:szCs w:val="22"/>
          <w:lang w:eastAsia="sk-SK"/>
        </w:rPr>
        <w:t xml:space="preserve"> súvislosti s </w:t>
      </w:r>
      <w:r w:rsidRPr="00553C15">
        <w:rPr>
          <w:rFonts w:cs="Book Antiqua"/>
          <w:szCs w:val="22"/>
          <w:lang w:eastAsia="sk-SK"/>
        </w:rPr>
        <w:t>COVID-19.</w:t>
      </w:r>
    </w:p>
    <w:p w14:paraId="75C428FF" w14:textId="77777777" w:rsidR="00563559" w:rsidRDefault="00563559" w:rsidP="00563559">
      <w:pPr>
        <w:spacing w:after="120" w:line="240" w:lineRule="auto"/>
        <w:jc w:val="both"/>
        <w:rPr>
          <w:color w:val="000000"/>
          <w:szCs w:val="22"/>
        </w:rPr>
      </w:pPr>
      <w:r w:rsidRPr="00E56BD4">
        <w:rPr>
          <w:rFonts w:cs="Book Antiqua"/>
          <w:szCs w:val="22"/>
          <w:lang w:eastAsia="sk-SK"/>
        </w:rPr>
        <w:t>Celkové bežné výdavky klesli o 29 643 tis. eur</w:t>
      </w:r>
      <w:r>
        <w:rPr>
          <w:rFonts w:cs="Book Antiqua"/>
          <w:szCs w:val="22"/>
          <w:lang w:eastAsia="sk-SK"/>
        </w:rPr>
        <w:t xml:space="preserve"> vplyvom nižších výdavkov</w:t>
      </w:r>
      <w:r w:rsidRPr="00E56BD4">
        <w:rPr>
          <w:rFonts w:cs="Book Antiqua"/>
          <w:szCs w:val="22"/>
          <w:lang w:eastAsia="sk-SK"/>
        </w:rPr>
        <w:t xml:space="preserve"> </w:t>
      </w:r>
      <w:r>
        <w:rPr>
          <w:rFonts w:cs="Book Antiqua"/>
          <w:szCs w:val="22"/>
          <w:lang w:eastAsia="sk-SK"/>
        </w:rPr>
        <w:t>na opravu a</w:t>
      </w:r>
      <w:r w:rsidRPr="00E56BD4">
        <w:rPr>
          <w:rFonts w:cs="Book Antiqua"/>
          <w:szCs w:val="22"/>
          <w:lang w:eastAsia="sk-SK"/>
        </w:rPr>
        <w:t xml:space="preserve"> údržbu</w:t>
      </w:r>
      <w:r>
        <w:rPr>
          <w:rFonts w:cs="Book Antiqua"/>
          <w:szCs w:val="22"/>
          <w:lang w:eastAsia="sk-SK"/>
        </w:rPr>
        <w:t xml:space="preserve"> diaľnic a rýchlostných ciest</w:t>
      </w:r>
      <w:r w:rsidRPr="00E56BD4">
        <w:rPr>
          <w:rFonts w:cs="Book Antiqua"/>
          <w:szCs w:val="22"/>
          <w:lang w:eastAsia="sk-SK"/>
        </w:rPr>
        <w:t xml:space="preserve"> (o 19 488 tis. eur) a</w:t>
      </w:r>
      <w:r>
        <w:rPr>
          <w:rFonts w:cs="Book Antiqua"/>
          <w:szCs w:val="22"/>
          <w:lang w:eastAsia="sk-SK"/>
        </w:rPr>
        <w:t> nižších výdavkov na zabezpečenie zmlúv na nájmy a vecné bremená pri projektoch PPP D4/R7</w:t>
      </w:r>
      <w:r w:rsidRPr="00E56BD4">
        <w:rPr>
          <w:rFonts w:cs="Book Antiqua"/>
          <w:szCs w:val="22"/>
          <w:lang w:eastAsia="sk-SK"/>
        </w:rPr>
        <w:t xml:space="preserve"> (o 6 353 tis. eur). Mzdové </w:t>
      </w:r>
      <w:r>
        <w:rPr>
          <w:rFonts w:cs="Book Antiqua"/>
          <w:szCs w:val="22"/>
          <w:lang w:eastAsia="sk-SK"/>
        </w:rPr>
        <w:t>a odvodové výdavky</w:t>
      </w:r>
      <w:r w:rsidRPr="00E56BD4">
        <w:rPr>
          <w:rFonts w:cs="Book Antiqua"/>
          <w:szCs w:val="22"/>
          <w:lang w:eastAsia="sk-SK"/>
        </w:rPr>
        <w:t xml:space="preserve"> naopak vzrástli </w:t>
      </w:r>
      <w:r>
        <w:rPr>
          <w:rFonts w:cs="Book Antiqua"/>
          <w:szCs w:val="22"/>
          <w:lang w:eastAsia="sk-SK"/>
        </w:rPr>
        <w:t xml:space="preserve">spolu </w:t>
      </w:r>
      <w:r w:rsidRPr="00E56BD4">
        <w:rPr>
          <w:rFonts w:cs="Book Antiqua"/>
          <w:szCs w:val="22"/>
          <w:lang w:eastAsia="sk-SK"/>
        </w:rPr>
        <w:t>o </w:t>
      </w:r>
      <w:r>
        <w:rPr>
          <w:rFonts w:cs="Book Antiqua"/>
          <w:szCs w:val="22"/>
          <w:lang w:eastAsia="sk-SK"/>
        </w:rPr>
        <w:t>5</w:t>
      </w:r>
      <w:r w:rsidRPr="00E56BD4">
        <w:rPr>
          <w:rFonts w:cs="Book Antiqua"/>
          <w:szCs w:val="22"/>
          <w:lang w:eastAsia="sk-SK"/>
        </w:rPr>
        <w:t> </w:t>
      </w:r>
      <w:r>
        <w:rPr>
          <w:rFonts w:cs="Book Antiqua"/>
          <w:szCs w:val="22"/>
          <w:lang w:eastAsia="sk-SK"/>
        </w:rPr>
        <w:t>648</w:t>
      </w:r>
      <w:r w:rsidRPr="00E56BD4">
        <w:rPr>
          <w:rFonts w:cs="Book Antiqua"/>
          <w:szCs w:val="22"/>
          <w:lang w:eastAsia="sk-SK"/>
        </w:rPr>
        <w:t> tis. eur z dôvodu nárastu počtu zamestnancov o 3,95  % oproti roku 2019 (o 71 zamestnancov v absolútnom vyjadrení). Výdavky na obstaranie kapitálových aktív dosiahli hodnotu 451 363 tis. eur, čo predstavuje medziročný pokles o 60 719 tis. eur. Najvyššie investičné výdavky v roku 2020 boli vynaložené na stavby diaľnic a rýchlostných ciest</w:t>
      </w:r>
      <w:r w:rsidRPr="00E56BD4">
        <w:rPr>
          <w:szCs w:val="22"/>
        </w:rPr>
        <w:t xml:space="preserve"> D1 Prešov západ – Prešov juh (87 100 tis. eur), D3 Čadca Bukov – Svrčinovec (72 200 tis. eur), D1 Hubová – Ivachnová (53 900 tis. eur)R2 Mýtna – Lovinobaňa (45 600 tis. eur) a R4 Prešov – severný obchvat I. etapa (33 600 tis. eur)</w:t>
      </w:r>
      <w:r w:rsidRPr="00E56BD4">
        <w:rPr>
          <w:rFonts w:cs="Book Antiqua"/>
          <w:szCs w:val="22"/>
          <w:lang w:eastAsia="sk-SK"/>
        </w:rPr>
        <w:t>. Na ESA prebytok negatívne vplýval pokl</w:t>
      </w:r>
      <w:r w:rsidRPr="00E56BD4">
        <w:rPr>
          <w:color w:val="000000"/>
          <w:szCs w:val="22"/>
        </w:rPr>
        <w:t xml:space="preserve">es </w:t>
      </w:r>
      <w:r w:rsidRPr="00E56BD4">
        <w:rPr>
          <w:rFonts w:cs="Book Antiqua"/>
          <w:szCs w:val="22"/>
          <w:lang w:eastAsia="sk-SK"/>
        </w:rPr>
        <w:t>pohľadávok o 36 559 tis. eur súvisiacich predovšetkým s realizáciou systému elektronického mýta</w:t>
      </w:r>
      <w:r>
        <w:rPr>
          <w:rFonts w:cs="Book Antiqua"/>
          <w:szCs w:val="22"/>
          <w:lang w:eastAsia="sk-SK"/>
        </w:rPr>
        <w:t>, opäť z dôvodu poklesu tržieb spôsobený znížením mobility</w:t>
      </w:r>
      <w:r w:rsidRPr="00E56BD4">
        <w:rPr>
          <w:color w:val="000000"/>
          <w:szCs w:val="22"/>
        </w:rPr>
        <w:t>.</w:t>
      </w:r>
    </w:p>
    <w:p w14:paraId="0165C344" w14:textId="77777777" w:rsidR="00563559" w:rsidRPr="00D75E77" w:rsidRDefault="00563559" w:rsidP="00D75E77">
      <w:pPr>
        <w:spacing w:after="120" w:line="240" w:lineRule="auto"/>
        <w:jc w:val="both"/>
        <w:rPr>
          <w:rFonts w:cs="Book Antiqua"/>
          <w:szCs w:val="22"/>
          <w:lang w:eastAsia="sk-SK"/>
        </w:rPr>
      </w:pPr>
      <w:r w:rsidRPr="005D6477">
        <w:rPr>
          <w:u w:val="single"/>
        </w:rPr>
        <w:t>Železnice Slovenskej republiky (ŽSR)</w:t>
      </w:r>
      <w:r w:rsidRPr="00AE7A5C">
        <w:t xml:space="preserve"> hospodárili v roku 2020 so schodkom 10 050 tis. eur, čo predstavovalo zhoršenie hospodárenia oproti predchádzajúcemu roku o 10 768 tis. eur. V roku 2020 zaznamenali ŽSR medziročný pokles </w:t>
      </w:r>
      <w:r>
        <w:t>príjmov o 83 328 tis. </w:t>
      </w:r>
      <w:r w:rsidRPr="00C95F8E">
        <w:t>eur</w:t>
      </w:r>
      <w:r>
        <w:t xml:space="preserve"> </w:t>
      </w:r>
      <w:r w:rsidRPr="00AE7A5C">
        <w:t>a</w:t>
      </w:r>
      <w:r>
        <w:t> </w:t>
      </w:r>
      <w:r w:rsidRPr="00AE7A5C">
        <w:t>výdavkov</w:t>
      </w:r>
      <w:r>
        <w:t xml:space="preserve"> o 61 746 tis. eur</w:t>
      </w:r>
      <w:r w:rsidRPr="00AE7A5C">
        <w:t>.</w:t>
      </w:r>
      <w:r>
        <w:t xml:space="preserve"> </w:t>
      </w:r>
      <w:r w:rsidRPr="00AE7A5C">
        <w:t>Na celkovom poklese príjmov sa vo významnej miere podieľala prebiehajúca pandémia COVID-19, čo sa prejavilo znížením príjmov od dopravcov za železničnú infraštruktúru, príjmov z</w:t>
      </w:r>
      <w:r>
        <w:t xml:space="preserve"> predaja</w:t>
      </w:r>
      <w:r w:rsidRPr="00AE7A5C">
        <w:t xml:space="preserve"> trakčn</w:t>
      </w:r>
      <w:r>
        <w:t>ej</w:t>
      </w:r>
      <w:r w:rsidRPr="00AE7A5C">
        <w:t xml:space="preserve"> energi</w:t>
      </w:r>
      <w:r>
        <w:t>e</w:t>
      </w:r>
      <w:r w:rsidRPr="00AE7A5C">
        <w:t xml:space="preserve"> a tiež nižších príjmov z ostatných činností</w:t>
      </w:r>
      <w:r>
        <w:t xml:space="preserve"> (z ubytovania, zo vzdelávania)</w:t>
      </w:r>
      <w:r w:rsidRPr="00AE7A5C">
        <w:t xml:space="preserve">. Poklesli aj príjmy z nákladnej prepravy. </w:t>
      </w:r>
      <w:r w:rsidRPr="00AD4306">
        <w:t xml:space="preserve">Pokles kapitálových príjmov o 29 716 tis. eur bol spôsobený tým, že v roku 2019 sa zrealizoval </w:t>
      </w:r>
      <w:r>
        <w:t xml:space="preserve">predaj administratívnej budovy v Košiciach Finančnému riaditeľstvu a v roku 2020 mala  spoločnosť ostatné príjmy z predaja majetku na porovnateľnej úrovni. </w:t>
      </w:r>
      <w:r w:rsidRPr="00AE7A5C">
        <w:t>Výpadok nedaňových príjmov bol krytý navýšením prevádzkovej dotácie z titulu COVID-</w:t>
      </w:r>
      <w:r>
        <w:t>19</w:t>
      </w:r>
      <w:r w:rsidRPr="00AE7A5C">
        <w:t xml:space="preserve"> vo výške 18 145 tis. eur. </w:t>
      </w:r>
      <w:r>
        <w:t>Aj napriek tomuto navýšeniu príjmy z grantov a transferov zaznamenali</w:t>
      </w:r>
      <w:r w:rsidRPr="000F1389">
        <w:t xml:space="preserve"> klesajúcu tendenciu podobne ako v predchádzajúcich obdobiach </w:t>
      </w:r>
      <w:r w:rsidRPr="00D75E77">
        <w:rPr>
          <w:rFonts w:cs="Book Antiqua"/>
          <w:szCs w:val="22"/>
          <w:lang w:eastAsia="sk-SK"/>
        </w:rPr>
        <w:t>a to o sumu 24 229 tis. eur.</w:t>
      </w:r>
    </w:p>
    <w:p w14:paraId="3800BF3A" w14:textId="77777777" w:rsidR="00563559" w:rsidRDefault="00563559" w:rsidP="00D75E77">
      <w:pPr>
        <w:spacing w:after="120" w:line="240" w:lineRule="auto"/>
        <w:jc w:val="both"/>
        <w:rPr>
          <w:rFonts w:cs="Book Antiqua"/>
          <w:szCs w:val="22"/>
          <w:lang w:eastAsia="sk-SK"/>
        </w:rPr>
      </w:pPr>
      <w:r w:rsidRPr="000F1389">
        <w:rPr>
          <w:rFonts w:cs="Book Antiqua"/>
          <w:szCs w:val="22"/>
          <w:lang w:eastAsia="sk-SK"/>
        </w:rPr>
        <w:t xml:space="preserve">Nárast prijatých bežných transferov zo štátneho rozpočtu </w:t>
      </w:r>
      <w:r>
        <w:rPr>
          <w:rFonts w:cs="Book Antiqua"/>
          <w:szCs w:val="22"/>
          <w:lang w:eastAsia="sk-SK"/>
        </w:rPr>
        <w:t xml:space="preserve">o 5 591 tis. eur </w:t>
      </w:r>
      <w:r w:rsidRPr="000F1389">
        <w:rPr>
          <w:rFonts w:cs="Book Antiqua"/>
          <w:szCs w:val="22"/>
          <w:lang w:eastAsia="sk-SK"/>
        </w:rPr>
        <w:t xml:space="preserve">a nárast zálohových platieb z programu CEF (Nástroj na prepájanie Európy) </w:t>
      </w:r>
      <w:r>
        <w:rPr>
          <w:rFonts w:cs="Book Antiqua"/>
          <w:szCs w:val="22"/>
          <w:lang w:eastAsia="sk-SK"/>
        </w:rPr>
        <w:t xml:space="preserve">o 3 767 tis. eur </w:t>
      </w:r>
      <w:r w:rsidRPr="000F1389">
        <w:rPr>
          <w:rFonts w:cs="Book Antiqua"/>
          <w:szCs w:val="22"/>
          <w:lang w:eastAsia="sk-SK"/>
        </w:rPr>
        <w:t>viazaných na zmluvné projekty</w:t>
      </w:r>
      <w:r>
        <w:rPr>
          <w:rFonts w:cs="Book Antiqua"/>
          <w:szCs w:val="22"/>
          <w:lang w:eastAsia="sk-SK"/>
        </w:rPr>
        <w:t xml:space="preserve"> na podporu investícií do budovania novej dopravnej infraštruktúry a</w:t>
      </w:r>
      <w:r w:rsidRPr="000F1389">
        <w:rPr>
          <w:rFonts w:cs="Book Antiqua"/>
          <w:szCs w:val="22"/>
          <w:lang w:eastAsia="sk-SK"/>
        </w:rPr>
        <w:t xml:space="preserve"> </w:t>
      </w:r>
      <w:r w:rsidRPr="000F1389">
        <w:t>modernizácie železničných tratí</w:t>
      </w:r>
      <w:r>
        <w:t xml:space="preserve"> existujúcej dopravnej infraštruktúry </w:t>
      </w:r>
      <w:r w:rsidRPr="000F1389">
        <w:rPr>
          <w:rFonts w:cs="Book Antiqua"/>
          <w:szCs w:val="22"/>
          <w:lang w:eastAsia="sk-SK"/>
        </w:rPr>
        <w:t>bol kompenzovaný poklesom kapitálových príjmov z refundácií a  spolu</w:t>
      </w:r>
      <w:r>
        <w:rPr>
          <w:rFonts w:cs="Book Antiqua"/>
          <w:szCs w:val="22"/>
          <w:lang w:eastAsia="sk-SK"/>
        </w:rPr>
        <w:t xml:space="preserve">financovania zo ŠR o 33 631 tis. eur. Na základe platnej Zmluvy o prevádzkovaní železničnej infraštruktúry (ZPŽI)  bola ŽSR poskytnutá kompenzácia finančných dopadov spojených so znížením úhrad za prístup k železničnej infraštruktúre pre nákladných dopravcov a dodatkom k ZPŽI mimoriadny transfer s účelovo viazanými prostriedkami na sanáciu výdavkov priamo implikovaných vznikom pandémie súvisiacej s  COVID-19 vo výške 22 500 tis. eur. </w:t>
      </w:r>
    </w:p>
    <w:p w14:paraId="0FB4DE67" w14:textId="77777777" w:rsidR="00563559" w:rsidRDefault="00563559" w:rsidP="00D75E77">
      <w:pPr>
        <w:spacing w:after="120" w:line="240" w:lineRule="auto"/>
        <w:jc w:val="both"/>
        <w:rPr>
          <w:rFonts w:cs="Book Antiqua"/>
          <w:szCs w:val="22"/>
          <w:lang w:eastAsia="sk-SK"/>
        </w:rPr>
      </w:pPr>
      <w:r>
        <w:rPr>
          <w:rFonts w:cs="Book Antiqua"/>
          <w:szCs w:val="22"/>
          <w:lang w:eastAsia="sk-SK"/>
        </w:rPr>
        <w:t xml:space="preserve">Vplyv pandémie, výpadok príjmov a v neposlednom rade i nižšie dotácie mali za následok medziročný pokles celkových výdavkov o 61 746 tis. eur, z toho bežné výdavky </w:t>
      </w:r>
      <w:r w:rsidRPr="00A10541">
        <w:t>o</w:t>
      </w:r>
      <w:r>
        <w:t> </w:t>
      </w:r>
      <w:r w:rsidRPr="00A10541">
        <w:t>29</w:t>
      </w:r>
      <w:r>
        <w:t> </w:t>
      </w:r>
      <w:r w:rsidRPr="00A10541">
        <w:t>684</w:t>
      </w:r>
      <w:r>
        <w:t> </w:t>
      </w:r>
      <w:r w:rsidRPr="00A10541">
        <w:t>tis</w:t>
      </w:r>
      <w:r>
        <w:rPr>
          <w:rFonts w:cs="Book Antiqua"/>
          <w:szCs w:val="22"/>
          <w:lang w:eastAsia="sk-SK"/>
        </w:rPr>
        <w:t xml:space="preserve">. eur a kapitálové výdavky o 32 062 tis. eur. Úsporu výdavkov na energie  a materiál na opravu a údržbu infraštruktúry čiastočne eliminoval nárast výdavkov na osobné náklady. Zvýšené výdavky na mzdy a poistné súviseli nielen </w:t>
      </w:r>
      <w:r w:rsidRPr="00E12C52">
        <w:rPr>
          <w:rFonts w:cs="Book Antiqua"/>
          <w:szCs w:val="22"/>
          <w:lang w:eastAsia="sk-SK"/>
        </w:rPr>
        <w:t>s vývojom kolektívneho vyjednávania pre rok 2020, kedy sa dohodlo zvýšen</w:t>
      </w:r>
      <w:r>
        <w:rPr>
          <w:rFonts w:cs="Book Antiqua"/>
          <w:szCs w:val="22"/>
          <w:lang w:eastAsia="sk-SK"/>
        </w:rPr>
        <w:t>ie tarifnej mzdy zamestnancov,</w:t>
      </w:r>
      <w:r w:rsidRPr="00E12C52">
        <w:rPr>
          <w:rFonts w:cs="Book Antiqua"/>
          <w:szCs w:val="22"/>
          <w:lang w:eastAsia="sk-SK"/>
        </w:rPr>
        <w:t xml:space="preserve"> ale aj so zvýšením minimálnej mzdy a mzdo</w:t>
      </w:r>
      <w:r>
        <w:rPr>
          <w:rFonts w:cs="Book Antiqua"/>
          <w:szCs w:val="22"/>
          <w:lang w:eastAsia="sk-SK"/>
        </w:rPr>
        <w:t>vých zvýhodnení za nočnú prácu,</w:t>
      </w:r>
      <w:r w:rsidRPr="00E12C52">
        <w:rPr>
          <w:rFonts w:cs="Book Antiqua"/>
          <w:szCs w:val="22"/>
          <w:lang w:eastAsia="sk-SK"/>
        </w:rPr>
        <w:t xml:space="preserve"> za prácu v</w:t>
      </w:r>
      <w:r>
        <w:rPr>
          <w:rFonts w:cs="Book Antiqua"/>
          <w:szCs w:val="22"/>
          <w:lang w:eastAsia="sk-SK"/>
        </w:rPr>
        <w:t> </w:t>
      </w:r>
      <w:r w:rsidRPr="00E12C52">
        <w:rPr>
          <w:rFonts w:cs="Book Antiqua"/>
          <w:szCs w:val="22"/>
          <w:lang w:eastAsia="sk-SK"/>
        </w:rPr>
        <w:t>sobotu</w:t>
      </w:r>
      <w:r>
        <w:rPr>
          <w:rFonts w:cs="Book Antiqua"/>
          <w:szCs w:val="22"/>
          <w:lang w:eastAsia="sk-SK"/>
        </w:rPr>
        <w:t xml:space="preserve"> a v nedeľu, za sťažený výkon práce a pracovnú pohotovosť.</w:t>
      </w:r>
    </w:p>
    <w:p w14:paraId="28C4DB8D" w14:textId="77777777" w:rsidR="00563559" w:rsidRDefault="00563559" w:rsidP="00D75E77">
      <w:pPr>
        <w:spacing w:after="120" w:line="240" w:lineRule="auto"/>
        <w:jc w:val="both"/>
      </w:pPr>
      <w:r w:rsidRPr="00D75E77">
        <w:rPr>
          <w:rFonts w:cs="Book Antiqua"/>
          <w:szCs w:val="22"/>
          <w:lang w:eastAsia="sk-SK"/>
        </w:rPr>
        <w:t>N</w:t>
      </w:r>
      <w:r w:rsidRPr="001F4C43">
        <w:t xml:space="preserve">ižší príjem z grantov a transferov sa prejavil aj na strane výdavkov </w:t>
      </w:r>
      <w:r w:rsidRPr="001F4C43">
        <w:rPr>
          <w:rFonts w:cs="Arial"/>
        </w:rPr>
        <w:t>na obstarávanie kapitálových aktív, ktoré poklesli medziročne o </w:t>
      </w:r>
      <w:r w:rsidRPr="001F4C43">
        <w:t>32</w:t>
      </w:r>
      <w:r>
        <w:t> </w:t>
      </w:r>
      <w:r w:rsidRPr="001F4C43">
        <w:t xml:space="preserve">062 tis. eur.  </w:t>
      </w:r>
    </w:p>
    <w:p w14:paraId="23278AAA" w14:textId="77777777" w:rsidR="00563559" w:rsidRPr="00DA1D07" w:rsidRDefault="00563559" w:rsidP="00563559">
      <w:pPr>
        <w:spacing w:after="120" w:line="240" w:lineRule="auto"/>
        <w:jc w:val="both"/>
      </w:pPr>
      <w:r>
        <w:t xml:space="preserve">Na ESA schodok pozitívne vplýval nárast pohľadávok </w:t>
      </w:r>
      <w:r w:rsidRPr="009A60E7">
        <w:t>o 2 </w:t>
      </w:r>
      <w:r>
        <w:t>429</w:t>
      </w:r>
      <w:r w:rsidRPr="009A60E7">
        <w:t> </w:t>
      </w:r>
      <w:r>
        <w:t>tis. eur a zároveň pokles záväzkov o 6 997</w:t>
      </w:r>
      <w:r w:rsidRPr="009A60E7">
        <w:t xml:space="preserve"> tis. eur. </w:t>
      </w:r>
      <w:r>
        <w:t xml:space="preserve">Najviac </w:t>
      </w:r>
      <w:r w:rsidRPr="009A60E7">
        <w:t>rástli ostatné pohľadávky o sumu 3 </w:t>
      </w:r>
      <w:r>
        <w:t>404</w:t>
      </w:r>
      <w:r w:rsidRPr="009A60E7">
        <w:t> tis. eur z dôvodu zaúčtovania pohľadávky za stavebné práce</w:t>
      </w:r>
      <w:r>
        <w:t xml:space="preserve"> na administratívnej budove</w:t>
      </w:r>
      <w:r w:rsidRPr="009A60E7">
        <w:t xml:space="preserve"> pre Finančné riaditeľstvo, ktorá bude vysporiadaná po podpise Dohody a nárast daňových pohľadávok predpísan</w:t>
      </w:r>
      <w:r>
        <w:t>ím</w:t>
      </w:r>
      <w:r w:rsidRPr="009A60E7">
        <w:t xml:space="preserve"> nadmerného odpočtu</w:t>
      </w:r>
      <w:r>
        <w:t xml:space="preserve"> z DPH</w:t>
      </w:r>
      <w:r w:rsidRPr="009A60E7">
        <w:t xml:space="preserve">. V záväzkoch sa najviac prejavil pozitívny vplyv na schodok v poklese záväzkov </w:t>
      </w:r>
      <w:r>
        <w:t xml:space="preserve">o 7 269 tis. eur </w:t>
      </w:r>
      <w:r w:rsidRPr="009A60E7">
        <w:t xml:space="preserve">voči dodávateľom </w:t>
      </w:r>
      <w:r w:rsidRPr="009A60E7">
        <w:lastRenderedPageBreak/>
        <w:t xml:space="preserve">v nadväznosti na nečerpanie </w:t>
      </w:r>
      <w:r w:rsidRPr="00DA1D07">
        <w:t>výdavkov (z toho najviac pokles krátkodobých investičných záväzkov z titulu úhrady zádržného)</w:t>
      </w:r>
      <w:r w:rsidRPr="00DA1D07">
        <w:rPr>
          <w:i/>
        </w:rPr>
        <w:t xml:space="preserve">. </w:t>
      </w:r>
    </w:p>
    <w:p w14:paraId="3EFF5873" w14:textId="77777777" w:rsidR="00563559" w:rsidRPr="00D75E77" w:rsidRDefault="00563559" w:rsidP="00D75E77">
      <w:pPr>
        <w:spacing w:after="120" w:line="240" w:lineRule="auto"/>
        <w:jc w:val="both"/>
        <w:rPr>
          <w:rFonts w:cs="Book Antiqua"/>
          <w:szCs w:val="22"/>
          <w:lang w:eastAsia="sk-SK"/>
        </w:rPr>
      </w:pPr>
      <w:r w:rsidRPr="00EA3873">
        <w:t xml:space="preserve">Hospodárenie </w:t>
      </w:r>
      <w:r w:rsidRPr="00CF12A9">
        <w:rPr>
          <w:u w:val="single"/>
        </w:rPr>
        <w:t>Železničnej spoločnosti Slovensko, a.</w:t>
      </w:r>
      <w:r>
        <w:rPr>
          <w:u w:val="single"/>
        </w:rPr>
        <w:t xml:space="preserve"> </w:t>
      </w:r>
      <w:r w:rsidRPr="00CF12A9">
        <w:rPr>
          <w:u w:val="single"/>
        </w:rPr>
        <w:t>s. (ŽSSK)</w:t>
      </w:r>
      <w:r w:rsidRPr="00EA3873">
        <w:t xml:space="preserve"> v roku 2020 dosiahlo schodok 87 861 tis. eur a oproti roku 2019 </w:t>
      </w:r>
      <w:r>
        <w:t>sa z</w:t>
      </w:r>
      <w:r w:rsidRPr="00EA3873">
        <w:t>horši</w:t>
      </w:r>
      <w:r>
        <w:t>lo</w:t>
      </w:r>
      <w:r w:rsidRPr="00EA3873">
        <w:t xml:space="preserve"> o 48 344 tis. eur. Medziročný nárast </w:t>
      </w:r>
      <w:r>
        <w:t xml:space="preserve">príjmov z </w:t>
      </w:r>
      <w:r w:rsidRPr="00EA3873">
        <w:t xml:space="preserve">grantov a transferov o 71 647 tis. eur bol kompenzovaný poklesom nedaňových príjmov o 39 605 tis. eur. </w:t>
      </w:r>
      <w:r w:rsidRPr="005B36B9">
        <w:t>Z dôvodu rastúceho vplyvu COVID</w:t>
      </w:r>
      <w:r>
        <w:t>-</w:t>
      </w:r>
      <w:r w:rsidRPr="005B36B9">
        <w:t>19 a s ním spojených obmedzení vo vnútroštátnej a medzinárodnej doprave v priebehu roka 2020 sa redukovali dopravné výkony v nadväznosti na znížený dopyt po vlakovej doprave (pokles o 5,9</w:t>
      </w:r>
      <w:r>
        <w:t xml:space="preserve"> </w:t>
      </w:r>
      <w:r w:rsidRPr="005B36B9">
        <w:t>%)</w:t>
      </w:r>
      <w:r>
        <w:t>.</w:t>
      </w:r>
      <w:r w:rsidRPr="005B36B9">
        <w:t xml:space="preserve"> </w:t>
      </w:r>
      <w:r>
        <w:t>T</w:t>
      </w:r>
      <w:r w:rsidRPr="005B36B9">
        <w:t xml:space="preserve">ržby od cestujúcich </w:t>
      </w:r>
      <w:r>
        <w:t xml:space="preserve">poklesli </w:t>
      </w:r>
      <w:r w:rsidRPr="005B36B9">
        <w:t xml:space="preserve">takmer o polovicu oproti predchádzajúcemu roku. V tejto súvislosti bol ZSSK </w:t>
      </w:r>
      <w:r>
        <w:t xml:space="preserve">na vysporiadanie nekrytej straty </w:t>
      </w:r>
      <w:r w:rsidRPr="005B36B9">
        <w:t>v zmysle Dodatku k Zmluve o dopravných službách vo verejnom záujme poskytnutý bežný transfer</w:t>
      </w:r>
      <w:r>
        <w:t xml:space="preserve"> vo výške 49 699 tis. eur </w:t>
      </w:r>
      <w:r w:rsidRPr="005B36B9">
        <w:t xml:space="preserve">ako kompenzácia </w:t>
      </w:r>
      <w:r w:rsidRPr="00D75E77">
        <w:rPr>
          <w:rFonts w:cs="Book Antiqua"/>
          <w:szCs w:val="22"/>
          <w:lang w:eastAsia="sk-SK"/>
        </w:rPr>
        <w:t>negatívneho vplyvu pandémie na hospodárenie a finančnú stabilitu spoločnosti.</w:t>
      </w:r>
    </w:p>
    <w:p w14:paraId="64F1128F" w14:textId="77777777" w:rsidR="00563559" w:rsidRPr="00D75E77" w:rsidRDefault="00563559" w:rsidP="00D75E77">
      <w:pPr>
        <w:spacing w:after="120" w:line="240" w:lineRule="auto"/>
        <w:jc w:val="both"/>
        <w:rPr>
          <w:rFonts w:cs="Book Antiqua"/>
          <w:szCs w:val="22"/>
          <w:lang w:eastAsia="sk-SK"/>
        </w:rPr>
      </w:pPr>
      <w:r w:rsidRPr="00D75E77">
        <w:rPr>
          <w:rFonts w:cs="Book Antiqua"/>
          <w:szCs w:val="22"/>
          <w:lang w:eastAsia="sk-SK"/>
        </w:rPr>
        <w:t>V</w:t>
      </w:r>
      <w:r w:rsidRPr="005B36B9">
        <w:t xml:space="preserve"> rámci Operačného programu Doprava boli uzatvorené nové zmluvy o poskytnutí NFP pre projekty zamerané na modernizáciu vozového parku pre prímestskú a regionálnu verejnú železničnú osobnú dopravu </w:t>
      </w:r>
      <w:r w:rsidRPr="00D75E77">
        <w:rPr>
          <w:rFonts w:cs="Book Antiqua"/>
          <w:szCs w:val="22"/>
          <w:lang w:eastAsia="sk-SK"/>
        </w:rPr>
        <w:t xml:space="preserve">v rámci IDS, čo spôsobilo aj nárast príjmov z medzinárodných grantov o 728 tis. eur. </w:t>
      </w:r>
    </w:p>
    <w:p w14:paraId="0F61EF8A" w14:textId="77777777" w:rsidR="00563559" w:rsidRPr="00961C06" w:rsidRDefault="00563559" w:rsidP="00D75E77">
      <w:pPr>
        <w:spacing w:after="120" w:line="240" w:lineRule="auto"/>
        <w:jc w:val="both"/>
      </w:pPr>
      <w:r w:rsidRPr="00D75E77">
        <w:rPr>
          <w:rFonts w:cs="Book Antiqua"/>
          <w:szCs w:val="22"/>
          <w:lang w:eastAsia="sk-SK"/>
        </w:rPr>
        <w:t>N</w:t>
      </w:r>
      <w:r w:rsidRPr="005B36B9">
        <w:t>árast nákladov a s tým spojených výdavkov negatívne ovplyvnil  hospodárenie spoločnosti. Zvýšenie mzdových zvýhodnení v zmysle vládneho balíčka a</w:t>
      </w:r>
      <w:r>
        <w:t xml:space="preserve"> pozitívneho </w:t>
      </w:r>
      <w:r w:rsidRPr="005B36B9">
        <w:t>výsledku kolektívneho vyjednávania malo finančný dopad na medziročný rast tarifných miezd</w:t>
      </w:r>
      <w:r>
        <w:t>,  </w:t>
      </w:r>
      <w:r w:rsidRPr="005B36B9">
        <w:t>prémií</w:t>
      </w:r>
      <w:r>
        <w:t xml:space="preserve"> a poistného</w:t>
      </w:r>
      <w:r w:rsidRPr="005B36B9">
        <w:t xml:space="preserve"> pre vybrané profesie </w:t>
      </w:r>
      <w:r>
        <w:t xml:space="preserve">(o 9 059 tis. eur) </w:t>
      </w:r>
      <w:r w:rsidRPr="005B36B9">
        <w:t>i napriek skutočnosti, že boli krátené úväzky a</w:t>
      </w:r>
      <w:r>
        <w:t xml:space="preserve"> značná časť administratívnych </w:t>
      </w:r>
      <w:r w:rsidRPr="005B36B9">
        <w:t>zamestnanc</w:t>
      </w:r>
      <w:r>
        <w:t>ov</w:t>
      </w:r>
      <w:r w:rsidRPr="005B36B9">
        <w:t xml:space="preserve"> vykonával</w:t>
      </w:r>
      <w:r>
        <w:t>a</w:t>
      </w:r>
      <w:r>
        <w:rPr>
          <w:sz w:val="24"/>
          <w:szCs w:val="24"/>
        </w:rPr>
        <w:t xml:space="preserve"> </w:t>
      </w:r>
      <w:r w:rsidRPr="005B36B9">
        <w:t>prácu v podobe „</w:t>
      </w:r>
      <w:proofErr w:type="spellStart"/>
      <w:r w:rsidRPr="005B36B9">
        <w:t>home</w:t>
      </w:r>
      <w:proofErr w:type="spellEnd"/>
      <w:r w:rsidRPr="005B36B9">
        <w:t xml:space="preserve"> </w:t>
      </w:r>
      <w:proofErr w:type="spellStart"/>
      <w:r w:rsidRPr="005B36B9">
        <w:t>office</w:t>
      </w:r>
      <w:proofErr w:type="spellEnd"/>
      <w:r w:rsidRPr="005B36B9">
        <w:t>“. Tento rast bol eliminovaný úsporou v objeme čerpania výdavkov na spotreb</w:t>
      </w:r>
      <w:r>
        <w:t xml:space="preserve">u elektrickej trakčnej energie,  </w:t>
      </w:r>
      <w:r w:rsidRPr="005B36B9">
        <w:t>spotrebu motorovej nafty pre trakčné účely</w:t>
      </w:r>
      <w:r>
        <w:t xml:space="preserve"> a poplatkami za železničnú dopravnú cestu.  </w:t>
      </w:r>
      <w:r w:rsidRPr="005B36B9">
        <w:t>V spojitosti s opatreniami proti šíreniu nákazy sa v</w:t>
      </w:r>
      <w:r>
        <w:t xml:space="preserve">o zvýšenej miere </w:t>
      </w:r>
      <w:r w:rsidRPr="005B36B9">
        <w:t>opravovali železničné koľajové vozidlá a dezinfikovali vlakové súpravy. Napriek kríze spoločnosť pokračovala v obnovovaní voz</w:t>
      </w:r>
      <w:r>
        <w:t>o</w:t>
      </w:r>
      <w:r w:rsidRPr="005B36B9">
        <w:t>vého parku (rušne, vozne, vlakové súpravy)</w:t>
      </w:r>
      <w:r w:rsidRPr="00961C06">
        <w:t>.  Z dôvodu vyššieho čerpania dotácií</w:t>
      </w:r>
      <w:r>
        <w:t xml:space="preserve"> na príjmoch</w:t>
      </w:r>
      <w:r w:rsidRPr="00961C06">
        <w:t xml:space="preserve"> boli recipročne zvýšené bežné</w:t>
      </w:r>
      <w:r>
        <w:t xml:space="preserve"> výdavky (o 3 031 tis. eur) a kapitálové výdavky (o 22 738 tis. eur).</w:t>
      </w:r>
    </w:p>
    <w:p w14:paraId="3B2F30B7" w14:textId="77777777" w:rsidR="00563559" w:rsidRPr="00D75E77" w:rsidRDefault="00563559" w:rsidP="00D75E77">
      <w:pPr>
        <w:spacing w:after="120" w:line="240" w:lineRule="auto"/>
        <w:jc w:val="both"/>
        <w:rPr>
          <w:rFonts w:cs="Book Antiqua"/>
          <w:szCs w:val="22"/>
          <w:lang w:eastAsia="sk-SK"/>
        </w:rPr>
      </w:pPr>
      <w:r w:rsidRPr="00BA48BD">
        <w:t xml:space="preserve">Pozitívny vplyv na schodok mal </w:t>
      </w:r>
      <w:r>
        <w:t xml:space="preserve">medziročný </w:t>
      </w:r>
      <w:r w:rsidRPr="00BA48BD">
        <w:t xml:space="preserve">nárast pohľadávok o 5 898 tis. eur, z toho sumu 5 490 tis. eur tvoria pohľadávky zo zálohových </w:t>
      </w:r>
      <w:r>
        <w:t>platieb v zmysle nákupných zmlúv</w:t>
      </w:r>
      <w:r w:rsidRPr="00BA48BD">
        <w:t xml:space="preserve"> na obstaranie nových motorových jednotiek pre ozubnicovú železnicu a na dodanie dieselových motorových jednotiek a elektrických </w:t>
      </w:r>
      <w:r w:rsidRPr="00D75E77">
        <w:rPr>
          <w:rFonts w:cs="Book Antiqua"/>
          <w:szCs w:val="22"/>
          <w:lang w:eastAsia="sk-SK"/>
        </w:rPr>
        <w:t xml:space="preserve">jednotiek. </w:t>
      </w:r>
    </w:p>
    <w:p w14:paraId="1C6C9D12" w14:textId="77777777" w:rsidR="00563559" w:rsidRPr="0069577D" w:rsidRDefault="00563559" w:rsidP="00563559">
      <w:pPr>
        <w:spacing w:after="120" w:line="240" w:lineRule="auto"/>
        <w:jc w:val="both"/>
      </w:pPr>
      <w:r w:rsidRPr="00D75E77">
        <w:rPr>
          <w:rFonts w:cs="Book Antiqua"/>
          <w:szCs w:val="22"/>
          <w:lang w:eastAsia="sk-SK"/>
        </w:rPr>
        <w:t>Tento</w:t>
      </w:r>
      <w:r w:rsidRPr="00751BC2">
        <w:t xml:space="preserve"> pozitívny vplyv z časového rozlíšenia pohľadávok a záväzkov bol eliminovaný imputovaním výdavkov financovaných prostredníctvom </w:t>
      </w:r>
      <w:proofErr w:type="spellStart"/>
      <w:r w:rsidRPr="00751BC2">
        <w:t>faktoringu</w:t>
      </w:r>
      <w:proofErr w:type="spellEnd"/>
      <w:r w:rsidRPr="00751BC2">
        <w:t xml:space="preserve"> vo výške 71 559 tis. eur, čo významne ovplyvnilo celkové saldo subjektu v metodike ESA2010. </w:t>
      </w:r>
      <w:r w:rsidRPr="0069577D">
        <w:t>Ďalším negatívnym vplyvom bol nárast záväzkov o 48 087 tis. eur. Medziročne došlo k nárastu na účtoch dodávateľov a nevyfakturovaných dodávok hlavne v súvislosti s modernizáciou vozového parku v rámci OPII. Najvýznamnejšiu položku tvorí nákup 4 ks elektrických jednotiek „</w:t>
      </w:r>
      <w:proofErr w:type="spellStart"/>
      <w:r w:rsidRPr="0069577D">
        <w:t>Panter</w:t>
      </w:r>
      <w:proofErr w:type="spellEnd"/>
      <w:r w:rsidRPr="0069577D">
        <w:t>“ od dodávateľa ŠKODA TRANSPORTATION, CZ v hodnote 43 600 tis. eur. Ekologické elektrické jednotky boli obstarané v rámci Integrovaného dopravného systému zameraného na obnovu parku železničných koľajových vozidiel pre prímestskú a regionálnu železničnú osobnú dopravu</w:t>
      </w:r>
      <w:r>
        <w:t>,</w:t>
      </w:r>
      <w:r w:rsidRPr="0069577D">
        <w:t> v roku 2020 pre trenčiansky a žilinský región</w:t>
      </w:r>
      <w:r w:rsidRPr="0069577D">
        <w:rPr>
          <w:sz w:val="24"/>
          <w:szCs w:val="24"/>
        </w:rPr>
        <w:t xml:space="preserve">. </w:t>
      </w:r>
    </w:p>
    <w:p w14:paraId="0DD2850C" w14:textId="77777777" w:rsidR="00563559" w:rsidRDefault="00563559" w:rsidP="00563559">
      <w:pPr>
        <w:spacing w:after="0" w:line="240" w:lineRule="auto"/>
        <w:jc w:val="both"/>
      </w:pPr>
      <w:r w:rsidRPr="00774A8F">
        <w:rPr>
          <w:u w:val="single"/>
        </w:rPr>
        <w:t>Jadrová a vyraďovacia spoločnosť, a. s. (JAVYS)</w:t>
      </w:r>
      <w:r w:rsidRPr="00774A8F">
        <w:t xml:space="preserve"> zlepšila svoje hospodárenie oproti roku 2019 o 12 497 tis. </w:t>
      </w:r>
      <w:r>
        <w:t xml:space="preserve">eur, keď dosiahla </w:t>
      </w:r>
      <w:r w:rsidRPr="00774A8F">
        <w:t xml:space="preserve">v roku 2020 prebytok 8 578 tis. eur. </w:t>
      </w:r>
      <w:r w:rsidRPr="00774A8F">
        <w:rPr>
          <w:rFonts w:cstheme="minorHAnsi"/>
        </w:rPr>
        <w:t xml:space="preserve">Celkové príjmy spoločnosti medziročne vzrástli o 8 980 tis. eur. </w:t>
      </w:r>
      <w:r w:rsidRPr="0082406A">
        <w:t>Hlavné činnosti JAVYS boli kryté</w:t>
      </w:r>
      <w:r>
        <w:t xml:space="preserve"> z</w:t>
      </w:r>
      <w:r w:rsidRPr="0082406A">
        <w:t xml:space="preserve"> </w:t>
      </w:r>
      <w:r>
        <w:rPr>
          <w:rFonts w:cstheme="minorHAnsi"/>
        </w:rPr>
        <w:t>príjmov</w:t>
      </w:r>
      <w:r w:rsidRPr="00774A8F">
        <w:t xml:space="preserve"> z úhrad za nakladanie so zdrojmi ionizujúceho žiarenia</w:t>
      </w:r>
      <w:r>
        <w:t xml:space="preserve"> (nárast </w:t>
      </w:r>
      <w:r w:rsidRPr="00774A8F">
        <w:t>o 1 744 tis. eur</w:t>
      </w:r>
      <w:r>
        <w:t>)</w:t>
      </w:r>
      <w:r w:rsidRPr="00774A8F">
        <w:t xml:space="preserve"> a</w:t>
      </w:r>
      <w:r>
        <w:t> grantov a transferov</w:t>
      </w:r>
      <w:r w:rsidRPr="0082406A">
        <w:t xml:space="preserve"> poskytnutých z</w:t>
      </w:r>
      <w:r>
        <w:t> </w:t>
      </w:r>
      <w:r w:rsidRPr="0082406A">
        <w:t>N</w:t>
      </w:r>
      <w:r>
        <w:t xml:space="preserve">árodného jadrového fondu </w:t>
      </w:r>
      <w:r w:rsidRPr="0082406A">
        <w:t>a </w:t>
      </w:r>
      <w:r>
        <w:t>z</w:t>
      </w:r>
      <w:r w:rsidRPr="0082406A">
        <w:t xml:space="preserve"> Medzinárodn</w:t>
      </w:r>
      <w:r>
        <w:t>ého</w:t>
      </w:r>
      <w:r w:rsidRPr="0082406A">
        <w:t xml:space="preserve"> fond</w:t>
      </w:r>
      <w:r>
        <w:t>u</w:t>
      </w:r>
      <w:r w:rsidRPr="0082406A">
        <w:t xml:space="preserve"> na podporu odstavenia JE V1 v Jaslovských Bohuniciach</w:t>
      </w:r>
      <w:r>
        <w:t xml:space="preserve"> – BIDSF (spolu nárast o 7 278 tis. eur)</w:t>
      </w:r>
      <w:r w:rsidRPr="0082406A">
        <w:t xml:space="preserve">. </w:t>
      </w:r>
      <w:r w:rsidRPr="00B871A4">
        <w:t>Na zlepšenie hospodárenia spoločnosti vplýval aj pokles bežných a kapitálových výdavkov spolu o 1 569 tis. eur. Z bežných výdavkov zaznamenali pokles najmä výdavky na tovary a služby o 3 304 tis. eur. Dôvodom bol posun realizácie projektov spojených s vyraďovaním jadrových zariadení, resp. záverečnou časťou jadrovej energetiky do budúcich období.</w:t>
      </w:r>
      <w:r w:rsidRPr="00B871A4">
        <w:rPr>
          <w:sz w:val="24"/>
          <w:szCs w:val="24"/>
        </w:rPr>
        <w:t xml:space="preserve"> </w:t>
      </w:r>
      <w:r w:rsidRPr="00B871A4">
        <w:t xml:space="preserve">Tento pozitívny efekt bol čiastočne eliminovaný nárastom mzdových a odvodových výdavkov o 2 403 tis. eur v súvislosti s plošným navýšením tarifných tried </w:t>
      </w:r>
      <w:r>
        <w:t>v nadväznosti na</w:t>
      </w:r>
      <w:r w:rsidRPr="00B871A4">
        <w:t> platn</w:t>
      </w:r>
      <w:r>
        <w:t>ú</w:t>
      </w:r>
      <w:r w:rsidRPr="00B871A4">
        <w:t xml:space="preserve"> Kolektívn</w:t>
      </w:r>
      <w:r>
        <w:t>u</w:t>
      </w:r>
      <w:r w:rsidRPr="00B871A4">
        <w:t xml:space="preserve"> </w:t>
      </w:r>
      <w:r w:rsidRPr="00A458B4">
        <w:t>zmluv</w:t>
      </w:r>
      <w:r>
        <w:t>u</w:t>
      </w:r>
      <w:r w:rsidRPr="00A458B4">
        <w:t xml:space="preserve">. </w:t>
      </w:r>
    </w:p>
    <w:p w14:paraId="1BC61639" w14:textId="77777777" w:rsidR="00763D06" w:rsidRDefault="00763D06" w:rsidP="00563559">
      <w:pPr>
        <w:spacing w:after="120" w:line="240" w:lineRule="auto"/>
        <w:jc w:val="both"/>
        <w:rPr>
          <w:color w:val="000000"/>
        </w:rPr>
      </w:pPr>
    </w:p>
    <w:p w14:paraId="6046D81A" w14:textId="635A56F0" w:rsidR="00563559" w:rsidRDefault="00563559" w:rsidP="00563559">
      <w:pPr>
        <w:spacing w:after="120" w:line="240" w:lineRule="auto"/>
        <w:jc w:val="both"/>
        <w:rPr>
          <w:color w:val="000000"/>
        </w:rPr>
      </w:pPr>
      <w:r w:rsidRPr="00A458B4">
        <w:rPr>
          <w:color w:val="000000"/>
        </w:rPr>
        <w:lastRenderedPageBreak/>
        <w:t>ESA prebytok</w:t>
      </w:r>
      <w:r>
        <w:rPr>
          <w:color w:val="000000"/>
        </w:rPr>
        <w:t xml:space="preserve"> bol ovplyvnený</w:t>
      </w:r>
      <w:r w:rsidRPr="00A458B4">
        <w:rPr>
          <w:color w:val="000000"/>
        </w:rPr>
        <w:t xml:space="preserve"> </w:t>
      </w:r>
      <w:r>
        <w:rPr>
          <w:color w:val="000000"/>
        </w:rPr>
        <w:t>negatívne nárastom</w:t>
      </w:r>
      <w:r w:rsidRPr="00A458B4">
        <w:rPr>
          <w:color w:val="000000"/>
        </w:rPr>
        <w:t xml:space="preserve"> záväzkov o 1 141 tis. eur (najmä krátkodobých záväzkov z obchodného styku, ktoré sa viažu k</w:t>
      </w:r>
      <w:r>
        <w:rPr>
          <w:color w:val="000000"/>
        </w:rPr>
        <w:t> </w:t>
      </w:r>
      <w:r w:rsidRPr="00A458B4">
        <w:rPr>
          <w:color w:val="000000"/>
        </w:rPr>
        <w:t>činnostiam vyraďo</w:t>
      </w:r>
      <w:r w:rsidRPr="00A458B4">
        <w:rPr>
          <w:rFonts w:cstheme="minorHAnsi"/>
        </w:rPr>
        <w:t xml:space="preserve">vania jadrových </w:t>
      </w:r>
      <w:r w:rsidRPr="00480B24">
        <w:rPr>
          <w:color w:val="000000"/>
        </w:rPr>
        <w:t>elektrární V1 a A1)</w:t>
      </w:r>
      <w:r>
        <w:rPr>
          <w:color w:val="000000"/>
        </w:rPr>
        <w:t xml:space="preserve"> a pozitívne </w:t>
      </w:r>
      <w:r w:rsidRPr="00A458B4">
        <w:rPr>
          <w:color w:val="000000"/>
        </w:rPr>
        <w:t>nárast</w:t>
      </w:r>
      <w:r>
        <w:rPr>
          <w:color w:val="000000"/>
        </w:rPr>
        <w:t>om</w:t>
      </w:r>
      <w:r w:rsidRPr="00A458B4">
        <w:rPr>
          <w:color w:val="000000"/>
        </w:rPr>
        <w:t xml:space="preserve"> pohľadávok o 1 417 tis. eur (najmä daňových)</w:t>
      </w:r>
      <w:r>
        <w:rPr>
          <w:color w:val="000000"/>
        </w:rPr>
        <w:t xml:space="preserve"> </w:t>
      </w:r>
      <w:r w:rsidRPr="00480B24">
        <w:rPr>
          <w:color w:val="000000"/>
        </w:rPr>
        <w:t>a ESA úprav</w:t>
      </w:r>
      <w:r>
        <w:rPr>
          <w:color w:val="000000"/>
        </w:rPr>
        <w:t>ou</w:t>
      </w:r>
      <w:r w:rsidRPr="00480B24">
        <w:rPr>
          <w:color w:val="000000"/>
        </w:rPr>
        <w:t xml:space="preserve"> v sume 4 321 tis. eur: Touto úpravou sa z výdavkov spoločnosti vylučuje čiastka predstavujúca 99 % z</w:t>
      </w:r>
      <w:r>
        <w:rPr>
          <w:color w:val="000000"/>
        </w:rPr>
        <w:t> </w:t>
      </w:r>
      <w:r w:rsidRPr="00480B24">
        <w:rPr>
          <w:color w:val="000000"/>
        </w:rPr>
        <w:t xml:space="preserve">povinných platieb uhradených Národnému jadrovému fondu (NJF). Podľa metodiky ESA sa tieto povinné platby </w:t>
      </w:r>
      <w:r>
        <w:rPr>
          <w:color w:val="000000"/>
        </w:rPr>
        <w:t xml:space="preserve">nepovažujú za výdavok, ale </w:t>
      </w:r>
      <w:r w:rsidRPr="00480B24">
        <w:rPr>
          <w:color w:val="000000"/>
        </w:rPr>
        <w:t>za šetrenie na budúce vyraďovanie rádioaktívnych zariadení</w:t>
      </w:r>
      <w:r>
        <w:rPr>
          <w:color w:val="000000"/>
        </w:rPr>
        <w:t xml:space="preserve">. </w:t>
      </w:r>
      <w:r w:rsidRPr="00480B24">
        <w:rPr>
          <w:color w:val="000000"/>
        </w:rPr>
        <w:t>JAVYS má na tieto prostriedky v budúcnosti nárok</w:t>
      </w:r>
      <w:r>
        <w:rPr>
          <w:color w:val="000000"/>
        </w:rPr>
        <w:t>, a teda táto čiastka pr</w:t>
      </w:r>
      <w:r w:rsidRPr="00480B24">
        <w:rPr>
          <w:color w:val="000000"/>
        </w:rPr>
        <w:t xml:space="preserve">edstavuje finančnú operáciu. </w:t>
      </w:r>
      <w:r>
        <w:rPr>
          <w:color w:val="000000"/>
        </w:rPr>
        <w:t xml:space="preserve">Zvyšné </w:t>
      </w:r>
      <w:r w:rsidRPr="00480B24">
        <w:rPr>
          <w:color w:val="000000"/>
        </w:rPr>
        <w:t xml:space="preserve">1 % z povinných platieb </w:t>
      </w:r>
      <w:r>
        <w:rPr>
          <w:color w:val="000000"/>
        </w:rPr>
        <w:t>zostáva výdavkom JAVYS-u a príjmom NJF.</w:t>
      </w:r>
    </w:p>
    <w:p w14:paraId="18DD46DF" w14:textId="77777777" w:rsidR="00563559" w:rsidRDefault="00563559" w:rsidP="00563559">
      <w:pPr>
        <w:spacing w:after="120" w:line="240" w:lineRule="auto"/>
        <w:jc w:val="both"/>
      </w:pPr>
      <w:r w:rsidRPr="000628C6">
        <w:rPr>
          <w:color w:val="000000"/>
          <w:u w:val="single"/>
        </w:rPr>
        <w:t>Slovenská konsolidačná, a. s.</w:t>
      </w:r>
      <w:r w:rsidRPr="000628C6">
        <w:rPr>
          <w:color w:val="000000"/>
        </w:rPr>
        <w:t xml:space="preserve"> dosiahla </w:t>
      </w:r>
      <w:r>
        <w:rPr>
          <w:color w:val="000000"/>
        </w:rPr>
        <w:t xml:space="preserve">v roku 2020 ESA schodok 9 337 tis. eur, čo predstavuje zhoršenie hospodárenia o 10 912 tis. eur oproti roku 2019. Spoločnosť, ako poverená osoba pre konsolidáciu pohľadávok verejného sektora, zaznamenala pokles príjmov hlavne v kategórii iné nedaňové príjmy o 4 115 tis. eur, kde </w:t>
      </w:r>
      <w:r w:rsidRPr="00A851F3">
        <w:t>eviduje príjmy z realizácie pohľadávok prevzatých zo sektora verejnej správy</w:t>
      </w:r>
      <w:r>
        <w:rPr>
          <w:color w:val="000000"/>
        </w:rPr>
        <w:t xml:space="preserve">. Súčasne medziročne vzrástli bežné výdavky spoločnosti o 7 650 tis. eur. </w:t>
      </w:r>
      <w:r>
        <w:t xml:space="preserve">O tento nárast sa najviac pričinili výdavky na tovary a služby, a to hlavne </w:t>
      </w:r>
      <w:r w:rsidRPr="00582C14">
        <w:t>z</w:t>
      </w:r>
      <w:r>
        <w:t> </w:t>
      </w:r>
      <w:r w:rsidRPr="00582C14">
        <w:t>dôvodu vyplácania trov konaní exekúcií v</w:t>
      </w:r>
      <w:r>
        <w:t> </w:t>
      </w:r>
      <w:r w:rsidRPr="00582C14">
        <w:t>zmysle zákona č.</w:t>
      </w:r>
      <w:r>
        <w:t> </w:t>
      </w:r>
      <w:r w:rsidRPr="00582C14">
        <w:t>233/2019</w:t>
      </w:r>
      <w:r>
        <w:t> </w:t>
      </w:r>
      <w:r w:rsidRPr="00582C14">
        <w:t>Z.</w:t>
      </w:r>
      <w:r>
        <w:t> </w:t>
      </w:r>
      <w:r w:rsidRPr="00582C14">
        <w:t>z. o</w:t>
      </w:r>
      <w:r>
        <w:t> </w:t>
      </w:r>
      <w:r w:rsidRPr="00582C14">
        <w:t>ukonče</w:t>
      </w:r>
      <w:r>
        <w:t>ní niektorých exekučných konaní</w:t>
      </w:r>
      <w:r w:rsidRPr="000628C6">
        <w:rPr>
          <w:color w:val="000000"/>
        </w:rPr>
        <w:t xml:space="preserve">. </w:t>
      </w:r>
      <w:r w:rsidRPr="00A851F3">
        <w:t>Dividendy vyplatené akcionárovi Ministerstvu financií</w:t>
      </w:r>
      <w:r>
        <w:t> </w:t>
      </w:r>
      <w:r w:rsidRPr="00A851F3">
        <w:t xml:space="preserve">SR dosiahli sumu </w:t>
      </w:r>
      <w:r>
        <w:t>3 144 </w:t>
      </w:r>
      <w:r w:rsidRPr="00A851F3">
        <w:t>tis.</w:t>
      </w:r>
      <w:r>
        <w:t> </w:t>
      </w:r>
      <w:r w:rsidRPr="00A851F3">
        <w:t xml:space="preserve"> eur</w:t>
      </w:r>
      <w:r>
        <w:t>, čo predstavuje mierny nárast o 216 tis. eur</w:t>
      </w:r>
      <w:r w:rsidRPr="00A851F3">
        <w:t>.</w:t>
      </w:r>
      <w:r>
        <w:t xml:space="preserve"> </w:t>
      </w:r>
    </w:p>
    <w:p w14:paraId="7BF4A24A" w14:textId="77777777" w:rsidR="00563559" w:rsidRDefault="00563559" w:rsidP="00563559">
      <w:pPr>
        <w:keepNext/>
        <w:spacing w:after="120" w:line="240" w:lineRule="auto"/>
        <w:jc w:val="both"/>
        <w:rPr>
          <w:b/>
          <w:color w:val="0070C0"/>
          <w:sz w:val="24"/>
          <w:szCs w:val="24"/>
        </w:rPr>
      </w:pPr>
      <w:r w:rsidRPr="00B36CAE">
        <w:rPr>
          <w:b/>
          <w:color w:val="0070C0"/>
          <w:sz w:val="24"/>
          <w:szCs w:val="24"/>
        </w:rPr>
        <w:t>Verejné vysoké školy</w:t>
      </w:r>
    </w:p>
    <w:p w14:paraId="7302E372" w14:textId="77777777" w:rsidR="00563559" w:rsidRDefault="00563559" w:rsidP="00563559">
      <w:pPr>
        <w:spacing w:after="120" w:line="240" w:lineRule="auto"/>
        <w:jc w:val="both"/>
        <w:rPr>
          <w:szCs w:val="22"/>
        </w:rPr>
      </w:pPr>
      <w:r w:rsidRPr="000E0E1E">
        <w:rPr>
          <w:szCs w:val="22"/>
        </w:rPr>
        <w:t>Verejné vysoké školy</w:t>
      </w:r>
      <w:r>
        <w:rPr>
          <w:szCs w:val="22"/>
        </w:rPr>
        <w:t xml:space="preserve"> zlepšili svoje hospodárenie oproti roku 2019 o 110 344 tis. eur a za rok 2020 dosiahli prebytok 105 938 tis. eur. Zlepšenie</w:t>
      </w:r>
      <w:r w:rsidRPr="004A0716">
        <w:rPr>
          <w:szCs w:val="22"/>
        </w:rPr>
        <w:t xml:space="preserve"> </w:t>
      </w:r>
      <w:r>
        <w:rPr>
          <w:szCs w:val="22"/>
        </w:rPr>
        <w:t xml:space="preserve">na strane príjmov bolo spôsobené vyššími grantmi a transfermi o 123 890 tis. eur určenými na rekonštrukcie vysokoškolských domovov a na krytie dôsledkov </w:t>
      </w:r>
      <w:proofErr w:type="spellStart"/>
      <w:r>
        <w:rPr>
          <w:szCs w:val="22"/>
        </w:rPr>
        <w:t>pandemickej</w:t>
      </w:r>
      <w:proofErr w:type="spellEnd"/>
      <w:r>
        <w:rPr>
          <w:szCs w:val="22"/>
        </w:rPr>
        <w:t xml:space="preserve"> situácie. Zároveň dochádzalo k vyššiemu čerpaniu prostriedkov zo zdrojov EÚ a k spolufinancovaniam projektov presunutých z minulých rokov. Oproti minulému roku sa taktiež zvýšili iné nedaňové príjmy prevažne z refundácii o 39 692 tis. eur. Tieto pozitívne vplyvy boli čiastočne neutralizované nižšími príjmami z administratívnych a iných poplatkov o 29 017 tis. eur. Ide najmä o príjmy z predaja služieb ako napr. ubytovanie, stravovacie služby a pod., keďže počas pandémie boli vysoké školy dlhodobo zatvorené a vyučovalo sa dištančne a v tomto období nemohli mať zisk z týchto činností.  Na strane výdavkov mali pozitívny vplyv na hospodárenie nižšie výdavky na tovary a služby oproti roku 2019 o 27 097 tis. eur. Negatívne na hospodárenie vplývali vyššie výdavky </w:t>
      </w:r>
      <w:r w:rsidRPr="00910233">
        <w:rPr>
          <w:szCs w:val="22"/>
        </w:rPr>
        <w:t>na mzdy a poistné odvody z dôvodu valorizácie platov zamestnancov</w:t>
      </w:r>
      <w:r>
        <w:rPr>
          <w:szCs w:val="22"/>
        </w:rPr>
        <w:t xml:space="preserve"> o 38 306 tis. eur. Bežné a kapitálové výdavky medziročne narástli o 15 261 tis. eur najmä z dôvodu čerpania prostriedkov na rekonštrukcie vysokoškolských študentských domovov a ďalšej infraštruktúry vysokých škôl. </w:t>
      </w:r>
    </w:p>
    <w:p w14:paraId="50DC8247" w14:textId="77777777" w:rsidR="00563559" w:rsidRDefault="00563559" w:rsidP="00563559">
      <w:pPr>
        <w:keepNext/>
        <w:spacing w:after="120" w:line="240" w:lineRule="auto"/>
        <w:jc w:val="both"/>
        <w:rPr>
          <w:b/>
          <w:color w:val="0070C0"/>
          <w:sz w:val="24"/>
          <w:szCs w:val="24"/>
        </w:rPr>
      </w:pPr>
      <w:r w:rsidRPr="00B36CAE">
        <w:rPr>
          <w:b/>
          <w:color w:val="0070C0"/>
          <w:sz w:val="24"/>
          <w:szCs w:val="24"/>
        </w:rPr>
        <w:t xml:space="preserve">Zdravotnícke zariadenia ústrednej </w:t>
      </w:r>
      <w:r w:rsidRPr="00C71072">
        <w:rPr>
          <w:b/>
          <w:color w:val="0070C0"/>
          <w:szCs w:val="22"/>
        </w:rPr>
        <w:t>správy a územnej samosprávy</w:t>
      </w:r>
    </w:p>
    <w:p w14:paraId="2CD57378" w14:textId="77777777" w:rsidR="00D75E77" w:rsidRDefault="00563559" w:rsidP="00563559">
      <w:pPr>
        <w:spacing w:after="120" w:line="240" w:lineRule="auto"/>
        <w:jc w:val="both"/>
        <w:rPr>
          <w:rFonts w:cs="Book Antiqua"/>
          <w:szCs w:val="22"/>
          <w:lang w:eastAsia="sk-SK"/>
        </w:rPr>
      </w:pPr>
      <w:r>
        <w:rPr>
          <w:szCs w:val="22"/>
          <w:u w:val="single"/>
        </w:rPr>
        <w:t>Z</w:t>
      </w:r>
      <w:r w:rsidRPr="00507351">
        <w:rPr>
          <w:szCs w:val="22"/>
          <w:u w:val="single"/>
        </w:rPr>
        <w:t>dravotníck</w:t>
      </w:r>
      <w:r>
        <w:rPr>
          <w:szCs w:val="22"/>
          <w:u w:val="single"/>
        </w:rPr>
        <w:t>e zariadenia ústrednej správy</w:t>
      </w:r>
      <w:r w:rsidRPr="00507351">
        <w:rPr>
          <w:szCs w:val="22"/>
        </w:rPr>
        <w:t xml:space="preserve"> dosiahli na základe jesennej notifikácie výšku schodku 47 352 tis. eur. </w:t>
      </w:r>
      <w:r w:rsidRPr="007B4F95">
        <w:rPr>
          <w:szCs w:val="22"/>
        </w:rPr>
        <w:t>Oproti predchádzajúcemu roku došlo k miernemu zlepšeniu v celkovom hospodárení o</w:t>
      </w:r>
      <w:r>
        <w:rPr>
          <w:szCs w:val="22"/>
        </w:rPr>
        <w:t> 3 </w:t>
      </w:r>
      <w:r w:rsidRPr="007B4F95">
        <w:rPr>
          <w:szCs w:val="22"/>
        </w:rPr>
        <w:t xml:space="preserve">925 tis. eur. </w:t>
      </w:r>
      <w:r>
        <w:t xml:space="preserve">Zdravotnícke zariadenia dosiahli hotovostný schodok vo výške 30 937 tis. eur, čo predstavovalo zhoršenie hospodárenia oproti predchádzajúcemu roku o 55 tis. eur (išlo najmä o zvýšené výdavky na mzdy, odvody a tovary a služby v súvisiace s riešením </w:t>
      </w:r>
      <w:proofErr w:type="spellStart"/>
      <w:r>
        <w:t>protipandemických</w:t>
      </w:r>
      <w:proofErr w:type="spellEnd"/>
      <w:r>
        <w:t xml:space="preserve"> opatrení). </w:t>
      </w:r>
      <w:r w:rsidRPr="002432F7">
        <w:t>Najväčší vplyv na zhoršenie hospodárenia oproti hotovostnému schodku predstavoval nárast celkových záväzkov o</w:t>
      </w:r>
      <w:r>
        <w:t> </w:t>
      </w:r>
      <w:r w:rsidRPr="002432F7">
        <w:t>2</w:t>
      </w:r>
      <w:r>
        <w:t>7</w:t>
      </w:r>
      <w:r w:rsidRPr="002432F7">
        <w:t> </w:t>
      </w:r>
      <w:r>
        <w:t>984</w:t>
      </w:r>
      <w:r w:rsidRPr="002432F7">
        <w:t> tis. eur</w:t>
      </w:r>
      <w:r>
        <w:t xml:space="preserve"> (</w:t>
      </w:r>
      <w:r>
        <w:rPr>
          <w:szCs w:val="22"/>
        </w:rPr>
        <w:t xml:space="preserve">v roku </w:t>
      </w:r>
      <w:r w:rsidRPr="00B34A61">
        <w:rPr>
          <w:szCs w:val="22"/>
        </w:rPr>
        <w:t xml:space="preserve">2019 bol nárast </w:t>
      </w:r>
      <w:r>
        <w:rPr>
          <w:szCs w:val="22"/>
        </w:rPr>
        <w:t>záväzkov vo výške 88 686</w:t>
      </w:r>
      <w:r w:rsidRPr="00B34A61">
        <w:rPr>
          <w:szCs w:val="22"/>
        </w:rPr>
        <w:t> tis. eur</w:t>
      </w:r>
      <w:r>
        <w:rPr>
          <w:szCs w:val="22"/>
        </w:rPr>
        <w:t xml:space="preserve">, ktorý súvisel najmä </w:t>
      </w:r>
      <w:r w:rsidRPr="00D75E77">
        <w:rPr>
          <w:rFonts w:cs="Book Antiqua"/>
          <w:szCs w:val="22"/>
          <w:lang w:eastAsia="sk-SK"/>
        </w:rPr>
        <w:t>s predpisom penále voči Sociálnej poisťovni, ktoré boli predmetom oddlženia až v roku 2020)</w:t>
      </w:r>
      <w:r w:rsidR="00D75E77">
        <w:rPr>
          <w:rFonts w:cs="Book Antiqua"/>
          <w:szCs w:val="22"/>
          <w:lang w:eastAsia="sk-SK"/>
        </w:rPr>
        <w:t>.</w:t>
      </w:r>
    </w:p>
    <w:p w14:paraId="367EACFE" w14:textId="112AAA57" w:rsidR="00563559" w:rsidRPr="00204F4A" w:rsidRDefault="00563559" w:rsidP="00563559">
      <w:pPr>
        <w:spacing w:after="120" w:line="240" w:lineRule="auto"/>
        <w:jc w:val="both"/>
        <w:rPr>
          <w:szCs w:val="22"/>
        </w:rPr>
      </w:pPr>
      <w:r w:rsidRPr="00D75E77">
        <w:rPr>
          <w:rFonts w:cs="Book Antiqua"/>
          <w:szCs w:val="22"/>
          <w:lang w:eastAsia="sk-SK"/>
        </w:rPr>
        <w:t>V</w:t>
      </w:r>
      <w:r w:rsidRPr="002432F7">
        <w:t xml:space="preserve"> príspevkových organizáciách, ktoré tvoria najväčšiu skupinu zdravotníckych zariadení z pohľadu právnej formy, došlo medziročne k nárastu záväzkov o 30 584 tis. eur. </w:t>
      </w:r>
      <w:r w:rsidRPr="009E2DFB">
        <w:t>Na jednej strane došlo k nárastu záväzkov voči dodávateľom o</w:t>
      </w:r>
      <w:r>
        <w:t> </w:t>
      </w:r>
      <w:r w:rsidRPr="009E2DFB">
        <w:t xml:space="preserve"> 74 803 tis. eur, na druhej strane z dôvodu oddlžovania došlo k poklesu záväzkov za poistné odvody voči Sociálnej poisťovni o 50 584 tis. eur.</w:t>
      </w:r>
      <w:r>
        <w:t xml:space="preserve"> Na celkové hospodárenie mala vplyv aj revízia údajov za preradené účtovné jednotky do sektora verejnej správy (išlo o spoločnosť Kúpele Sliač, a. s. a spoločnosť </w:t>
      </w:r>
      <w:proofErr w:type="spellStart"/>
      <w:r>
        <w:t>Biont</w:t>
      </w:r>
      <w:proofErr w:type="spellEnd"/>
      <w:r>
        <w:t xml:space="preserve">, a. s.), kde v roku 2020 bol negatívny vplyv revízie vo výške 3 429 tis. eur (v roku 2019 predstavovala revízia pozitívny vplyv vo výške 23 974 tis. eur). </w:t>
      </w:r>
      <w:r w:rsidRPr="00B34A61">
        <w:rPr>
          <w:szCs w:val="22"/>
        </w:rPr>
        <w:t>Pozitív</w:t>
      </w:r>
      <w:r>
        <w:rPr>
          <w:szCs w:val="22"/>
        </w:rPr>
        <w:t xml:space="preserve">ny vplyv na hospodárenie mal </w:t>
      </w:r>
      <w:r w:rsidRPr="00B34A61">
        <w:rPr>
          <w:szCs w:val="22"/>
        </w:rPr>
        <w:t>nárast pohľadávok vo výške 27</w:t>
      </w:r>
      <w:r>
        <w:rPr>
          <w:szCs w:val="22"/>
        </w:rPr>
        <w:t> 567 </w:t>
      </w:r>
      <w:r w:rsidRPr="00B34A61">
        <w:rPr>
          <w:szCs w:val="22"/>
        </w:rPr>
        <w:t>tis. eur</w:t>
      </w:r>
      <w:r w:rsidRPr="00204F4A">
        <w:rPr>
          <w:szCs w:val="22"/>
        </w:rPr>
        <w:t>, išlo predovšetkým o </w:t>
      </w:r>
      <w:r w:rsidRPr="00204F4A">
        <w:t>pohľadávky voči zdravotným poisťovniam za poskytnutú zdravotnú starostlivosť</w:t>
      </w:r>
      <w:r w:rsidRPr="00204F4A">
        <w:rPr>
          <w:szCs w:val="22"/>
        </w:rPr>
        <w:t>.</w:t>
      </w:r>
    </w:p>
    <w:p w14:paraId="34BF65E4" w14:textId="77777777" w:rsidR="00563559" w:rsidRPr="004801AA" w:rsidRDefault="00563559" w:rsidP="00563559">
      <w:pPr>
        <w:spacing w:after="120" w:line="240" w:lineRule="auto"/>
        <w:jc w:val="both"/>
        <w:rPr>
          <w:szCs w:val="22"/>
          <w:highlight w:val="cyan"/>
        </w:rPr>
      </w:pPr>
      <w:r w:rsidRPr="006E6A46">
        <w:rPr>
          <w:u w:val="single"/>
        </w:rPr>
        <w:t xml:space="preserve">Zdravotnícke zariadenia územnej samosprávy </w:t>
      </w:r>
      <w:r w:rsidRPr="006E6A46">
        <w:t>dosiah</w:t>
      </w:r>
      <w:r>
        <w:t>li v roku 2020 prebytok 9 </w:t>
      </w:r>
      <w:r w:rsidRPr="006E6A46">
        <w:t xml:space="preserve">003 tis. eur, oproti roku 2019 došlo k zlepšeniu hospodárenia o 15 706 tis. eur. </w:t>
      </w:r>
      <w:r>
        <w:t xml:space="preserve">Najvýraznejší vplyv na zlepšenie hospodárenia </w:t>
      </w:r>
      <w:r>
        <w:lastRenderedPageBreak/>
        <w:t xml:space="preserve">v roku 2020 mal pokles celkových záväzkov o 6 140 tis. eur (oproti roku 2019 došlo k zlepšeniu o 14 743 tis. eur), išlo predovšetkým o </w:t>
      </w:r>
      <w:r w:rsidRPr="00DB5B59">
        <w:rPr>
          <w:szCs w:val="22"/>
        </w:rPr>
        <w:t>zníženie záväzkov</w:t>
      </w:r>
      <w:r w:rsidRPr="00DB5B59">
        <w:t xml:space="preserve"> v súlade s Koncepciou oddlženia zdravotníckych zariadení  (</w:t>
      </w:r>
      <w:r w:rsidRPr="00DB5B59">
        <w:rPr>
          <w:szCs w:val="22"/>
        </w:rPr>
        <w:t>došlo k odpusteniu dlhu voči Sociálnej poisťovni).</w:t>
      </w:r>
      <w:r w:rsidRPr="00DB5B59">
        <w:t xml:space="preserve"> </w:t>
      </w:r>
      <w:r>
        <w:t>Po</w:t>
      </w:r>
      <w:r w:rsidRPr="00DB5B59">
        <w:t>zitívny vplyv</w:t>
      </w:r>
      <w:r>
        <w:t xml:space="preserve"> na hospodárenie mal aj nárast pohľadávok o 4 271 tis. eur, </w:t>
      </w:r>
      <w:r w:rsidRPr="00371DEA">
        <w:t>išlo predovšetkým o</w:t>
      </w:r>
      <w:r>
        <w:t xml:space="preserve"> nárast</w:t>
      </w:r>
      <w:r w:rsidRPr="00371DEA">
        <w:t> </w:t>
      </w:r>
      <w:r>
        <w:t>pohľadávok voči zdravotným poisťovniam za poskytnutú zdravotnú starostlivosť v príspevkových organizáciách v zriaďovateľskej pôsobnosti vyšších územných celkov</w:t>
      </w:r>
      <w:r w:rsidRPr="00371DEA">
        <w:t>.</w:t>
      </w:r>
    </w:p>
    <w:p w14:paraId="2DB49899" w14:textId="77777777" w:rsidR="00563559" w:rsidRDefault="00563559" w:rsidP="00563559">
      <w:pPr>
        <w:keepNext/>
        <w:spacing w:after="120" w:line="240" w:lineRule="auto"/>
        <w:jc w:val="both"/>
        <w:rPr>
          <w:b/>
          <w:color w:val="0070C0"/>
          <w:sz w:val="24"/>
          <w:szCs w:val="24"/>
        </w:rPr>
      </w:pPr>
      <w:r w:rsidRPr="00B36CAE">
        <w:rPr>
          <w:b/>
          <w:color w:val="0070C0"/>
          <w:sz w:val="24"/>
          <w:szCs w:val="24"/>
        </w:rPr>
        <w:t>Ostatné subjekty ústrednej správy</w:t>
      </w:r>
      <w:r w:rsidRPr="00B36CAE">
        <w:rPr>
          <w:b/>
          <w:color w:val="0070C0"/>
          <w:vertAlign w:val="superscript"/>
        </w:rPr>
        <w:footnoteReference w:id="9"/>
      </w:r>
    </w:p>
    <w:p w14:paraId="044EE4FA" w14:textId="77777777" w:rsidR="00563559" w:rsidRPr="00D75E77" w:rsidRDefault="00563559" w:rsidP="00D75E77">
      <w:pPr>
        <w:spacing w:after="120" w:line="240" w:lineRule="auto"/>
        <w:jc w:val="both"/>
        <w:rPr>
          <w:rFonts w:cs="Book Antiqua"/>
          <w:szCs w:val="22"/>
          <w:lang w:eastAsia="sk-SK"/>
        </w:rPr>
      </w:pPr>
      <w:r w:rsidRPr="00E235A5">
        <w:t>Hospodárenie ostatných subjektov ústrednej správy</w:t>
      </w:r>
      <w:r>
        <w:rPr>
          <w:u w:val="single"/>
        </w:rPr>
        <w:t xml:space="preserve"> </w:t>
      </w:r>
      <w:r w:rsidRPr="00291626">
        <w:t>malo celkový pozitívny vplyv na saldo verejnej správy. Spolu zaznamenali prebytok v </w:t>
      </w:r>
      <w:r w:rsidRPr="00091628">
        <w:t xml:space="preserve">sume 5 556 tis. eur, čo však predstavuje zhoršenie oproti roku 2019 </w:t>
      </w:r>
      <w:r w:rsidRPr="00D75E77">
        <w:rPr>
          <w:rFonts w:cs="Book Antiqua"/>
          <w:szCs w:val="22"/>
          <w:lang w:eastAsia="sk-SK"/>
        </w:rPr>
        <w:t>o 185 417 tis. eur.</w:t>
      </w:r>
    </w:p>
    <w:p w14:paraId="61B2F18E" w14:textId="77777777" w:rsidR="00563559" w:rsidRDefault="00563559" w:rsidP="00563559">
      <w:pPr>
        <w:spacing w:after="120" w:line="240" w:lineRule="auto"/>
        <w:jc w:val="both"/>
      </w:pPr>
      <w:r w:rsidRPr="00D75E77">
        <w:rPr>
          <w:rFonts w:cs="Book Antiqua"/>
          <w:szCs w:val="22"/>
          <w:lang w:eastAsia="sk-SK"/>
        </w:rPr>
        <w:t>V</w:t>
      </w:r>
      <w:r w:rsidRPr="00CD5F8A">
        <w:rPr>
          <w:szCs w:val="22"/>
        </w:rPr>
        <w:t xml:space="preserve"> rámci skupiny ostatných ústredných podnikov s najvyšším schodkom v roku 2020 hospodárila spoločnosť </w:t>
      </w:r>
      <w:proofErr w:type="spellStart"/>
      <w:r w:rsidRPr="00CD5F8A">
        <w:rPr>
          <w:szCs w:val="22"/>
          <w:u w:val="single"/>
        </w:rPr>
        <w:t>Debitum</w:t>
      </w:r>
      <w:proofErr w:type="spellEnd"/>
      <w:r w:rsidRPr="00CD5F8A">
        <w:rPr>
          <w:szCs w:val="22"/>
          <w:u w:val="single"/>
        </w:rPr>
        <w:t>, a. s.</w:t>
      </w:r>
      <w:r w:rsidRPr="00CD5F8A">
        <w:rPr>
          <w:szCs w:val="22"/>
        </w:rPr>
        <w:t xml:space="preserve"> (109 337 tis. eur), </w:t>
      </w:r>
      <w:r w:rsidRPr="00CD5F8A">
        <w:t>čo bolo výrazne ovplyvnené odkúpením pohľadávok Sociálnej poisťovne voči zdravotníckym zariadeniam a ich súčasným odpustením v roku 2020 v súlade s </w:t>
      </w:r>
      <w:r>
        <w:t>K</w:t>
      </w:r>
      <w:r w:rsidRPr="00CD5F8A">
        <w:t xml:space="preserve">oncepciou </w:t>
      </w:r>
      <w:r>
        <w:t>oddlženia</w:t>
      </w:r>
      <w:r w:rsidRPr="001400C8">
        <w:t>.</w:t>
      </w:r>
      <w:r w:rsidRPr="00CD5F8A">
        <w:t xml:space="preserve"> Na schodok jednotky verejnej spr</w:t>
      </w:r>
      <w:r>
        <w:t xml:space="preserve">ávy, ktorou je </w:t>
      </w:r>
      <w:proofErr w:type="spellStart"/>
      <w:r>
        <w:t>Debitum</w:t>
      </w:r>
      <w:proofErr w:type="spellEnd"/>
      <w:r>
        <w:t xml:space="preserve">, </w:t>
      </w:r>
      <w:proofErr w:type="spellStart"/>
      <w:r>
        <w:t>a.s</w:t>
      </w:r>
      <w:proofErr w:type="spellEnd"/>
      <w:r>
        <w:t>., malo</w:t>
      </w:r>
      <w:r w:rsidRPr="00CD5F8A">
        <w:t xml:space="preserve"> odpustenie pohľadávok voči zdravotníckym zariadeniam negatívny vplyv. </w:t>
      </w:r>
      <w:r>
        <w:t>T</w:t>
      </w:r>
      <w:r w:rsidRPr="00CD5F8A">
        <w:t>ento negatívny vplyv</w:t>
      </w:r>
      <w:r>
        <w:t xml:space="preserve"> oddlženia je n</w:t>
      </w:r>
      <w:r w:rsidRPr="00CD5F8A">
        <w:t>a ú</w:t>
      </w:r>
      <w:r>
        <w:t xml:space="preserve">rovni celej verejnej správy </w:t>
      </w:r>
      <w:r w:rsidRPr="00CD5F8A">
        <w:t xml:space="preserve">eliminovaný pozitívnym vplyvom </w:t>
      </w:r>
      <w:r>
        <w:t xml:space="preserve"> na schodok </w:t>
      </w:r>
      <w:r w:rsidRPr="00CD5F8A">
        <w:t>zdravotníckych zariaden</w:t>
      </w:r>
      <w:r>
        <w:t>í</w:t>
      </w:r>
      <w:r w:rsidRPr="00CD5F8A">
        <w:t xml:space="preserve"> z dôvodu poklesu ich záväzkov voči Sociálnej poisťovni. </w:t>
      </w:r>
      <w:r>
        <w:t>Oddlženie zdravotníckych zariadení má celkový neutrálny vplyv na verejnú správu.</w:t>
      </w:r>
    </w:p>
    <w:p w14:paraId="28E9D145" w14:textId="77777777" w:rsidR="00563559" w:rsidRDefault="00563559" w:rsidP="00563559">
      <w:pPr>
        <w:spacing w:after="120" w:line="240" w:lineRule="auto"/>
        <w:jc w:val="both"/>
        <w:rPr>
          <w:szCs w:val="22"/>
        </w:rPr>
      </w:pPr>
      <w:r w:rsidRPr="0057062B">
        <w:rPr>
          <w:szCs w:val="22"/>
          <w:u w:val="single"/>
        </w:rPr>
        <w:t>Rozhlas a televízia Slovenska</w:t>
      </w:r>
      <w:r>
        <w:rPr>
          <w:szCs w:val="22"/>
        </w:rPr>
        <w:t xml:space="preserve"> medziročne zhoršila svoje hospodárenie o 12 547 tis. eur a v roku 2020 dosiahla schodok 2 845 tis. eur. Negatívny vplyv mali nižšie daňové príjmy o 7 931 tis. eur, ktoré vznikli</w:t>
      </w:r>
      <w:r w:rsidRPr="008F1ADE">
        <w:rPr>
          <w:szCs w:val="22"/>
        </w:rPr>
        <w:t xml:space="preserve"> prijatím novely zákona o úhrade za služby verejnosti (314/2019</w:t>
      </w:r>
      <w:r>
        <w:rPr>
          <w:szCs w:val="22"/>
        </w:rPr>
        <w:t xml:space="preserve"> Z. z.), ktorá oslobodila od 1. </w:t>
      </w:r>
      <w:r w:rsidRPr="008F1ADE">
        <w:rPr>
          <w:szCs w:val="22"/>
        </w:rPr>
        <w:t>1.</w:t>
      </w:r>
      <w:r>
        <w:rPr>
          <w:szCs w:val="22"/>
        </w:rPr>
        <w:t> </w:t>
      </w:r>
      <w:r w:rsidRPr="008F1ADE">
        <w:rPr>
          <w:szCs w:val="22"/>
        </w:rPr>
        <w:t>2020 od platenia úhrady poberateľov dôchodkových dávok a dávok v hmotnej núdzi.</w:t>
      </w:r>
      <w:r>
        <w:rPr>
          <w:szCs w:val="22"/>
        </w:rPr>
        <w:t xml:space="preserve"> Príjmy z grantov a transferov medziročne klesli o 9 783 tis. eur z dôvodu nižších príjmov z kompenzácii o 6 810 tis. eur, nižších príjmov zo zmluvy so štátom o 1 471</w:t>
      </w:r>
      <w:r w:rsidRPr="00951E01">
        <w:rPr>
          <w:szCs w:val="22"/>
        </w:rPr>
        <w:t> </w:t>
      </w:r>
      <w:r>
        <w:rPr>
          <w:szCs w:val="22"/>
        </w:rPr>
        <w:t>tis. eur a nižších ostatných príjmov</w:t>
      </w:r>
      <w:r w:rsidRPr="00951E01">
        <w:rPr>
          <w:szCs w:val="22"/>
        </w:rPr>
        <w:t xml:space="preserve"> (najmä príjmy z eurofondov) o 1</w:t>
      </w:r>
      <w:r>
        <w:rPr>
          <w:szCs w:val="22"/>
        </w:rPr>
        <w:t> </w:t>
      </w:r>
      <w:r w:rsidRPr="00951E01">
        <w:rPr>
          <w:szCs w:val="22"/>
        </w:rPr>
        <w:t>50</w:t>
      </w:r>
      <w:r>
        <w:rPr>
          <w:szCs w:val="22"/>
        </w:rPr>
        <w:t>2 tis. eur</w:t>
      </w:r>
      <w:r w:rsidRPr="00951E01">
        <w:rPr>
          <w:szCs w:val="22"/>
        </w:rPr>
        <w:t>.</w:t>
      </w:r>
      <w:r>
        <w:rPr>
          <w:szCs w:val="22"/>
        </w:rPr>
        <w:t xml:space="preserve"> Na druhej strane pozitívne na hospodárenie pôsobili nižšie výdavky za tovary a služby o 4 743 tis. eur, čo bolo spôsobené najmä nižšími platbami za nákupy licenčných práv a nižšími výdavkami na výrobu predovšetkým televízneho programu formou príspevkov externým dodávateľom. </w:t>
      </w:r>
    </w:p>
    <w:p w14:paraId="2D0E0122" w14:textId="77777777" w:rsidR="00563559" w:rsidRPr="00B55C74" w:rsidRDefault="00563559" w:rsidP="00563559">
      <w:pPr>
        <w:spacing w:after="120" w:line="240" w:lineRule="auto"/>
        <w:jc w:val="both"/>
        <w:rPr>
          <w:szCs w:val="22"/>
          <w:highlight w:val="yellow"/>
        </w:rPr>
      </w:pPr>
      <w:r w:rsidRPr="00441998">
        <w:rPr>
          <w:szCs w:val="22"/>
          <w:u w:val="single"/>
        </w:rPr>
        <w:t>Slovenský pozemkový fond</w:t>
      </w:r>
      <w:r>
        <w:rPr>
          <w:szCs w:val="22"/>
        </w:rPr>
        <w:t xml:space="preserve"> hospodáril s prebytkom 15 </w:t>
      </w:r>
      <w:r w:rsidRPr="00441998">
        <w:rPr>
          <w:szCs w:val="22"/>
        </w:rPr>
        <w:t>750</w:t>
      </w:r>
      <w:r>
        <w:rPr>
          <w:szCs w:val="22"/>
        </w:rPr>
        <w:t> </w:t>
      </w:r>
      <w:r w:rsidRPr="00441998">
        <w:rPr>
          <w:szCs w:val="22"/>
        </w:rPr>
        <w:t>tis.</w:t>
      </w:r>
      <w:r>
        <w:rPr>
          <w:szCs w:val="22"/>
        </w:rPr>
        <w:t> </w:t>
      </w:r>
      <w:r w:rsidRPr="00441998">
        <w:rPr>
          <w:szCs w:val="22"/>
        </w:rPr>
        <w:t>eur, čo je vyšší prebytok oproti roku 2019 o</w:t>
      </w:r>
      <w:r>
        <w:rPr>
          <w:szCs w:val="22"/>
        </w:rPr>
        <w:t> </w:t>
      </w:r>
      <w:r w:rsidRPr="00441998">
        <w:rPr>
          <w:szCs w:val="22"/>
        </w:rPr>
        <w:t>6</w:t>
      </w:r>
      <w:r>
        <w:rPr>
          <w:szCs w:val="22"/>
        </w:rPr>
        <w:t> 660 </w:t>
      </w:r>
      <w:r w:rsidRPr="00441998">
        <w:rPr>
          <w:szCs w:val="22"/>
        </w:rPr>
        <w:t>tis.</w:t>
      </w:r>
      <w:r>
        <w:rPr>
          <w:szCs w:val="22"/>
        </w:rPr>
        <w:t> </w:t>
      </w:r>
      <w:r w:rsidRPr="00441998">
        <w:rPr>
          <w:szCs w:val="22"/>
        </w:rPr>
        <w:t>eur, z dôvodu poklesu záväzkov o 8</w:t>
      </w:r>
      <w:r>
        <w:rPr>
          <w:szCs w:val="22"/>
        </w:rPr>
        <w:t> </w:t>
      </w:r>
      <w:r w:rsidRPr="00441998">
        <w:rPr>
          <w:szCs w:val="22"/>
        </w:rPr>
        <w:t>918</w:t>
      </w:r>
      <w:r>
        <w:rPr>
          <w:szCs w:val="22"/>
        </w:rPr>
        <w:t> </w:t>
      </w:r>
      <w:r w:rsidRPr="00441998">
        <w:rPr>
          <w:szCs w:val="22"/>
        </w:rPr>
        <w:t>tis.</w:t>
      </w:r>
      <w:r>
        <w:rPr>
          <w:szCs w:val="22"/>
        </w:rPr>
        <w:t> </w:t>
      </w:r>
      <w:r w:rsidRPr="00441998">
        <w:rPr>
          <w:szCs w:val="22"/>
        </w:rPr>
        <w:t xml:space="preserve">eur. </w:t>
      </w:r>
      <w:r>
        <w:rPr>
          <w:szCs w:val="22"/>
        </w:rPr>
        <w:t xml:space="preserve"> Bolo</w:t>
      </w:r>
      <w:r w:rsidRPr="00B55C74">
        <w:rPr>
          <w:szCs w:val="22"/>
        </w:rPr>
        <w:t xml:space="preserve"> to spôsobené tým, že v roku 2019 bol zúčtovaný predpis na prerozdelenie hospodárskeho výsledku za rok 2018 podľa uznesenia vlády SR č. 594 vo výške 4 500 tis. eur a v roku 2020 boli tieto finančné prostriedky odvedené na Ministerstvo pôdohospodárstva a rozvoja vidieka SR</w:t>
      </w:r>
      <w:r>
        <w:rPr>
          <w:szCs w:val="22"/>
        </w:rPr>
        <w:t xml:space="preserve"> a daný záväzok bol splnený.</w:t>
      </w:r>
      <w:r w:rsidRPr="00B55C74">
        <w:rPr>
          <w:szCs w:val="22"/>
        </w:rPr>
        <w:t xml:space="preserve"> </w:t>
      </w:r>
    </w:p>
    <w:p w14:paraId="0D4E509E" w14:textId="77777777" w:rsidR="00563559" w:rsidRPr="00CD5F8A" w:rsidRDefault="00563559" w:rsidP="00563559">
      <w:pPr>
        <w:spacing w:after="120" w:line="240" w:lineRule="auto"/>
        <w:jc w:val="both"/>
      </w:pPr>
      <w:r w:rsidRPr="00CD5F8A">
        <w:rPr>
          <w:u w:val="single"/>
        </w:rPr>
        <w:t>Agentúra pre núdzové zásoby ropy a ropných výrobkov</w:t>
      </w:r>
      <w:r w:rsidRPr="00CD5F8A">
        <w:t xml:space="preserve"> (EOSA) zaznamenala zhoršenie hospodárenia o 8 751 tis. eur oproti roku 2019, keď dosiahla prebytok 41 744 tis. eur. Negatívny vplyv na hospodárenie mal pokles celkových príjmov o 7 978 tis. eur a súčasný nárast celkových výdavkov o 18 672 tis. eur. Hlavným zdrojom príjmov sú príjmy z povinného poplatku za udržiavanie núdzových zásob ropy a ropných výrobkov, ktoré dosiahli hodnotu 88 546 tis. eur (pokles o 7 896 tis. eur). Pokles príjmov z poplatku sa odvíjal od poklesu spotreby, resp. poklesu objemu ropy a ropných výrobkov dovezených alebo uvedených do daňového voľného obehu z dôvodu pretrvávajúcej situácie v dôsledku pandémie COVID-19. Nárast celkových výdavkov súvisel s rastom výdavkov na obmenu, skladovanie a udržiavanie núdzových zásob o 16 431 tis. eur z dôvodu zvýšenia ceny za skladovanie núdzových zásob o inflačnú doložku a s rastom daňových výdavkov o 2 771 tis. eur. Na zmiernení uvedených negatívnych dopadov mal podiel pokles záväzkov o 9 025 tis. eur, najmä krátkodobých záväzkov z obchodného styku.</w:t>
      </w:r>
    </w:p>
    <w:p w14:paraId="10777A05" w14:textId="471AAFD9" w:rsidR="00563559" w:rsidRPr="00441998" w:rsidRDefault="00563559" w:rsidP="00563559">
      <w:pPr>
        <w:spacing w:after="120" w:line="240" w:lineRule="auto"/>
        <w:jc w:val="both"/>
        <w:rPr>
          <w:szCs w:val="22"/>
        </w:rPr>
      </w:pPr>
      <w:r w:rsidRPr="00441998">
        <w:rPr>
          <w:szCs w:val="22"/>
          <w:u w:val="single"/>
        </w:rPr>
        <w:t>Štátne neziskové organizácie</w:t>
      </w:r>
      <w:r w:rsidRPr="00441998">
        <w:rPr>
          <w:szCs w:val="22"/>
        </w:rPr>
        <w:t xml:space="preserve"> dosiahli v roku 2020 prebytok 56</w:t>
      </w:r>
      <w:r>
        <w:rPr>
          <w:szCs w:val="22"/>
        </w:rPr>
        <w:t> </w:t>
      </w:r>
      <w:r w:rsidRPr="00441998">
        <w:rPr>
          <w:szCs w:val="22"/>
        </w:rPr>
        <w:t>762</w:t>
      </w:r>
      <w:r>
        <w:rPr>
          <w:szCs w:val="22"/>
        </w:rPr>
        <w:t> </w:t>
      </w:r>
      <w:r w:rsidRPr="00441998">
        <w:rPr>
          <w:szCs w:val="22"/>
        </w:rPr>
        <w:t>tis.</w:t>
      </w:r>
      <w:r>
        <w:rPr>
          <w:szCs w:val="22"/>
        </w:rPr>
        <w:t> </w:t>
      </w:r>
      <w:r w:rsidRPr="00441998">
        <w:rPr>
          <w:szCs w:val="22"/>
        </w:rPr>
        <w:t>eur, čo predstavuje lepší výsledok oproti roku 2019 o 45</w:t>
      </w:r>
      <w:r>
        <w:rPr>
          <w:szCs w:val="22"/>
        </w:rPr>
        <w:t> </w:t>
      </w:r>
      <w:r w:rsidRPr="00441998">
        <w:rPr>
          <w:szCs w:val="22"/>
        </w:rPr>
        <w:t>410</w:t>
      </w:r>
      <w:r>
        <w:rPr>
          <w:szCs w:val="22"/>
        </w:rPr>
        <w:t> </w:t>
      </w:r>
      <w:r w:rsidRPr="00441998">
        <w:rPr>
          <w:szCs w:val="22"/>
        </w:rPr>
        <w:t>tis.</w:t>
      </w:r>
      <w:r>
        <w:rPr>
          <w:szCs w:val="22"/>
        </w:rPr>
        <w:t> </w:t>
      </w:r>
      <w:r w:rsidRPr="00441998">
        <w:rPr>
          <w:szCs w:val="22"/>
        </w:rPr>
        <w:t>eur. Tento výsledok je spôsobený najmä navýšením počtu subjektov v skupine ústredných neziskových organizácií štátu, keďže do ústrednej správy pribudol Fond na podporu športu, ktorý hospodáril s prebytkom 31</w:t>
      </w:r>
      <w:r>
        <w:rPr>
          <w:szCs w:val="22"/>
        </w:rPr>
        <w:t> </w:t>
      </w:r>
      <w:r w:rsidRPr="00441998">
        <w:rPr>
          <w:szCs w:val="22"/>
        </w:rPr>
        <w:t>620</w:t>
      </w:r>
      <w:r>
        <w:rPr>
          <w:szCs w:val="22"/>
        </w:rPr>
        <w:t> </w:t>
      </w:r>
      <w:r w:rsidRPr="00441998">
        <w:rPr>
          <w:szCs w:val="22"/>
        </w:rPr>
        <w:t>tis.</w:t>
      </w:r>
      <w:r>
        <w:rPr>
          <w:szCs w:val="22"/>
        </w:rPr>
        <w:t> </w:t>
      </w:r>
      <w:r w:rsidRPr="00441998">
        <w:rPr>
          <w:szCs w:val="22"/>
        </w:rPr>
        <w:t>eur</w:t>
      </w:r>
      <w:r>
        <w:rPr>
          <w:szCs w:val="22"/>
        </w:rPr>
        <w:t xml:space="preserve"> z dôvodu nevyčerpania finančných prostriedkov určených pre podporu športu</w:t>
      </w:r>
      <w:r w:rsidRPr="00441998">
        <w:rPr>
          <w:szCs w:val="22"/>
        </w:rPr>
        <w:t>. Pozitívny vplyv malo aj zlepšené hospodárenie Fondu na podporu umenia, ktorý medziročne lepšie hospodáril o 9</w:t>
      </w:r>
      <w:r>
        <w:rPr>
          <w:szCs w:val="22"/>
        </w:rPr>
        <w:t> </w:t>
      </w:r>
      <w:r w:rsidRPr="00441998">
        <w:rPr>
          <w:szCs w:val="22"/>
        </w:rPr>
        <w:t>621</w:t>
      </w:r>
      <w:r>
        <w:rPr>
          <w:szCs w:val="22"/>
        </w:rPr>
        <w:t> </w:t>
      </w:r>
      <w:r w:rsidRPr="00441998">
        <w:rPr>
          <w:szCs w:val="22"/>
        </w:rPr>
        <w:t>tis.</w:t>
      </w:r>
      <w:r>
        <w:rPr>
          <w:szCs w:val="22"/>
        </w:rPr>
        <w:t> </w:t>
      </w:r>
      <w:r w:rsidRPr="00441998">
        <w:rPr>
          <w:szCs w:val="22"/>
        </w:rPr>
        <w:t xml:space="preserve">eur z dôvodu vyššieho transferu z Ministerstva kultúry SR. </w:t>
      </w:r>
    </w:p>
    <w:p w14:paraId="5290C345" w14:textId="77777777" w:rsidR="00563559" w:rsidRDefault="00563559" w:rsidP="00563559">
      <w:pPr>
        <w:keepNext/>
        <w:spacing w:after="120" w:line="240" w:lineRule="auto"/>
        <w:jc w:val="both"/>
        <w:rPr>
          <w:b/>
          <w:color w:val="0070C0"/>
          <w:sz w:val="24"/>
          <w:szCs w:val="24"/>
        </w:rPr>
      </w:pPr>
      <w:r w:rsidRPr="00B36CAE">
        <w:rPr>
          <w:b/>
          <w:color w:val="0070C0"/>
          <w:sz w:val="24"/>
          <w:szCs w:val="24"/>
        </w:rPr>
        <w:lastRenderedPageBreak/>
        <w:t>Územná samospráva</w:t>
      </w:r>
    </w:p>
    <w:p w14:paraId="16A0036A" w14:textId="77777777" w:rsidR="00563559" w:rsidRDefault="00563559" w:rsidP="00563559">
      <w:pPr>
        <w:spacing w:after="120" w:line="240" w:lineRule="auto"/>
        <w:jc w:val="both"/>
      </w:pPr>
      <w:r w:rsidRPr="001B13D0">
        <w:rPr>
          <w:u w:val="single"/>
        </w:rPr>
        <w:t>Územná samospráva ako celok dosiahla prebytok</w:t>
      </w:r>
      <w:r w:rsidRPr="001B13D0">
        <w:t xml:space="preserve"> 179</w:t>
      </w:r>
      <w:r>
        <w:t> </w:t>
      </w:r>
      <w:r w:rsidRPr="001B13D0">
        <w:t>160 tis. eur, čo predstavuje medziročné zlepšenie salda oproti roku 2019 o 33</w:t>
      </w:r>
      <w:r>
        <w:t> </w:t>
      </w:r>
      <w:r w:rsidRPr="001B13D0">
        <w:t>323</w:t>
      </w:r>
      <w:r>
        <w:t> </w:t>
      </w:r>
      <w:r w:rsidRPr="001B13D0">
        <w:t>tis. eur (v roku 2019 dosiahl</w:t>
      </w:r>
      <w:r>
        <w:t>a</w:t>
      </w:r>
      <w:r w:rsidRPr="001B13D0">
        <w:t xml:space="preserve"> prebytok 145 837 tis. eur).</w:t>
      </w:r>
    </w:p>
    <w:p w14:paraId="13AFA8B7" w14:textId="77777777" w:rsidR="00563559" w:rsidRDefault="00563559" w:rsidP="00563559">
      <w:pPr>
        <w:spacing w:after="120" w:line="240" w:lineRule="auto"/>
        <w:jc w:val="both"/>
        <w:rPr>
          <w:iCs/>
        </w:rPr>
      </w:pPr>
      <w:r>
        <w:t>Obce a vyššie územné celky</w:t>
      </w:r>
      <w:r w:rsidRPr="002C166B">
        <w:t xml:space="preserve"> boli prijatými protiepidemiologickými opatreniami proti šíreniu COVID-19 dotknuté tak ako aj iné subjekty najmä vo finančnej oblasti. Územné samosprávy začali čeliť výrazne zvýšeným výdavkom a značným stratám príjmov</w:t>
      </w:r>
      <w:r>
        <w:t xml:space="preserve">. </w:t>
      </w:r>
      <w:r w:rsidRPr="002C166B">
        <w:t>Výpadky v</w:t>
      </w:r>
      <w:r>
        <w:t> </w:t>
      </w:r>
      <w:r w:rsidRPr="002C166B">
        <w:t>príjmoch</w:t>
      </w:r>
      <w:r>
        <w:t xml:space="preserve"> sa odzrkadlili v poukázanom</w:t>
      </w:r>
      <w:r w:rsidRPr="002C166B">
        <w:t xml:space="preserve"> výnos</w:t>
      </w:r>
      <w:r>
        <w:t>e</w:t>
      </w:r>
      <w:r w:rsidRPr="002C166B">
        <w:t xml:space="preserve"> z podielovej dane, t.</w:t>
      </w:r>
      <w:r>
        <w:t xml:space="preserve"> </w:t>
      </w:r>
      <w:r w:rsidRPr="002C166B">
        <w:t>j. dane z príjmov fyzických osôb</w:t>
      </w:r>
      <w:r>
        <w:t xml:space="preserve"> (výpadok bol nakoniec miernejší ako sa očakávalo na začiatku pandémie)</w:t>
      </w:r>
      <w:r w:rsidRPr="002C166B">
        <w:t>. A</w:t>
      </w:r>
      <w:r>
        <w:t>ko kompenzácia</w:t>
      </w:r>
      <w:r w:rsidRPr="002C166B">
        <w:t xml:space="preserve"> </w:t>
      </w:r>
      <w:r>
        <w:t xml:space="preserve">očakávaných </w:t>
      </w:r>
      <w:r w:rsidRPr="002C166B">
        <w:t xml:space="preserve">výpadkov príjmov spôsobených </w:t>
      </w:r>
      <w:r>
        <w:t xml:space="preserve">pandémiou boli viacerým </w:t>
      </w:r>
      <w:r w:rsidRPr="002C166B">
        <w:rPr>
          <w:iCs/>
        </w:rPr>
        <w:t>obciam a vyšším územným celkom poskytnut</w:t>
      </w:r>
      <w:r>
        <w:rPr>
          <w:iCs/>
        </w:rPr>
        <w:t>á</w:t>
      </w:r>
      <w:r w:rsidRPr="002C166B">
        <w:rPr>
          <w:iCs/>
        </w:rPr>
        <w:t xml:space="preserve"> </w:t>
      </w:r>
      <w:r>
        <w:rPr>
          <w:iCs/>
        </w:rPr>
        <w:t xml:space="preserve">návratná finančná výpomoc zo štátnych finančných aktív v celkovej sume 151 919 tis. eur. </w:t>
      </w:r>
    </w:p>
    <w:p w14:paraId="54E83897" w14:textId="30A7AD62" w:rsidR="00563559" w:rsidRPr="00B81964" w:rsidRDefault="00563559" w:rsidP="00B81964">
      <w:pPr>
        <w:spacing w:after="120" w:line="240" w:lineRule="auto"/>
        <w:jc w:val="both"/>
        <w:rPr>
          <w:rStyle w:val="awspan"/>
        </w:rPr>
      </w:pPr>
      <w:r w:rsidRPr="00D3543E">
        <w:rPr>
          <w:u w:val="single"/>
        </w:rPr>
        <w:t>Obce</w:t>
      </w:r>
      <w:r w:rsidRPr="00D3543E">
        <w:t xml:space="preserve"> sa </w:t>
      </w:r>
      <w:r>
        <w:t xml:space="preserve">na výsledku hospodárenia celej územnej samosprávy </w:t>
      </w:r>
      <w:r w:rsidRPr="00D3543E">
        <w:t xml:space="preserve">podieľali </w:t>
      </w:r>
      <w:r>
        <w:t>prebytkom</w:t>
      </w:r>
      <w:r w:rsidRPr="00D3543E">
        <w:t xml:space="preserve"> 140 67</w:t>
      </w:r>
      <w:r w:rsidR="00D4706A">
        <w:t>3</w:t>
      </w:r>
      <w:r w:rsidRPr="00D3543E">
        <w:t> tis. eur, čo predstavovalo zlepšenie  oproti roku 2019 o 84 805 tis. eur. K pozitívnemu vývoju salda obcí prispel vyšší medziročný nárast celkových príjmov</w:t>
      </w:r>
      <w:r>
        <w:t xml:space="preserve"> (o 210 432 tis. eur)</w:t>
      </w:r>
      <w:r w:rsidRPr="00D3543E">
        <w:t xml:space="preserve"> ako bol nárast celkových výdavkov</w:t>
      </w:r>
      <w:r>
        <w:t xml:space="preserve"> (o 127 781 tis. eur)</w:t>
      </w:r>
      <w:r w:rsidRPr="00D3543E">
        <w:t xml:space="preserve">. </w:t>
      </w:r>
      <w:r w:rsidRPr="00862A08">
        <w:t>Obce v porovnaní s</w:t>
      </w:r>
      <w:r>
        <w:t xml:space="preserve"> predchádzajúcim </w:t>
      </w:r>
      <w:r w:rsidRPr="00862A08">
        <w:t xml:space="preserve">rokom zaznamenali mierny nárast </w:t>
      </w:r>
      <w:r>
        <w:t xml:space="preserve">celkových </w:t>
      </w:r>
      <w:r w:rsidRPr="00862A08">
        <w:t>daňových príjmo</w:t>
      </w:r>
      <w:r>
        <w:t>v</w:t>
      </w:r>
      <w:r w:rsidRPr="00862A08">
        <w:t xml:space="preserve"> o sumu 50 282 tis. eur</w:t>
      </w:r>
      <w:r>
        <w:t xml:space="preserve"> pri celkovom príjme </w:t>
      </w:r>
      <w:r w:rsidRPr="00757E61">
        <w:t>2</w:t>
      </w:r>
      <w:r>
        <w:t> </w:t>
      </w:r>
      <w:r w:rsidRPr="00757E61">
        <w:t>841</w:t>
      </w:r>
      <w:r>
        <w:t> </w:t>
      </w:r>
      <w:r w:rsidRPr="00757E61">
        <w:t>624</w:t>
      </w:r>
      <w:r>
        <w:t> tis. eur (napriek očakávanému prepadu príjmu z </w:t>
      </w:r>
      <w:proofErr w:type="spellStart"/>
      <w:r>
        <w:t>DzPFO</w:t>
      </w:r>
      <w:proofErr w:type="spellEnd"/>
      <w:r>
        <w:t xml:space="preserve"> z dôvodu prepadu ekonomiky)</w:t>
      </w:r>
      <w:r w:rsidRPr="00862A08">
        <w:t>, z toho najmä príjmy z grantov a transferov vzrástli o 246 110 tis. </w:t>
      </w:r>
      <w:r w:rsidRPr="00A43EA9">
        <w:t xml:space="preserve">eur. </w:t>
      </w:r>
      <w:r>
        <w:t xml:space="preserve">Z bežných transferov obcí najväčšiu časť tvorili transfery na úhradu nákladov na prenesený výkon štátnej správy. </w:t>
      </w:r>
      <w:r w:rsidRPr="004E238C">
        <w:t>V oblasti príjmov z miestnych daní, z dôvodu uzatvorenia prevádzok verejného stravovania</w:t>
      </w:r>
      <w:r>
        <w:t xml:space="preserve"> a zákazu organizovania kul</w:t>
      </w:r>
      <w:r w:rsidR="00B81964">
        <w:t xml:space="preserve">túrnych a spoločenských </w:t>
      </w:r>
      <w:r>
        <w:t xml:space="preserve">podujatí </w:t>
      </w:r>
      <w:r w:rsidRPr="004E238C">
        <w:t>nastal pre obce pokles príjmov za daň za užívanie verejného priestranstva</w:t>
      </w:r>
      <w:r>
        <w:t xml:space="preserve"> o 2 707 tis. eur</w:t>
      </w:r>
      <w:r>
        <w:rPr>
          <w:rStyle w:val="awspan"/>
          <w:color w:val="000000"/>
          <w:sz w:val="27"/>
          <w:szCs w:val="27"/>
        </w:rPr>
        <w:t>.</w:t>
      </w:r>
      <w:r w:rsidR="00B81964">
        <w:rPr>
          <w:rStyle w:val="awspan"/>
          <w:color w:val="000000"/>
          <w:sz w:val="27"/>
          <w:szCs w:val="27"/>
        </w:rPr>
        <w:t xml:space="preserve"> </w:t>
      </w:r>
    </w:p>
    <w:p w14:paraId="6BCFD6F7" w14:textId="77777777" w:rsidR="00563559" w:rsidRPr="00B81964" w:rsidRDefault="00563559" w:rsidP="00B81964">
      <w:pPr>
        <w:spacing w:after="120" w:line="240" w:lineRule="auto"/>
        <w:jc w:val="both"/>
        <w:rPr>
          <w:szCs w:val="22"/>
        </w:rPr>
      </w:pPr>
      <w:r w:rsidRPr="008308E8">
        <w:t>Šírenie pandémie si vyžiadalo zvýšené náklady na zabezpečenie preventívnych opatrení. Medziročne narástli bežné výdavky na mzdy, platy a ostatné osobné vyrovnania (o 159 992 tis. eur) a s tým súvisiace daňové odvody a odvody do fondov sociálneho a zdravotného poistenia (o 33 988 tis. eur). Refundácia výdavkov súvisiacich so záchrannými prácami a celoplošným testovaním vyvolala  nárast výdavkov na bežné transfery o </w:t>
      </w:r>
      <w:r>
        <w:t>31</w:t>
      </w:r>
      <w:r w:rsidRPr="008308E8">
        <w:t> </w:t>
      </w:r>
      <w:r>
        <w:t>514</w:t>
      </w:r>
      <w:r w:rsidRPr="008308E8">
        <w:t xml:space="preserve"> tis. eur (najmä transfery dopravným podnikom a príspevkovým organizáciám). </w:t>
      </w:r>
      <w:r>
        <w:t>Medziročnú úsporu 17 671 tis. eur na tovaroch a službách dosiahli obce napriek tomu, že sa v</w:t>
      </w:r>
      <w:r w:rsidRPr="008308E8">
        <w:t xml:space="preserve">o zvýšenej miere čerpali prostriedky na zabezpečenie dezinfekčných a ochranných prostriedkov, oblečenia, pomôcok,  </w:t>
      </w:r>
      <w:r w:rsidRPr="00B81964">
        <w:rPr>
          <w:szCs w:val="22"/>
        </w:rPr>
        <w:t xml:space="preserve">na upratovanie a dezinfekciu priestorov. </w:t>
      </w:r>
    </w:p>
    <w:p w14:paraId="2509F87A" w14:textId="0CF70376" w:rsidR="00563559" w:rsidRDefault="00563559" w:rsidP="00B81964">
      <w:pPr>
        <w:spacing w:after="120" w:line="240" w:lineRule="auto"/>
        <w:jc w:val="both"/>
      </w:pPr>
      <w:r w:rsidRPr="00B81964">
        <w:rPr>
          <w:szCs w:val="22"/>
        </w:rPr>
        <w:t>Pandémia</w:t>
      </w:r>
      <w:r w:rsidRPr="008308E8">
        <w:t xml:space="preserve"> pozastavila čerpanie kapitálových výdavko</w:t>
      </w:r>
      <w:r>
        <w:t xml:space="preserve">v, ktoré medziročne </w:t>
      </w:r>
      <w:r w:rsidR="00B81964">
        <w:t xml:space="preserve">klesli o sumu 78 842 tis. eur, </w:t>
      </w:r>
      <w:r w:rsidRPr="00EE482A">
        <w:t>z toho výdavky na obstarávanie kapitálových aktív poklesli o sumu 75 198 tis. eur, nielen v súvislosti s</w:t>
      </w:r>
      <w:r>
        <w:t> </w:t>
      </w:r>
      <w:r w:rsidRPr="00EE482A">
        <w:t>pandémiou</w:t>
      </w:r>
      <w:r>
        <w:t>,</w:t>
      </w:r>
      <w:r w:rsidRPr="00EE482A">
        <w:t xml:space="preserve"> ale aj z dôvodu časového posunu realizácie projektov spolufinancovaných z prostriedkov EŠIF a súvisiaceho procesu obstarávania. V prípade dokončených významnejších projektov v predchádzajúcom roku je porovnávacia báza vyššia, pričom kapitálové výdavky sa vyznačujú často ,,skokovým“ efektom. Z tohto pohľadu mala medziročne najvyšší pokles realizácia nových stavieb. Kým v roku 2019 sa rozmohlo vo veľkom budovanie nájomných bytových domov, tak pre rok 2020  sa tento proces obmedzil iba na čiastočné obnovy a rekonštrukcie. Napriek poklesu kapitálových výdavkov obce investovali finančné prostriedky do  budovania cyklotrás</w:t>
      </w:r>
      <w:r>
        <w:t xml:space="preserve"> pre bezpečnú a ekologickú dopravu</w:t>
      </w:r>
      <w:r w:rsidRPr="00EE482A">
        <w:t xml:space="preserve">, </w:t>
      </w:r>
      <w:r>
        <w:t xml:space="preserve">do </w:t>
      </w:r>
      <w:r w:rsidRPr="00EE482A">
        <w:t>rekonštrukci</w:t>
      </w:r>
      <w:r>
        <w:t>í</w:t>
      </w:r>
      <w:r w:rsidRPr="00EE482A">
        <w:t xml:space="preserve"> mostov, miestnych komunikácií, kanalizácií</w:t>
      </w:r>
      <w:r>
        <w:t xml:space="preserve"> a čističiek odpadových vôd, </w:t>
      </w:r>
      <w:r w:rsidRPr="00EE482A">
        <w:t xml:space="preserve"> </w:t>
      </w:r>
      <w:r>
        <w:t xml:space="preserve">do </w:t>
      </w:r>
      <w:r w:rsidRPr="00EE482A">
        <w:t>revitalizácie verejných priestranstiev,</w:t>
      </w:r>
      <w:r>
        <w:t xml:space="preserve"> budovali sa </w:t>
      </w:r>
      <w:r w:rsidRPr="00EE482A">
        <w:t xml:space="preserve">centrá sociálnych služieb, </w:t>
      </w:r>
      <w:r>
        <w:t>d</w:t>
      </w:r>
      <w:r w:rsidRPr="00EE482A">
        <w:t>okon</w:t>
      </w:r>
      <w:r>
        <w:t xml:space="preserve">čila sa </w:t>
      </w:r>
      <w:r w:rsidRPr="00EE482A">
        <w:t xml:space="preserve">veľká modernizácia Dúbravsko-karloveskej električkovej </w:t>
      </w:r>
      <w:proofErr w:type="spellStart"/>
      <w:r w:rsidRPr="00EE482A">
        <w:t>radiály</w:t>
      </w:r>
      <w:proofErr w:type="spellEnd"/>
      <w:r>
        <w:t xml:space="preserve"> v Bratislave.</w:t>
      </w:r>
      <w:r w:rsidRPr="00EE482A">
        <w:t xml:space="preserve"> Ďalšie investície boli použité na rekonštrukcie materských a základných škôl a obnovu </w:t>
      </w:r>
      <w:r>
        <w:t>odborných učební a na projekty sociálnej inklúzie.</w:t>
      </w:r>
    </w:p>
    <w:p w14:paraId="0A8E2482" w14:textId="77777777" w:rsidR="00563559" w:rsidRPr="00BE18ED" w:rsidRDefault="00563559" w:rsidP="00563559">
      <w:pPr>
        <w:spacing w:line="240" w:lineRule="auto"/>
        <w:jc w:val="both"/>
        <w:rPr>
          <w:highlight w:val="yellow"/>
        </w:rPr>
      </w:pPr>
      <w:r w:rsidRPr="00F92D56">
        <w:t xml:space="preserve">Medzi </w:t>
      </w:r>
      <w:r>
        <w:t xml:space="preserve">ďalšie </w:t>
      </w:r>
      <w:r w:rsidRPr="00F92D56">
        <w:t>negatívne faktory ovplyvňujúce saldo hospodárenia patril nárast záväzkov o 27</w:t>
      </w:r>
      <w:r>
        <w:t> </w:t>
      </w:r>
      <w:r w:rsidRPr="00F92D56">
        <w:t>736</w:t>
      </w:r>
      <w:r>
        <w:t> </w:t>
      </w:r>
      <w:r w:rsidRPr="00F92D56">
        <w:t>tis. eur (na osobné náklady o 14 329 tis. eur v nadväznosti na prijaté opatrenia v odmeňovaní zamestnancov verejnej správy, voči orgánom sociálneho a zdravotného poistenia o 10 411 tis. eur, nárast ostatných dlhodobých aj krátkodobých záväzkov a prijatých preddavkov o 7 399 tis. eur) a nárast záväzkov z obstarávania kapitálových aktív prostredníctvom lízingu. Nárast pohľadávok z nedaňových príjmov o</w:t>
      </w:r>
      <w:r w:rsidRPr="00BE18ED">
        <w:t xml:space="preserve"> sumu 7 200 tis. eur čiastočne eliminoval vplyv spôsobený nárastom záväzkov.</w:t>
      </w:r>
      <w:r>
        <w:t xml:space="preserve"> </w:t>
      </w:r>
    </w:p>
    <w:p w14:paraId="28CDAFA3" w14:textId="77777777" w:rsidR="003E2065" w:rsidRDefault="003E2065">
      <w:pPr>
        <w:rPr>
          <w:u w:val="single"/>
        </w:rPr>
      </w:pPr>
      <w:r>
        <w:rPr>
          <w:u w:val="single"/>
        </w:rPr>
        <w:br w:type="page"/>
      </w:r>
    </w:p>
    <w:p w14:paraId="0A1B4DF2" w14:textId="0DCC9D18" w:rsidR="00563559" w:rsidRPr="003E2065" w:rsidRDefault="00563559" w:rsidP="003E2065">
      <w:pPr>
        <w:spacing w:after="120" w:line="240" w:lineRule="auto"/>
        <w:jc w:val="both"/>
        <w:rPr>
          <w:szCs w:val="22"/>
        </w:rPr>
      </w:pPr>
      <w:r w:rsidRPr="00771131">
        <w:rPr>
          <w:u w:val="single"/>
        </w:rPr>
        <w:lastRenderedPageBreak/>
        <w:t>Vyššie územné celky</w:t>
      </w:r>
      <w:r w:rsidRPr="003E3E7D">
        <w:t xml:space="preserve"> </w:t>
      </w:r>
      <w:r w:rsidRPr="00771131">
        <w:t xml:space="preserve">dosiahli v roku 2020 </w:t>
      </w:r>
      <w:r>
        <w:t xml:space="preserve">mierny </w:t>
      </w:r>
      <w:r w:rsidRPr="00771131">
        <w:t xml:space="preserve">prebytok 7 735 tis. eur, čo predstavuje oproti roku 2019 zhoršenie hospodárenia o 37 847 tis. eur (v 2019 dosiahli prebytok 45 582 tis. eur). Na tento negatívny vývoj salda vplýval predovšetkým medziročný nárast celkových výdavkov, ktorý bol vyšší v porovnaní s rastom príjmov. Ekonomický dosah pandémie sa podpísal pod výpadok </w:t>
      </w:r>
      <w:r>
        <w:t xml:space="preserve">takmer všetkých druhov </w:t>
      </w:r>
      <w:r w:rsidRPr="00771131">
        <w:t xml:space="preserve">bežných príjmov. Celkové utlmenie ekonomickej aktivity v štáte viedlo k následnému výpadku daňových príjmov </w:t>
      </w:r>
      <w:r>
        <w:t xml:space="preserve">samosprávnych </w:t>
      </w:r>
      <w:r w:rsidRPr="00771131">
        <w:t xml:space="preserve">krajov. </w:t>
      </w:r>
      <w:r>
        <w:t xml:space="preserve">Negatívne vplyvy výpadku nedaňových príjmov a zvýšenia výdavkov boli čiastočne eliminované prijatými grantami a transfermi zo štátneho rozpočtu, ktoré sa medziročne zvýšili o 72 783 tis. eur. Väčšiu časť z prijatých transferov samosprávnych krajov tvoria transfery určené na prenesený výkon štátnej správy v oblasti školstva, ktoré sa upravovali smerom nahor z dôvodu zmien normatívnych a nenormatívnych finančných prostriedkov, rastúci trend si udržali aj bežné a kapitálové príjmy z grantov určených na financovanie projektov z EŠIF. Išlo najmä o refundáciu výdavkov na </w:t>
      </w:r>
      <w:proofErr w:type="spellStart"/>
      <w:r>
        <w:t>zazmluvnených</w:t>
      </w:r>
      <w:proofErr w:type="spellEnd"/>
      <w:r>
        <w:t xml:space="preserve"> projektoch. Účelové dotácie boli použité najmä na  financovanie bežných výdavkov hospodárskej mobilizácie, na zmiernenie negatívnych dopadov </w:t>
      </w:r>
      <w:proofErr w:type="spellStart"/>
      <w:r>
        <w:t>koronakrízy</w:t>
      </w:r>
      <w:proofErr w:type="spellEnd"/>
      <w:r>
        <w:t xml:space="preserve"> a na s</w:t>
      </w:r>
      <w:r w:rsidRPr="008308E8">
        <w:t>anáci</w:t>
      </w:r>
      <w:r>
        <w:t>u</w:t>
      </w:r>
      <w:r w:rsidRPr="008308E8">
        <w:t xml:space="preserve"> výdavkov priamo implikovaných vznikom pandémie </w:t>
      </w:r>
      <w:r>
        <w:t xml:space="preserve">súvisiacej s ochorením </w:t>
      </w:r>
      <w:r w:rsidRPr="003E2065">
        <w:rPr>
          <w:szCs w:val="22"/>
        </w:rPr>
        <w:t>COVID-19.</w:t>
      </w:r>
    </w:p>
    <w:p w14:paraId="71207419" w14:textId="7317300C" w:rsidR="003E2065" w:rsidRDefault="00563559" w:rsidP="003E2065">
      <w:pPr>
        <w:spacing w:after="120" w:line="240" w:lineRule="auto"/>
        <w:jc w:val="both"/>
        <w:rPr>
          <w:szCs w:val="22"/>
        </w:rPr>
      </w:pPr>
      <w:r w:rsidRPr="003E2065">
        <w:rPr>
          <w:szCs w:val="22"/>
        </w:rPr>
        <w:t>T</w:t>
      </w:r>
      <w:r w:rsidRPr="00983FE6">
        <w:t>ak ako u obcí, aj u VÚC sa do výdavkov premietl</w:t>
      </w:r>
      <w:r>
        <w:t>o navýšenie platových taríf a ich následná valorizácia a výdavky na mzdy a odvody vzrástli medziročne</w:t>
      </w:r>
      <w:r w:rsidRPr="00983FE6">
        <w:t xml:space="preserve"> o 47 702 tis. eur. Výdavky na bežné transfery dosiahli hodnotu 606 224 tis. eur, čo </w:t>
      </w:r>
      <w:r w:rsidR="00D4706A">
        <w:t>predstavuje medziročný nárast o 49 </w:t>
      </w:r>
      <w:r w:rsidR="00D4706A" w:rsidRPr="00D4706A">
        <w:t>369</w:t>
      </w:r>
      <w:r w:rsidR="00D4706A">
        <w:t> </w:t>
      </w:r>
      <w:r w:rsidRPr="00D4706A">
        <w:t>tis</w:t>
      </w:r>
      <w:r w:rsidRPr="00983FE6">
        <w:t>.</w:t>
      </w:r>
      <w:r w:rsidR="00D4706A">
        <w:t> </w:t>
      </w:r>
      <w:r w:rsidRPr="00983FE6">
        <w:t>eur</w:t>
      </w:r>
      <w:r>
        <w:t>, z toho najvyšší nárast tvorili príspevky príspevkovým organizáciám v zriaďovateľskej pôsobnosti samosprávnych krajov  (o sumu 22 708 tis. eur), transfery verejným dopravcom na vykrytie strát vo verejnom záujme pri zabezpečovaní príme</w:t>
      </w:r>
      <w:r w:rsidR="00D4706A">
        <w:t>stskej autobusovej dopravy osôb,</w:t>
      </w:r>
      <w:r>
        <w:t xml:space="preserve"> ďalej  transfery nefinančným subjektom zaradeným mimo verejnej správy (o 23 507 tis. eur) a v menšej miere dotácie na podporu rozvoja vidieka </w:t>
      </w:r>
      <w:r w:rsidRPr="003E3E7D">
        <w:rPr>
          <w:szCs w:val="22"/>
        </w:rPr>
        <w:t xml:space="preserve">a menej rozvinutých regiónov, na technologické vybavenie organizácií </w:t>
      </w:r>
      <w:r w:rsidR="003E2065">
        <w:rPr>
          <w:szCs w:val="22"/>
        </w:rPr>
        <w:t>(napr. informačné technológie).</w:t>
      </w:r>
    </w:p>
    <w:p w14:paraId="5489F1AA" w14:textId="7EA7525F" w:rsidR="00563559" w:rsidRPr="003E3E7D" w:rsidRDefault="00563559" w:rsidP="003E2065">
      <w:pPr>
        <w:spacing w:after="120" w:line="240" w:lineRule="auto"/>
        <w:jc w:val="both"/>
        <w:rPr>
          <w:szCs w:val="22"/>
        </w:rPr>
      </w:pPr>
      <w:r w:rsidRPr="003E3E7D">
        <w:rPr>
          <w:szCs w:val="22"/>
        </w:rPr>
        <w:t>Negatívny vplyv na s</w:t>
      </w:r>
      <w:r w:rsidR="00D4706A">
        <w:rPr>
          <w:szCs w:val="22"/>
        </w:rPr>
        <w:t>aldo</w:t>
      </w:r>
      <w:r w:rsidRPr="003E3E7D">
        <w:rPr>
          <w:szCs w:val="22"/>
        </w:rPr>
        <w:t xml:space="preserve"> mal aj nárast kapitálových výdavkov</w:t>
      </w:r>
      <w:r>
        <w:rPr>
          <w:szCs w:val="22"/>
        </w:rPr>
        <w:t xml:space="preserve"> o 8 695 tis.</w:t>
      </w:r>
      <w:r>
        <w:t> </w:t>
      </w:r>
      <w:r>
        <w:rPr>
          <w:szCs w:val="22"/>
        </w:rPr>
        <w:t>eur, z toho výdavky na obstarávanie kapitálových aktív sa zvýšili o 3 260 tis. eur a výdavky na kapitálové transfery o 5 435 tis. eur</w:t>
      </w:r>
      <w:r w:rsidRPr="003E3E7D">
        <w:rPr>
          <w:szCs w:val="22"/>
        </w:rPr>
        <w:t>. Tieto zdroje boli alokované na realizáciu stavieb a ich technické zhodnotenie, modernizáciu a stavebné úpravy, na obstaranie prevádzkových strojov a zariadení, na rozvoj turistickej infraštruktúry pohraničných území, na rekonštrukcie priestorov polikliník a zariadení sociálnych služieb, materiálno – technické vybavenia učební, investície na rekonštrukcie ciest II. a III. triedy a modernizácie mostných objektov</w:t>
      </w:r>
      <w:r w:rsidRPr="00FD0356">
        <w:rPr>
          <w:szCs w:val="22"/>
        </w:rPr>
        <w:t xml:space="preserve"> </w:t>
      </w:r>
      <w:r w:rsidRPr="003E3E7D">
        <w:rPr>
          <w:szCs w:val="22"/>
        </w:rPr>
        <w:t xml:space="preserve">Rastúci trend čiastočne eliminoval pokles na tovaroch a službách o sumu 10 124 tis. eur. Napriek limitom materiálnych, technických i personálnych kapacít sa zabezpečovala distribúcia ochranných prostriedkov a antigénových testov najmä do zariadení sociálnych služieb a ambulancií, čo bolo predvojom zabezpečovania očkovania. </w:t>
      </w:r>
    </w:p>
    <w:p w14:paraId="4B08DBCD" w14:textId="77777777" w:rsidR="00563559" w:rsidRPr="003E3E7D" w:rsidRDefault="00563559" w:rsidP="00563559">
      <w:pPr>
        <w:spacing w:line="240" w:lineRule="auto"/>
        <w:jc w:val="both"/>
        <w:rPr>
          <w:szCs w:val="22"/>
          <w:lang w:eastAsia="sk-SK"/>
        </w:rPr>
      </w:pPr>
      <w:r w:rsidRPr="003E3E7D">
        <w:rPr>
          <w:szCs w:val="22"/>
        </w:rPr>
        <w:t xml:space="preserve">Pokles ESA prebytku bol ovplyvnený aj </w:t>
      </w:r>
      <w:r>
        <w:rPr>
          <w:szCs w:val="22"/>
        </w:rPr>
        <w:t xml:space="preserve">zmenou stavu </w:t>
      </w:r>
      <w:r w:rsidRPr="003E3E7D">
        <w:rPr>
          <w:szCs w:val="22"/>
        </w:rPr>
        <w:t xml:space="preserve">záväzkov </w:t>
      </w:r>
      <w:r>
        <w:rPr>
          <w:szCs w:val="22"/>
        </w:rPr>
        <w:t xml:space="preserve">(nárast </w:t>
      </w:r>
      <w:r w:rsidRPr="003E3E7D">
        <w:rPr>
          <w:szCs w:val="22"/>
        </w:rPr>
        <w:t>o 8 581 tis. eur</w:t>
      </w:r>
      <w:r>
        <w:rPr>
          <w:szCs w:val="22"/>
        </w:rPr>
        <w:t>)</w:t>
      </w:r>
      <w:r w:rsidRPr="003E3E7D">
        <w:rPr>
          <w:szCs w:val="22"/>
        </w:rPr>
        <w:t xml:space="preserve">, z toho najvyšší nárast mali záväzky na osobné náklady, záväzky voči orgánom sociálneho a zdravotného poistenia a daňové záväzky v nadväznosti na prijaté opatrenia v odmeňovaní zamestnancov verejnej správy (o 7 936 tis. eur). </w:t>
      </w:r>
    </w:p>
    <w:p w14:paraId="2DE52788" w14:textId="271569D6" w:rsidR="00563559" w:rsidRPr="00186EE2" w:rsidRDefault="00563559" w:rsidP="003E2065">
      <w:pPr>
        <w:spacing w:after="120" w:line="240" w:lineRule="auto"/>
        <w:jc w:val="both"/>
        <w:rPr>
          <w:szCs w:val="22"/>
        </w:rPr>
      </w:pPr>
      <w:r w:rsidRPr="00A83B12">
        <w:t xml:space="preserve">Podľa Štatistickej klasifikácie ekonomických činností (SK NACE) máme pod kódom 49.31.0 </w:t>
      </w:r>
      <w:r w:rsidRPr="00A83B12">
        <w:rPr>
          <w:rFonts w:ascii="Arial" w:hAnsi="Arial" w:cs="Arial"/>
          <w:color w:val="4D5156"/>
          <w:sz w:val="21"/>
          <w:szCs w:val="21"/>
          <w:shd w:val="clear" w:color="auto" w:fill="FFFFFF"/>
        </w:rPr>
        <w:t> </w:t>
      </w:r>
      <w:r w:rsidRPr="00A83B12">
        <w:t xml:space="preserve">Mestská alebo prímestská osobná pozemná doprava evidovaných </w:t>
      </w:r>
      <w:r>
        <w:t xml:space="preserve"> 40 subjektov, z nich päť je vo verejnej správe. </w:t>
      </w:r>
      <w:r>
        <w:rPr>
          <w:u w:val="single"/>
        </w:rPr>
        <w:t xml:space="preserve"> </w:t>
      </w:r>
      <w:r w:rsidRPr="007B0F08">
        <w:rPr>
          <w:u w:val="single"/>
        </w:rPr>
        <w:t>Dopravné podniky samosprávy</w:t>
      </w:r>
      <w:r w:rsidRPr="007B0F08">
        <w:rPr>
          <w:rStyle w:val="Odkaznapoznmkupodiarou"/>
          <w:u w:val="single"/>
        </w:rPr>
        <w:footnoteReference w:id="10"/>
      </w:r>
      <w:r w:rsidRPr="007B0F08">
        <w:t xml:space="preserve"> v roku 2020 hospodárili s prebyt</w:t>
      </w:r>
      <w:r>
        <w:t>kom</w:t>
      </w:r>
      <w:r w:rsidRPr="007B0F08">
        <w:t xml:space="preserve"> vo výške 4 572 tis. eur, čím zhoršili svoje hospodárenie o 27 866 tis. eur oproti </w:t>
      </w:r>
      <w:r w:rsidRPr="006D2C5C">
        <w:rPr>
          <w:szCs w:val="22"/>
        </w:rPr>
        <w:t xml:space="preserve">roku 2019 (prebytok 32 438 tis. eur). </w:t>
      </w:r>
      <w:r>
        <w:rPr>
          <w:szCs w:val="22"/>
        </w:rPr>
        <w:t xml:space="preserve">Pandémia sa prejavila na hospodárení dopravných podnikov vo viacerých oblastiach.  Na jednej strane </w:t>
      </w:r>
      <w:r w:rsidRPr="006D2C5C">
        <w:rPr>
          <w:szCs w:val="22"/>
        </w:rPr>
        <w:t xml:space="preserve">poklesli medziročne dopravné výkony, </w:t>
      </w:r>
      <w:r w:rsidRPr="006D2C5C">
        <w:rPr>
          <w:color w:val="FF0000"/>
          <w:szCs w:val="22"/>
        </w:rPr>
        <w:t xml:space="preserve"> </w:t>
      </w:r>
      <w:r w:rsidRPr="006D2C5C">
        <w:rPr>
          <w:szCs w:val="22"/>
        </w:rPr>
        <w:t>nedosiahli sa očakávané výnosy</w:t>
      </w:r>
      <w:r>
        <w:rPr>
          <w:szCs w:val="22"/>
        </w:rPr>
        <w:t xml:space="preserve"> </w:t>
      </w:r>
      <w:r w:rsidRPr="006D2C5C">
        <w:rPr>
          <w:szCs w:val="22"/>
        </w:rPr>
        <w:t>z dôvodu znížených tržieb za cestovné,</w:t>
      </w:r>
      <w:r>
        <w:rPr>
          <w:szCs w:val="22"/>
        </w:rPr>
        <w:t xml:space="preserve"> predaja lístkov,</w:t>
      </w:r>
      <w:r w:rsidRPr="006D2C5C">
        <w:rPr>
          <w:szCs w:val="22"/>
        </w:rPr>
        <w:t xml:space="preserve"> za reklamnú činnosť, </w:t>
      </w:r>
      <w:r>
        <w:rPr>
          <w:szCs w:val="22"/>
        </w:rPr>
        <w:t xml:space="preserve">z </w:t>
      </w:r>
      <w:r w:rsidRPr="006D2C5C">
        <w:rPr>
          <w:szCs w:val="22"/>
        </w:rPr>
        <w:t>nízkeho dopytu na zájazdovú, zmluvnú</w:t>
      </w:r>
      <w:r>
        <w:rPr>
          <w:szCs w:val="22"/>
        </w:rPr>
        <w:t xml:space="preserve"> a  </w:t>
      </w:r>
      <w:r w:rsidRPr="006D2C5C">
        <w:rPr>
          <w:szCs w:val="22"/>
        </w:rPr>
        <w:t>príležitostnú dopravu</w:t>
      </w:r>
      <w:r>
        <w:rPr>
          <w:szCs w:val="22"/>
        </w:rPr>
        <w:t xml:space="preserve"> o 24 295 tis. eur</w:t>
      </w:r>
      <w:r w:rsidRPr="006D2C5C">
        <w:rPr>
          <w:szCs w:val="22"/>
        </w:rPr>
        <w:t xml:space="preserve"> a z výpadku príjmov z pokút </w:t>
      </w:r>
      <w:r>
        <w:rPr>
          <w:szCs w:val="22"/>
        </w:rPr>
        <w:t>o 1 848 tis.</w:t>
      </w:r>
      <w:r>
        <w:t> </w:t>
      </w:r>
      <w:r>
        <w:rPr>
          <w:szCs w:val="22"/>
        </w:rPr>
        <w:t>eur</w:t>
      </w:r>
      <w:r w:rsidRPr="006D2C5C">
        <w:rPr>
          <w:szCs w:val="22"/>
        </w:rPr>
        <w:t xml:space="preserve"> čo sa prejavilo v</w:t>
      </w:r>
      <w:r>
        <w:rPr>
          <w:szCs w:val="22"/>
        </w:rPr>
        <w:t xml:space="preserve"> celkovom </w:t>
      </w:r>
      <w:r w:rsidRPr="006D2C5C">
        <w:rPr>
          <w:szCs w:val="22"/>
        </w:rPr>
        <w:t xml:space="preserve">poklese nedaňových príjmov </w:t>
      </w:r>
      <w:r>
        <w:rPr>
          <w:szCs w:val="22"/>
        </w:rPr>
        <w:t xml:space="preserve">úhrnom </w:t>
      </w:r>
      <w:r w:rsidRPr="006D2C5C">
        <w:rPr>
          <w:szCs w:val="22"/>
        </w:rPr>
        <w:t>o 27 068 tis. eur.</w:t>
      </w:r>
      <w:r>
        <w:rPr>
          <w:szCs w:val="22"/>
        </w:rPr>
        <w:t xml:space="preserve"> Medziročne sa pokles tržieb pohyboval  na úrovni zhruba 30 %</w:t>
      </w:r>
      <w:r w:rsidRPr="006D2C5C">
        <w:rPr>
          <w:szCs w:val="22"/>
        </w:rPr>
        <w:t xml:space="preserve"> Pozitívne sa na </w:t>
      </w:r>
      <w:r>
        <w:rPr>
          <w:szCs w:val="22"/>
        </w:rPr>
        <w:t xml:space="preserve">dosiahnutom </w:t>
      </w:r>
      <w:r w:rsidRPr="006D2C5C">
        <w:rPr>
          <w:szCs w:val="22"/>
        </w:rPr>
        <w:t>prebytku podieľal medziročný nárast transferov o</w:t>
      </w:r>
      <w:r>
        <w:rPr>
          <w:szCs w:val="22"/>
        </w:rPr>
        <w:t> </w:t>
      </w:r>
      <w:r w:rsidRPr="006D2C5C">
        <w:rPr>
          <w:szCs w:val="22"/>
        </w:rPr>
        <w:t>14</w:t>
      </w:r>
      <w:r>
        <w:rPr>
          <w:szCs w:val="22"/>
        </w:rPr>
        <w:t> </w:t>
      </w:r>
      <w:r w:rsidRPr="006D2C5C">
        <w:rPr>
          <w:szCs w:val="22"/>
        </w:rPr>
        <w:t>553</w:t>
      </w:r>
      <w:r>
        <w:rPr>
          <w:szCs w:val="22"/>
        </w:rPr>
        <w:t> </w:t>
      </w:r>
      <w:r w:rsidRPr="006D2C5C">
        <w:rPr>
          <w:szCs w:val="22"/>
        </w:rPr>
        <w:t>tis. eur, z ktorých najvýznamnejšiu časť tvoria bežné transfery z rozpočtu obce</w:t>
      </w:r>
      <w:r w:rsidR="00815330">
        <w:rPr>
          <w:szCs w:val="22"/>
        </w:rPr>
        <w:t xml:space="preserve"> a vyššieho územného celku</w:t>
      </w:r>
      <w:r w:rsidRPr="006D2C5C">
        <w:rPr>
          <w:szCs w:val="22"/>
        </w:rPr>
        <w:t xml:space="preserve"> na úhradu za služby vo verejnom záujme v zmysle dohodnutých Rámcových zmlúv</w:t>
      </w:r>
      <w:r>
        <w:rPr>
          <w:szCs w:val="22"/>
        </w:rPr>
        <w:t xml:space="preserve"> (nárast o 14 909 tis. eur).</w:t>
      </w:r>
      <w:r>
        <w:rPr>
          <w:color w:val="FF0000"/>
          <w:szCs w:val="22"/>
        </w:rPr>
        <w:t xml:space="preserve"> </w:t>
      </w:r>
      <w:r>
        <w:rPr>
          <w:szCs w:val="22"/>
        </w:rPr>
        <w:t>D</w:t>
      </w:r>
      <w:r w:rsidRPr="00EA5702">
        <w:rPr>
          <w:szCs w:val="22"/>
        </w:rPr>
        <w:t>opravn</w:t>
      </w:r>
      <w:r>
        <w:rPr>
          <w:szCs w:val="22"/>
        </w:rPr>
        <w:t xml:space="preserve">é podniky sa v roku 2020 nedostali do </w:t>
      </w:r>
      <w:r w:rsidRPr="00EA5702">
        <w:rPr>
          <w:szCs w:val="22"/>
        </w:rPr>
        <w:t xml:space="preserve">žiadnej schémy pomoci, ktorú poskytol štát na krytie strát v súvislosti s pandémiou </w:t>
      </w:r>
      <w:proofErr w:type="spellStart"/>
      <w:r w:rsidRPr="00EA5702">
        <w:rPr>
          <w:szCs w:val="22"/>
        </w:rPr>
        <w:t>koronavírusu</w:t>
      </w:r>
      <w:proofErr w:type="spellEnd"/>
      <w:r>
        <w:rPr>
          <w:szCs w:val="22"/>
        </w:rPr>
        <w:t xml:space="preserve"> a s</w:t>
      </w:r>
      <w:r w:rsidRPr="00EA5702">
        <w:rPr>
          <w:szCs w:val="22"/>
        </w:rPr>
        <w:t>traty</w:t>
      </w:r>
      <w:r>
        <w:rPr>
          <w:szCs w:val="22"/>
        </w:rPr>
        <w:t xml:space="preserve"> </w:t>
      </w:r>
      <w:r w:rsidRPr="00EA5702">
        <w:rPr>
          <w:szCs w:val="22"/>
        </w:rPr>
        <w:t>boli v roku 2020 vykryté z</w:t>
      </w:r>
      <w:r>
        <w:rPr>
          <w:szCs w:val="22"/>
        </w:rPr>
        <w:t> rozpočtu zriaďovateľov.</w:t>
      </w:r>
      <w:r w:rsidRPr="003E2065">
        <w:rPr>
          <w:szCs w:val="22"/>
        </w:rPr>
        <w:t xml:space="preserve"> </w:t>
      </w:r>
    </w:p>
    <w:p w14:paraId="4B2A6100" w14:textId="77777777" w:rsidR="00563559" w:rsidRPr="003E2065" w:rsidRDefault="00563559" w:rsidP="003E2065">
      <w:pPr>
        <w:spacing w:after="120" w:line="240" w:lineRule="auto"/>
        <w:jc w:val="both"/>
        <w:rPr>
          <w:szCs w:val="22"/>
        </w:rPr>
      </w:pPr>
      <w:r w:rsidRPr="003E2065">
        <w:rPr>
          <w:szCs w:val="22"/>
        </w:rPr>
        <w:lastRenderedPageBreak/>
        <w:t>P</w:t>
      </w:r>
      <w:r w:rsidRPr="006D2C5C">
        <w:rPr>
          <w:rFonts w:cs="Book Antiqua"/>
          <w:szCs w:val="22"/>
          <w:lang w:eastAsia="sk-SK"/>
        </w:rPr>
        <w:t xml:space="preserve">okles príjmov z kapitálových grantov o 4 526 tis. eur bol kompenzovaný nárastom zálohových platieb z príspevkov z EŠIF a  spolufinancovania zo ŠR na zmluvný projekt „DPMP, Modernizácia vozového parku trolejbusov v Prešove – II. etapa“ o 3 835 tis. eur v súvislosti s vyššími kapitálovými výdavkami </w:t>
      </w:r>
      <w:r w:rsidRPr="003E2065">
        <w:rPr>
          <w:szCs w:val="22"/>
        </w:rPr>
        <w:t xml:space="preserve">na dopravné prostriedky financované z EŠIF.  </w:t>
      </w:r>
    </w:p>
    <w:p w14:paraId="33D8199D" w14:textId="77777777" w:rsidR="00563559" w:rsidRDefault="00563559" w:rsidP="003E2065">
      <w:pPr>
        <w:spacing w:after="120" w:line="240" w:lineRule="auto"/>
        <w:jc w:val="both"/>
      </w:pPr>
      <w:r w:rsidRPr="003E2065">
        <w:rPr>
          <w:szCs w:val="22"/>
        </w:rPr>
        <w:t>N</w:t>
      </w:r>
      <w:r>
        <w:t xml:space="preserve">a druhej strane sa pandémia pozitívne, ale aj negatívne prejavila v čerpaní výdavkov. Spôsobila prudký pokles ceny nafty, bola redukovaná výprava autobusov, trolejbusov a električiek v nadväznosti na vládne </w:t>
      </w:r>
      <w:proofErr w:type="spellStart"/>
      <w:r>
        <w:t>protipandemické</w:t>
      </w:r>
      <w:proofErr w:type="spellEnd"/>
      <w:r>
        <w:t xml:space="preserve"> opatrenia čo sa odzrkadlilo v medziročnom poklese výdavkov na pohonné hmoty o 4 </w:t>
      </w:r>
      <w:r w:rsidRPr="00C41DD5">
        <w:t>018</w:t>
      </w:r>
      <w:r>
        <w:t> </w:t>
      </w:r>
      <w:r w:rsidRPr="00C41DD5">
        <w:t>tis</w:t>
      </w:r>
      <w:r>
        <w:t xml:space="preserve">. eur. Výrazné obmedzenie najazdených </w:t>
      </w:r>
      <w:proofErr w:type="spellStart"/>
      <w:r>
        <w:t>vozkm</w:t>
      </w:r>
      <w:proofErr w:type="spellEnd"/>
      <w:r>
        <w:t>, úsporný prázdninový režim a výluky na tratiach (napr. pri modernizácii električkovej trate do Dúbravky) znížili výdavky na trakčnú energiu o 2 166 tis. eur.</w:t>
      </w:r>
    </w:p>
    <w:p w14:paraId="045B62FF" w14:textId="77777777" w:rsidR="00563559" w:rsidRPr="003E2065" w:rsidRDefault="00563559" w:rsidP="003E2065">
      <w:pPr>
        <w:spacing w:after="120" w:line="240" w:lineRule="auto"/>
        <w:jc w:val="both"/>
        <w:rPr>
          <w:szCs w:val="22"/>
        </w:rPr>
      </w:pPr>
      <w:r>
        <w:t>Opačný trend mali dodatočne vyvolané náklady o 4 270 tis. eur na pomocný materiál, ochranné pracovné prostriedky, údržbu verejného osvetlenia, dezinfekciu  vozidiel a pracovných priestorov,  opravy a odstraňovanie havarijných stavov, právne a strážne služby, exekučné trovy zastavených starých exekúcií  a v neposlednom rade i medziročný rast miezd a poistného o </w:t>
      </w:r>
      <w:r w:rsidRPr="00432DAF">
        <w:t>sumu</w:t>
      </w:r>
      <w:r>
        <w:t> </w:t>
      </w:r>
      <w:r w:rsidRPr="00432DAF">
        <w:t>5</w:t>
      </w:r>
      <w:r>
        <w:t> </w:t>
      </w:r>
      <w:r w:rsidRPr="00432DAF">
        <w:t>955</w:t>
      </w:r>
      <w:r>
        <w:t> </w:t>
      </w:r>
      <w:r w:rsidRPr="00432DAF">
        <w:t>tis</w:t>
      </w:r>
      <w:r>
        <w:t xml:space="preserve">. eur eliminovali dosiahnutú </w:t>
      </w:r>
      <w:r w:rsidRPr="003E2065">
        <w:rPr>
          <w:szCs w:val="22"/>
        </w:rPr>
        <w:t xml:space="preserve">úsporu z prevádzkovej činnosti. </w:t>
      </w:r>
    </w:p>
    <w:p w14:paraId="40F184A3" w14:textId="77777777" w:rsidR="00563559" w:rsidRDefault="00563559" w:rsidP="003E2065">
      <w:pPr>
        <w:spacing w:after="120" w:line="240" w:lineRule="auto"/>
        <w:jc w:val="both"/>
      </w:pPr>
      <w:r w:rsidRPr="003E2065">
        <w:rPr>
          <w:szCs w:val="22"/>
        </w:rPr>
        <w:t>V</w:t>
      </w:r>
      <w:r w:rsidRPr="00483983">
        <w:rPr>
          <w:rFonts w:cs="Book Antiqua"/>
          <w:szCs w:val="22"/>
          <w:lang w:eastAsia="sk-SK"/>
        </w:rPr>
        <w:t xml:space="preserve">ýdavky na obstaranie kapitálových aktív dosiahli hodnotu 16 369 tis. eur, čo predstavuje medziročný nárast o 3 572 tis. eur. Najvyššie investičné výdavky v roku 2020 boli vynaložené na projekty financované z príspevkov EŠIF a spolufinancované zo ŠR na nákup </w:t>
      </w:r>
      <w:proofErr w:type="spellStart"/>
      <w:r w:rsidRPr="00483983">
        <w:rPr>
          <w:rFonts w:cs="Book Antiqua"/>
          <w:szCs w:val="22"/>
          <w:lang w:eastAsia="sk-SK"/>
        </w:rPr>
        <w:t>nízkopodlažných</w:t>
      </w:r>
      <w:proofErr w:type="spellEnd"/>
      <w:r w:rsidRPr="00483983">
        <w:rPr>
          <w:rFonts w:cs="Book Antiqua"/>
          <w:szCs w:val="22"/>
          <w:lang w:eastAsia="sk-SK"/>
        </w:rPr>
        <w:t xml:space="preserve"> a energeticky úsporných t</w:t>
      </w:r>
      <w:r>
        <w:rPr>
          <w:rFonts w:cs="Book Antiqua"/>
          <w:szCs w:val="22"/>
          <w:lang w:eastAsia="sk-SK"/>
        </w:rPr>
        <w:t>rolejbusov v Dopravnom podniku m</w:t>
      </w:r>
      <w:r w:rsidRPr="00483983">
        <w:rPr>
          <w:rFonts w:cs="Book Antiqua"/>
          <w:szCs w:val="22"/>
          <w:lang w:eastAsia="sk-SK"/>
        </w:rPr>
        <w:t>esta Žilin</w:t>
      </w:r>
      <w:r>
        <w:rPr>
          <w:rFonts w:cs="Book Antiqua"/>
          <w:szCs w:val="22"/>
          <w:lang w:eastAsia="sk-SK"/>
        </w:rPr>
        <w:t>y</w:t>
      </w:r>
      <w:r w:rsidRPr="00483983">
        <w:rPr>
          <w:rFonts w:cs="Book Antiqua"/>
          <w:szCs w:val="22"/>
          <w:lang w:eastAsia="sk-SK"/>
        </w:rPr>
        <w:t xml:space="preserve"> s.r.o. a v Dopravnom podniku </w:t>
      </w:r>
      <w:r>
        <w:rPr>
          <w:rFonts w:cs="Book Antiqua"/>
          <w:szCs w:val="22"/>
          <w:lang w:eastAsia="sk-SK"/>
        </w:rPr>
        <w:t>m</w:t>
      </w:r>
      <w:r w:rsidRPr="00483983">
        <w:rPr>
          <w:rFonts w:cs="Book Antiqua"/>
          <w:szCs w:val="22"/>
          <w:lang w:eastAsia="sk-SK"/>
        </w:rPr>
        <w:t xml:space="preserve">esta Prešov, a. s.,  na obnovu vozového parku a rekonštrukciu </w:t>
      </w:r>
      <w:r>
        <w:rPr>
          <w:rFonts w:cs="Book Antiqua"/>
          <w:szCs w:val="22"/>
          <w:lang w:eastAsia="sk-SK"/>
        </w:rPr>
        <w:t>e</w:t>
      </w:r>
      <w:r>
        <w:t>lektričkových tratí (ET Detvianska a ET Americké námestie)  v Dopravnom podniku Bratislava, a. s. a nákup autobusov v Dopravnom podniku mesta Považská Bystrica s.r.o.</w:t>
      </w:r>
    </w:p>
    <w:p w14:paraId="0C7A3D4E" w14:textId="77777777" w:rsidR="00563559" w:rsidRPr="00EA4978" w:rsidRDefault="00563559" w:rsidP="00563559">
      <w:pPr>
        <w:spacing w:after="120" w:line="240" w:lineRule="auto"/>
        <w:jc w:val="both"/>
      </w:pPr>
      <w:r w:rsidRPr="00810043">
        <w:t xml:space="preserve">ESA prebytok  pozitívne ovplyvnila zmena stavu záväzkov o 4 118 tis. eur (najväčší podiel na poklese mal DP Bratislava, a. s.), a to znížením záväzkov voči dodávateľom za dodávky materiálu, </w:t>
      </w:r>
      <w:r w:rsidRPr="00EA4978">
        <w:t xml:space="preserve">služieb, dlhodobých hmotných a nehmotných aktív a doúčtovanie odloženej dane. Na medziročnú zmenu salda mal vplyv aj pokles pohľadávok o 1 710 tis. eur, z toho najvyšší pokles zaznamenal DP Prešov a. s., ktorý prijal úhradu za pohľadávku z roku 2019 za doúčtovanie straty/ekonomicky oprávnených nákladov z výkonov vo verejnom záujme v zmysle zmlúv o výkonoch vo verejnom záujme v mestskej hromadnej doprave. </w:t>
      </w:r>
    </w:p>
    <w:p w14:paraId="488E95E1" w14:textId="77777777" w:rsidR="00563559" w:rsidRDefault="00563559" w:rsidP="00563559">
      <w:pPr>
        <w:keepNext/>
        <w:spacing w:after="120" w:line="240" w:lineRule="auto"/>
        <w:jc w:val="both"/>
        <w:rPr>
          <w:b/>
          <w:color w:val="0070C0"/>
          <w:sz w:val="24"/>
          <w:szCs w:val="24"/>
        </w:rPr>
      </w:pPr>
      <w:r w:rsidRPr="00B36CAE">
        <w:rPr>
          <w:b/>
          <w:color w:val="0070C0"/>
          <w:sz w:val="24"/>
          <w:szCs w:val="24"/>
        </w:rPr>
        <w:t>Fondy sociálneho zabezpečenia</w:t>
      </w:r>
    </w:p>
    <w:p w14:paraId="2118A997" w14:textId="77777777" w:rsidR="00563559" w:rsidRPr="003E2065" w:rsidRDefault="00563559" w:rsidP="003E2065">
      <w:pPr>
        <w:spacing w:after="120" w:line="240" w:lineRule="auto"/>
        <w:jc w:val="both"/>
        <w:rPr>
          <w:szCs w:val="22"/>
        </w:rPr>
      </w:pPr>
      <w:r w:rsidRPr="00966DBD">
        <w:rPr>
          <w:szCs w:val="22"/>
          <w:u w:val="single"/>
        </w:rPr>
        <w:t>Sociálna poisťovňa</w:t>
      </w:r>
      <w:r w:rsidRPr="00966DBD">
        <w:rPr>
          <w:szCs w:val="22"/>
        </w:rPr>
        <w:t xml:space="preserve"> dosiahla v roku 2020 prebytok vo výške 222 488 tis. eur a zlepšila si hospodárenie </w:t>
      </w:r>
      <w:r>
        <w:rPr>
          <w:szCs w:val="22"/>
        </w:rPr>
        <w:t>oproti roku 2019 o 172 136 tis. </w:t>
      </w:r>
      <w:r w:rsidRPr="00966DBD">
        <w:rPr>
          <w:szCs w:val="22"/>
        </w:rPr>
        <w:t xml:space="preserve">eur. </w:t>
      </w:r>
      <w:r w:rsidRPr="001F3283">
        <w:t xml:space="preserve">V </w:t>
      </w:r>
      <w:r w:rsidRPr="001F3283">
        <w:rPr>
          <w:szCs w:val="22"/>
        </w:rPr>
        <w:t xml:space="preserve">roku 2020 sa v hotovostnom vyjadrení vybralo na príjmoch </w:t>
      </w:r>
      <w:r>
        <w:rPr>
          <w:szCs w:val="22"/>
        </w:rPr>
        <w:t>na </w:t>
      </w:r>
      <w:r w:rsidRPr="001F3283">
        <w:rPr>
          <w:szCs w:val="22"/>
        </w:rPr>
        <w:t>poistnom o 120 377 tis. eur viac ako v predchádzajúcom roku. Tieto príjmy pozitívne ovplyvnila</w:t>
      </w:r>
      <w:r>
        <w:rPr>
          <w:szCs w:val="22"/>
        </w:rPr>
        <w:t xml:space="preserve"> hlavne odplata za pohľadávky z </w:t>
      </w:r>
      <w:r w:rsidRPr="001F3283">
        <w:rPr>
          <w:szCs w:val="22"/>
        </w:rPr>
        <w:t xml:space="preserve">poistného voči zdravotníckym zariadeniam postúpené na štátnu spoločnosť </w:t>
      </w:r>
      <w:proofErr w:type="spellStart"/>
      <w:r w:rsidRPr="001F3283">
        <w:rPr>
          <w:szCs w:val="22"/>
        </w:rPr>
        <w:t>Debitum</w:t>
      </w:r>
      <w:proofErr w:type="spellEnd"/>
      <w:r w:rsidRPr="001F3283">
        <w:rPr>
          <w:szCs w:val="22"/>
        </w:rPr>
        <w:t xml:space="preserve">, a. s. v sume 109 331 tis. eur. Išlo o vplyv </w:t>
      </w:r>
      <w:r>
        <w:rPr>
          <w:szCs w:val="22"/>
        </w:rPr>
        <w:t>posledn</w:t>
      </w:r>
      <w:r w:rsidRPr="001F3283">
        <w:rPr>
          <w:szCs w:val="22"/>
        </w:rPr>
        <w:t>ej etapy oddlžovania v súlade s Koncepciou oddlženia zdravotníckych zariadení</w:t>
      </w:r>
      <w:r>
        <w:rPr>
          <w:szCs w:val="22"/>
        </w:rPr>
        <w:t>.</w:t>
      </w:r>
      <w:r w:rsidRPr="001F3283">
        <w:t xml:space="preserve"> </w:t>
      </w:r>
      <w:r w:rsidRPr="00AD4EF1">
        <w:t xml:space="preserve">Výšku hotovostného </w:t>
      </w:r>
      <w:r>
        <w:t>prebytku významne ovplyvnil transfer</w:t>
      </w:r>
      <w:r w:rsidRPr="00AD4EF1">
        <w:t xml:space="preserve">, </w:t>
      </w:r>
      <w:r>
        <w:t>ktorý</w:t>
      </w:r>
      <w:r w:rsidRPr="00AD4EF1">
        <w:t xml:space="preserve"> Sociálna poisťovňa v roku 2020 prijala zo štátneho rozpočtu SR</w:t>
      </w:r>
      <w:r>
        <w:t xml:space="preserve"> vo výške </w:t>
      </w:r>
      <w:r>
        <w:rPr>
          <w:szCs w:val="22"/>
        </w:rPr>
        <w:t>969 865</w:t>
      </w:r>
      <w:r w:rsidRPr="00AD4EF1">
        <w:rPr>
          <w:szCs w:val="22"/>
        </w:rPr>
        <w:t> tis. eur</w:t>
      </w:r>
      <w:r w:rsidRPr="00AD4EF1">
        <w:t xml:space="preserve"> </w:t>
      </w:r>
      <w:r w:rsidRPr="00AD4EF1">
        <w:rPr>
          <w:szCs w:val="22"/>
        </w:rPr>
        <w:t>(</w:t>
      </w:r>
      <w:r>
        <w:rPr>
          <w:szCs w:val="22"/>
        </w:rPr>
        <w:t>v </w:t>
      </w:r>
      <w:r w:rsidRPr="00AD4EF1">
        <w:rPr>
          <w:szCs w:val="22"/>
        </w:rPr>
        <w:t>roku 20</w:t>
      </w:r>
      <w:r>
        <w:rPr>
          <w:szCs w:val="22"/>
        </w:rPr>
        <w:t>19</w:t>
      </w:r>
      <w:r w:rsidRPr="00AD4EF1">
        <w:rPr>
          <w:szCs w:val="22"/>
        </w:rPr>
        <w:t xml:space="preserve"> </w:t>
      </w:r>
      <w:r>
        <w:rPr>
          <w:szCs w:val="22"/>
        </w:rPr>
        <w:t>nebol poskytnutý žiadny transfer zo štátneho rozpočtu.</w:t>
      </w:r>
      <w:r w:rsidRPr="00AD4EF1">
        <w:rPr>
          <w:szCs w:val="22"/>
        </w:rPr>
        <w:t>)</w:t>
      </w:r>
      <w:r>
        <w:rPr>
          <w:szCs w:val="22"/>
        </w:rPr>
        <w:t xml:space="preserve"> </w:t>
      </w:r>
      <w:r w:rsidRPr="007B17C5">
        <w:rPr>
          <w:szCs w:val="22"/>
        </w:rPr>
        <w:t xml:space="preserve">na zabezpečenie platobnej schopnosti Sociálnej poisťovne z dôvodu </w:t>
      </w:r>
      <w:r>
        <w:rPr>
          <w:szCs w:val="22"/>
        </w:rPr>
        <w:t>nižšieho výberu poistného na sociálnom poistení ako sa predpokladalo.</w:t>
      </w:r>
      <w:r w:rsidRPr="003E2065">
        <w:rPr>
          <w:szCs w:val="22"/>
        </w:rPr>
        <w:t xml:space="preserve"> </w:t>
      </w:r>
    </w:p>
    <w:p w14:paraId="4A2EB8F5" w14:textId="77777777" w:rsidR="00563559" w:rsidRPr="00146CC2" w:rsidRDefault="00563559" w:rsidP="003E2065">
      <w:pPr>
        <w:spacing w:after="120" w:line="240" w:lineRule="auto"/>
        <w:jc w:val="both"/>
        <w:rPr>
          <w:szCs w:val="22"/>
        </w:rPr>
      </w:pPr>
      <w:r w:rsidRPr="003E2065">
        <w:rPr>
          <w:szCs w:val="22"/>
        </w:rPr>
        <w:t>A</w:t>
      </w:r>
      <w:r w:rsidRPr="0090534C">
        <w:t>j napriek vyšším príjmom na poistnom, dosiahla Sociálna poisťovňa vyššie čerpanie výdavkov zo sociálneho poistenia</w:t>
      </w:r>
      <w:r>
        <w:t>, ktoré súviselo</w:t>
      </w:r>
      <w:r w:rsidRPr="0090534C">
        <w:t xml:space="preserve"> </w:t>
      </w:r>
      <w:r>
        <w:t xml:space="preserve">predovšetkým </w:t>
      </w:r>
      <w:r w:rsidRPr="0090534C">
        <w:t>s</w:t>
      </w:r>
      <w:r w:rsidRPr="0090534C">
        <w:rPr>
          <w:szCs w:val="22"/>
        </w:rPr>
        <w:t> pandémiou COVID-19 (</w:t>
      </w:r>
      <w:proofErr w:type="spellStart"/>
      <w:r w:rsidRPr="0090534C">
        <w:rPr>
          <w:szCs w:val="22"/>
        </w:rPr>
        <w:t>pandemické</w:t>
      </w:r>
      <w:proofErr w:type="spellEnd"/>
      <w:r w:rsidRPr="0090534C">
        <w:rPr>
          <w:szCs w:val="22"/>
        </w:rPr>
        <w:t xml:space="preserve"> nemocenské dávky, ošetrovné a dávky v nezamestnanosti)</w:t>
      </w:r>
      <w:r>
        <w:rPr>
          <w:szCs w:val="22"/>
        </w:rPr>
        <w:t xml:space="preserve"> a taktiež aj s valorizáciou dôchodkových dávok a vyplatením 13. dôchodkov</w:t>
      </w:r>
      <w:r w:rsidRPr="0090534C">
        <w:rPr>
          <w:szCs w:val="22"/>
        </w:rPr>
        <w:t xml:space="preserve">. Výdavky poistenia </w:t>
      </w:r>
      <w:r>
        <w:rPr>
          <w:szCs w:val="22"/>
        </w:rPr>
        <w:t xml:space="preserve">teda </w:t>
      </w:r>
      <w:r w:rsidRPr="0090534C">
        <w:rPr>
          <w:szCs w:val="22"/>
        </w:rPr>
        <w:t>v roku 2020 prestavovali sumu 9 182 686 tis. eur, čo bolo o</w:t>
      </w:r>
      <w:r>
        <w:rPr>
          <w:szCs w:val="22"/>
        </w:rPr>
        <w:t> </w:t>
      </w:r>
      <w:r w:rsidRPr="0090534C">
        <w:rPr>
          <w:szCs w:val="22"/>
        </w:rPr>
        <w:t>7</w:t>
      </w:r>
      <w:r>
        <w:rPr>
          <w:szCs w:val="22"/>
        </w:rPr>
        <w:t>99 </w:t>
      </w:r>
      <w:r w:rsidRPr="0090534C">
        <w:rPr>
          <w:szCs w:val="22"/>
        </w:rPr>
        <w:t>935 tis. eur viac ako v predchádzajúcom roku</w:t>
      </w:r>
      <w:r>
        <w:rPr>
          <w:szCs w:val="22"/>
        </w:rPr>
        <w:t xml:space="preserve"> (z toho nemocenské dávky a dávky v nezamestnanosti</w:t>
      </w:r>
      <w:r w:rsidRPr="00286D14">
        <w:rPr>
          <w:szCs w:val="22"/>
        </w:rPr>
        <w:t xml:space="preserve"> </w:t>
      </w:r>
      <w:r>
        <w:rPr>
          <w:szCs w:val="22"/>
        </w:rPr>
        <w:t>boli vyplatené o 398 832 tis. eur viac ako v roku 2019 a dôchodkové dávky zo starobného poistenia o 376 144 tis. eur viac ako v roku 2019)</w:t>
      </w:r>
      <w:r w:rsidRPr="0090534C">
        <w:rPr>
          <w:szCs w:val="22"/>
        </w:rPr>
        <w:t>.</w:t>
      </w:r>
      <w:r w:rsidRPr="00962E64">
        <w:rPr>
          <w:sz w:val="24"/>
          <w:szCs w:val="24"/>
        </w:rPr>
        <w:t xml:space="preserve"> </w:t>
      </w:r>
      <w:r>
        <w:rPr>
          <w:sz w:val="24"/>
          <w:szCs w:val="24"/>
        </w:rPr>
        <w:t xml:space="preserve"> </w:t>
      </w:r>
      <w:r w:rsidRPr="00146CC2">
        <w:rPr>
          <w:szCs w:val="22"/>
        </w:rPr>
        <w:t xml:space="preserve">Toto výrazne zvýšenie vyplatených dávok bolo kryté hlavne z prijatého transferu zo štátneho rozpočtu SR, ktorý bol poskytnutý </w:t>
      </w:r>
      <w:r>
        <w:rPr>
          <w:szCs w:val="22"/>
        </w:rPr>
        <w:t>v súvislosti s </w:t>
      </w:r>
      <w:proofErr w:type="spellStart"/>
      <w:r>
        <w:rPr>
          <w:szCs w:val="22"/>
        </w:rPr>
        <w:t>pandemickou</w:t>
      </w:r>
      <w:proofErr w:type="spellEnd"/>
      <w:r>
        <w:rPr>
          <w:szCs w:val="22"/>
        </w:rPr>
        <w:t xml:space="preserve"> situáciou a vyplácaním mimoriadnych dávok (napr. </w:t>
      </w:r>
      <w:proofErr w:type="spellStart"/>
      <w:r>
        <w:rPr>
          <w:szCs w:val="22"/>
        </w:rPr>
        <w:t>pandemické</w:t>
      </w:r>
      <w:proofErr w:type="spellEnd"/>
      <w:r>
        <w:rPr>
          <w:szCs w:val="22"/>
        </w:rPr>
        <w:t xml:space="preserve"> nemocenské, </w:t>
      </w:r>
      <w:proofErr w:type="spellStart"/>
      <w:r>
        <w:rPr>
          <w:szCs w:val="22"/>
        </w:rPr>
        <w:t>pandemické</w:t>
      </w:r>
      <w:proofErr w:type="spellEnd"/>
      <w:r>
        <w:rPr>
          <w:szCs w:val="22"/>
        </w:rPr>
        <w:t xml:space="preserve"> ošetrovné a pod.)</w:t>
      </w:r>
    </w:p>
    <w:p w14:paraId="7D7A6432" w14:textId="77777777" w:rsidR="00563559" w:rsidRPr="003E2065" w:rsidRDefault="00563559" w:rsidP="003E2065">
      <w:pPr>
        <w:spacing w:after="120" w:line="240" w:lineRule="auto"/>
        <w:jc w:val="both"/>
        <w:rPr>
          <w:szCs w:val="22"/>
        </w:rPr>
      </w:pPr>
      <w:proofErr w:type="spellStart"/>
      <w:r>
        <w:rPr>
          <w:szCs w:val="22"/>
        </w:rPr>
        <w:t>A</w:t>
      </w:r>
      <w:r w:rsidRPr="00962E64">
        <w:rPr>
          <w:szCs w:val="22"/>
        </w:rPr>
        <w:t>krualizácia</w:t>
      </w:r>
      <w:proofErr w:type="spellEnd"/>
      <w:r w:rsidRPr="00962E64">
        <w:rPr>
          <w:szCs w:val="22"/>
        </w:rPr>
        <w:t xml:space="preserve"> hotovostného výdavku z dôchodkových dávok</w:t>
      </w:r>
      <w:r w:rsidRPr="00AC5D74">
        <w:rPr>
          <w:szCs w:val="22"/>
          <w:vertAlign w:val="superscript"/>
        </w:rPr>
        <w:footnoteReference w:id="11"/>
      </w:r>
      <w:r>
        <w:rPr>
          <w:szCs w:val="22"/>
        </w:rPr>
        <w:t xml:space="preserve"> mala v porovnaní s predchádzajúcim rokom pozitívny vplyv o 67 883 tis. eur. </w:t>
      </w:r>
      <w:r w:rsidRPr="00962E64">
        <w:t xml:space="preserve">Najväčší </w:t>
      </w:r>
      <w:r>
        <w:t xml:space="preserve">pozitívny </w:t>
      </w:r>
      <w:r w:rsidRPr="00962E64">
        <w:t xml:space="preserve">vplyv na ESA prebytok </w:t>
      </w:r>
      <w:r>
        <w:t xml:space="preserve">mala </w:t>
      </w:r>
      <w:proofErr w:type="spellStart"/>
      <w:r>
        <w:t>imputácia</w:t>
      </w:r>
      <w:proofErr w:type="spellEnd"/>
      <w:r>
        <w:t xml:space="preserve"> </w:t>
      </w:r>
      <w:r w:rsidRPr="00962E64">
        <w:t xml:space="preserve">pohľadávok </w:t>
      </w:r>
      <w:r w:rsidRPr="00962E64">
        <w:lastRenderedPageBreak/>
        <w:t>na poistnom voči zdravotníckym zariadeniam vo</w:t>
      </w:r>
      <w:r>
        <w:t> </w:t>
      </w:r>
      <w:r w:rsidRPr="00962E64">
        <w:t>výške 109 310 tis. eur (oproti roku 2019 došlo k poklesu o 36</w:t>
      </w:r>
      <w:r>
        <w:t> 723 tis. </w:t>
      </w:r>
      <w:r w:rsidRPr="00962E64">
        <w:t>eur)</w:t>
      </w:r>
      <w:r>
        <w:t xml:space="preserve"> a </w:t>
      </w:r>
      <w:r w:rsidRPr="00962E64">
        <w:t>akruálne</w:t>
      </w:r>
      <w:r>
        <w:t xml:space="preserve"> zaznamenanie</w:t>
      </w:r>
      <w:r w:rsidRPr="00962E64">
        <w:t xml:space="preserve"> poistného vo výške </w:t>
      </w:r>
      <w:r>
        <w:t>67 </w:t>
      </w:r>
      <w:r w:rsidRPr="00962E64">
        <w:t xml:space="preserve">518 tis. eur (oproti roku 2019 došlo </w:t>
      </w:r>
      <w:r w:rsidRPr="003E2065">
        <w:rPr>
          <w:szCs w:val="22"/>
        </w:rPr>
        <w:t xml:space="preserve">k nárastu o 40 307 tis. eur). </w:t>
      </w:r>
    </w:p>
    <w:p w14:paraId="5B62C028" w14:textId="77777777" w:rsidR="00563559" w:rsidRPr="00E402F9" w:rsidRDefault="00563559" w:rsidP="00563559">
      <w:pPr>
        <w:spacing w:after="120" w:line="240" w:lineRule="auto"/>
        <w:jc w:val="both"/>
        <w:rPr>
          <w:highlight w:val="cyan"/>
        </w:rPr>
      </w:pPr>
      <w:r w:rsidRPr="00C533A7">
        <w:rPr>
          <w:szCs w:val="22"/>
        </w:rPr>
        <w:t>Pozitívny vplyv na hotovostný prebytok</w:t>
      </w:r>
      <w:r>
        <w:rPr>
          <w:szCs w:val="22"/>
        </w:rPr>
        <w:t xml:space="preserve"> (t. j. prijatá odplata zo štátnych finančných aktív prostredníctvom </w:t>
      </w:r>
      <w:proofErr w:type="spellStart"/>
      <w:r>
        <w:rPr>
          <w:szCs w:val="22"/>
        </w:rPr>
        <w:t>Debitum</w:t>
      </w:r>
      <w:proofErr w:type="spellEnd"/>
      <w:r>
        <w:rPr>
          <w:szCs w:val="22"/>
        </w:rPr>
        <w:t xml:space="preserve">, </w:t>
      </w:r>
      <w:proofErr w:type="spellStart"/>
      <w:r>
        <w:rPr>
          <w:szCs w:val="22"/>
        </w:rPr>
        <w:t>a.s</w:t>
      </w:r>
      <w:proofErr w:type="spellEnd"/>
      <w:r>
        <w:rPr>
          <w:szCs w:val="22"/>
        </w:rPr>
        <w:t>.)</w:t>
      </w:r>
      <w:r w:rsidRPr="00C533A7">
        <w:rPr>
          <w:szCs w:val="22"/>
        </w:rPr>
        <w:t xml:space="preserve"> bol kompenzovaný negatívnym vplyvom poklesu pohľadávok na</w:t>
      </w:r>
      <w:r>
        <w:rPr>
          <w:szCs w:val="22"/>
        </w:rPr>
        <w:t> </w:t>
      </w:r>
      <w:r w:rsidRPr="00C533A7">
        <w:rPr>
          <w:szCs w:val="22"/>
        </w:rPr>
        <w:t>poistnom z titulu oddlže</w:t>
      </w:r>
      <w:r>
        <w:rPr>
          <w:szCs w:val="22"/>
        </w:rPr>
        <w:t>nia zdravotníckych zariadení vo výške 168 775 </w:t>
      </w:r>
      <w:r w:rsidRPr="00C533A7">
        <w:rPr>
          <w:szCs w:val="22"/>
        </w:rPr>
        <w:t>tis.</w:t>
      </w:r>
      <w:r>
        <w:rPr>
          <w:szCs w:val="22"/>
        </w:rPr>
        <w:t> </w:t>
      </w:r>
      <w:r w:rsidRPr="00C533A7">
        <w:rPr>
          <w:szCs w:val="22"/>
        </w:rPr>
        <w:t>eur</w:t>
      </w:r>
      <w:r>
        <w:rPr>
          <w:szCs w:val="22"/>
        </w:rPr>
        <w:t xml:space="preserve"> (v roku 2019 nedošlo k realizácií oddlženia a odkúpenie pohľadávok prostredníctvom </w:t>
      </w:r>
      <w:proofErr w:type="spellStart"/>
      <w:r>
        <w:rPr>
          <w:szCs w:val="22"/>
        </w:rPr>
        <w:t>Debitum</w:t>
      </w:r>
      <w:proofErr w:type="spellEnd"/>
      <w:r>
        <w:rPr>
          <w:szCs w:val="22"/>
        </w:rPr>
        <w:t>, a. s. sa uskutočnilo až v roku 2020)</w:t>
      </w:r>
      <w:r w:rsidRPr="00C533A7">
        <w:rPr>
          <w:szCs w:val="22"/>
        </w:rPr>
        <w:t>.</w:t>
      </w:r>
      <w:r>
        <w:rPr>
          <w:szCs w:val="22"/>
        </w:rPr>
        <w:t xml:space="preserve"> </w:t>
      </w:r>
      <w:r w:rsidRPr="00860E51">
        <w:rPr>
          <w:szCs w:val="22"/>
        </w:rPr>
        <w:t>Vplyv oddlžovania jednotlivých subjektov verejnej správy zapojených do procesu oddlžovania mal na celkové hospodárenie verejnej správy neutrálny vplyv v každom vykázanom roku.</w:t>
      </w:r>
    </w:p>
    <w:p w14:paraId="7672B13E" w14:textId="77777777" w:rsidR="00563559" w:rsidRDefault="00563559" w:rsidP="003E2065">
      <w:pPr>
        <w:spacing w:after="120" w:line="240" w:lineRule="auto"/>
        <w:jc w:val="both"/>
        <w:rPr>
          <w:szCs w:val="22"/>
        </w:rPr>
      </w:pPr>
      <w:r>
        <w:rPr>
          <w:szCs w:val="22"/>
          <w:u w:val="single"/>
        </w:rPr>
        <w:t>V</w:t>
      </w:r>
      <w:r w:rsidRPr="00336A17">
        <w:rPr>
          <w:szCs w:val="22"/>
          <w:u w:val="single"/>
        </w:rPr>
        <w:t>erejné zdravotné poisteni</w:t>
      </w:r>
      <w:r>
        <w:rPr>
          <w:szCs w:val="22"/>
          <w:u w:val="single"/>
        </w:rPr>
        <w:t>e</w:t>
      </w:r>
      <w:r w:rsidRPr="00336A17">
        <w:rPr>
          <w:rStyle w:val="Odkaznapoznmkupodiarou"/>
          <w:szCs w:val="22"/>
        </w:rPr>
        <w:footnoteReference w:id="12"/>
      </w:r>
      <w:r w:rsidRPr="00336A17">
        <w:rPr>
          <w:szCs w:val="22"/>
        </w:rPr>
        <w:t xml:space="preserve"> dosiahl</w:t>
      </w:r>
      <w:r>
        <w:rPr>
          <w:szCs w:val="22"/>
        </w:rPr>
        <w:t>o</w:t>
      </w:r>
      <w:r w:rsidRPr="00336A17">
        <w:rPr>
          <w:szCs w:val="22"/>
        </w:rPr>
        <w:t xml:space="preserve"> prebytok v hodnote 127 292 tis. eur. V porovnaní s predchádzajúcim rokom došlo k miernemu zlepšeniu hospodárenia o 7 100 tis. eur. </w:t>
      </w:r>
      <w:r w:rsidRPr="003D4C08">
        <w:rPr>
          <w:szCs w:val="22"/>
        </w:rPr>
        <w:t>V roku 20</w:t>
      </w:r>
      <w:r>
        <w:rPr>
          <w:szCs w:val="22"/>
        </w:rPr>
        <w:t>20 sa vybralo na </w:t>
      </w:r>
      <w:r w:rsidRPr="003D4C08">
        <w:rPr>
          <w:szCs w:val="22"/>
        </w:rPr>
        <w:t>príjmoch z odvodov v hotovostnom vyjadrení o</w:t>
      </w:r>
      <w:r>
        <w:rPr>
          <w:szCs w:val="22"/>
        </w:rPr>
        <w:t> 50 734</w:t>
      </w:r>
      <w:r w:rsidRPr="003D4C08">
        <w:rPr>
          <w:szCs w:val="22"/>
        </w:rPr>
        <w:t> tis. eur viac ako v predchádzajúcom roku</w:t>
      </w:r>
      <w:r>
        <w:rPr>
          <w:szCs w:val="22"/>
        </w:rPr>
        <w:t xml:space="preserve"> (z toho Všeobecná zdravotná poisťovňa, a. s. zaznamenala pokles o 113 004 tis. eur)</w:t>
      </w:r>
      <w:r w:rsidRPr="003D4C08">
        <w:rPr>
          <w:szCs w:val="22"/>
        </w:rPr>
        <w:t xml:space="preserve">. </w:t>
      </w:r>
      <w:r w:rsidRPr="008E3F0C">
        <w:rPr>
          <w:color w:val="000000"/>
          <w:szCs w:val="22"/>
          <w:lang w:eastAsia="sk-SK"/>
        </w:rPr>
        <w:t>Výdavky verejného zdravotného poistenia na zdravotnú starostlivosť poskytnut</w:t>
      </w:r>
      <w:r>
        <w:rPr>
          <w:color w:val="000000"/>
          <w:szCs w:val="22"/>
          <w:lang w:eastAsia="sk-SK"/>
        </w:rPr>
        <w:t>é</w:t>
      </w:r>
      <w:r w:rsidRPr="008E3F0C">
        <w:rPr>
          <w:color w:val="000000"/>
          <w:szCs w:val="22"/>
          <w:lang w:eastAsia="sk-SK"/>
        </w:rPr>
        <w:t xml:space="preserve"> zdravotníckym zariadeniam </w:t>
      </w:r>
      <w:r w:rsidRPr="008E3F0C">
        <w:rPr>
          <w:szCs w:val="22"/>
        </w:rPr>
        <w:t>boli o</w:t>
      </w:r>
      <w:r>
        <w:rPr>
          <w:szCs w:val="22"/>
        </w:rPr>
        <w:t> 79 053 </w:t>
      </w:r>
      <w:r w:rsidRPr="008E3F0C">
        <w:rPr>
          <w:szCs w:val="22"/>
        </w:rPr>
        <w:t>tis. eur</w:t>
      </w:r>
      <w:r>
        <w:rPr>
          <w:szCs w:val="22"/>
        </w:rPr>
        <w:t xml:space="preserve"> vyššie v porovnaní s predchádzajúcim rokom</w:t>
      </w:r>
      <w:r w:rsidRPr="008E3F0C">
        <w:rPr>
          <w:szCs w:val="22"/>
        </w:rPr>
        <w:t>.</w:t>
      </w:r>
    </w:p>
    <w:p w14:paraId="29069B40" w14:textId="77777777" w:rsidR="00563559" w:rsidRDefault="00563559" w:rsidP="003E2065">
      <w:pPr>
        <w:spacing w:after="120" w:line="240" w:lineRule="auto"/>
        <w:jc w:val="both"/>
        <w:rPr>
          <w:sz w:val="24"/>
          <w:szCs w:val="24"/>
        </w:rPr>
      </w:pPr>
      <w:r>
        <w:rPr>
          <w:szCs w:val="22"/>
        </w:rPr>
        <w:t xml:space="preserve">V najväčšej zdravotnej poisťovni - Všeobecnej zdravotnej poisťovni, a. s. došlo k medziročnému poklesu príjmov z odvodov, ktoré súviselo s významným úbytkom poistencov a </w:t>
      </w:r>
      <w:proofErr w:type="spellStart"/>
      <w:r>
        <w:rPr>
          <w:szCs w:val="22"/>
        </w:rPr>
        <w:t>pandemickou</w:t>
      </w:r>
      <w:proofErr w:type="spellEnd"/>
      <w:r>
        <w:rPr>
          <w:szCs w:val="22"/>
        </w:rPr>
        <w:t xml:space="preserve"> situáciou (zvýšená práceneschopnosť a OČR, pokles úspešnosti výberu poistného za ekonomicky aktívne obyvateľstvo) a taktiež aj k nižšiemu </w:t>
      </w:r>
      <w:r w:rsidRPr="00017E87">
        <w:rPr>
          <w:szCs w:val="22"/>
        </w:rPr>
        <w:t>čerpaniu výdavkov na zdravotnú starostlivosť</w:t>
      </w:r>
      <w:r>
        <w:rPr>
          <w:szCs w:val="22"/>
        </w:rPr>
        <w:t>, ktoré súviselo so </w:t>
      </w:r>
      <w:r w:rsidRPr="00017E87">
        <w:rPr>
          <w:szCs w:val="22"/>
        </w:rPr>
        <w:t xml:space="preserve">zhoršujúcou sa </w:t>
      </w:r>
      <w:proofErr w:type="spellStart"/>
      <w:r w:rsidRPr="00017E87">
        <w:rPr>
          <w:szCs w:val="22"/>
        </w:rPr>
        <w:t>pandemickou</w:t>
      </w:r>
      <w:proofErr w:type="spellEnd"/>
      <w:r w:rsidRPr="00017E87">
        <w:rPr>
          <w:szCs w:val="22"/>
        </w:rPr>
        <w:t xml:space="preserve"> situáciou (poskytovanie </w:t>
      </w:r>
      <w:r>
        <w:rPr>
          <w:szCs w:val="22"/>
        </w:rPr>
        <w:t>v prvom rade</w:t>
      </w:r>
      <w:r w:rsidRPr="00017E87">
        <w:rPr>
          <w:szCs w:val="22"/>
        </w:rPr>
        <w:t xml:space="preserve"> neodkladnej zdravotnej starostlivosti a plánované výkony boli pozastavené).</w:t>
      </w:r>
      <w:r>
        <w:rPr>
          <w:szCs w:val="22"/>
        </w:rPr>
        <w:t xml:space="preserve"> </w:t>
      </w:r>
      <w:r>
        <w:rPr>
          <w:sz w:val="24"/>
          <w:szCs w:val="24"/>
        </w:rPr>
        <w:t xml:space="preserve"> </w:t>
      </w:r>
    </w:p>
    <w:p w14:paraId="7D7EA64F" w14:textId="77777777" w:rsidR="00563559" w:rsidRDefault="00563559" w:rsidP="003E2065">
      <w:pPr>
        <w:spacing w:after="120" w:line="240" w:lineRule="auto"/>
        <w:jc w:val="both"/>
        <w:rPr>
          <w:szCs w:val="22"/>
        </w:rPr>
      </w:pPr>
      <w:r w:rsidRPr="00017E87">
        <w:rPr>
          <w:szCs w:val="22"/>
        </w:rPr>
        <w:t>Fondy verejného zdravotného poistenia aj napriek hotovostnému</w:t>
      </w:r>
      <w:r w:rsidRPr="008E3F0C">
        <w:rPr>
          <w:szCs w:val="22"/>
        </w:rPr>
        <w:t xml:space="preserve"> schodku zaznamenali vyšší ESA prebytok. </w:t>
      </w:r>
      <w:r w:rsidRPr="00555DF8">
        <w:rPr>
          <w:szCs w:val="22"/>
        </w:rPr>
        <w:t>Najväčší pozitívny vplyv predstavoval transfer V</w:t>
      </w:r>
      <w:r>
        <w:rPr>
          <w:szCs w:val="22"/>
        </w:rPr>
        <w:t>šeobecnej zdravotnej poisťovni, a. s. poskytnutý zo ŠFA formou vkladu do základného imania vo </w:t>
      </w:r>
      <w:r w:rsidRPr="00555DF8">
        <w:rPr>
          <w:szCs w:val="22"/>
        </w:rPr>
        <w:t>výške 198 000 tis. eur</w:t>
      </w:r>
      <w:r>
        <w:rPr>
          <w:rStyle w:val="Odkaznapoznmkupodiarou"/>
          <w:szCs w:val="22"/>
        </w:rPr>
        <w:footnoteReference w:id="13"/>
      </w:r>
      <w:r>
        <w:rPr>
          <w:szCs w:val="22"/>
        </w:rPr>
        <w:t xml:space="preserve"> (v roku 2019 sa takýto transfer nerealizoval)</w:t>
      </w:r>
      <w:r w:rsidRPr="00555DF8">
        <w:rPr>
          <w:szCs w:val="22"/>
        </w:rPr>
        <w:t xml:space="preserve">. </w:t>
      </w:r>
      <w:proofErr w:type="spellStart"/>
      <w:r w:rsidRPr="008E3F0C">
        <w:rPr>
          <w:szCs w:val="22"/>
        </w:rPr>
        <w:t>Akrualizácia</w:t>
      </w:r>
      <w:proofErr w:type="spellEnd"/>
      <w:r w:rsidRPr="008E3F0C">
        <w:rPr>
          <w:szCs w:val="22"/>
        </w:rPr>
        <w:t xml:space="preserve"> poistného predstavovala pozitívny vplyv vo výške 2 387 tis. eur, avšak v porovnaní s predchádzajúcim rokom došlo k poklesu o 17</w:t>
      </w:r>
      <w:r>
        <w:rPr>
          <w:szCs w:val="22"/>
        </w:rPr>
        <w:t> 708 tis. </w:t>
      </w:r>
      <w:r w:rsidRPr="008E3F0C">
        <w:rPr>
          <w:szCs w:val="22"/>
        </w:rPr>
        <w:t>eur.</w:t>
      </w:r>
      <w:r w:rsidRPr="003E2065">
        <w:rPr>
          <w:szCs w:val="22"/>
        </w:rPr>
        <w:t xml:space="preserve"> </w:t>
      </w:r>
    </w:p>
    <w:p w14:paraId="7EBF3083" w14:textId="77777777" w:rsidR="00563559" w:rsidRDefault="00563559" w:rsidP="003E2065">
      <w:pPr>
        <w:spacing w:after="120" w:line="240" w:lineRule="auto"/>
        <w:jc w:val="both"/>
        <w:rPr>
          <w:szCs w:val="22"/>
        </w:rPr>
      </w:pPr>
      <w:r>
        <w:rPr>
          <w:szCs w:val="22"/>
        </w:rPr>
        <w:t xml:space="preserve">Ďalší pozitívny vplyv </w:t>
      </w:r>
      <w:r w:rsidRPr="008E3F0C">
        <w:rPr>
          <w:szCs w:val="22"/>
        </w:rPr>
        <w:t>mal nárast pohľadávok v roku 2020 o</w:t>
      </w:r>
      <w:r>
        <w:rPr>
          <w:szCs w:val="22"/>
        </w:rPr>
        <w:t> </w:t>
      </w:r>
      <w:r w:rsidRPr="008E3F0C">
        <w:rPr>
          <w:szCs w:val="22"/>
        </w:rPr>
        <w:t>32</w:t>
      </w:r>
      <w:r>
        <w:rPr>
          <w:szCs w:val="22"/>
        </w:rPr>
        <w:t> </w:t>
      </w:r>
      <w:r w:rsidRPr="008E3F0C">
        <w:rPr>
          <w:szCs w:val="22"/>
        </w:rPr>
        <w:t>456 tis. eur (v roku 2019 došlo k nárastu</w:t>
      </w:r>
      <w:r>
        <w:rPr>
          <w:szCs w:val="22"/>
        </w:rPr>
        <w:t xml:space="preserve"> pohľadávok </w:t>
      </w:r>
      <w:r w:rsidRPr="008E3F0C">
        <w:rPr>
          <w:szCs w:val="22"/>
        </w:rPr>
        <w:t xml:space="preserve">o 41 636 tis. eur). </w:t>
      </w:r>
      <w:r>
        <w:rPr>
          <w:szCs w:val="22"/>
        </w:rPr>
        <w:t xml:space="preserve">Nárast v roku 2020 predstavovali najmä </w:t>
      </w:r>
      <w:r w:rsidRPr="00F43A82">
        <w:rPr>
          <w:szCs w:val="22"/>
        </w:rPr>
        <w:t>ostatné pohľadávky 35 359 tis. eur a pohľadávky voči Úradu pre dohľad nad zdravotnou starostlivosťou o 10 057 tis. eur). Nárast ostatných pohľadávok vo V</w:t>
      </w:r>
      <w:r>
        <w:rPr>
          <w:szCs w:val="22"/>
        </w:rPr>
        <w:t>šeobecnej zdravotnej poisťovni, </w:t>
      </w:r>
      <w:r w:rsidRPr="00F43A82">
        <w:rPr>
          <w:szCs w:val="22"/>
        </w:rPr>
        <w:t>a. s. súvis</w:t>
      </w:r>
      <w:r>
        <w:rPr>
          <w:szCs w:val="22"/>
        </w:rPr>
        <w:t>el</w:t>
      </w:r>
      <w:r w:rsidRPr="00F43A82">
        <w:rPr>
          <w:szCs w:val="22"/>
        </w:rPr>
        <w:t xml:space="preserve"> s mimoriadnymi opatreniami v súvislosti s pandémiou COVID-19, kedy sa prvýkrát v roku 2020 nevykonávalo ročné zúčtovanie so </w:t>
      </w:r>
      <w:r>
        <w:rPr>
          <w:szCs w:val="22"/>
        </w:rPr>
        <w:t xml:space="preserve"> štátnymi organizáciami </w:t>
      </w:r>
      <w:r w:rsidRPr="00F43A82">
        <w:rPr>
          <w:szCs w:val="22"/>
        </w:rPr>
        <w:t>za rok 2019 a uhrádzali sa príspevky vo forme preddavkov, čo spôsobilo tento výrazný medziročný nárast.</w:t>
      </w:r>
      <w:r w:rsidRPr="00CD1B30">
        <w:rPr>
          <w:szCs w:val="22"/>
        </w:rPr>
        <w:t xml:space="preserve"> </w:t>
      </w:r>
      <w:r w:rsidRPr="008E3F0C">
        <w:rPr>
          <w:szCs w:val="22"/>
        </w:rPr>
        <w:t>Negatívny vplyv predstavoval aj pokles pohľadávok voči poskytovateľom zdravotnej starostlivosti o 12 347 tis. eur.</w:t>
      </w:r>
      <w:r>
        <w:rPr>
          <w:szCs w:val="22"/>
        </w:rPr>
        <w:t xml:space="preserve"> </w:t>
      </w:r>
    </w:p>
    <w:p w14:paraId="07B50FB3" w14:textId="77777777" w:rsidR="00563559" w:rsidRDefault="00563559" w:rsidP="003E2065">
      <w:pPr>
        <w:spacing w:after="120" w:line="240" w:lineRule="auto"/>
        <w:jc w:val="both"/>
        <w:rPr>
          <w:szCs w:val="22"/>
        </w:rPr>
      </w:pPr>
      <w:r w:rsidRPr="008E3F0C">
        <w:rPr>
          <w:szCs w:val="22"/>
        </w:rPr>
        <w:t>Medziročný nárast záväzkov zhoršil hospodárenie zdravotný</w:t>
      </w:r>
      <w:r>
        <w:rPr>
          <w:szCs w:val="22"/>
        </w:rPr>
        <w:t xml:space="preserve">ch poisťovní o 93 349 tis. eur </w:t>
      </w:r>
      <w:r w:rsidRPr="008E3F0C">
        <w:rPr>
          <w:szCs w:val="22"/>
        </w:rPr>
        <w:t>(v roku 2019 došlo k</w:t>
      </w:r>
      <w:r>
        <w:rPr>
          <w:szCs w:val="22"/>
        </w:rPr>
        <w:t xml:space="preserve"> poklesu záväzkov </w:t>
      </w:r>
      <w:r w:rsidRPr="008E3F0C">
        <w:rPr>
          <w:szCs w:val="22"/>
        </w:rPr>
        <w:t>o</w:t>
      </w:r>
      <w:r>
        <w:rPr>
          <w:szCs w:val="22"/>
        </w:rPr>
        <w:t> 26 471</w:t>
      </w:r>
      <w:r w:rsidRPr="008E3F0C">
        <w:rPr>
          <w:szCs w:val="22"/>
        </w:rPr>
        <w:t> tis. eur)</w:t>
      </w:r>
      <w:r>
        <w:rPr>
          <w:szCs w:val="22"/>
        </w:rPr>
        <w:t>, pričom i</w:t>
      </w:r>
      <w:r w:rsidRPr="008E3F0C">
        <w:rPr>
          <w:szCs w:val="22"/>
        </w:rPr>
        <w:t>šlo predovšetkým o</w:t>
      </w:r>
      <w:r>
        <w:rPr>
          <w:szCs w:val="22"/>
        </w:rPr>
        <w:t xml:space="preserve"> nárast</w:t>
      </w:r>
      <w:r w:rsidRPr="008E3F0C">
        <w:rPr>
          <w:szCs w:val="22"/>
        </w:rPr>
        <w:t xml:space="preserve"> záväzk</w:t>
      </w:r>
      <w:r>
        <w:rPr>
          <w:szCs w:val="22"/>
        </w:rPr>
        <w:t>ov</w:t>
      </w:r>
      <w:r w:rsidRPr="008E3F0C">
        <w:rPr>
          <w:szCs w:val="22"/>
        </w:rPr>
        <w:t xml:space="preserve"> voči poskytovateľom zdravotnej starostlivosti o 63 080 tis. eur, voči lekárňam o 11 082 tis. eur a</w:t>
      </w:r>
      <w:r>
        <w:rPr>
          <w:szCs w:val="22"/>
        </w:rPr>
        <w:t xml:space="preserve"> nárast </w:t>
      </w:r>
      <w:r w:rsidRPr="008E3F0C">
        <w:rPr>
          <w:szCs w:val="22"/>
        </w:rPr>
        <w:t>os</w:t>
      </w:r>
      <w:r>
        <w:rPr>
          <w:szCs w:val="22"/>
        </w:rPr>
        <w:t xml:space="preserve">tatných záväzkov o 20 297 tis. eur. </w:t>
      </w:r>
      <w:r w:rsidRPr="008E3F0C">
        <w:rPr>
          <w:szCs w:val="22"/>
        </w:rPr>
        <w:t>Nárast ostatných záväzkov tvorí prijatý a nezúčtovaný preddavok z </w:t>
      </w:r>
      <w:r>
        <w:rPr>
          <w:szCs w:val="22"/>
        </w:rPr>
        <w:t>ročného zúčtovania poistného so – štátnymi organizáciami za </w:t>
      </w:r>
      <w:r w:rsidRPr="008E3F0C">
        <w:rPr>
          <w:szCs w:val="22"/>
        </w:rPr>
        <w:t>rok 2019 v zmysle legislatívnej zmeny v súvislosti s mimoriadnymi opatreniami so šírením COVID</w:t>
      </w:r>
      <w:r>
        <w:rPr>
          <w:szCs w:val="22"/>
        </w:rPr>
        <w:t> </w:t>
      </w:r>
      <w:r w:rsidRPr="008E3F0C">
        <w:rPr>
          <w:szCs w:val="22"/>
        </w:rPr>
        <w:t>-</w:t>
      </w:r>
      <w:r>
        <w:rPr>
          <w:szCs w:val="22"/>
        </w:rPr>
        <w:t> </w:t>
      </w:r>
      <w:r w:rsidRPr="008E3F0C">
        <w:rPr>
          <w:szCs w:val="22"/>
        </w:rPr>
        <w:t>19 pandémie.</w:t>
      </w:r>
    </w:p>
    <w:p w14:paraId="4827EE1D" w14:textId="77777777" w:rsidR="00563559" w:rsidRDefault="00563559" w:rsidP="00563559">
      <w:pPr>
        <w:spacing w:after="120" w:line="240" w:lineRule="auto"/>
        <w:jc w:val="both"/>
        <w:rPr>
          <w:szCs w:val="22"/>
        </w:rPr>
      </w:pPr>
      <w:r w:rsidRPr="008E3F0C">
        <w:rPr>
          <w:szCs w:val="22"/>
        </w:rPr>
        <w:t xml:space="preserve">Na hospodárenie negatívne vplýval </w:t>
      </w:r>
      <w:r>
        <w:rPr>
          <w:szCs w:val="22"/>
        </w:rPr>
        <w:t xml:space="preserve">aj </w:t>
      </w:r>
      <w:r w:rsidRPr="008E3F0C">
        <w:rPr>
          <w:szCs w:val="22"/>
        </w:rPr>
        <w:t>výdavkový transfer z verejnej časti zdravotného poistenia do súkromnej časti zdravotných poisťovní (</w:t>
      </w:r>
      <w:r>
        <w:rPr>
          <w:szCs w:val="22"/>
        </w:rPr>
        <w:t>splátka</w:t>
      </w:r>
      <w:r w:rsidRPr="008E3F0C">
        <w:rPr>
          <w:szCs w:val="22"/>
        </w:rPr>
        <w:t xml:space="preserve"> istiny úveru zdravotnej poisťovne Dôvera,</w:t>
      </w:r>
      <w:r>
        <w:rPr>
          <w:szCs w:val="22"/>
        </w:rPr>
        <w:t> a. </w:t>
      </w:r>
      <w:r w:rsidRPr="008E3F0C">
        <w:rPr>
          <w:szCs w:val="22"/>
        </w:rPr>
        <w:t>s.</w:t>
      </w:r>
      <w:r>
        <w:rPr>
          <w:szCs w:val="22"/>
        </w:rPr>
        <w:t xml:space="preserve"> </w:t>
      </w:r>
      <w:r w:rsidRPr="008E3F0C">
        <w:rPr>
          <w:szCs w:val="22"/>
        </w:rPr>
        <w:t>a platba za správu verejného zdravotného poistenia</w:t>
      </w:r>
      <w:r>
        <w:rPr>
          <w:szCs w:val="22"/>
        </w:rPr>
        <w:t>) spolu vo </w:t>
      </w:r>
      <w:r w:rsidRPr="008E3F0C">
        <w:rPr>
          <w:szCs w:val="22"/>
        </w:rPr>
        <w:t>výške 143 717 tis. eur</w:t>
      </w:r>
      <w:r>
        <w:rPr>
          <w:szCs w:val="22"/>
        </w:rPr>
        <w:t>. V roku 2019</w:t>
      </w:r>
      <w:r w:rsidRPr="008E3F0C">
        <w:rPr>
          <w:szCs w:val="22"/>
        </w:rPr>
        <w:t xml:space="preserve"> </w:t>
      </w:r>
      <w:r>
        <w:rPr>
          <w:szCs w:val="22"/>
        </w:rPr>
        <w:t>predstavovala hodnota tohto transferu 107 859 tis. eur, t. j. v roku 2020 došlo k </w:t>
      </w:r>
      <w:r w:rsidRPr="008E3F0C">
        <w:rPr>
          <w:szCs w:val="22"/>
        </w:rPr>
        <w:t>nárast</w:t>
      </w:r>
      <w:r>
        <w:rPr>
          <w:szCs w:val="22"/>
        </w:rPr>
        <w:t xml:space="preserve">u </w:t>
      </w:r>
      <w:r w:rsidRPr="008E3F0C">
        <w:rPr>
          <w:szCs w:val="22"/>
        </w:rPr>
        <w:t>o</w:t>
      </w:r>
      <w:r>
        <w:rPr>
          <w:szCs w:val="22"/>
        </w:rPr>
        <w:t> 35 858</w:t>
      </w:r>
      <w:r w:rsidRPr="008E3F0C">
        <w:rPr>
          <w:szCs w:val="22"/>
        </w:rPr>
        <w:t> tis. eur</w:t>
      </w:r>
      <w:r>
        <w:rPr>
          <w:szCs w:val="22"/>
        </w:rPr>
        <w:t>. Najväčší vplyv na tento nárast mala vyššia splátka istiny úveru Dôvery, a. s. o 51 655 tis. eur</w:t>
      </w:r>
      <w:r w:rsidRPr="008E3F0C">
        <w:rPr>
          <w:szCs w:val="22"/>
        </w:rPr>
        <w:t>.</w:t>
      </w:r>
    </w:p>
    <w:p w14:paraId="791951B6" w14:textId="77777777" w:rsidR="00A615D3" w:rsidRPr="00912710" w:rsidRDefault="003D050C" w:rsidP="00B051D3">
      <w:pPr>
        <w:pStyle w:val="Nadpis2"/>
        <w:numPr>
          <w:ilvl w:val="0"/>
          <w:numId w:val="0"/>
        </w:numPr>
        <w:spacing w:after="120"/>
        <w:ind w:left="896"/>
      </w:pPr>
      <w:bookmarkStart w:id="23" w:name="_Toc85718895"/>
      <w:r w:rsidRPr="00912710">
        <w:lastRenderedPageBreak/>
        <w:t>1</w:t>
      </w:r>
      <w:r w:rsidR="00C102B8" w:rsidRPr="00912710">
        <w:t>.</w:t>
      </w:r>
      <w:r w:rsidR="008E7556" w:rsidRPr="00912710">
        <w:t>3</w:t>
      </w:r>
      <w:r w:rsidR="00C102B8" w:rsidRPr="00912710">
        <w:t>.</w:t>
      </w:r>
      <w:r w:rsidR="00C102B8" w:rsidRPr="00912710">
        <w:tab/>
      </w:r>
      <w:r w:rsidRPr="00912710">
        <w:t>Dlh verejnej správy</w:t>
      </w:r>
      <w:bookmarkEnd w:id="23"/>
    </w:p>
    <w:p w14:paraId="2C97C333" w14:textId="77777777" w:rsidR="00912710" w:rsidRPr="0039640B" w:rsidRDefault="00912710" w:rsidP="00912710">
      <w:pPr>
        <w:spacing w:after="0" w:line="240" w:lineRule="auto"/>
        <w:jc w:val="both"/>
        <w:rPr>
          <w:b/>
          <w:color w:val="0070C0"/>
          <w:szCs w:val="22"/>
        </w:rPr>
      </w:pPr>
      <w:r w:rsidRPr="0039640B">
        <w:rPr>
          <w:b/>
          <w:color w:val="0070C0"/>
          <w:szCs w:val="22"/>
        </w:rPr>
        <w:t>Hrubý dlh verejnej správy</w:t>
      </w:r>
      <w:r w:rsidRPr="0039640B">
        <w:rPr>
          <w:color w:val="0070C0"/>
          <w:szCs w:val="22"/>
        </w:rPr>
        <w:t xml:space="preserve"> </w:t>
      </w:r>
      <w:r w:rsidRPr="007522C4">
        <w:rPr>
          <w:szCs w:val="22"/>
        </w:rPr>
        <w:t>(maastrichtský dlh</w:t>
      </w:r>
      <w:r w:rsidRPr="0039640B">
        <w:rPr>
          <w:b/>
          <w:color w:val="0070C0"/>
          <w:szCs w:val="22"/>
        </w:rPr>
        <w:t xml:space="preserve">) dosiahol k 31.12.2020 výšku </w:t>
      </w:r>
      <w:r w:rsidRPr="0039640B">
        <w:rPr>
          <w:b/>
          <w:bCs/>
          <w:color w:val="0070C0"/>
          <w:szCs w:val="22"/>
        </w:rPr>
        <w:t>55 009 746</w:t>
      </w:r>
      <w:r w:rsidRPr="0039640B">
        <w:rPr>
          <w:b/>
          <w:color w:val="0070C0"/>
          <w:szCs w:val="22"/>
        </w:rPr>
        <w:t> tis. eur (59,7 % HDP) a medziročne sa jeho pomer k HDP zvýšil o 11,6 p. b.</w:t>
      </w:r>
    </w:p>
    <w:p w14:paraId="329256B4" w14:textId="77777777" w:rsidR="00E90043" w:rsidRDefault="00912710" w:rsidP="00912710">
      <w:pPr>
        <w:spacing w:after="120" w:line="240" w:lineRule="auto"/>
        <w:jc w:val="both"/>
        <w:rPr>
          <w:szCs w:val="22"/>
        </w:rPr>
      </w:pPr>
      <w:r w:rsidRPr="00B646B3">
        <w:rPr>
          <w:szCs w:val="22"/>
          <w:u w:val="single"/>
        </w:rPr>
        <w:t>Dlh verejnej správy je koncipovaný ako konsolidovaný ukazovateľ</w:t>
      </w:r>
      <w:r w:rsidRPr="00B646B3">
        <w:rPr>
          <w:szCs w:val="22"/>
        </w:rPr>
        <w:t>, čo znamená, že poskytnuté a prijaté pôžičky medzi jednotlivými subjektmi verejnej správy sú eliminované. Skupiny subjektov verejnej správy uvedené nižšie v tabuľke sú vnútorne skonsolidované o vzájomné vzťahy v rámci danej skupiny (napríklad územná samospráva). Uvedená hodnota konsolidácie predstavuje len pôžičky medzi týmito skupinami subjektov. Celková výška konsolidácie v roku 2020 predstavovala 1 501 732 tis. eur. Z pohľadu výšky vzájomných pôžičiek a výpožičiek vo verejnej správe tvorí najvýznamnejšiu položku konsolidácie Štátny fond rozvoja bývania, ktorý poskytuje návratné finančné prostriedky, najmä subjektom územnej samosprávy v oblasti podp</w:t>
      </w:r>
      <w:r w:rsidR="00E90043">
        <w:rPr>
          <w:szCs w:val="22"/>
        </w:rPr>
        <w:t>ory bývania (732 655 tis. eur).</w:t>
      </w:r>
    </w:p>
    <w:p w14:paraId="552840AF" w14:textId="3CBCD05D" w:rsidR="00912710" w:rsidRDefault="00912710" w:rsidP="00912710">
      <w:pPr>
        <w:spacing w:after="120" w:line="240" w:lineRule="auto"/>
        <w:jc w:val="both"/>
        <w:rPr>
          <w:szCs w:val="22"/>
        </w:rPr>
      </w:pPr>
      <w:r w:rsidRPr="00B646B3">
        <w:rPr>
          <w:szCs w:val="22"/>
        </w:rPr>
        <w:t>Ďalšou významnou položkou konsolidácie je návratná finančná výpomoc poskytnutá zo štátneho rozpočtu Agentúre pre núdzové zásoby ropy a ropných výrobkov (330 000 tis. eur) a imputovaná pôžička Agentúry pre núdzové zásoby ropy a ropných výrobkov (165 462 tis. eur). Ostatnú časť konsolidácie tvoria najmä návratné finančné výpomoci poskytnuté zo štátneho rozpočtu mestám a obciam (121 095 tis. eur) a vyšším územným celkom (144 454 tis. eur). Okrem týchto vzťahov sa pri výpočte maastrichtského dlhu abstrahuje od záväzkov Ministerstva financií SR voči Štátnej pokladnici z tzv. refinančného systému (12 502 051 tis. eur) a od záväzkov z vkladov subjektov verejnej správy v Štátnej pokladnici (12 504 454 tis. eur).</w:t>
      </w:r>
    </w:p>
    <w:p w14:paraId="04466C85" w14:textId="77777777" w:rsidR="00912710" w:rsidRDefault="00912710" w:rsidP="00912710">
      <w:pPr>
        <w:spacing w:after="120" w:line="240" w:lineRule="auto"/>
        <w:jc w:val="both"/>
        <w:rPr>
          <w:szCs w:val="22"/>
        </w:rPr>
      </w:pPr>
      <w:r>
        <w:rPr>
          <w:szCs w:val="22"/>
        </w:rPr>
        <w:t xml:space="preserve">Miera konsolidácie vzrástla medziročne o 147 133 tis. eur najmä z toho dôvodu, že v roku 2020 boli poskytnuté nové návratné finančné výpomoci zo ŠFA obciam, mestám a VÚC v úhrnnej výške 226 799 tis. eur.  </w:t>
      </w:r>
    </w:p>
    <w:tbl>
      <w:tblPr>
        <w:tblW w:w="5000" w:type="pct"/>
        <w:tblCellMar>
          <w:left w:w="70" w:type="dxa"/>
          <w:right w:w="70" w:type="dxa"/>
        </w:tblCellMar>
        <w:tblLook w:val="04A0" w:firstRow="1" w:lastRow="0" w:firstColumn="1" w:lastColumn="0" w:noHBand="0" w:noVBand="1"/>
      </w:tblPr>
      <w:tblGrid>
        <w:gridCol w:w="4852"/>
        <w:gridCol w:w="1121"/>
        <w:gridCol w:w="1111"/>
        <w:gridCol w:w="1136"/>
        <w:gridCol w:w="1134"/>
      </w:tblGrid>
      <w:tr w:rsidR="00912710" w:rsidRPr="003439E4" w14:paraId="2807E2DA" w14:textId="77777777" w:rsidTr="0051395F">
        <w:trPr>
          <w:trHeight w:val="255"/>
        </w:trPr>
        <w:tc>
          <w:tcPr>
            <w:tcW w:w="3787" w:type="pct"/>
            <w:gridSpan w:val="3"/>
            <w:tcBorders>
              <w:top w:val="single" w:sz="4" w:space="0" w:color="auto"/>
              <w:left w:val="nil"/>
              <w:bottom w:val="single" w:sz="4" w:space="0" w:color="auto"/>
              <w:right w:val="nil"/>
            </w:tcBorders>
            <w:shd w:val="clear" w:color="000000" w:fill="000000"/>
            <w:noWrap/>
            <w:vAlign w:val="center"/>
            <w:hideMark/>
          </w:tcPr>
          <w:p w14:paraId="1CBDCFDC" w14:textId="56D2D277" w:rsidR="00912710" w:rsidRPr="003439E4" w:rsidRDefault="00884682" w:rsidP="00884682">
            <w:pPr>
              <w:pStyle w:val="popistabuliek"/>
            </w:pPr>
            <w:r w:rsidRPr="00884682">
              <w:t xml:space="preserve">Tab. </w:t>
            </w:r>
            <w:r>
              <w:t>6</w:t>
            </w:r>
            <w:r w:rsidRPr="00884682">
              <w:t xml:space="preserve"> - </w:t>
            </w:r>
            <w:r w:rsidR="00912710" w:rsidRPr="003439E4">
              <w:t>Maastrichtský dlh verejnej správy podľa jednotlivých subjektov</w:t>
            </w:r>
            <w:r w:rsidR="00CD24B1">
              <w:t xml:space="preserve"> (v tis. eur)</w:t>
            </w:r>
          </w:p>
        </w:tc>
        <w:tc>
          <w:tcPr>
            <w:tcW w:w="607" w:type="pct"/>
            <w:tcBorders>
              <w:top w:val="single" w:sz="4" w:space="0" w:color="auto"/>
              <w:left w:val="nil"/>
              <w:bottom w:val="single" w:sz="4" w:space="0" w:color="auto"/>
              <w:right w:val="nil"/>
            </w:tcBorders>
            <w:shd w:val="clear" w:color="000000" w:fill="000000"/>
            <w:noWrap/>
            <w:vAlign w:val="center"/>
            <w:hideMark/>
          </w:tcPr>
          <w:p w14:paraId="38DBDE79" w14:textId="77777777" w:rsidR="00912710" w:rsidRPr="003439E4" w:rsidRDefault="00912710" w:rsidP="00884682">
            <w:pPr>
              <w:pStyle w:val="popistabuliek"/>
            </w:pPr>
            <w:r w:rsidRPr="003439E4">
              <w:t> </w:t>
            </w:r>
          </w:p>
        </w:tc>
        <w:tc>
          <w:tcPr>
            <w:tcW w:w="606" w:type="pct"/>
            <w:tcBorders>
              <w:top w:val="single" w:sz="4" w:space="0" w:color="auto"/>
              <w:left w:val="nil"/>
              <w:bottom w:val="single" w:sz="4" w:space="0" w:color="auto"/>
              <w:right w:val="nil"/>
            </w:tcBorders>
            <w:shd w:val="clear" w:color="000000" w:fill="000000"/>
            <w:noWrap/>
            <w:vAlign w:val="center"/>
            <w:hideMark/>
          </w:tcPr>
          <w:p w14:paraId="65F2A098" w14:textId="01318F49" w:rsidR="00912710" w:rsidRPr="003439E4" w:rsidRDefault="00912710" w:rsidP="00884682">
            <w:pPr>
              <w:pStyle w:val="popistabuliek"/>
            </w:pPr>
          </w:p>
        </w:tc>
      </w:tr>
      <w:tr w:rsidR="00912710" w:rsidRPr="003439E4" w14:paraId="77CA985E" w14:textId="77777777" w:rsidTr="0051395F">
        <w:trPr>
          <w:trHeight w:val="330"/>
        </w:trPr>
        <w:tc>
          <w:tcPr>
            <w:tcW w:w="2594" w:type="pct"/>
            <w:tcBorders>
              <w:top w:val="nil"/>
              <w:left w:val="nil"/>
              <w:bottom w:val="nil"/>
              <w:right w:val="nil"/>
            </w:tcBorders>
            <w:shd w:val="clear" w:color="000000" w:fill="BFBFBF"/>
            <w:vAlign w:val="center"/>
            <w:hideMark/>
          </w:tcPr>
          <w:p w14:paraId="519693CB" w14:textId="77777777" w:rsidR="00912710" w:rsidRPr="003439E4" w:rsidRDefault="00912710" w:rsidP="0051395F">
            <w:pPr>
              <w:spacing w:after="0" w:line="240" w:lineRule="auto"/>
              <w:jc w:val="both"/>
              <w:rPr>
                <w:b/>
                <w:bCs/>
                <w:sz w:val="20"/>
                <w:szCs w:val="20"/>
                <w:lang w:eastAsia="sk-SK"/>
              </w:rPr>
            </w:pPr>
            <w:r w:rsidRPr="003439E4">
              <w:rPr>
                <w:b/>
                <w:bCs/>
                <w:sz w:val="20"/>
                <w:szCs w:val="20"/>
                <w:lang w:eastAsia="sk-SK"/>
              </w:rPr>
              <w:t> </w:t>
            </w:r>
          </w:p>
        </w:tc>
        <w:tc>
          <w:tcPr>
            <w:tcW w:w="599" w:type="pct"/>
            <w:tcBorders>
              <w:top w:val="nil"/>
              <w:left w:val="nil"/>
              <w:bottom w:val="nil"/>
              <w:right w:val="nil"/>
            </w:tcBorders>
            <w:shd w:val="clear" w:color="000000" w:fill="BFBFBF"/>
            <w:vAlign w:val="center"/>
            <w:hideMark/>
          </w:tcPr>
          <w:p w14:paraId="18B0C158" w14:textId="77777777" w:rsidR="00912710" w:rsidRPr="003439E4" w:rsidRDefault="00912710" w:rsidP="0051395F">
            <w:pPr>
              <w:spacing w:after="0" w:line="240" w:lineRule="auto"/>
              <w:jc w:val="center"/>
              <w:rPr>
                <w:b/>
                <w:bCs/>
                <w:sz w:val="20"/>
                <w:szCs w:val="20"/>
                <w:lang w:eastAsia="sk-SK"/>
              </w:rPr>
            </w:pPr>
            <w:r w:rsidRPr="003439E4">
              <w:rPr>
                <w:b/>
                <w:bCs/>
                <w:sz w:val="20"/>
                <w:szCs w:val="20"/>
                <w:lang w:eastAsia="sk-SK"/>
              </w:rPr>
              <w:t>k 31.12.2018</w:t>
            </w:r>
          </w:p>
        </w:tc>
        <w:tc>
          <w:tcPr>
            <w:tcW w:w="594" w:type="pct"/>
            <w:tcBorders>
              <w:top w:val="nil"/>
              <w:left w:val="nil"/>
              <w:bottom w:val="nil"/>
              <w:right w:val="nil"/>
            </w:tcBorders>
            <w:shd w:val="clear" w:color="000000" w:fill="BFBFBF"/>
            <w:vAlign w:val="center"/>
            <w:hideMark/>
          </w:tcPr>
          <w:p w14:paraId="4FF60457" w14:textId="77777777" w:rsidR="00912710" w:rsidRPr="003439E4" w:rsidRDefault="00912710" w:rsidP="0051395F">
            <w:pPr>
              <w:spacing w:after="0" w:line="240" w:lineRule="auto"/>
              <w:jc w:val="center"/>
              <w:rPr>
                <w:b/>
                <w:bCs/>
                <w:sz w:val="20"/>
                <w:szCs w:val="20"/>
                <w:lang w:eastAsia="sk-SK"/>
              </w:rPr>
            </w:pPr>
            <w:r w:rsidRPr="003439E4">
              <w:rPr>
                <w:b/>
                <w:bCs/>
                <w:sz w:val="20"/>
                <w:szCs w:val="20"/>
                <w:lang w:eastAsia="sk-SK"/>
              </w:rPr>
              <w:t>k 31.12.2019</w:t>
            </w:r>
          </w:p>
        </w:tc>
        <w:tc>
          <w:tcPr>
            <w:tcW w:w="607" w:type="pct"/>
            <w:tcBorders>
              <w:top w:val="nil"/>
              <w:left w:val="nil"/>
              <w:bottom w:val="nil"/>
              <w:right w:val="nil"/>
            </w:tcBorders>
            <w:shd w:val="clear" w:color="000000" w:fill="BFBFBF"/>
            <w:vAlign w:val="center"/>
            <w:hideMark/>
          </w:tcPr>
          <w:p w14:paraId="2C11605D" w14:textId="77777777" w:rsidR="00912710" w:rsidRPr="003439E4" w:rsidRDefault="00912710" w:rsidP="0051395F">
            <w:pPr>
              <w:spacing w:after="0" w:line="240" w:lineRule="auto"/>
              <w:jc w:val="center"/>
              <w:rPr>
                <w:b/>
                <w:bCs/>
                <w:sz w:val="20"/>
                <w:szCs w:val="20"/>
                <w:lang w:eastAsia="sk-SK"/>
              </w:rPr>
            </w:pPr>
            <w:r w:rsidRPr="003439E4">
              <w:rPr>
                <w:b/>
                <w:bCs/>
                <w:sz w:val="20"/>
                <w:szCs w:val="20"/>
                <w:lang w:eastAsia="sk-SK"/>
              </w:rPr>
              <w:t>k 31.12.2020</w:t>
            </w:r>
          </w:p>
        </w:tc>
        <w:tc>
          <w:tcPr>
            <w:tcW w:w="606" w:type="pct"/>
            <w:tcBorders>
              <w:top w:val="nil"/>
              <w:left w:val="nil"/>
              <w:bottom w:val="nil"/>
              <w:right w:val="nil"/>
            </w:tcBorders>
            <w:shd w:val="clear" w:color="000000" w:fill="BFBFBF"/>
            <w:vAlign w:val="center"/>
            <w:hideMark/>
          </w:tcPr>
          <w:p w14:paraId="31AA92B3" w14:textId="77777777" w:rsidR="00912710" w:rsidRPr="003439E4" w:rsidRDefault="00912710" w:rsidP="0051395F">
            <w:pPr>
              <w:spacing w:after="0" w:line="240" w:lineRule="auto"/>
              <w:jc w:val="center"/>
              <w:rPr>
                <w:b/>
                <w:bCs/>
                <w:sz w:val="20"/>
                <w:szCs w:val="20"/>
                <w:lang w:eastAsia="sk-SK"/>
              </w:rPr>
            </w:pPr>
            <w:r w:rsidRPr="003439E4">
              <w:rPr>
                <w:b/>
                <w:bCs/>
                <w:sz w:val="20"/>
                <w:szCs w:val="20"/>
                <w:lang w:eastAsia="sk-SK"/>
              </w:rPr>
              <w:t>Zmena</w:t>
            </w:r>
          </w:p>
        </w:tc>
      </w:tr>
      <w:tr w:rsidR="00912710" w:rsidRPr="003439E4" w14:paraId="56EA2875" w14:textId="77777777" w:rsidTr="0051395F">
        <w:trPr>
          <w:trHeight w:val="330"/>
        </w:trPr>
        <w:tc>
          <w:tcPr>
            <w:tcW w:w="2594" w:type="pct"/>
            <w:tcBorders>
              <w:top w:val="nil"/>
              <w:left w:val="nil"/>
              <w:bottom w:val="single" w:sz="4" w:space="0" w:color="auto"/>
              <w:right w:val="nil"/>
            </w:tcBorders>
            <w:shd w:val="clear" w:color="000000" w:fill="BFBFBF"/>
            <w:noWrap/>
            <w:vAlign w:val="bottom"/>
            <w:hideMark/>
          </w:tcPr>
          <w:p w14:paraId="324448F5" w14:textId="77777777" w:rsidR="00912710" w:rsidRPr="003439E4" w:rsidRDefault="00912710" w:rsidP="0051395F">
            <w:pPr>
              <w:spacing w:after="0" w:line="240" w:lineRule="auto"/>
              <w:jc w:val="center"/>
              <w:rPr>
                <w:sz w:val="20"/>
                <w:szCs w:val="20"/>
                <w:lang w:eastAsia="sk-SK"/>
              </w:rPr>
            </w:pPr>
            <w:r w:rsidRPr="003439E4">
              <w:rPr>
                <w:sz w:val="20"/>
                <w:szCs w:val="20"/>
                <w:lang w:eastAsia="sk-SK"/>
              </w:rPr>
              <w:t> </w:t>
            </w:r>
          </w:p>
        </w:tc>
        <w:tc>
          <w:tcPr>
            <w:tcW w:w="599" w:type="pct"/>
            <w:tcBorders>
              <w:top w:val="nil"/>
              <w:left w:val="nil"/>
              <w:bottom w:val="single" w:sz="4" w:space="0" w:color="auto"/>
              <w:right w:val="nil"/>
            </w:tcBorders>
            <w:shd w:val="clear" w:color="000000" w:fill="BFBFBF"/>
            <w:noWrap/>
            <w:vAlign w:val="bottom"/>
            <w:hideMark/>
          </w:tcPr>
          <w:p w14:paraId="00AFADC2" w14:textId="77777777" w:rsidR="00912710" w:rsidRPr="003439E4" w:rsidRDefault="00912710" w:rsidP="0051395F">
            <w:pPr>
              <w:spacing w:after="0" w:line="240" w:lineRule="auto"/>
              <w:jc w:val="center"/>
              <w:rPr>
                <w:sz w:val="20"/>
                <w:szCs w:val="20"/>
                <w:lang w:eastAsia="sk-SK"/>
              </w:rPr>
            </w:pPr>
            <w:r w:rsidRPr="003439E4">
              <w:rPr>
                <w:sz w:val="20"/>
                <w:szCs w:val="20"/>
                <w:lang w:eastAsia="sk-SK"/>
              </w:rPr>
              <w:t>1</w:t>
            </w:r>
          </w:p>
        </w:tc>
        <w:tc>
          <w:tcPr>
            <w:tcW w:w="594" w:type="pct"/>
            <w:tcBorders>
              <w:top w:val="nil"/>
              <w:left w:val="nil"/>
              <w:bottom w:val="single" w:sz="4" w:space="0" w:color="auto"/>
              <w:right w:val="nil"/>
            </w:tcBorders>
            <w:shd w:val="clear" w:color="000000" w:fill="BFBFBF"/>
            <w:noWrap/>
            <w:vAlign w:val="bottom"/>
            <w:hideMark/>
          </w:tcPr>
          <w:p w14:paraId="6EA99B47" w14:textId="77777777" w:rsidR="00912710" w:rsidRPr="003439E4" w:rsidRDefault="00912710" w:rsidP="0051395F">
            <w:pPr>
              <w:spacing w:after="0" w:line="240" w:lineRule="auto"/>
              <w:jc w:val="center"/>
              <w:rPr>
                <w:sz w:val="20"/>
                <w:szCs w:val="20"/>
                <w:lang w:eastAsia="sk-SK"/>
              </w:rPr>
            </w:pPr>
            <w:r w:rsidRPr="003439E4">
              <w:rPr>
                <w:sz w:val="20"/>
                <w:szCs w:val="20"/>
                <w:lang w:eastAsia="sk-SK"/>
              </w:rPr>
              <w:t>2</w:t>
            </w:r>
          </w:p>
        </w:tc>
        <w:tc>
          <w:tcPr>
            <w:tcW w:w="607" w:type="pct"/>
            <w:tcBorders>
              <w:top w:val="nil"/>
              <w:left w:val="nil"/>
              <w:bottom w:val="single" w:sz="4" w:space="0" w:color="auto"/>
              <w:right w:val="nil"/>
            </w:tcBorders>
            <w:shd w:val="clear" w:color="000000" w:fill="BFBFBF"/>
            <w:noWrap/>
            <w:vAlign w:val="bottom"/>
            <w:hideMark/>
          </w:tcPr>
          <w:p w14:paraId="7BB6EEA6" w14:textId="77777777" w:rsidR="00912710" w:rsidRPr="003439E4" w:rsidRDefault="00912710" w:rsidP="0051395F">
            <w:pPr>
              <w:spacing w:after="0" w:line="240" w:lineRule="auto"/>
              <w:jc w:val="center"/>
              <w:rPr>
                <w:sz w:val="20"/>
                <w:szCs w:val="20"/>
                <w:lang w:eastAsia="sk-SK"/>
              </w:rPr>
            </w:pPr>
            <w:r w:rsidRPr="003439E4">
              <w:rPr>
                <w:sz w:val="20"/>
                <w:szCs w:val="20"/>
                <w:lang w:eastAsia="sk-SK"/>
              </w:rPr>
              <w:t>3</w:t>
            </w:r>
          </w:p>
        </w:tc>
        <w:tc>
          <w:tcPr>
            <w:tcW w:w="606" w:type="pct"/>
            <w:tcBorders>
              <w:top w:val="nil"/>
              <w:left w:val="nil"/>
              <w:bottom w:val="single" w:sz="4" w:space="0" w:color="auto"/>
              <w:right w:val="nil"/>
            </w:tcBorders>
            <w:shd w:val="clear" w:color="000000" w:fill="BFBFBF"/>
            <w:noWrap/>
            <w:vAlign w:val="bottom"/>
            <w:hideMark/>
          </w:tcPr>
          <w:p w14:paraId="33EE456D" w14:textId="77777777" w:rsidR="00912710" w:rsidRPr="003439E4" w:rsidRDefault="00912710" w:rsidP="0051395F">
            <w:pPr>
              <w:spacing w:after="0" w:line="240" w:lineRule="auto"/>
              <w:jc w:val="center"/>
              <w:rPr>
                <w:sz w:val="20"/>
                <w:szCs w:val="20"/>
                <w:lang w:eastAsia="sk-SK"/>
              </w:rPr>
            </w:pPr>
            <w:r w:rsidRPr="003439E4">
              <w:rPr>
                <w:sz w:val="20"/>
                <w:szCs w:val="20"/>
                <w:lang w:eastAsia="sk-SK"/>
              </w:rPr>
              <w:t>4=(3-2)</w:t>
            </w:r>
          </w:p>
        </w:tc>
      </w:tr>
      <w:tr w:rsidR="00912710" w:rsidRPr="003439E4" w14:paraId="4EE0DBDA" w14:textId="77777777" w:rsidTr="0051395F">
        <w:trPr>
          <w:trHeight w:val="255"/>
        </w:trPr>
        <w:tc>
          <w:tcPr>
            <w:tcW w:w="2594" w:type="pct"/>
            <w:tcBorders>
              <w:top w:val="nil"/>
              <w:left w:val="nil"/>
              <w:bottom w:val="nil"/>
              <w:right w:val="nil"/>
            </w:tcBorders>
            <w:shd w:val="clear" w:color="auto" w:fill="auto"/>
            <w:noWrap/>
            <w:vAlign w:val="bottom"/>
            <w:hideMark/>
          </w:tcPr>
          <w:p w14:paraId="701F03BE" w14:textId="77777777" w:rsidR="00912710" w:rsidRPr="003439E4" w:rsidRDefault="00912710" w:rsidP="0051395F">
            <w:pPr>
              <w:spacing w:after="0" w:line="240" w:lineRule="auto"/>
              <w:rPr>
                <w:b/>
                <w:bCs/>
                <w:sz w:val="20"/>
                <w:szCs w:val="20"/>
                <w:lang w:eastAsia="sk-SK"/>
              </w:rPr>
            </w:pPr>
            <w:r w:rsidRPr="003439E4">
              <w:rPr>
                <w:b/>
                <w:bCs/>
                <w:sz w:val="20"/>
                <w:szCs w:val="20"/>
                <w:lang w:eastAsia="sk-SK"/>
              </w:rPr>
              <w:t>Ústredná správa</w:t>
            </w:r>
          </w:p>
        </w:tc>
        <w:tc>
          <w:tcPr>
            <w:tcW w:w="599" w:type="pct"/>
            <w:tcBorders>
              <w:top w:val="nil"/>
              <w:left w:val="nil"/>
              <w:bottom w:val="nil"/>
              <w:right w:val="nil"/>
            </w:tcBorders>
            <w:shd w:val="clear" w:color="auto" w:fill="auto"/>
            <w:noWrap/>
            <w:vAlign w:val="bottom"/>
            <w:hideMark/>
          </w:tcPr>
          <w:p w14:paraId="70DF77CC"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43 882 531</w:t>
            </w:r>
          </w:p>
        </w:tc>
        <w:tc>
          <w:tcPr>
            <w:tcW w:w="594" w:type="pct"/>
            <w:tcBorders>
              <w:top w:val="nil"/>
              <w:left w:val="nil"/>
              <w:bottom w:val="nil"/>
              <w:right w:val="nil"/>
            </w:tcBorders>
            <w:shd w:val="clear" w:color="auto" w:fill="auto"/>
            <w:noWrap/>
            <w:vAlign w:val="bottom"/>
            <w:hideMark/>
          </w:tcPr>
          <w:p w14:paraId="4803BCFA"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44 676 413</w:t>
            </w:r>
          </w:p>
        </w:tc>
        <w:tc>
          <w:tcPr>
            <w:tcW w:w="607" w:type="pct"/>
            <w:tcBorders>
              <w:top w:val="nil"/>
              <w:left w:val="nil"/>
              <w:bottom w:val="nil"/>
              <w:right w:val="nil"/>
            </w:tcBorders>
            <w:shd w:val="clear" w:color="auto" w:fill="auto"/>
            <w:noWrap/>
            <w:vAlign w:val="bottom"/>
            <w:hideMark/>
          </w:tcPr>
          <w:p w14:paraId="5275A400"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54 335 277</w:t>
            </w:r>
          </w:p>
        </w:tc>
        <w:tc>
          <w:tcPr>
            <w:tcW w:w="606" w:type="pct"/>
            <w:tcBorders>
              <w:top w:val="nil"/>
              <w:left w:val="nil"/>
              <w:bottom w:val="nil"/>
              <w:right w:val="nil"/>
            </w:tcBorders>
            <w:shd w:val="clear" w:color="auto" w:fill="auto"/>
            <w:noWrap/>
            <w:vAlign w:val="bottom"/>
            <w:hideMark/>
          </w:tcPr>
          <w:p w14:paraId="06218465"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9 658 864</w:t>
            </w:r>
          </w:p>
        </w:tc>
      </w:tr>
      <w:tr w:rsidR="00912710" w:rsidRPr="003439E4" w14:paraId="4781DB0C" w14:textId="77777777" w:rsidTr="0051395F">
        <w:trPr>
          <w:trHeight w:val="255"/>
        </w:trPr>
        <w:tc>
          <w:tcPr>
            <w:tcW w:w="2594" w:type="pct"/>
            <w:tcBorders>
              <w:top w:val="nil"/>
              <w:left w:val="nil"/>
              <w:bottom w:val="nil"/>
              <w:right w:val="nil"/>
            </w:tcBorders>
            <w:shd w:val="clear" w:color="auto" w:fill="auto"/>
            <w:noWrap/>
            <w:vAlign w:val="bottom"/>
            <w:hideMark/>
          </w:tcPr>
          <w:p w14:paraId="235F06C6" w14:textId="77777777" w:rsidR="00912710" w:rsidRPr="003439E4" w:rsidRDefault="00912710" w:rsidP="0051395F">
            <w:pPr>
              <w:spacing w:after="0" w:line="240" w:lineRule="auto"/>
              <w:ind w:firstLineChars="100" w:firstLine="200"/>
              <w:rPr>
                <w:sz w:val="20"/>
                <w:szCs w:val="20"/>
                <w:lang w:eastAsia="sk-SK"/>
              </w:rPr>
            </w:pPr>
            <w:r w:rsidRPr="003439E4">
              <w:rPr>
                <w:sz w:val="20"/>
                <w:szCs w:val="20"/>
                <w:lang w:eastAsia="sk-SK"/>
              </w:rPr>
              <w:t xml:space="preserve">z toho: </w:t>
            </w:r>
          </w:p>
        </w:tc>
        <w:tc>
          <w:tcPr>
            <w:tcW w:w="599" w:type="pct"/>
            <w:tcBorders>
              <w:top w:val="nil"/>
              <w:left w:val="nil"/>
              <w:bottom w:val="nil"/>
              <w:right w:val="nil"/>
            </w:tcBorders>
            <w:shd w:val="clear" w:color="auto" w:fill="auto"/>
            <w:noWrap/>
            <w:vAlign w:val="bottom"/>
            <w:hideMark/>
          </w:tcPr>
          <w:p w14:paraId="0F93A5D6" w14:textId="77777777" w:rsidR="00912710" w:rsidRPr="003439E4" w:rsidRDefault="00912710" w:rsidP="0051395F">
            <w:pPr>
              <w:spacing w:after="0" w:line="240" w:lineRule="auto"/>
              <w:ind w:firstLineChars="100" w:firstLine="200"/>
              <w:rPr>
                <w:sz w:val="20"/>
                <w:szCs w:val="20"/>
                <w:lang w:eastAsia="sk-SK"/>
              </w:rPr>
            </w:pPr>
          </w:p>
        </w:tc>
        <w:tc>
          <w:tcPr>
            <w:tcW w:w="594" w:type="pct"/>
            <w:tcBorders>
              <w:top w:val="nil"/>
              <w:left w:val="nil"/>
              <w:bottom w:val="nil"/>
              <w:right w:val="nil"/>
            </w:tcBorders>
            <w:shd w:val="clear" w:color="auto" w:fill="auto"/>
            <w:noWrap/>
            <w:vAlign w:val="bottom"/>
            <w:hideMark/>
          </w:tcPr>
          <w:p w14:paraId="2E4DB64B" w14:textId="77777777" w:rsidR="00912710" w:rsidRPr="003439E4" w:rsidRDefault="00912710" w:rsidP="0051395F">
            <w:pPr>
              <w:spacing w:after="0" w:line="240" w:lineRule="auto"/>
              <w:rPr>
                <w:sz w:val="20"/>
                <w:szCs w:val="20"/>
                <w:lang w:eastAsia="sk-SK"/>
              </w:rPr>
            </w:pPr>
          </w:p>
        </w:tc>
        <w:tc>
          <w:tcPr>
            <w:tcW w:w="607" w:type="pct"/>
            <w:tcBorders>
              <w:top w:val="nil"/>
              <w:left w:val="nil"/>
              <w:bottom w:val="nil"/>
              <w:right w:val="nil"/>
            </w:tcBorders>
            <w:shd w:val="clear" w:color="auto" w:fill="auto"/>
            <w:noWrap/>
            <w:vAlign w:val="bottom"/>
            <w:hideMark/>
          </w:tcPr>
          <w:p w14:paraId="765733E2" w14:textId="77777777" w:rsidR="00912710" w:rsidRPr="003439E4" w:rsidRDefault="00912710" w:rsidP="0051395F">
            <w:pPr>
              <w:spacing w:after="0" w:line="240" w:lineRule="auto"/>
              <w:rPr>
                <w:sz w:val="20"/>
                <w:szCs w:val="20"/>
                <w:lang w:eastAsia="sk-SK"/>
              </w:rPr>
            </w:pPr>
          </w:p>
        </w:tc>
        <w:tc>
          <w:tcPr>
            <w:tcW w:w="606" w:type="pct"/>
            <w:tcBorders>
              <w:top w:val="nil"/>
              <w:left w:val="nil"/>
              <w:bottom w:val="nil"/>
              <w:right w:val="nil"/>
            </w:tcBorders>
            <w:shd w:val="clear" w:color="auto" w:fill="auto"/>
            <w:noWrap/>
            <w:vAlign w:val="bottom"/>
            <w:hideMark/>
          </w:tcPr>
          <w:p w14:paraId="0A6E60BD" w14:textId="77777777" w:rsidR="00912710" w:rsidRPr="003439E4" w:rsidRDefault="00912710" w:rsidP="0051395F">
            <w:pPr>
              <w:spacing w:after="0" w:line="240" w:lineRule="auto"/>
              <w:rPr>
                <w:sz w:val="20"/>
                <w:szCs w:val="20"/>
                <w:lang w:eastAsia="sk-SK"/>
              </w:rPr>
            </w:pPr>
          </w:p>
        </w:tc>
      </w:tr>
      <w:tr w:rsidR="00912710" w:rsidRPr="003439E4" w14:paraId="7EAEDACD" w14:textId="77777777" w:rsidTr="0051395F">
        <w:trPr>
          <w:trHeight w:val="315"/>
        </w:trPr>
        <w:tc>
          <w:tcPr>
            <w:tcW w:w="2594" w:type="pct"/>
            <w:tcBorders>
              <w:top w:val="nil"/>
              <w:left w:val="nil"/>
              <w:bottom w:val="nil"/>
              <w:right w:val="nil"/>
            </w:tcBorders>
            <w:shd w:val="clear" w:color="auto" w:fill="auto"/>
            <w:noWrap/>
            <w:vAlign w:val="bottom"/>
            <w:hideMark/>
          </w:tcPr>
          <w:p w14:paraId="5BBD3187" w14:textId="77777777" w:rsidR="00912710" w:rsidRPr="003439E4" w:rsidRDefault="00912710" w:rsidP="0051395F">
            <w:pPr>
              <w:spacing w:after="0" w:line="240" w:lineRule="auto"/>
              <w:ind w:firstLineChars="200" w:firstLine="400"/>
              <w:rPr>
                <w:sz w:val="20"/>
                <w:szCs w:val="20"/>
                <w:lang w:eastAsia="sk-SK"/>
              </w:rPr>
            </w:pPr>
            <w:r w:rsidRPr="003439E4">
              <w:rPr>
                <w:sz w:val="20"/>
                <w:szCs w:val="20"/>
                <w:lang w:eastAsia="sk-SK"/>
              </w:rPr>
              <w:t xml:space="preserve">Štátny dlh  </w:t>
            </w:r>
            <w:r w:rsidRPr="003439E4">
              <w:rPr>
                <w:sz w:val="20"/>
                <w:szCs w:val="20"/>
                <w:vertAlign w:val="superscript"/>
                <w:lang w:eastAsia="sk-SK"/>
              </w:rPr>
              <w:t>1)</w:t>
            </w:r>
          </w:p>
        </w:tc>
        <w:tc>
          <w:tcPr>
            <w:tcW w:w="599" w:type="pct"/>
            <w:tcBorders>
              <w:top w:val="nil"/>
              <w:left w:val="nil"/>
              <w:bottom w:val="nil"/>
              <w:right w:val="nil"/>
            </w:tcBorders>
            <w:shd w:val="clear" w:color="auto" w:fill="auto"/>
            <w:noWrap/>
            <w:vAlign w:val="bottom"/>
            <w:hideMark/>
          </w:tcPr>
          <w:p w14:paraId="0421DD8A"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42 619 545</w:t>
            </w:r>
          </w:p>
        </w:tc>
        <w:tc>
          <w:tcPr>
            <w:tcW w:w="594" w:type="pct"/>
            <w:tcBorders>
              <w:top w:val="nil"/>
              <w:left w:val="nil"/>
              <w:bottom w:val="nil"/>
              <w:right w:val="nil"/>
            </w:tcBorders>
            <w:shd w:val="clear" w:color="auto" w:fill="auto"/>
            <w:noWrap/>
            <w:vAlign w:val="bottom"/>
            <w:hideMark/>
          </w:tcPr>
          <w:p w14:paraId="223CB447"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43 256 363</w:t>
            </w:r>
          </w:p>
        </w:tc>
        <w:tc>
          <w:tcPr>
            <w:tcW w:w="607" w:type="pct"/>
            <w:tcBorders>
              <w:top w:val="nil"/>
              <w:left w:val="nil"/>
              <w:bottom w:val="nil"/>
              <w:right w:val="nil"/>
            </w:tcBorders>
            <w:shd w:val="clear" w:color="auto" w:fill="auto"/>
            <w:noWrap/>
            <w:vAlign w:val="bottom"/>
            <w:hideMark/>
          </w:tcPr>
          <w:p w14:paraId="0DDCC3AA"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52 876 796</w:t>
            </w:r>
          </w:p>
        </w:tc>
        <w:tc>
          <w:tcPr>
            <w:tcW w:w="606" w:type="pct"/>
            <w:tcBorders>
              <w:top w:val="nil"/>
              <w:left w:val="nil"/>
              <w:bottom w:val="nil"/>
              <w:right w:val="nil"/>
            </w:tcBorders>
            <w:shd w:val="clear" w:color="auto" w:fill="auto"/>
            <w:noWrap/>
            <w:vAlign w:val="bottom"/>
            <w:hideMark/>
          </w:tcPr>
          <w:p w14:paraId="694B0940"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9 620 433</w:t>
            </w:r>
          </w:p>
        </w:tc>
      </w:tr>
      <w:tr w:rsidR="00912710" w:rsidRPr="003439E4" w14:paraId="02804C2E" w14:textId="77777777" w:rsidTr="0051395F">
        <w:trPr>
          <w:trHeight w:val="255"/>
        </w:trPr>
        <w:tc>
          <w:tcPr>
            <w:tcW w:w="2594" w:type="pct"/>
            <w:tcBorders>
              <w:top w:val="nil"/>
              <w:left w:val="nil"/>
              <w:bottom w:val="nil"/>
              <w:right w:val="nil"/>
            </w:tcBorders>
            <w:shd w:val="clear" w:color="auto" w:fill="auto"/>
            <w:noWrap/>
            <w:vAlign w:val="bottom"/>
            <w:hideMark/>
          </w:tcPr>
          <w:p w14:paraId="150CE2A9" w14:textId="77777777" w:rsidR="00912710" w:rsidRPr="003439E4" w:rsidRDefault="00912710" w:rsidP="0051395F">
            <w:pPr>
              <w:spacing w:after="0" w:line="240" w:lineRule="auto"/>
              <w:ind w:firstLineChars="200" w:firstLine="400"/>
              <w:rPr>
                <w:sz w:val="20"/>
                <w:szCs w:val="20"/>
                <w:lang w:eastAsia="sk-SK"/>
              </w:rPr>
            </w:pPr>
            <w:r w:rsidRPr="003439E4">
              <w:rPr>
                <w:sz w:val="20"/>
                <w:szCs w:val="20"/>
                <w:lang w:eastAsia="sk-SK"/>
              </w:rPr>
              <w:t>Príspevkové organizácie ústrednej správy</w:t>
            </w:r>
          </w:p>
        </w:tc>
        <w:tc>
          <w:tcPr>
            <w:tcW w:w="599" w:type="pct"/>
            <w:tcBorders>
              <w:top w:val="nil"/>
              <w:left w:val="nil"/>
              <w:bottom w:val="nil"/>
              <w:right w:val="nil"/>
            </w:tcBorders>
            <w:shd w:val="clear" w:color="auto" w:fill="auto"/>
            <w:noWrap/>
            <w:vAlign w:val="bottom"/>
            <w:hideMark/>
          </w:tcPr>
          <w:p w14:paraId="2A602E5C"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16 154</w:t>
            </w:r>
          </w:p>
        </w:tc>
        <w:tc>
          <w:tcPr>
            <w:tcW w:w="594" w:type="pct"/>
            <w:tcBorders>
              <w:top w:val="nil"/>
              <w:left w:val="nil"/>
              <w:bottom w:val="nil"/>
              <w:right w:val="nil"/>
            </w:tcBorders>
            <w:shd w:val="clear" w:color="auto" w:fill="auto"/>
            <w:noWrap/>
            <w:vAlign w:val="bottom"/>
            <w:hideMark/>
          </w:tcPr>
          <w:p w14:paraId="46DF4568"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1 733</w:t>
            </w:r>
          </w:p>
        </w:tc>
        <w:tc>
          <w:tcPr>
            <w:tcW w:w="607" w:type="pct"/>
            <w:tcBorders>
              <w:top w:val="nil"/>
              <w:left w:val="nil"/>
              <w:bottom w:val="nil"/>
              <w:right w:val="nil"/>
            </w:tcBorders>
            <w:shd w:val="clear" w:color="auto" w:fill="auto"/>
            <w:noWrap/>
            <w:vAlign w:val="bottom"/>
            <w:hideMark/>
          </w:tcPr>
          <w:p w14:paraId="7E767348"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1 738</w:t>
            </w:r>
          </w:p>
        </w:tc>
        <w:tc>
          <w:tcPr>
            <w:tcW w:w="606" w:type="pct"/>
            <w:tcBorders>
              <w:top w:val="nil"/>
              <w:left w:val="nil"/>
              <w:bottom w:val="nil"/>
              <w:right w:val="nil"/>
            </w:tcBorders>
            <w:shd w:val="clear" w:color="auto" w:fill="auto"/>
            <w:noWrap/>
            <w:vAlign w:val="bottom"/>
            <w:hideMark/>
          </w:tcPr>
          <w:p w14:paraId="21317C75"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5</w:t>
            </w:r>
          </w:p>
        </w:tc>
      </w:tr>
      <w:tr w:rsidR="00912710" w:rsidRPr="003439E4" w14:paraId="6F50F665" w14:textId="77777777" w:rsidTr="0051395F">
        <w:trPr>
          <w:trHeight w:val="255"/>
        </w:trPr>
        <w:tc>
          <w:tcPr>
            <w:tcW w:w="2594" w:type="pct"/>
            <w:tcBorders>
              <w:top w:val="nil"/>
              <w:left w:val="nil"/>
              <w:bottom w:val="nil"/>
              <w:right w:val="nil"/>
            </w:tcBorders>
            <w:shd w:val="clear" w:color="auto" w:fill="auto"/>
            <w:noWrap/>
            <w:vAlign w:val="bottom"/>
            <w:hideMark/>
          </w:tcPr>
          <w:p w14:paraId="0EF7329E" w14:textId="77777777" w:rsidR="00912710" w:rsidRPr="003439E4" w:rsidRDefault="00912710" w:rsidP="0051395F">
            <w:pPr>
              <w:spacing w:after="0" w:line="240" w:lineRule="auto"/>
              <w:ind w:firstLineChars="200" w:firstLine="400"/>
              <w:rPr>
                <w:sz w:val="20"/>
                <w:szCs w:val="20"/>
                <w:lang w:eastAsia="sk-SK"/>
              </w:rPr>
            </w:pPr>
            <w:r w:rsidRPr="003439E4">
              <w:rPr>
                <w:sz w:val="20"/>
                <w:szCs w:val="20"/>
                <w:lang w:eastAsia="sk-SK"/>
              </w:rPr>
              <w:t>Exportno-importná banka Slovenskej republiky</w:t>
            </w:r>
          </w:p>
        </w:tc>
        <w:tc>
          <w:tcPr>
            <w:tcW w:w="599" w:type="pct"/>
            <w:tcBorders>
              <w:top w:val="nil"/>
              <w:left w:val="nil"/>
              <w:bottom w:val="nil"/>
              <w:right w:val="nil"/>
            </w:tcBorders>
            <w:shd w:val="clear" w:color="auto" w:fill="auto"/>
            <w:noWrap/>
            <w:vAlign w:val="bottom"/>
            <w:hideMark/>
          </w:tcPr>
          <w:p w14:paraId="3C5D89D4"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10 121</w:t>
            </w:r>
          </w:p>
        </w:tc>
        <w:tc>
          <w:tcPr>
            <w:tcW w:w="594" w:type="pct"/>
            <w:tcBorders>
              <w:top w:val="nil"/>
              <w:left w:val="nil"/>
              <w:bottom w:val="nil"/>
              <w:right w:val="nil"/>
            </w:tcBorders>
            <w:shd w:val="clear" w:color="auto" w:fill="auto"/>
            <w:noWrap/>
            <w:vAlign w:val="bottom"/>
            <w:hideMark/>
          </w:tcPr>
          <w:p w14:paraId="6B7D5DDC"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124 462</w:t>
            </w:r>
          </w:p>
        </w:tc>
        <w:tc>
          <w:tcPr>
            <w:tcW w:w="607" w:type="pct"/>
            <w:tcBorders>
              <w:top w:val="nil"/>
              <w:left w:val="nil"/>
              <w:bottom w:val="nil"/>
              <w:right w:val="nil"/>
            </w:tcBorders>
            <w:shd w:val="clear" w:color="auto" w:fill="auto"/>
            <w:noWrap/>
            <w:vAlign w:val="bottom"/>
            <w:hideMark/>
          </w:tcPr>
          <w:p w14:paraId="4386A494"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175 880</w:t>
            </w:r>
          </w:p>
        </w:tc>
        <w:tc>
          <w:tcPr>
            <w:tcW w:w="606" w:type="pct"/>
            <w:tcBorders>
              <w:top w:val="nil"/>
              <w:left w:val="nil"/>
              <w:bottom w:val="nil"/>
              <w:right w:val="nil"/>
            </w:tcBorders>
            <w:shd w:val="clear" w:color="auto" w:fill="auto"/>
            <w:noWrap/>
            <w:vAlign w:val="bottom"/>
            <w:hideMark/>
          </w:tcPr>
          <w:p w14:paraId="1F648BB9"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51 418</w:t>
            </w:r>
          </w:p>
        </w:tc>
      </w:tr>
      <w:tr w:rsidR="00912710" w:rsidRPr="003439E4" w14:paraId="775B69CA" w14:textId="77777777" w:rsidTr="0051395F">
        <w:trPr>
          <w:trHeight w:val="255"/>
        </w:trPr>
        <w:tc>
          <w:tcPr>
            <w:tcW w:w="2594" w:type="pct"/>
            <w:tcBorders>
              <w:top w:val="nil"/>
              <w:left w:val="nil"/>
              <w:bottom w:val="nil"/>
              <w:right w:val="nil"/>
            </w:tcBorders>
            <w:shd w:val="clear" w:color="auto" w:fill="auto"/>
            <w:noWrap/>
            <w:vAlign w:val="bottom"/>
            <w:hideMark/>
          </w:tcPr>
          <w:p w14:paraId="100977C1" w14:textId="77777777" w:rsidR="00912710" w:rsidRPr="003439E4" w:rsidRDefault="00912710" w:rsidP="0051395F">
            <w:pPr>
              <w:spacing w:after="0" w:line="240" w:lineRule="auto"/>
              <w:ind w:firstLineChars="200" w:firstLine="400"/>
              <w:rPr>
                <w:sz w:val="20"/>
                <w:szCs w:val="20"/>
                <w:lang w:eastAsia="sk-SK"/>
              </w:rPr>
            </w:pPr>
            <w:r w:rsidRPr="003439E4">
              <w:rPr>
                <w:sz w:val="20"/>
                <w:szCs w:val="20"/>
                <w:lang w:eastAsia="sk-SK"/>
              </w:rPr>
              <w:t>Obchodné spoločnosti štátu</w:t>
            </w:r>
          </w:p>
        </w:tc>
        <w:tc>
          <w:tcPr>
            <w:tcW w:w="599" w:type="pct"/>
            <w:tcBorders>
              <w:top w:val="nil"/>
              <w:left w:val="nil"/>
              <w:bottom w:val="nil"/>
              <w:right w:val="nil"/>
            </w:tcBorders>
            <w:shd w:val="clear" w:color="auto" w:fill="auto"/>
            <w:noWrap/>
            <w:vAlign w:val="bottom"/>
            <w:hideMark/>
          </w:tcPr>
          <w:p w14:paraId="5643F2B7"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665 149</w:t>
            </w:r>
          </w:p>
        </w:tc>
        <w:tc>
          <w:tcPr>
            <w:tcW w:w="594" w:type="pct"/>
            <w:tcBorders>
              <w:top w:val="nil"/>
              <w:left w:val="nil"/>
              <w:bottom w:val="nil"/>
              <w:right w:val="nil"/>
            </w:tcBorders>
            <w:shd w:val="clear" w:color="auto" w:fill="auto"/>
            <w:noWrap/>
            <w:vAlign w:val="bottom"/>
            <w:hideMark/>
          </w:tcPr>
          <w:p w14:paraId="07C33AE3"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740 118</w:t>
            </w:r>
          </w:p>
        </w:tc>
        <w:tc>
          <w:tcPr>
            <w:tcW w:w="607" w:type="pct"/>
            <w:tcBorders>
              <w:top w:val="nil"/>
              <w:left w:val="nil"/>
              <w:bottom w:val="nil"/>
              <w:right w:val="nil"/>
            </w:tcBorders>
            <w:shd w:val="clear" w:color="auto" w:fill="auto"/>
            <w:noWrap/>
            <w:vAlign w:val="bottom"/>
            <w:hideMark/>
          </w:tcPr>
          <w:p w14:paraId="67B6D939"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748 875</w:t>
            </w:r>
          </w:p>
        </w:tc>
        <w:tc>
          <w:tcPr>
            <w:tcW w:w="606" w:type="pct"/>
            <w:tcBorders>
              <w:top w:val="nil"/>
              <w:left w:val="nil"/>
              <w:bottom w:val="nil"/>
              <w:right w:val="nil"/>
            </w:tcBorders>
            <w:shd w:val="clear" w:color="auto" w:fill="auto"/>
            <w:noWrap/>
            <w:vAlign w:val="bottom"/>
            <w:hideMark/>
          </w:tcPr>
          <w:p w14:paraId="6CB859D6"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8 757</w:t>
            </w:r>
          </w:p>
        </w:tc>
      </w:tr>
      <w:tr w:rsidR="00912710" w:rsidRPr="003439E4" w14:paraId="7F3A5605" w14:textId="77777777" w:rsidTr="0051395F">
        <w:trPr>
          <w:trHeight w:val="255"/>
        </w:trPr>
        <w:tc>
          <w:tcPr>
            <w:tcW w:w="2594" w:type="pct"/>
            <w:tcBorders>
              <w:top w:val="nil"/>
              <w:left w:val="nil"/>
              <w:bottom w:val="nil"/>
              <w:right w:val="nil"/>
            </w:tcBorders>
            <w:shd w:val="clear" w:color="auto" w:fill="auto"/>
            <w:noWrap/>
            <w:vAlign w:val="bottom"/>
            <w:hideMark/>
          </w:tcPr>
          <w:p w14:paraId="08F65EC0" w14:textId="77777777" w:rsidR="00912710" w:rsidRPr="003439E4" w:rsidRDefault="00912710" w:rsidP="0051395F">
            <w:pPr>
              <w:spacing w:after="0" w:line="240" w:lineRule="auto"/>
              <w:ind w:firstLineChars="300" w:firstLine="600"/>
              <w:rPr>
                <w:sz w:val="20"/>
                <w:szCs w:val="20"/>
                <w:lang w:eastAsia="sk-SK"/>
              </w:rPr>
            </w:pPr>
            <w:r w:rsidRPr="003439E4">
              <w:rPr>
                <w:sz w:val="20"/>
                <w:szCs w:val="20"/>
                <w:lang w:eastAsia="sk-SK"/>
              </w:rPr>
              <w:t>z toho:</w:t>
            </w:r>
          </w:p>
        </w:tc>
        <w:tc>
          <w:tcPr>
            <w:tcW w:w="599" w:type="pct"/>
            <w:tcBorders>
              <w:top w:val="nil"/>
              <w:left w:val="nil"/>
              <w:bottom w:val="nil"/>
              <w:right w:val="nil"/>
            </w:tcBorders>
            <w:shd w:val="clear" w:color="auto" w:fill="auto"/>
            <w:noWrap/>
            <w:vAlign w:val="bottom"/>
            <w:hideMark/>
          </w:tcPr>
          <w:p w14:paraId="6E9DA2AC" w14:textId="77777777" w:rsidR="00912710" w:rsidRPr="003439E4" w:rsidRDefault="00912710" w:rsidP="0051395F">
            <w:pPr>
              <w:spacing w:after="0" w:line="240" w:lineRule="auto"/>
              <w:ind w:firstLineChars="300" w:firstLine="600"/>
              <w:rPr>
                <w:sz w:val="20"/>
                <w:szCs w:val="20"/>
                <w:lang w:eastAsia="sk-SK"/>
              </w:rPr>
            </w:pPr>
          </w:p>
        </w:tc>
        <w:tc>
          <w:tcPr>
            <w:tcW w:w="594" w:type="pct"/>
            <w:tcBorders>
              <w:top w:val="nil"/>
              <w:left w:val="nil"/>
              <w:bottom w:val="nil"/>
              <w:right w:val="nil"/>
            </w:tcBorders>
            <w:shd w:val="clear" w:color="auto" w:fill="auto"/>
            <w:noWrap/>
            <w:vAlign w:val="bottom"/>
            <w:hideMark/>
          </w:tcPr>
          <w:p w14:paraId="30767FCB" w14:textId="77777777" w:rsidR="00912710" w:rsidRPr="003439E4" w:rsidRDefault="00912710" w:rsidP="0051395F">
            <w:pPr>
              <w:spacing w:after="0" w:line="240" w:lineRule="auto"/>
              <w:rPr>
                <w:sz w:val="20"/>
                <w:szCs w:val="20"/>
                <w:lang w:eastAsia="sk-SK"/>
              </w:rPr>
            </w:pPr>
          </w:p>
        </w:tc>
        <w:tc>
          <w:tcPr>
            <w:tcW w:w="607" w:type="pct"/>
            <w:tcBorders>
              <w:top w:val="nil"/>
              <w:left w:val="nil"/>
              <w:bottom w:val="nil"/>
              <w:right w:val="nil"/>
            </w:tcBorders>
            <w:shd w:val="clear" w:color="auto" w:fill="auto"/>
            <w:noWrap/>
            <w:vAlign w:val="bottom"/>
            <w:hideMark/>
          </w:tcPr>
          <w:p w14:paraId="4D116A62" w14:textId="77777777" w:rsidR="00912710" w:rsidRPr="003439E4" w:rsidRDefault="00912710" w:rsidP="0051395F">
            <w:pPr>
              <w:spacing w:after="0" w:line="240" w:lineRule="auto"/>
              <w:rPr>
                <w:sz w:val="20"/>
                <w:szCs w:val="20"/>
                <w:lang w:eastAsia="sk-SK"/>
              </w:rPr>
            </w:pPr>
          </w:p>
        </w:tc>
        <w:tc>
          <w:tcPr>
            <w:tcW w:w="606" w:type="pct"/>
            <w:tcBorders>
              <w:top w:val="nil"/>
              <w:left w:val="nil"/>
              <w:bottom w:val="nil"/>
              <w:right w:val="nil"/>
            </w:tcBorders>
            <w:shd w:val="clear" w:color="auto" w:fill="auto"/>
            <w:noWrap/>
            <w:vAlign w:val="bottom"/>
            <w:hideMark/>
          </w:tcPr>
          <w:p w14:paraId="302B1110" w14:textId="77777777" w:rsidR="00912710" w:rsidRPr="003439E4" w:rsidRDefault="00912710" w:rsidP="0051395F">
            <w:pPr>
              <w:spacing w:after="0" w:line="240" w:lineRule="auto"/>
              <w:rPr>
                <w:sz w:val="20"/>
                <w:szCs w:val="20"/>
                <w:lang w:eastAsia="sk-SK"/>
              </w:rPr>
            </w:pPr>
          </w:p>
        </w:tc>
      </w:tr>
      <w:tr w:rsidR="00912710" w:rsidRPr="003439E4" w14:paraId="6869B5DA" w14:textId="77777777" w:rsidTr="0051395F">
        <w:trPr>
          <w:trHeight w:val="255"/>
        </w:trPr>
        <w:tc>
          <w:tcPr>
            <w:tcW w:w="2594" w:type="pct"/>
            <w:tcBorders>
              <w:top w:val="nil"/>
              <w:left w:val="nil"/>
              <w:bottom w:val="nil"/>
              <w:right w:val="nil"/>
            </w:tcBorders>
            <w:shd w:val="clear" w:color="auto" w:fill="auto"/>
            <w:noWrap/>
            <w:vAlign w:val="bottom"/>
            <w:hideMark/>
          </w:tcPr>
          <w:p w14:paraId="7C02FB65" w14:textId="77777777" w:rsidR="00912710" w:rsidRPr="003439E4" w:rsidRDefault="00912710" w:rsidP="0051395F">
            <w:pPr>
              <w:spacing w:after="0" w:line="240" w:lineRule="auto"/>
              <w:ind w:firstLineChars="400" w:firstLine="800"/>
              <w:rPr>
                <w:sz w:val="20"/>
                <w:szCs w:val="20"/>
                <w:lang w:eastAsia="sk-SK"/>
              </w:rPr>
            </w:pPr>
            <w:r w:rsidRPr="003439E4">
              <w:rPr>
                <w:sz w:val="20"/>
                <w:szCs w:val="20"/>
                <w:lang w:eastAsia="sk-SK"/>
              </w:rPr>
              <w:t>Železničná spoločnosť Slovensko, a. s.</w:t>
            </w:r>
          </w:p>
        </w:tc>
        <w:tc>
          <w:tcPr>
            <w:tcW w:w="599" w:type="pct"/>
            <w:tcBorders>
              <w:top w:val="nil"/>
              <w:left w:val="nil"/>
              <w:bottom w:val="nil"/>
              <w:right w:val="nil"/>
            </w:tcBorders>
            <w:shd w:val="clear" w:color="auto" w:fill="auto"/>
            <w:noWrap/>
            <w:vAlign w:val="bottom"/>
            <w:hideMark/>
          </w:tcPr>
          <w:p w14:paraId="19733C04"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386 388</w:t>
            </w:r>
          </w:p>
        </w:tc>
        <w:tc>
          <w:tcPr>
            <w:tcW w:w="594" w:type="pct"/>
            <w:tcBorders>
              <w:top w:val="nil"/>
              <w:left w:val="nil"/>
              <w:bottom w:val="nil"/>
              <w:right w:val="nil"/>
            </w:tcBorders>
            <w:shd w:val="clear" w:color="auto" w:fill="auto"/>
            <w:noWrap/>
            <w:vAlign w:val="bottom"/>
            <w:hideMark/>
          </w:tcPr>
          <w:p w14:paraId="74D235B3"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455 337</w:t>
            </w:r>
          </w:p>
        </w:tc>
        <w:tc>
          <w:tcPr>
            <w:tcW w:w="607" w:type="pct"/>
            <w:tcBorders>
              <w:top w:val="nil"/>
              <w:left w:val="nil"/>
              <w:bottom w:val="nil"/>
              <w:right w:val="nil"/>
            </w:tcBorders>
            <w:shd w:val="clear" w:color="auto" w:fill="auto"/>
            <w:noWrap/>
            <w:vAlign w:val="bottom"/>
            <w:hideMark/>
          </w:tcPr>
          <w:p w14:paraId="3F630279"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506 420</w:t>
            </w:r>
          </w:p>
        </w:tc>
        <w:tc>
          <w:tcPr>
            <w:tcW w:w="606" w:type="pct"/>
            <w:tcBorders>
              <w:top w:val="nil"/>
              <w:left w:val="nil"/>
              <w:bottom w:val="nil"/>
              <w:right w:val="nil"/>
            </w:tcBorders>
            <w:shd w:val="clear" w:color="auto" w:fill="auto"/>
            <w:noWrap/>
            <w:vAlign w:val="bottom"/>
            <w:hideMark/>
          </w:tcPr>
          <w:p w14:paraId="5462ABE8"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51 083</w:t>
            </w:r>
          </w:p>
        </w:tc>
      </w:tr>
      <w:tr w:rsidR="00912710" w:rsidRPr="003439E4" w14:paraId="1A0DE14C" w14:textId="77777777" w:rsidTr="0051395F">
        <w:trPr>
          <w:trHeight w:val="255"/>
        </w:trPr>
        <w:tc>
          <w:tcPr>
            <w:tcW w:w="2594" w:type="pct"/>
            <w:tcBorders>
              <w:top w:val="nil"/>
              <w:left w:val="nil"/>
              <w:bottom w:val="nil"/>
              <w:right w:val="nil"/>
            </w:tcBorders>
            <w:shd w:val="clear" w:color="auto" w:fill="auto"/>
            <w:noWrap/>
            <w:vAlign w:val="bottom"/>
            <w:hideMark/>
          </w:tcPr>
          <w:p w14:paraId="3A724C7B" w14:textId="77777777" w:rsidR="00912710" w:rsidRPr="003439E4" w:rsidRDefault="00912710" w:rsidP="0051395F">
            <w:pPr>
              <w:spacing w:after="0" w:line="240" w:lineRule="auto"/>
              <w:ind w:firstLineChars="400" w:firstLine="800"/>
              <w:rPr>
                <w:sz w:val="20"/>
                <w:szCs w:val="20"/>
                <w:lang w:eastAsia="sk-SK"/>
              </w:rPr>
            </w:pPr>
            <w:r w:rsidRPr="003439E4">
              <w:rPr>
                <w:sz w:val="20"/>
                <w:szCs w:val="20"/>
                <w:lang w:eastAsia="sk-SK"/>
              </w:rPr>
              <w:t>Železnice Slovenskej republiky</w:t>
            </w:r>
          </w:p>
        </w:tc>
        <w:tc>
          <w:tcPr>
            <w:tcW w:w="599" w:type="pct"/>
            <w:tcBorders>
              <w:top w:val="nil"/>
              <w:left w:val="nil"/>
              <w:bottom w:val="nil"/>
              <w:right w:val="nil"/>
            </w:tcBorders>
            <w:shd w:val="clear" w:color="auto" w:fill="auto"/>
            <w:noWrap/>
            <w:vAlign w:val="bottom"/>
            <w:hideMark/>
          </w:tcPr>
          <w:p w14:paraId="4DECCDD2"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83 218</w:t>
            </w:r>
          </w:p>
        </w:tc>
        <w:tc>
          <w:tcPr>
            <w:tcW w:w="594" w:type="pct"/>
            <w:tcBorders>
              <w:top w:val="nil"/>
              <w:left w:val="nil"/>
              <w:bottom w:val="nil"/>
              <w:right w:val="nil"/>
            </w:tcBorders>
            <w:shd w:val="clear" w:color="auto" w:fill="auto"/>
            <w:noWrap/>
            <w:vAlign w:val="bottom"/>
            <w:hideMark/>
          </w:tcPr>
          <w:p w14:paraId="10A0C18A"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130 531</w:t>
            </w:r>
          </w:p>
        </w:tc>
        <w:tc>
          <w:tcPr>
            <w:tcW w:w="607" w:type="pct"/>
            <w:tcBorders>
              <w:top w:val="nil"/>
              <w:left w:val="nil"/>
              <w:bottom w:val="nil"/>
              <w:right w:val="nil"/>
            </w:tcBorders>
            <w:shd w:val="clear" w:color="auto" w:fill="auto"/>
            <w:noWrap/>
            <w:vAlign w:val="bottom"/>
            <w:hideMark/>
          </w:tcPr>
          <w:p w14:paraId="022D9338"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135 206</w:t>
            </w:r>
          </w:p>
        </w:tc>
        <w:tc>
          <w:tcPr>
            <w:tcW w:w="606" w:type="pct"/>
            <w:tcBorders>
              <w:top w:val="nil"/>
              <w:left w:val="nil"/>
              <w:bottom w:val="nil"/>
              <w:right w:val="nil"/>
            </w:tcBorders>
            <w:shd w:val="clear" w:color="auto" w:fill="auto"/>
            <w:noWrap/>
            <w:vAlign w:val="bottom"/>
            <w:hideMark/>
          </w:tcPr>
          <w:p w14:paraId="297574C8"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4 675</w:t>
            </w:r>
          </w:p>
        </w:tc>
      </w:tr>
      <w:tr w:rsidR="00912710" w:rsidRPr="003439E4" w14:paraId="1626FB16" w14:textId="77777777" w:rsidTr="0051395F">
        <w:trPr>
          <w:trHeight w:val="255"/>
        </w:trPr>
        <w:tc>
          <w:tcPr>
            <w:tcW w:w="2594" w:type="pct"/>
            <w:tcBorders>
              <w:top w:val="nil"/>
              <w:left w:val="nil"/>
              <w:bottom w:val="nil"/>
              <w:right w:val="nil"/>
            </w:tcBorders>
            <w:shd w:val="clear" w:color="auto" w:fill="auto"/>
            <w:noWrap/>
            <w:vAlign w:val="bottom"/>
            <w:hideMark/>
          </w:tcPr>
          <w:p w14:paraId="2188D36A" w14:textId="77777777" w:rsidR="00912710" w:rsidRPr="003439E4" w:rsidRDefault="00912710" w:rsidP="0051395F">
            <w:pPr>
              <w:spacing w:after="0" w:line="240" w:lineRule="auto"/>
              <w:ind w:firstLineChars="400" w:firstLine="800"/>
              <w:rPr>
                <w:sz w:val="20"/>
                <w:szCs w:val="20"/>
                <w:lang w:eastAsia="sk-SK"/>
              </w:rPr>
            </w:pPr>
            <w:r w:rsidRPr="003439E4">
              <w:rPr>
                <w:sz w:val="20"/>
                <w:szCs w:val="20"/>
                <w:lang w:eastAsia="sk-SK"/>
              </w:rPr>
              <w:t>Národná diaľničná spoločnosť, a. s.</w:t>
            </w:r>
          </w:p>
        </w:tc>
        <w:tc>
          <w:tcPr>
            <w:tcW w:w="599" w:type="pct"/>
            <w:tcBorders>
              <w:top w:val="nil"/>
              <w:left w:val="nil"/>
              <w:bottom w:val="nil"/>
              <w:right w:val="nil"/>
            </w:tcBorders>
            <w:shd w:val="clear" w:color="auto" w:fill="auto"/>
            <w:noWrap/>
            <w:vAlign w:val="bottom"/>
            <w:hideMark/>
          </w:tcPr>
          <w:p w14:paraId="192342D5"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169 235</w:t>
            </w:r>
          </w:p>
        </w:tc>
        <w:tc>
          <w:tcPr>
            <w:tcW w:w="594" w:type="pct"/>
            <w:tcBorders>
              <w:top w:val="nil"/>
              <w:left w:val="nil"/>
              <w:bottom w:val="nil"/>
              <w:right w:val="nil"/>
            </w:tcBorders>
            <w:shd w:val="clear" w:color="auto" w:fill="auto"/>
            <w:noWrap/>
            <w:vAlign w:val="bottom"/>
            <w:hideMark/>
          </w:tcPr>
          <w:p w14:paraId="78C79721"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127 370</w:t>
            </w:r>
          </w:p>
        </w:tc>
        <w:tc>
          <w:tcPr>
            <w:tcW w:w="607" w:type="pct"/>
            <w:tcBorders>
              <w:top w:val="nil"/>
              <w:left w:val="nil"/>
              <w:bottom w:val="nil"/>
              <w:right w:val="nil"/>
            </w:tcBorders>
            <w:shd w:val="clear" w:color="auto" w:fill="auto"/>
            <w:noWrap/>
            <w:vAlign w:val="bottom"/>
            <w:hideMark/>
          </w:tcPr>
          <w:p w14:paraId="1BFDBE35"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97 602</w:t>
            </w:r>
          </w:p>
        </w:tc>
        <w:tc>
          <w:tcPr>
            <w:tcW w:w="606" w:type="pct"/>
            <w:tcBorders>
              <w:top w:val="nil"/>
              <w:left w:val="nil"/>
              <w:bottom w:val="nil"/>
              <w:right w:val="nil"/>
            </w:tcBorders>
            <w:shd w:val="clear" w:color="auto" w:fill="auto"/>
            <w:noWrap/>
            <w:vAlign w:val="bottom"/>
            <w:hideMark/>
          </w:tcPr>
          <w:p w14:paraId="7076BC69"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-29 768</w:t>
            </w:r>
          </w:p>
        </w:tc>
      </w:tr>
      <w:tr w:rsidR="00912710" w:rsidRPr="003439E4" w14:paraId="4CB473E4" w14:textId="77777777" w:rsidTr="0051395F">
        <w:trPr>
          <w:trHeight w:val="255"/>
        </w:trPr>
        <w:tc>
          <w:tcPr>
            <w:tcW w:w="2594" w:type="pct"/>
            <w:tcBorders>
              <w:top w:val="nil"/>
              <w:left w:val="nil"/>
              <w:bottom w:val="nil"/>
              <w:right w:val="nil"/>
            </w:tcBorders>
            <w:shd w:val="clear" w:color="auto" w:fill="auto"/>
            <w:noWrap/>
            <w:vAlign w:val="bottom"/>
            <w:hideMark/>
          </w:tcPr>
          <w:p w14:paraId="707B470B" w14:textId="77777777" w:rsidR="00912710" w:rsidRPr="003439E4" w:rsidRDefault="00912710" w:rsidP="0051395F">
            <w:pPr>
              <w:spacing w:after="0" w:line="240" w:lineRule="auto"/>
              <w:ind w:firstLineChars="400" w:firstLine="800"/>
              <w:rPr>
                <w:sz w:val="20"/>
                <w:szCs w:val="20"/>
                <w:lang w:eastAsia="sk-SK"/>
              </w:rPr>
            </w:pPr>
            <w:r w:rsidRPr="003439E4">
              <w:rPr>
                <w:sz w:val="20"/>
                <w:szCs w:val="20"/>
                <w:lang w:eastAsia="sk-SK"/>
              </w:rPr>
              <w:t>JAVYS, a. s.</w:t>
            </w:r>
          </w:p>
        </w:tc>
        <w:tc>
          <w:tcPr>
            <w:tcW w:w="599" w:type="pct"/>
            <w:tcBorders>
              <w:top w:val="nil"/>
              <w:left w:val="nil"/>
              <w:bottom w:val="nil"/>
              <w:right w:val="nil"/>
            </w:tcBorders>
            <w:shd w:val="clear" w:color="auto" w:fill="auto"/>
            <w:noWrap/>
            <w:vAlign w:val="bottom"/>
            <w:hideMark/>
          </w:tcPr>
          <w:p w14:paraId="446158D9"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8 339</w:t>
            </w:r>
          </w:p>
        </w:tc>
        <w:tc>
          <w:tcPr>
            <w:tcW w:w="594" w:type="pct"/>
            <w:tcBorders>
              <w:top w:val="nil"/>
              <w:left w:val="nil"/>
              <w:bottom w:val="nil"/>
              <w:right w:val="nil"/>
            </w:tcBorders>
            <w:shd w:val="clear" w:color="auto" w:fill="auto"/>
            <w:noWrap/>
            <w:vAlign w:val="bottom"/>
            <w:hideMark/>
          </w:tcPr>
          <w:p w14:paraId="659A4D61"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8 936</w:t>
            </w:r>
          </w:p>
        </w:tc>
        <w:tc>
          <w:tcPr>
            <w:tcW w:w="607" w:type="pct"/>
            <w:tcBorders>
              <w:top w:val="nil"/>
              <w:left w:val="nil"/>
              <w:bottom w:val="nil"/>
              <w:right w:val="nil"/>
            </w:tcBorders>
            <w:shd w:val="clear" w:color="auto" w:fill="auto"/>
            <w:noWrap/>
            <w:vAlign w:val="bottom"/>
            <w:hideMark/>
          </w:tcPr>
          <w:p w14:paraId="6B976631"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6 833</w:t>
            </w:r>
          </w:p>
        </w:tc>
        <w:tc>
          <w:tcPr>
            <w:tcW w:w="606" w:type="pct"/>
            <w:tcBorders>
              <w:top w:val="nil"/>
              <w:left w:val="nil"/>
              <w:bottom w:val="nil"/>
              <w:right w:val="nil"/>
            </w:tcBorders>
            <w:shd w:val="clear" w:color="auto" w:fill="auto"/>
            <w:noWrap/>
            <w:vAlign w:val="bottom"/>
            <w:hideMark/>
          </w:tcPr>
          <w:p w14:paraId="2A384B7B"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-2 103</w:t>
            </w:r>
          </w:p>
        </w:tc>
      </w:tr>
      <w:tr w:rsidR="00912710" w:rsidRPr="003439E4" w14:paraId="10F55BBD" w14:textId="77777777" w:rsidTr="0051395F">
        <w:trPr>
          <w:trHeight w:val="255"/>
        </w:trPr>
        <w:tc>
          <w:tcPr>
            <w:tcW w:w="2594" w:type="pct"/>
            <w:tcBorders>
              <w:top w:val="nil"/>
              <w:left w:val="nil"/>
              <w:bottom w:val="nil"/>
              <w:right w:val="nil"/>
            </w:tcBorders>
            <w:shd w:val="clear" w:color="auto" w:fill="auto"/>
            <w:noWrap/>
            <w:vAlign w:val="bottom"/>
            <w:hideMark/>
          </w:tcPr>
          <w:p w14:paraId="41CED33C" w14:textId="77777777" w:rsidR="00912710" w:rsidRPr="003439E4" w:rsidRDefault="00912710" w:rsidP="0051395F">
            <w:pPr>
              <w:spacing w:after="0" w:line="240" w:lineRule="auto"/>
              <w:ind w:firstLineChars="400" w:firstLine="800"/>
              <w:rPr>
                <w:sz w:val="20"/>
                <w:szCs w:val="20"/>
                <w:lang w:eastAsia="sk-SK"/>
              </w:rPr>
            </w:pPr>
            <w:r w:rsidRPr="003439E4">
              <w:rPr>
                <w:sz w:val="20"/>
                <w:szCs w:val="20"/>
                <w:lang w:eastAsia="sk-SK"/>
              </w:rPr>
              <w:t xml:space="preserve">MH </w:t>
            </w:r>
            <w:proofErr w:type="spellStart"/>
            <w:r w:rsidRPr="003439E4">
              <w:rPr>
                <w:sz w:val="20"/>
                <w:szCs w:val="20"/>
                <w:lang w:eastAsia="sk-SK"/>
              </w:rPr>
              <w:t>Invest</w:t>
            </w:r>
            <w:proofErr w:type="spellEnd"/>
            <w:r w:rsidRPr="003439E4">
              <w:rPr>
                <w:sz w:val="20"/>
                <w:szCs w:val="20"/>
                <w:lang w:eastAsia="sk-SK"/>
              </w:rPr>
              <w:t xml:space="preserve"> II., s. r. o.</w:t>
            </w:r>
          </w:p>
        </w:tc>
        <w:tc>
          <w:tcPr>
            <w:tcW w:w="599" w:type="pct"/>
            <w:tcBorders>
              <w:top w:val="nil"/>
              <w:left w:val="nil"/>
              <w:bottom w:val="nil"/>
              <w:right w:val="nil"/>
            </w:tcBorders>
            <w:shd w:val="clear" w:color="auto" w:fill="auto"/>
            <w:noWrap/>
            <w:vAlign w:val="bottom"/>
            <w:hideMark/>
          </w:tcPr>
          <w:p w14:paraId="368A83BB"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2 755</w:t>
            </w:r>
          </w:p>
        </w:tc>
        <w:tc>
          <w:tcPr>
            <w:tcW w:w="594" w:type="pct"/>
            <w:tcBorders>
              <w:top w:val="nil"/>
              <w:left w:val="nil"/>
              <w:bottom w:val="nil"/>
              <w:right w:val="nil"/>
            </w:tcBorders>
            <w:shd w:val="clear" w:color="auto" w:fill="auto"/>
            <w:noWrap/>
            <w:vAlign w:val="bottom"/>
            <w:hideMark/>
          </w:tcPr>
          <w:p w14:paraId="7AEC7C17"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2 730</w:t>
            </w:r>
          </w:p>
        </w:tc>
        <w:tc>
          <w:tcPr>
            <w:tcW w:w="607" w:type="pct"/>
            <w:tcBorders>
              <w:top w:val="nil"/>
              <w:left w:val="nil"/>
              <w:bottom w:val="nil"/>
              <w:right w:val="nil"/>
            </w:tcBorders>
            <w:shd w:val="clear" w:color="auto" w:fill="auto"/>
            <w:noWrap/>
            <w:vAlign w:val="bottom"/>
            <w:hideMark/>
          </w:tcPr>
          <w:p w14:paraId="5D61726B"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2 730</w:t>
            </w:r>
          </w:p>
        </w:tc>
        <w:tc>
          <w:tcPr>
            <w:tcW w:w="606" w:type="pct"/>
            <w:tcBorders>
              <w:top w:val="nil"/>
              <w:left w:val="nil"/>
              <w:bottom w:val="nil"/>
              <w:right w:val="nil"/>
            </w:tcBorders>
            <w:shd w:val="clear" w:color="auto" w:fill="auto"/>
            <w:noWrap/>
            <w:vAlign w:val="bottom"/>
            <w:hideMark/>
          </w:tcPr>
          <w:p w14:paraId="7E6F5AA5"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0</w:t>
            </w:r>
          </w:p>
        </w:tc>
      </w:tr>
      <w:tr w:rsidR="00912710" w:rsidRPr="003439E4" w14:paraId="1C214609" w14:textId="77777777" w:rsidTr="0051395F">
        <w:trPr>
          <w:trHeight w:val="255"/>
        </w:trPr>
        <w:tc>
          <w:tcPr>
            <w:tcW w:w="2594" w:type="pct"/>
            <w:tcBorders>
              <w:top w:val="nil"/>
              <w:left w:val="nil"/>
              <w:bottom w:val="nil"/>
              <w:right w:val="nil"/>
            </w:tcBorders>
            <w:shd w:val="clear" w:color="auto" w:fill="auto"/>
            <w:noWrap/>
            <w:vAlign w:val="bottom"/>
            <w:hideMark/>
          </w:tcPr>
          <w:p w14:paraId="2FCD1570" w14:textId="77777777" w:rsidR="00912710" w:rsidRPr="003439E4" w:rsidRDefault="00912710" w:rsidP="0051395F">
            <w:pPr>
              <w:spacing w:after="0" w:line="240" w:lineRule="auto"/>
              <w:ind w:firstLineChars="400" w:firstLine="800"/>
              <w:rPr>
                <w:sz w:val="20"/>
                <w:szCs w:val="20"/>
                <w:lang w:eastAsia="sk-SK"/>
              </w:rPr>
            </w:pPr>
            <w:r w:rsidRPr="003439E4">
              <w:rPr>
                <w:sz w:val="20"/>
                <w:szCs w:val="20"/>
                <w:lang w:eastAsia="sk-SK"/>
              </w:rPr>
              <w:t>MH Manažment, a. s.</w:t>
            </w:r>
          </w:p>
        </w:tc>
        <w:tc>
          <w:tcPr>
            <w:tcW w:w="599" w:type="pct"/>
            <w:tcBorders>
              <w:top w:val="nil"/>
              <w:left w:val="nil"/>
              <w:bottom w:val="nil"/>
              <w:right w:val="nil"/>
            </w:tcBorders>
            <w:shd w:val="clear" w:color="auto" w:fill="auto"/>
            <w:noWrap/>
            <w:vAlign w:val="bottom"/>
            <w:hideMark/>
          </w:tcPr>
          <w:p w14:paraId="69BC30DE"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15 214</w:t>
            </w:r>
          </w:p>
        </w:tc>
        <w:tc>
          <w:tcPr>
            <w:tcW w:w="594" w:type="pct"/>
            <w:tcBorders>
              <w:top w:val="nil"/>
              <w:left w:val="nil"/>
              <w:bottom w:val="nil"/>
              <w:right w:val="nil"/>
            </w:tcBorders>
            <w:shd w:val="clear" w:color="auto" w:fill="auto"/>
            <w:noWrap/>
            <w:vAlign w:val="bottom"/>
            <w:hideMark/>
          </w:tcPr>
          <w:p w14:paraId="73ABA3EA"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15 214</w:t>
            </w:r>
          </w:p>
        </w:tc>
        <w:tc>
          <w:tcPr>
            <w:tcW w:w="607" w:type="pct"/>
            <w:tcBorders>
              <w:top w:val="nil"/>
              <w:left w:val="nil"/>
              <w:bottom w:val="nil"/>
              <w:right w:val="nil"/>
            </w:tcBorders>
            <w:shd w:val="clear" w:color="auto" w:fill="auto"/>
            <w:noWrap/>
            <w:vAlign w:val="bottom"/>
            <w:hideMark/>
          </w:tcPr>
          <w:p w14:paraId="1ABC3E19"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84</w:t>
            </w:r>
          </w:p>
        </w:tc>
        <w:tc>
          <w:tcPr>
            <w:tcW w:w="606" w:type="pct"/>
            <w:tcBorders>
              <w:top w:val="nil"/>
              <w:left w:val="nil"/>
              <w:bottom w:val="nil"/>
              <w:right w:val="nil"/>
            </w:tcBorders>
            <w:shd w:val="clear" w:color="auto" w:fill="auto"/>
            <w:noWrap/>
            <w:vAlign w:val="bottom"/>
            <w:hideMark/>
          </w:tcPr>
          <w:p w14:paraId="42A702C0"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-15 130</w:t>
            </w:r>
          </w:p>
        </w:tc>
      </w:tr>
      <w:tr w:rsidR="00912710" w:rsidRPr="003439E4" w14:paraId="67304F6B" w14:textId="77777777" w:rsidTr="0051395F">
        <w:trPr>
          <w:trHeight w:val="255"/>
        </w:trPr>
        <w:tc>
          <w:tcPr>
            <w:tcW w:w="2594" w:type="pct"/>
            <w:tcBorders>
              <w:top w:val="nil"/>
              <w:left w:val="nil"/>
              <w:bottom w:val="nil"/>
              <w:right w:val="nil"/>
            </w:tcBorders>
            <w:shd w:val="clear" w:color="auto" w:fill="auto"/>
            <w:noWrap/>
            <w:vAlign w:val="bottom"/>
            <w:hideMark/>
          </w:tcPr>
          <w:p w14:paraId="43888948" w14:textId="77777777" w:rsidR="00912710" w:rsidRPr="003439E4" w:rsidRDefault="00912710" w:rsidP="0051395F">
            <w:pPr>
              <w:spacing w:after="0" w:line="240" w:lineRule="auto"/>
              <w:ind w:firstLineChars="200" w:firstLine="400"/>
              <w:rPr>
                <w:sz w:val="20"/>
                <w:szCs w:val="20"/>
                <w:lang w:eastAsia="sk-SK"/>
              </w:rPr>
            </w:pPr>
            <w:r w:rsidRPr="003439E4">
              <w:rPr>
                <w:sz w:val="20"/>
                <w:szCs w:val="20"/>
                <w:lang w:eastAsia="sk-SK"/>
              </w:rPr>
              <w:t>Verejné vysoké školy</w:t>
            </w:r>
          </w:p>
        </w:tc>
        <w:tc>
          <w:tcPr>
            <w:tcW w:w="599" w:type="pct"/>
            <w:tcBorders>
              <w:top w:val="nil"/>
              <w:left w:val="nil"/>
              <w:bottom w:val="nil"/>
              <w:right w:val="nil"/>
            </w:tcBorders>
            <w:shd w:val="clear" w:color="auto" w:fill="auto"/>
            <w:noWrap/>
            <w:vAlign w:val="bottom"/>
            <w:hideMark/>
          </w:tcPr>
          <w:p w14:paraId="680769F8"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5 553</w:t>
            </w:r>
          </w:p>
        </w:tc>
        <w:tc>
          <w:tcPr>
            <w:tcW w:w="594" w:type="pct"/>
            <w:tcBorders>
              <w:top w:val="nil"/>
              <w:left w:val="nil"/>
              <w:bottom w:val="nil"/>
              <w:right w:val="nil"/>
            </w:tcBorders>
            <w:shd w:val="clear" w:color="auto" w:fill="auto"/>
            <w:noWrap/>
            <w:vAlign w:val="bottom"/>
            <w:hideMark/>
          </w:tcPr>
          <w:p w14:paraId="7F792EA0"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5 439</w:t>
            </w:r>
          </w:p>
        </w:tc>
        <w:tc>
          <w:tcPr>
            <w:tcW w:w="607" w:type="pct"/>
            <w:tcBorders>
              <w:top w:val="nil"/>
              <w:left w:val="nil"/>
              <w:bottom w:val="nil"/>
              <w:right w:val="nil"/>
            </w:tcBorders>
            <w:shd w:val="clear" w:color="auto" w:fill="auto"/>
            <w:noWrap/>
            <w:vAlign w:val="bottom"/>
            <w:hideMark/>
          </w:tcPr>
          <w:p w14:paraId="66FEA0AA"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5 430</w:t>
            </w:r>
          </w:p>
        </w:tc>
        <w:tc>
          <w:tcPr>
            <w:tcW w:w="606" w:type="pct"/>
            <w:tcBorders>
              <w:top w:val="nil"/>
              <w:left w:val="nil"/>
              <w:bottom w:val="nil"/>
              <w:right w:val="nil"/>
            </w:tcBorders>
            <w:shd w:val="clear" w:color="auto" w:fill="auto"/>
            <w:noWrap/>
            <w:vAlign w:val="bottom"/>
            <w:hideMark/>
          </w:tcPr>
          <w:p w14:paraId="5166935E"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-9</w:t>
            </w:r>
          </w:p>
        </w:tc>
      </w:tr>
      <w:tr w:rsidR="00912710" w:rsidRPr="003439E4" w14:paraId="447A475A" w14:textId="77777777" w:rsidTr="0051395F">
        <w:trPr>
          <w:trHeight w:val="255"/>
        </w:trPr>
        <w:tc>
          <w:tcPr>
            <w:tcW w:w="2594" w:type="pct"/>
            <w:tcBorders>
              <w:top w:val="nil"/>
              <w:left w:val="nil"/>
              <w:bottom w:val="nil"/>
              <w:right w:val="nil"/>
            </w:tcBorders>
            <w:shd w:val="clear" w:color="auto" w:fill="auto"/>
            <w:noWrap/>
            <w:vAlign w:val="bottom"/>
            <w:hideMark/>
          </w:tcPr>
          <w:p w14:paraId="4363A6A5" w14:textId="77777777" w:rsidR="00912710" w:rsidRPr="003439E4" w:rsidRDefault="00912710" w:rsidP="0051395F">
            <w:pPr>
              <w:spacing w:after="0" w:line="240" w:lineRule="auto"/>
              <w:ind w:firstLineChars="200" w:firstLine="400"/>
              <w:rPr>
                <w:sz w:val="20"/>
                <w:szCs w:val="20"/>
                <w:lang w:eastAsia="sk-SK"/>
              </w:rPr>
            </w:pPr>
            <w:r w:rsidRPr="003439E4">
              <w:rPr>
                <w:sz w:val="20"/>
                <w:szCs w:val="20"/>
                <w:lang w:eastAsia="sk-SK"/>
              </w:rPr>
              <w:t>Zdravotnícke zariadenia ústrednej správy</w:t>
            </w:r>
          </w:p>
        </w:tc>
        <w:tc>
          <w:tcPr>
            <w:tcW w:w="599" w:type="pct"/>
            <w:tcBorders>
              <w:top w:val="nil"/>
              <w:left w:val="nil"/>
              <w:bottom w:val="nil"/>
              <w:right w:val="nil"/>
            </w:tcBorders>
            <w:shd w:val="clear" w:color="auto" w:fill="auto"/>
            <w:noWrap/>
            <w:vAlign w:val="bottom"/>
            <w:hideMark/>
          </w:tcPr>
          <w:p w14:paraId="60FCDB8F"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153 601</w:t>
            </w:r>
          </w:p>
        </w:tc>
        <w:tc>
          <w:tcPr>
            <w:tcW w:w="594" w:type="pct"/>
            <w:tcBorders>
              <w:top w:val="nil"/>
              <w:left w:val="nil"/>
              <w:bottom w:val="nil"/>
              <w:right w:val="nil"/>
            </w:tcBorders>
            <w:shd w:val="clear" w:color="auto" w:fill="auto"/>
            <w:noWrap/>
            <w:vAlign w:val="bottom"/>
            <w:hideMark/>
          </w:tcPr>
          <w:p w14:paraId="5F7FF20F"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180 771</w:t>
            </w:r>
          </w:p>
        </w:tc>
        <w:tc>
          <w:tcPr>
            <w:tcW w:w="607" w:type="pct"/>
            <w:tcBorders>
              <w:top w:val="nil"/>
              <w:left w:val="nil"/>
              <w:bottom w:val="nil"/>
              <w:right w:val="nil"/>
            </w:tcBorders>
            <w:shd w:val="clear" w:color="auto" w:fill="auto"/>
            <w:noWrap/>
            <w:vAlign w:val="bottom"/>
            <w:hideMark/>
          </w:tcPr>
          <w:p w14:paraId="4A7625FB"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194 415</w:t>
            </w:r>
          </w:p>
        </w:tc>
        <w:tc>
          <w:tcPr>
            <w:tcW w:w="606" w:type="pct"/>
            <w:tcBorders>
              <w:top w:val="nil"/>
              <w:left w:val="nil"/>
              <w:bottom w:val="nil"/>
              <w:right w:val="nil"/>
            </w:tcBorders>
            <w:shd w:val="clear" w:color="auto" w:fill="auto"/>
            <w:noWrap/>
            <w:vAlign w:val="bottom"/>
            <w:hideMark/>
          </w:tcPr>
          <w:p w14:paraId="319BE3AE"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13 644</w:t>
            </w:r>
          </w:p>
        </w:tc>
      </w:tr>
      <w:tr w:rsidR="00912710" w:rsidRPr="003439E4" w14:paraId="7FC6E25B" w14:textId="77777777" w:rsidTr="0051395F">
        <w:trPr>
          <w:trHeight w:val="255"/>
        </w:trPr>
        <w:tc>
          <w:tcPr>
            <w:tcW w:w="2594" w:type="pct"/>
            <w:tcBorders>
              <w:top w:val="nil"/>
              <w:left w:val="nil"/>
              <w:bottom w:val="nil"/>
              <w:right w:val="nil"/>
            </w:tcBorders>
            <w:shd w:val="clear" w:color="auto" w:fill="auto"/>
            <w:noWrap/>
            <w:vAlign w:val="bottom"/>
            <w:hideMark/>
          </w:tcPr>
          <w:p w14:paraId="221029EE" w14:textId="77777777" w:rsidR="00912710" w:rsidRPr="003439E4" w:rsidRDefault="00912710" w:rsidP="0051395F">
            <w:pPr>
              <w:spacing w:after="0" w:line="240" w:lineRule="auto"/>
              <w:ind w:firstLineChars="200" w:firstLine="400"/>
              <w:rPr>
                <w:sz w:val="20"/>
                <w:szCs w:val="20"/>
                <w:lang w:eastAsia="sk-SK"/>
              </w:rPr>
            </w:pPr>
            <w:r w:rsidRPr="003439E4">
              <w:rPr>
                <w:sz w:val="20"/>
                <w:szCs w:val="20"/>
                <w:lang w:eastAsia="sk-SK"/>
              </w:rPr>
              <w:t>Ostatné subjekty ústrednej správy</w:t>
            </w:r>
          </w:p>
        </w:tc>
        <w:tc>
          <w:tcPr>
            <w:tcW w:w="599" w:type="pct"/>
            <w:tcBorders>
              <w:top w:val="nil"/>
              <w:left w:val="nil"/>
              <w:bottom w:val="nil"/>
              <w:right w:val="nil"/>
            </w:tcBorders>
            <w:shd w:val="clear" w:color="auto" w:fill="auto"/>
            <w:noWrap/>
            <w:vAlign w:val="bottom"/>
            <w:hideMark/>
          </w:tcPr>
          <w:p w14:paraId="612547F5"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412 408</w:t>
            </w:r>
          </w:p>
        </w:tc>
        <w:tc>
          <w:tcPr>
            <w:tcW w:w="594" w:type="pct"/>
            <w:tcBorders>
              <w:top w:val="nil"/>
              <w:left w:val="nil"/>
              <w:bottom w:val="nil"/>
              <w:right w:val="nil"/>
            </w:tcBorders>
            <w:shd w:val="clear" w:color="auto" w:fill="auto"/>
            <w:noWrap/>
            <w:vAlign w:val="bottom"/>
            <w:hideMark/>
          </w:tcPr>
          <w:p w14:paraId="6E465A31"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367 527</w:t>
            </w:r>
          </w:p>
        </w:tc>
        <w:tc>
          <w:tcPr>
            <w:tcW w:w="607" w:type="pct"/>
            <w:tcBorders>
              <w:top w:val="nil"/>
              <w:left w:val="nil"/>
              <w:bottom w:val="nil"/>
              <w:right w:val="nil"/>
            </w:tcBorders>
            <w:shd w:val="clear" w:color="auto" w:fill="auto"/>
            <w:noWrap/>
            <w:vAlign w:val="bottom"/>
            <w:hideMark/>
          </w:tcPr>
          <w:p w14:paraId="1BFF01FD"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332 143</w:t>
            </w:r>
          </w:p>
        </w:tc>
        <w:tc>
          <w:tcPr>
            <w:tcW w:w="606" w:type="pct"/>
            <w:tcBorders>
              <w:top w:val="nil"/>
              <w:left w:val="nil"/>
              <w:bottom w:val="nil"/>
              <w:right w:val="nil"/>
            </w:tcBorders>
            <w:shd w:val="clear" w:color="auto" w:fill="auto"/>
            <w:noWrap/>
            <w:vAlign w:val="bottom"/>
            <w:hideMark/>
          </w:tcPr>
          <w:p w14:paraId="20FC07E0"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-35 384</w:t>
            </w:r>
          </w:p>
        </w:tc>
      </w:tr>
      <w:tr w:rsidR="00912710" w:rsidRPr="003439E4" w14:paraId="2B06B20E" w14:textId="77777777" w:rsidTr="0051395F">
        <w:trPr>
          <w:trHeight w:val="255"/>
        </w:trPr>
        <w:tc>
          <w:tcPr>
            <w:tcW w:w="2594" w:type="pct"/>
            <w:tcBorders>
              <w:top w:val="nil"/>
              <w:left w:val="nil"/>
              <w:bottom w:val="nil"/>
              <w:right w:val="nil"/>
            </w:tcBorders>
            <w:shd w:val="clear" w:color="auto" w:fill="auto"/>
            <w:noWrap/>
            <w:vAlign w:val="bottom"/>
            <w:hideMark/>
          </w:tcPr>
          <w:p w14:paraId="0BE6AFED" w14:textId="77777777" w:rsidR="00912710" w:rsidRPr="003439E4" w:rsidRDefault="00912710" w:rsidP="0051395F">
            <w:pPr>
              <w:spacing w:after="0" w:line="240" w:lineRule="auto"/>
              <w:rPr>
                <w:b/>
                <w:bCs/>
                <w:sz w:val="20"/>
                <w:szCs w:val="20"/>
                <w:lang w:eastAsia="sk-SK"/>
              </w:rPr>
            </w:pPr>
            <w:r w:rsidRPr="003439E4">
              <w:rPr>
                <w:b/>
                <w:bCs/>
                <w:sz w:val="20"/>
                <w:szCs w:val="20"/>
                <w:lang w:eastAsia="sk-SK"/>
              </w:rPr>
              <w:t>Územná samospráva</w:t>
            </w:r>
          </w:p>
        </w:tc>
        <w:tc>
          <w:tcPr>
            <w:tcW w:w="599" w:type="pct"/>
            <w:tcBorders>
              <w:top w:val="nil"/>
              <w:left w:val="nil"/>
              <w:bottom w:val="nil"/>
              <w:right w:val="nil"/>
            </w:tcBorders>
            <w:shd w:val="clear" w:color="auto" w:fill="auto"/>
            <w:noWrap/>
            <w:vAlign w:val="bottom"/>
            <w:hideMark/>
          </w:tcPr>
          <w:p w14:paraId="2BF7DC1C"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1 922 639</w:t>
            </w:r>
          </w:p>
        </w:tc>
        <w:tc>
          <w:tcPr>
            <w:tcW w:w="594" w:type="pct"/>
            <w:tcBorders>
              <w:top w:val="nil"/>
              <w:left w:val="nil"/>
              <w:bottom w:val="nil"/>
              <w:right w:val="nil"/>
            </w:tcBorders>
            <w:shd w:val="clear" w:color="auto" w:fill="auto"/>
            <w:noWrap/>
            <w:vAlign w:val="bottom"/>
            <w:hideMark/>
          </w:tcPr>
          <w:p w14:paraId="5EC3DCCF"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1 954 707</w:t>
            </w:r>
          </w:p>
        </w:tc>
        <w:tc>
          <w:tcPr>
            <w:tcW w:w="607" w:type="pct"/>
            <w:tcBorders>
              <w:top w:val="nil"/>
              <w:left w:val="nil"/>
              <w:bottom w:val="nil"/>
              <w:right w:val="nil"/>
            </w:tcBorders>
            <w:shd w:val="clear" w:color="auto" w:fill="auto"/>
            <w:noWrap/>
            <w:vAlign w:val="bottom"/>
            <w:hideMark/>
          </w:tcPr>
          <w:p w14:paraId="1AFAEBB6"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2 174 927</w:t>
            </w:r>
          </w:p>
        </w:tc>
        <w:tc>
          <w:tcPr>
            <w:tcW w:w="606" w:type="pct"/>
            <w:tcBorders>
              <w:top w:val="nil"/>
              <w:left w:val="nil"/>
              <w:bottom w:val="nil"/>
              <w:right w:val="nil"/>
            </w:tcBorders>
            <w:shd w:val="clear" w:color="auto" w:fill="auto"/>
            <w:noWrap/>
            <w:vAlign w:val="bottom"/>
            <w:hideMark/>
          </w:tcPr>
          <w:p w14:paraId="273157EC"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220 220</w:t>
            </w:r>
          </w:p>
        </w:tc>
      </w:tr>
      <w:tr w:rsidR="00912710" w:rsidRPr="003439E4" w14:paraId="4BC64591" w14:textId="77777777" w:rsidTr="0051395F">
        <w:trPr>
          <w:trHeight w:val="255"/>
        </w:trPr>
        <w:tc>
          <w:tcPr>
            <w:tcW w:w="2594" w:type="pct"/>
            <w:tcBorders>
              <w:top w:val="nil"/>
              <w:left w:val="nil"/>
              <w:bottom w:val="nil"/>
              <w:right w:val="nil"/>
            </w:tcBorders>
            <w:shd w:val="clear" w:color="auto" w:fill="auto"/>
            <w:noWrap/>
            <w:vAlign w:val="bottom"/>
            <w:hideMark/>
          </w:tcPr>
          <w:p w14:paraId="3AE99B34" w14:textId="77777777" w:rsidR="00912710" w:rsidRPr="003439E4" w:rsidRDefault="00912710" w:rsidP="0051395F">
            <w:pPr>
              <w:spacing w:after="0" w:line="240" w:lineRule="auto"/>
              <w:ind w:firstLineChars="200" w:firstLine="400"/>
              <w:rPr>
                <w:sz w:val="20"/>
                <w:szCs w:val="20"/>
                <w:lang w:eastAsia="sk-SK"/>
              </w:rPr>
            </w:pPr>
            <w:r w:rsidRPr="003439E4">
              <w:rPr>
                <w:sz w:val="20"/>
                <w:szCs w:val="20"/>
                <w:lang w:eastAsia="sk-SK"/>
              </w:rPr>
              <w:t>Obce a ich rozpočtové organizácie</w:t>
            </w:r>
          </w:p>
        </w:tc>
        <w:tc>
          <w:tcPr>
            <w:tcW w:w="599" w:type="pct"/>
            <w:tcBorders>
              <w:top w:val="nil"/>
              <w:left w:val="nil"/>
              <w:bottom w:val="nil"/>
              <w:right w:val="nil"/>
            </w:tcBorders>
            <w:shd w:val="clear" w:color="auto" w:fill="auto"/>
            <w:noWrap/>
            <w:vAlign w:val="bottom"/>
            <w:hideMark/>
          </w:tcPr>
          <w:p w14:paraId="2EF3E4BF"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1 472 902</w:t>
            </w:r>
          </w:p>
        </w:tc>
        <w:tc>
          <w:tcPr>
            <w:tcW w:w="594" w:type="pct"/>
            <w:tcBorders>
              <w:top w:val="nil"/>
              <w:left w:val="nil"/>
              <w:bottom w:val="nil"/>
              <w:right w:val="nil"/>
            </w:tcBorders>
            <w:shd w:val="clear" w:color="auto" w:fill="auto"/>
            <w:noWrap/>
            <w:vAlign w:val="bottom"/>
            <w:hideMark/>
          </w:tcPr>
          <w:p w14:paraId="5D9B3878"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1 490 908</w:t>
            </w:r>
          </w:p>
        </w:tc>
        <w:tc>
          <w:tcPr>
            <w:tcW w:w="607" w:type="pct"/>
            <w:tcBorders>
              <w:top w:val="nil"/>
              <w:left w:val="nil"/>
              <w:bottom w:val="nil"/>
              <w:right w:val="nil"/>
            </w:tcBorders>
            <w:shd w:val="clear" w:color="auto" w:fill="auto"/>
            <w:noWrap/>
            <w:vAlign w:val="bottom"/>
            <w:hideMark/>
          </w:tcPr>
          <w:p w14:paraId="26D23F91"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1 593 710</w:t>
            </w:r>
          </w:p>
        </w:tc>
        <w:tc>
          <w:tcPr>
            <w:tcW w:w="606" w:type="pct"/>
            <w:tcBorders>
              <w:top w:val="nil"/>
              <w:left w:val="nil"/>
              <w:bottom w:val="nil"/>
              <w:right w:val="nil"/>
            </w:tcBorders>
            <w:shd w:val="clear" w:color="auto" w:fill="auto"/>
            <w:noWrap/>
            <w:vAlign w:val="bottom"/>
            <w:hideMark/>
          </w:tcPr>
          <w:p w14:paraId="6ADD6DB2"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102 802</w:t>
            </w:r>
          </w:p>
        </w:tc>
      </w:tr>
      <w:tr w:rsidR="00912710" w:rsidRPr="003439E4" w14:paraId="29A3E71B" w14:textId="77777777" w:rsidTr="0051395F">
        <w:trPr>
          <w:trHeight w:val="255"/>
        </w:trPr>
        <w:tc>
          <w:tcPr>
            <w:tcW w:w="2594" w:type="pct"/>
            <w:tcBorders>
              <w:top w:val="nil"/>
              <w:left w:val="nil"/>
              <w:bottom w:val="nil"/>
              <w:right w:val="nil"/>
            </w:tcBorders>
            <w:shd w:val="clear" w:color="auto" w:fill="auto"/>
            <w:noWrap/>
            <w:vAlign w:val="bottom"/>
            <w:hideMark/>
          </w:tcPr>
          <w:p w14:paraId="1067A7EA" w14:textId="77777777" w:rsidR="00912710" w:rsidRPr="003439E4" w:rsidRDefault="00912710" w:rsidP="0051395F">
            <w:pPr>
              <w:spacing w:after="0" w:line="240" w:lineRule="auto"/>
              <w:ind w:firstLineChars="200" w:firstLine="400"/>
              <w:rPr>
                <w:sz w:val="20"/>
                <w:szCs w:val="20"/>
                <w:lang w:eastAsia="sk-SK"/>
              </w:rPr>
            </w:pPr>
            <w:r w:rsidRPr="003439E4">
              <w:rPr>
                <w:sz w:val="20"/>
                <w:szCs w:val="20"/>
                <w:lang w:eastAsia="sk-SK"/>
              </w:rPr>
              <w:t>Vyššie územné celky a ich rozpočtové organizácie</w:t>
            </w:r>
          </w:p>
        </w:tc>
        <w:tc>
          <w:tcPr>
            <w:tcW w:w="599" w:type="pct"/>
            <w:tcBorders>
              <w:top w:val="nil"/>
              <w:left w:val="nil"/>
              <w:bottom w:val="nil"/>
              <w:right w:val="nil"/>
            </w:tcBorders>
            <w:shd w:val="clear" w:color="auto" w:fill="auto"/>
            <w:noWrap/>
            <w:vAlign w:val="bottom"/>
            <w:hideMark/>
          </w:tcPr>
          <w:p w14:paraId="73A1867C"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362 819</w:t>
            </w:r>
          </w:p>
        </w:tc>
        <w:tc>
          <w:tcPr>
            <w:tcW w:w="594" w:type="pct"/>
            <w:tcBorders>
              <w:top w:val="nil"/>
              <w:left w:val="nil"/>
              <w:bottom w:val="nil"/>
              <w:right w:val="nil"/>
            </w:tcBorders>
            <w:shd w:val="clear" w:color="auto" w:fill="auto"/>
            <w:noWrap/>
            <w:vAlign w:val="bottom"/>
            <w:hideMark/>
          </w:tcPr>
          <w:p w14:paraId="16B13205"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391 001</w:t>
            </w:r>
          </w:p>
        </w:tc>
        <w:tc>
          <w:tcPr>
            <w:tcW w:w="607" w:type="pct"/>
            <w:tcBorders>
              <w:top w:val="nil"/>
              <w:left w:val="nil"/>
              <w:bottom w:val="nil"/>
              <w:right w:val="nil"/>
            </w:tcBorders>
            <w:shd w:val="clear" w:color="auto" w:fill="auto"/>
            <w:noWrap/>
            <w:vAlign w:val="bottom"/>
            <w:hideMark/>
          </w:tcPr>
          <w:p w14:paraId="26D89DBE"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498 712</w:t>
            </w:r>
          </w:p>
        </w:tc>
        <w:tc>
          <w:tcPr>
            <w:tcW w:w="606" w:type="pct"/>
            <w:tcBorders>
              <w:top w:val="nil"/>
              <w:left w:val="nil"/>
              <w:bottom w:val="nil"/>
              <w:right w:val="nil"/>
            </w:tcBorders>
            <w:shd w:val="clear" w:color="auto" w:fill="auto"/>
            <w:noWrap/>
            <w:vAlign w:val="bottom"/>
            <w:hideMark/>
          </w:tcPr>
          <w:p w14:paraId="5F285724"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107 711</w:t>
            </w:r>
          </w:p>
        </w:tc>
      </w:tr>
      <w:tr w:rsidR="00912710" w:rsidRPr="003439E4" w14:paraId="773D5B60" w14:textId="77777777" w:rsidTr="0051395F">
        <w:trPr>
          <w:trHeight w:val="255"/>
        </w:trPr>
        <w:tc>
          <w:tcPr>
            <w:tcW w:w="2594" w:type="pct"/>
            <w:tcBorders>
              <w:top w:val="nil"/>
              <w:left w:val="nil"/>
              <w:bottom w:val="nil"/>
              <w:right w:val="nil"/>
            </w:tcBorders>
            <w:shd w:val="clear" w:color="auto" w:fill="auto"/>
            <w:noWrap/>
            <w:vAlign w:val="bottom"/>
            <w:hideMark/>
          </w:tcPr>
          <w:p w14:paraId="0FE5C749" w14:textId="77777777" w:rsidR="00912710" w:rsidRPr="003439E4" w:rsidRDefault="00912710" w:rsidP="0051395F">
            <w:pPr>
              <w:spacing w:after="0" w:line="240" w:lineRule="auto"/>
              <w:ind w:firstLineChars="200" w:firstLine="400"/>
              <w:rPr>
                <w:sz w:val="20"/>
                <w:szCs w:val="20"/>
                <w:lang w:eastAsia="sk-SK"/>
              </w:rPr>
            </w:pPr>
            <w:r w:rsidRPr="003439E4">
              <w:rPr>
                <w:sz w:val="20"/>
                <w:szCs w:val="20"/>
                <w:lang w:eastAsia="sk-SK"/>
              </w:rPr>
              <w:t>Dopravné podniky</w:t>
            </w:r>
          </w:p>
        </w:tc>
        <w:tc>
          <w:tcPr>
            <w:tcW w:w="599" w:type="pct"/>
            <w:tcBorders>
              <w:top w:val="nil"/>
              <w:left w:val="nil"/>
              <w:bottom w:val="nil"/>
              <w:right w:val="nil"/>
            </w:tcBorders>
            <w:shd w:val="clear" w:color="auto" w:fill="auto"/>
            <w:noWrap/>
            <w:vAlign w:val="bottom"/>
            <w:hideMark/>
          </w:tcPr>
          <w:p w14:paraId="7D1AF224"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76 239</w:t>
            </w:r>
          </w:p>
        </w:tc>
        <w:tc>
          <w:tcPr>
            <w:tcW w:w="594" w:type="pct"/>
            <w:tcBorders>
              <w:top w:val="nil"/>
              <w:left w:val="nil"/>
              <w:bottom w:val="nil"/>
              <w:right w:val="nil"/>
            </w:tcBorders>
            <w:shd w:val="clear" w:color="auto" w:fill="auto"/>
            <w:noWrap/>
            <w:vAlign w:val="bottom"/>
            <w:hideMark/>
          </w:tcPr>
          <w:p w14:paraId="0DC838E1"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61 289</w:t>
            </w:r>
          </w:p>
        </w:tc>
        <w:tc>
          <w:tcPr>
            <w:tcW w:w="607" w:type="pct"/>
            <w:tcBorders>
              <w:top w:val="nil"/>
              <w:left w:val="nil"/>
              <w:bottom w:val="nil"/>
              <w:right w:val="nil"/>
            </w:tcBorders>
            <w:shd w:val="clear" w:color="auto" w:fill="auto"/>
            <w:noWrap/>
            <w:vAlign w:val="bottom"/>
            <w:hideMark/>
          </w:tcPr>
          <w:p w14:paraId="553AD57F"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71 031</w:t>
            </w:r>
          </w:p>
        </w:tc>
        <w:tc>
          <w:tcPr>
            <w:tcW w:w="606" w:type="pct"/>
            <w:tcBorders>
              <w:top w:val="nil"/>
              <w:left w:val="nil"/>
              <w:bottom w:val="nil"/>
              <w:right w:val="nil"/>
            </w:tcBorders>
            <w:shd w:val="clear" w:color="auto" w:fill="auto"/>
            <w:noWrap/>
            <w:vAlign w:val="bottom"/>
            <w:hideMark/>
          </w:tcPr>
          <w:p w14:paraId="4D1D4719"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9 742</w:t>
            </w:r>
          </w:p>
        </w:tc>
      </w:tr>
      <w:tr w:rsidR="00912710" w:rsidRPr="003439E4" w14:paraId="5C5FF8AF" w14:textId="77777777" w:rsidTr="0051395F">
        <w:trPr>
          <w:trHeight w:val="255"/>
        </w:trPr>
        <w:tc>
          <w:tcPr>
            <w:tcW w:w="2594" w:type="pct"/>
            <w:tcBorders>
              <w:top w:val="nil"/>
              <w:left w:val="nil"/>
              <w:bottom w:val="nil"/>
              <w:right w:val="nil"/>
            </w:tcBorders>
            <w:shd w:val="clear" w:color="auto" w:fill="auto"/>
            <w:noWrap/>
            <w:vAlign w:val="bottom"/>
            <w:hideMark/>
          </w:tcPr>
          <w:p w14:paraId="07E77527" w14:textId="77777777" w:rsidR="00912710" w:rsidRPr="003439E4" w:rsidRDefault="00912710" w:rsidP="0051395F">
            <w:pPr>
              <w:spacing w:after="0" w:line="240" w:lineRule="auto"/>
              <w:ind w:firstLineChars="200" w:firstLine="400"/>
              <w:rPr>
                <w:sz w:val="20"/>
                <w:szCs w:val="20"/>
                <w:lang w:eastAsia="sk-SK"/>
              </w:rPr>
            </w:pPr>
            <w:r w:rsidRPr="003439E4">
              <w:rPr>
                <w:sz w:val="20"/>
                <w:szCs w:val="20"/>
                <w:lang w:eastAsia="sk-SK"/>
              </w:rPr>
              <w:t>Ostatné subjekty miestnej samosprávy</w:t>
            </w:r>
          </w:p>
        </w:tc>
        <w:tc>
          <w:tcPr>
            <w:tcW w:w="599" w:type="pct"/>
            <w:tcBorders>
              <w:top w:val="nil"/>
              <w:left w:val="nil"/>
              <w:bottom w:val="nil"/>
              <w:right w:val="nil"/>
            </w:tcBorders>
            <w:shd w:val="clear" w:color="auto" w:fill="auto"/>
            <w:noWrap/>
            <w:vAlign w:val="bottom"/>
            <w:hideMark/>
          </w:tcPr>
          <w:p w14:paraId="558615A2"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4 808</w:t>
            </w:r>
          </w:p>
        </w:tc>
        <w:tc>
          <w:tcPr>
            <w:tcW w:w="594" w:type="pct"/>
            <w:tcBorders>
              <w:top w:val="nil"/>
              <w:left w:val="nil"/>
              <w:bottom w:val="nil"/>
              <w:right w:val="nil"/>
            </w:tcBorders>
            <w:shd w:val="clear" w:color="auto" w:fill="auto"/>
            <w:noWrap/>
            <w:vAlign w:val="bottom"/>
            <w:hideMark/>
          </w:tcPr>
          <w:p w14:paraId="13F8D819"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6 178</w:t>
            </w:r>
          </w:p>
        </w:tc>
        <w:tc>
          <w:tcPr>
            <w:tcW w:w="607" w:type="pct"/>
            <w:tcBorders>
              <w:top w:val="nil"/>
              <w:left w:val="nil"/>
              <w:bottom w:val="nil"/>
              <w:right w:val="nil"/>
            </w:tcBorders>
            <w:shd w:val="clear" w:color="auto" w:fill="auto"/>
            <w:noWrap/>
            <w:vAlign w:val="bottom"/>
            <w:hideMark/>
          </w:tcPr>
          <w:p w14:paraId="4C86EE4E"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6 053</w:t>
            </w:r>
          </w:p>
        </w:tc>
        <w:tc>
          <w:tcPr>
            <w:tcW w:w="606" w:type="pct"/>
            <w:tcBorders>
              <w:top w:val="nil"/>
              <w:left w:val="nil"/>
              <w:bottom w:val="nil"/>
              <w:right w:val="nil"/>
            </w:tcBorders>
            <w:shd w:val="clear" w:color="auto" w:fill="auto"/>
            <w:noWrap/>
            <w:vAlign w:val="bottom"/>
            <w:hideMark/>
          </w:tcPr>
          <w:p w14:paraId="6F70FB27"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-125</w:t>
            </w:r>
          </w:p>
        </w:tc>
      </w:tr>
    </w:tbl>
    <w:p w14:paraId="0E4C9EBA" w14:textId="77777777" w:rsidR="00884682" w:rsidRDefault="00884682">
      <w:r>
        <w:br w:type="page"/>
      </w:r>
    </w:p>
    <w:tbl>
      <w:tblPr>
        <w:tblW w:w="5000" w:type="pct"/>
        <w:tblCellMar>
          <w:left w:w="70" w:type="dxa"/>
          <w:right w:w="70" w:type="dxa"/>
        </w:tblCellMar>
        <w:tblLook w:val="04A0" w:firstRow="1" w:lastRow="0" w:firstColumn="1" w:lastColumn="0" w:noHBand="0" w:noVBand="1"/>
      </w:tblPr>
      <w:tblGrid>
        <w:gridCol w:w="4852"/>
        <w:gridCol w:w="1121"/>
        <w:gridCol w:w="1111"/>
        <w:gridCol w:w="1136"/>
        <w:gridCol w:w="1134"/>
      </w:tblGrid>
      <w:tr w:rsidR="00E90043" w:rsidRPr="003439E4" w14:paraId="6648DA08" w14:textId="77777777" w:rsidTr="0051395F">
        <w:trPr>
          <w:trHeight w:val="255"/>
        </w:trPr>
        <w:tc>
          <w:tcPr>
            <w:tcW w:w="3787" w:type="pct"/>
            <w:gridSpan w:val="3"/>
            <w:tcBorders>
              <w:top w:val="single" w:sz="4" w:space="0" w:color="auto"/>
              <w:left w:val="nil"/>
              <w:bottom w:val="single" w:sz="4" w:space="0" w:color="auto"/>
              <w:right w:val="nil"/>
            </w:tcBorders>
            <w:shd w:val="clear" w:color="000000" w:fill="000000"/>
            <w:noWrap/>
            <w:vAlign w:val="center"/>
            <w:hideMark/>
          </w:tcPr>
          <w:p w14:paraId="2D698FF3" w14:textId="1B6F0CD9" w:rsidR="00E90043" w:rsidRPr="003439E4" w:rsidRDefault="00E90043" w:rsidP="0051395F">
            <w:pPr>
              <w:spacing w:after="0" w:line="240" w:lineRule="auto"/>
              <w:rPr>
                <w:b/>
                <w:bCs/>
                <w:color w:val="FFFFFF"/>
                <w:sz w:val="20"/>
                <w:szCs w:val="20"/>
                <w:lang w:eastAsia="sk-SK"/>
              </w:rPr>
            </w:pPr>
            <w:r w:rsidRPr="003439E4">
              <w:rPr>
                <w:b/>
                <w:bCs/>
                <w:color w:val="FFFFFF"/>
                <w:sz w:val="20"/>
                <w:szCs w:val="20"/>
                <w:lang w:eastAsia="sk-SK"/>
              </w:rPr>
              <w:lastRenderedPageBreak/>
              <w:t>Maastrichtský dlh verejnej správy podľa jednotlivých subjektov</w:t>
            </w:r>
            <w:r>
              <w:rPr>
                <w:b/>
                <w:bCs/>
                <w:color w:val="FFFFFF"/>
                <w:sz w:val="20"/>
                <w:szCs w:val="20"/>
                <w:lang w:eastAsia="sk-SK"/>
              </w:rPr>
              <w:t xml:space="preserve"> (v tis. eur)</w:t>
            </w:r>
          </w:p>
        </w:tc>
        <w:tc>
          <w:tcPr>
            <w:tcW w:w="607" w:type="pct"/>
            <w:tcBorders>
              <w:top w:val="single" w:sz="4" w:space="0" w:color="auto"/>
              <w:left w:val="nil"/>
              <w:bottom w:val="single" w:sz="4" w:space="0" w:color="auto"/>
              <w:right w:val="nil"/>
            </w:tcBorders>
            <w:shd w:val="clear" w:color="000000" w:fill="000000"/>
            <w:noWrap/>
            <w:vAlign w:val="center"/>
            <w:hideMark/>
          </w:tcPr>
          <w:p w14:paraId="45C42FD9" w14:textId="77777777" w:rsidR="00E90043" w:rsidRPr="003439E4" w:rsidRDefault="00E90043" w:rsidP="0051395F">
            <w:pPr>
              <w:spacing w:after="0" w:line="240" w:lineRule="auto"/>
              <w:jc w:val="right"/>
              <w:rPr>
                <w:b/>
                <w:bCs/>
                <w:color w:val="FFFFFF"/>
                <w:sz w:val="20"/>
                <w:szCs w:val="20"/>
                <w:lang w:eastAsia="sk-SK"/>
              </w:rPr>
            </w:pPr>
            <w:r w:rsidRPr="003439E4">
              <w:rPr>
                <w:b/>
                <w:bCs/>
                <w:color w:val="FFFFFF"/>
                <w:sz w:val="20"/>
                <w:szCs w:val="20"/>
                <w:lang w:eastAsia="sk-SK"/>
              </w:rPr>
              <w:t> </w:t>
            </w:r>
          </w:p>
        </w:tc>
        <w:tc>
          <w:tcPr>
            <w:tcW w:w="606" w:type="pct"/>
            <w:tcBorders>
              <w:top w:val="single" w:sz="4" w:space="0" w:color="auto"/>
              <w:left w:val="nil"/>
              <w:bottom w:val="single" w:sz="4" w:space="0" w:color="auto"/>
              <w:right w:val="nil"/>
            </w:tcBorders>
            <w:shd w:val="clear" w:color="000000" w:fill="000000"/>
            <w:noWrap/>
            <w:vAlign w:val="center"/>
            <w:hideMark/>
          </w:tcPr>
          <w:p w14:paraId="126C781E" w14:textId="77777777" w:rsidR="00E90043" w:rsidRPr="003439E4" w:rsidRDefault="00E90043" w:rsidP="0051395F">
            <w:pPr>
              <w:spacing w:after="0" w:line="240" w:lineRule="auto"/>
              <w:jc w:val="right"/>
              <w:rPr>
                <w:b/>
                <w:bCs/>
                <w:color w:val="FFFFFF"/>
                <w:sz w:val="20"/>
                <w:szCs w:val="20"/>
                <w:lang w:eastAsia="sk-SK"/>
              </w:rPr>
            </w:pPr>
          </w:p>
        </w:tc>
      </w:tr>
      <w:tr w:rsidR="00E90043" w:rsidRPr="003439E4" w14:paraId="6D2DABE6" w14:textId="77777777" w:rsidTr="0051395F">
        <w:trPr>
          <w:trHeight w:val="330"/>
        </w:trPr>
        <w:tc>
          <w:tcPr>
            <w:tcW w:w="2594" w:type="pct"/>
            <w:tcBorders>
              <w:top w:val="nil"/>
              <w:left w:val="nil"/>
              <w:bottom w:val="nil"/>
              <w:right w:val="nil"/>
            </w:tcBorders>
            <w:shd w:val="clear" w:color="000000" w:fill="BFBFBF"/>
            <w:vAlign w:val="center"/>
            <w:hideMark/>
          </w:tcPr>
          <w:p w14:paraId="13E15B85" w14:textId="77777777" w:rsidR="00E90043" w:rsidRPr="003439E4" w:rsidRDefault="00E90043" w:rsidP="0051395F">
            <w:pPr>
              <w:spacing w:after="0" w:line="240" w:lineRule="auto"/>
              <w:jc w:val="both"/>
              <w:rPr>
                <w:b/>
                <w:bCs/>
                <w:sz w:val="20"/>
                <w:szCs w:val="20"/>
                <w:lang w:eastAsia="sk-SK"/>
              </w:rPr>
            </w:pPr>
            <w:r w:rsidRPr="003439E4">
              <w:rPr>
                <w:b/>
                <w:bCs/>
                <w:sz w:val="20"/>
                <w:szCs w:val="20"/>
                <w:lang w:eastAsia="sk-SK"/>
              </w:rPr>
              <w:t> </w:t>
            </w:r>
          </w:p>
        </w:tc>
        <w:tc>
          <w:tcPr>
            <w:tcW w:w="599" w:type="pct"/>
            <w:tcBorders>
              <w:top w:val="nil"/>
              <w:left w:val="nil"/>
              <w:bottom w:val="nil"/>
              <w:right w:val="nil"/>
            </w:tcBorders>
            <w:shd w:val="clear" w:color="000000" w:fill="BFBFBF"/>
            <w:vAlign w:val="center"/>
            <w:hideMark/>
          </w:tcPr>
          <w:p w14:paraId="4780C566" w14:textId="77777777" w:rsidR="00E90043" w:rsidRPr="003439E4" w:rsidRDefault="00E90043" w:rsidP="0051395F">
            <w:pPr>
              <w:spacing w:after="0" w:line="240" w:lineRule="auto"/>
              <w:jc w:val="center"/>
              <w:rPr>
                <w:b/>
                <w:bCs/>
                <w:sz w:val="20"/>
                <w:szCs w:val="20"/>
                <w:lang w:eastAsia="sk-SK"/>
              </w:rPr>
            </w:pPr>
            <w:r w:rsidRPr="003439E4">
              <w:rPr>
                <w:b/>
                <w:bCs/>
                <w:sz w:val="20"/>
                <w:szCs w:val="20"/>
                <w:lang w:eastAsia="sk-SK"/>
              </w:rPr>
              <w:t>k 31.12.2018</w:t>
            </w:r>
          </w:p>
        </w:tc>
        <w:tc>
          <w:tcPr>
            <w:tcW w:w="594" w:type="pct"/>
            <w:tcBorders>
              <w:top w:val="nil"/>
              <w:left w:val="nil"/>
              <w:bottom w:val="nil"/>
              <w:right w:val="nil"/>
            </w:tcBorders>
            <w:shd w:val="clear" w:color="000000" w:fill="BFBFBF"/>
            <w:vAlign w:val="center"/>
            <w:hideMark/>
          </w:tcPr>
          <w:p w14:paraId="3221A9DB" w14:textId="77777777" w:rsidR="00E90043" w:rsidRPr="003439E4" w:rsidRDefault="00E90043" w:rsidP="0051395F">
            <w:pPr>
              <w:spacing w:after="0" w:line="240" w:lineRule="auto"/>
              <w:jc w:val="center"/>
              <w:rPr>
                <w:b/>
                <w:bCs/>
                <w:sz w:val="20"/>
                <w:szCs w:val="20"/>
                <w:lang w:eastAsia="sk-SK"/>
              </w:rPr>
            </w:pPr>
            <w:r w:rsidRPr="003439E4">
              <w:rPr>
                <w:b/>
                <w:bCs/>
                <w:sz w:val="20"/>
                <w:szCs w:val="20"/>
                <w:lang w:eastAsia="sk-SK"/>
              </w:rPr>
              <w:t>k 31.12.2019</w:t>
            </w:r>
          </w:p>
        </w:tc>
        <w:tc>
          <w:tcPr>
            <w:tcW w:w="607" w:type="pct"/>
            <w:tcBorders>
              <w:top w:val="nil"/>
              <w:left w:val="nil"/>
              <w:bottom w:val="nil"/>
              <w:right w:val="nil"/>
            </w:tcBorders>
            <w:shd w:val="clear" w:color="000000" w:fill="BFBFBF"/>
            <w:vAlign w:val="center"/>
            <w:hideMark/>
          </w:tcPr>
          <w:p w14:paraId="507DFB31" w14:textId="77777777" w:rsidR="00E90043" w:rsidRPr="003439E4" w:rsidRDefault="00E90043" w:rsidP="0051395F">
            <w:pPr>
              <w:spacing w:after="0" w:line="240" w:lineRule="auto"/>
              <w:jc w:val="center"/>
              <w:rPr>
                <w:b/>
                <w:bCs/>
                <w:sz w:val="20"/>
                <w:szCs w:val="20"/>
                <w:lang w:eastAsia="sk-SK"/>
              </w:rPr>
            </w:pPr>
            <w:r w:rsidRPr="003439E4">
              <w:rPr>
                <w:b/>
                <w:bCs/>
                <w:sz w:val="20"/>
                <w:szCs w:val="20"/>
                <w:lang w:eastAsia="sk-SK"/>
              </w:rPr>
              <w:t>k 31.12.2020</w:t>
            </w:r>
          </w:p>
        </w:tc>
        <w:tc>
          <w:tcPr>
            <w:tcW w:w="606" w:type="pct"/>
            <w:tcBorders>
              <w:top w:val="nil"/>
              <w:left w:val="nil"/>
              <w:bottom w:val="nil"/>
              <w:right w:val="nil"/>
            </w:tcBorders>
            <w:shd w:val="clear" w:color="000000" w:fill="BFBFBF"/>
            <w:vAlign w:val="center"/>
            <w:hideMark/>
          </w:tcPr>
          <w:p w14:paraId="0C1A6F54" w14:textId="77777777" w:rsidR="00E90043" w:rsidRPr="003439E4" w:rsidRDefault="00E90043" w:rsidP="0051395F">
            <w:pPr>
              <w:spacing w:after="0" w:line="240" w:lineRule="auto"/>
              <w:jc w:val="center"/>
              <w:rPr>
                <w:b/>
                <w:bCs/>
                <w:sz w:val="20"/>
                <w:szCs w:val="20"/>
                <w:lang w:eastAsia="sk-SK"/>
              </w:rPr>
            </w:pPr>
            <w:r w:rsidRPr="003439E4">
              <w:rPr>
                <w:b/>
                <w:bCs/>
                <w:sz w:val="20"/>
                <w:szCs w:val="20"/>
                <w:lang w:eastAsia="sk-SK"/>
              </w:rPr>
              <w:t>Zmena</w:t>
            </w:r>
          </w:p>
        </w:tc>
      </w:tr>
      <w:tr w:rsidR="00E90043" w:rsidRPr="003439E4" w14:paraId="1090D308" w14:textId="77777777" w:rsidTr="0051395F">
        <w:trPr>
          <w:trHeight w:val="330"/>
        </w:trPr>
        <w:tc>
          <w:tcPr>
            <w:tcW w:w="2594" w:type="pct"/>
            <w:tcBorders>
              <w:top w:val="nil"/>
              <w:left w:val="nil"/>
              <w:bottom w:val="single" w:sz="4" w:space="0" w:color="auto"/>
              <w:right w:val="nil"/>
            </w:tcBorders>
            <w:shd w:val="clear" w:color="000000" w:fill="BFBFBF"/>
            <w:noWrap/>
            <w:vAlign w:val="bottom"/>
            <w:hideMark/>
          </w:tcPr>
          <w:p w14:paraId="0C289437" w14:textId="77777777" w:rsidR="00E90043" w:rsidRPr="003439E4" w:rsidRDefault="00E90043" w:rsidP="0051395F">
            <w:pPr>
              <w:spacing w:after="0" w:line="240" w:lineRule="auto"/>
              <w:jc w:val="center"/>
              <w:rPr>
                <w:sz w:val="20"/>
                <w:szCs w:val="20"/>
                <w:lang w:eastAsia="sk-SK"/>
              </w:rPr>
            </w:pPr>
            <w:r w:rsidRPr="003439E4">
              <w:rPr>
                <w:sz w:val="20"/>
                <w:szCs w:val="20"/>
                <w:lang w:eastAsia="sk-SK"/>
              </w:rPr>
              <w:t> </w:t>
            </w:r>
          </w:p>
        </w:tc>
        <w:tc>
          <w:tcPr>
            <w:tcW w:w="599" w:type="pct"/>
            <w:tcBorders>
              <w:top w:val="nil"/>
              <w:left w:val="nil"/>
              <w:bottom w:val="single" w:sz="4" w:space="0" w:color="auto"/>
              <w:right w:val="nil"/>
            </w:tcBorders>
            <w:shd w:val="clear" w:color="000000" w:fill="BFBFBF"/>
            <w:noWrap/>
            <w:vAlign w:val="bottom"/>
            <w:hideMark/>
          </w:tcPr>
          <w:p w14:paraId="0BCAA6A0" w14:textId="77777777" w:rsidR="00E90043" w:rsidRPr="003439E4" w:rsidRDefault="00E90043" w:rsidP="0051395F">
            <w:pPr>
              <w:spacing w:after="0" w:line="240" w:lineRule="auto"/>
              <w:jc w:val="center"/>
              <w:rPr>
                <w:sz w:val="20"/>
                <w:szCs w:val="20"/>
                <w:lang w:eastAsia="sk-SK"/>
              </w:rPr>
            </w:pPr>
            <w:r w:rsidRPr="003439E4">
              <w:rPr>
                <w:sz w:val="20"/>
                <w:szCs w:val="20"/>
                <w:lang w:eastAsia="sk-SK"/>
              </w:rPr>
              <w:t>1</w:t>
            </w:r>
          </w:p>
        </w:tc>
        <w:tc>
          <w:tcPr>
            <w:tcW w:w="594" w:type="pct"/>
            <w:tcBorders>
              <w:top w:val="nil"/>
              <w:left w:val="nil"/>
              <w:bottom w:val="single" w:sz="4" w:space="0" w:color="auto"/>
              <w:right w:val="nil"/>
            </w:tcBorders>
            <w:shd w:val="clear" w:color="000000" w:fill="BFBFBF"/>
            <w:noWrap/>
            <w:vAlign w:val="bottom"/>
            <w:hideMark/>
          </w:tcPr>
          <w:p w14:paraId="7866F4C7" w14:textId="77777777" w:rsidR="00E90043" w:rsidRPr="003439E4" w:rsidRDefault="00E90043" w:rsidP="0051395F">
            <w:pPr>
              <w:spacing w:after="0" w:line="240" w:lineRule="auto"/>
              <w:jc w:val="center"/>
              <w:rPr>
                <w:sz w:val="20"/>
                <w:szCs w:val="20"/>
                <w:lang w:eastAsia="sk-SK"/>
              </w:rPr>
            </w:pPr>
            <w:r w:rsidRPr="003439E4">
              <w:rPr>
                <w:sz w:val="20"/>
                <w:szCs w:val="20"/>
                <w:lang w:eastAsia="sk-SK"/>
              </w:rPr>
              <w:t>2</w:t>
            </w:r>
          </w:p>
        </w:tc>
        <w:tc>
          <w:tcPr>
            <w:tcW w:w="607" w:type="pct"/>
            <w:tcBorders>
              <w:top w:val="nil"/>
              <w:left w:val="nil"/>
              <w:bottom w:val="single" w:sz="4" w:space="0" w:color="auto"/>
              <w:right w:val="nil"/>
            </w:tcBorders>
            <w:shd w:val="clear" w:color="000000" w:fill="BFBFBF"/>
            <w:noWrap/>
            <w:vAlign w:val="bottom"/>
            <w:hideMark/>
          </w:tcPr>
          <w:p w14:paraId="20C98063" w14:textId="77777777" w:rsidR="00E90043" w:rsidRPr="003439E4" w:rsidRDefault="00E90043" w:rsidP="0051395F">
            <w:pPr>
              <w:spacing w:after="0" w:line="240" w:lineRule="auto"/>
              <w:jc w:val="center"/>
              <w:rPr>
                <w:sz w:val="20"/>
                <w:szCs w:val="20"/>
                <w:lang w:eastAsia="sk-SK"/>
              </w:rPr>
            </w:pPr>
            <w:r w:rsidRPr="003439E4">
              <w:rPr>
                <w:sz w:val="20"/>
                <w:szCs w:val="20"/>
                <w:lang w:eastAsia="sk-SK"/>
              </w:rPr>
              <w:t>3</w:t>
            </w:r>
          </w:p>
        </w:tc>
        <w:tc>
          <w:tcPr>
            <w:tcW w:w="606" w:type="pct"/>
            <w:tcBorders>
              <w:top w:val="nil"/>
              <w:left w:val="nil"/>
              <w:bottom w:val="single" w:sz="4" w:space="0" w:color="auto"/>
              <w:right w:val="nil"/>
            </w:tcBorders>
            <w:shd w:val="clear" w:color="000000" w:fill="BFBFBF"/>
            <w:noWrap/>
            <w:vAlign w:val="bottom"/>
            <w:hideMark/>
          </w:tcPr>
          <w:p w14:paraId="6D4F26CF" w14:textId="77777777" w:rsidR="00E90043" w:rsidRPr="003439E4" w:rsidRDefault="00E90043" w:rsidP="0051395F">
            <w:pPr>
              <w:spacing w:after="0" w:line="240" w:lineRule="auto"/>
              <w:jc w:val="center"/>
              <w:rPr>
                <w:sz w:val="20"/>
                <w:szCs w:val="20"/>
                <w:lang w:eastAsia="sk-SK"/>
              </w:rPr>
            </w:pPr>
            <w:r w:rsidRPr="003439E4">
              <w:rPr>
                <w:sz w:val="20"/>
                <w:szCs w:val="20"/>
                <w:lang w:eastAsia="sk-SK"/>
              </w:rPr>
              <w:t>4=(3-2)</w:t>
            </w:r>
          </w:p>
        </w:tc>
      </w:tr>
      <w:tr w:rsidR="00912710" w:rsidRPr="003439E4" w14:paraId="4C0F1528" w14:textId="77777777" w:rsidTr="0051395F">
        <w:trPr>
          <w:trHeight w:val="255"/>
        </w:trPr>
        <w:tc>
          <w:tcPr>
            <w:tcW w:w="2594" w:type="pct"/>
            <w:tcBorders>
              <w:top w:val="nil"/>
              <w:left w:val="nil"/>
              <w:bottom w:val="nil"/>
              <w:right w:val="nil"/>
            </w:tcBorders>
            <w:shd w:val="clear" w:color="auto" w:fill="auto"/>
            <w:noWrap/>
            <w:vAlign w:val="bottom"/>
            <w:hideMark/>
          </w:tcPr>
          <w:p w14:paraId="68D4329B" w14:textId="77777777" w:rsidR="00912710" w:rsidRPr="003439E4" w:rsidRDefault="00912710" w:rsidP="0051395F">
            <w:pPr>
              <w:spacing w:after="0" w:line="240" w:lineRule="auto"/>
              <w:ind w:firstLineChars="200" w:firstLine="400"/>
              <w:rPr>
                <w:sz w:val="20"/>
                <w:szCs w:val="20"/>
                <w:lang w:eastAsia="sk-SK"/>
              </w:rPr>
            </w:pPr>
            <w:r w:rsidRPr="003439E4">
              <w:rPr>
                <w:sz w:val="20"/>
                <w:szCs w:val="20"/>
                <w:lang w:eastAsia="sk-SK"/>
              </w:rPr>
              <w:t>Zdravotnícke zariadenia miestnej samosprávy</w:t>
            </w:r>
          </w:p>
        </w:tc>
        <w:tc>
          <w:tcPr>
            <w:tcW w:w="599" w:type="pct"/>
            <w:tcBorders>
              <w:top w:val="nil"/>
              <w:left w:val="nil"/>
              <w:bottom w:val="nil"/>
              <w:right w:val="nil"/>
            </w:tcBorders>
            <w:shd w:val="clear" w:color="auto" w:fill="auto"/>
            <w:noWrap/>
            <w:vAlign w:val="bottom"/>
            <w:hideMark/>
          </w:tcPr>
          <w:p w14:paraId="2FA646C4"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3 472</w:t>
            </w:r>
          </w:p>
        </w:tc>
        <w:tc>
          <w:tcPr>
            <w:tcW w:w="594" w:type="pct"/>
            <w:tcBorders>
              <w:top w:val="nil"/>
              <w:left w:val="nil"/>
              <w:bottom w:val="nil"/>
              <w:right w:val="nil"/>
            </w:tcBorders>
            <w:shd w:val="clear" w:color="auto" w:fill="auto"/>
            <w:noWrap/>
            <w:vAlign w:val="bottom"/>
            <w:hideMark/>
          </w:tcPr>
          <w:p w14:paraId="18F59A9B"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3 042</w:t>
            </w:r>
          </w:p>
        </w:tc>
        <w:tc>
          <w:tcPr>
            <w:tcW w:w="607" w:type="pct"/>
            <w:tcBorders>
              <w:top w:val="nil"/>
              <w:left w:val="nil"/>
              <w:bottom w:val="nil"/>
              <w:right w:val="nil"/>
            </w:tcBorders>
            <w:shd w:val="clear" w:color="auto" w:fill="auto"/>
            <w:noWrap/>
            <w:vAlign w:val="bottom"/>
            <w:hideMark/>
          </w:tcPr>
          <w:p w14:paraId="2138F823"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2 621</w:t>
            </w:r>
          </w:p>
        </w:tc>
        <w:tc>
          <w:tcPr>
            <w:tcW w:w="606" w:type="pct"/>
            <w:tcBorders>
              <w:top w:val="nil"/>
              <w:left w:val="nil"/>
              <w:bottom w:val="nil"/>
              <w:right w:val="nil"/>
            </w:tcBorders>
            <w:shd w:val="clear" w:color="auto" w:fill="auto"/>
            <w:noWrap/>
            <w:vAlign w:val="bottom"/>
            <w:hideMark/>
          </w:tcPr>
          <w:p w14:paraId="219429AA"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-421</w:t>
            </w:r>
          </w:p>
        </w:tc>
      </w:tr>
      <w:tr w:rsidR="00912710" w:rsidRPr="003439E4" w14:paraId="617795DE" w14:textId="77777777" w:rsidTr="0051395F">
        <w:trPr>
          <w:trHeight w:val="255"/>
        </w:trPr>
        <w:tc>
          <w:tcPr>
            <w:tcW w:w="2594" w:type="pct"/>
            <w:tcBorders>
              <w:top w:val="nil"/>
              <w:left w:val="nil"/>
              <w:bottom w:val="nil"/>
              <w:right w:val="nil"/>
            </w:tcBorders>
            <w:shd w:val="clear" w:color="auto" w:fill="auto"/>
            <w:noWrap/>
            <w:vAlign w:val="bottom"/>
            <w:hideMark/>
          </w:tcPr>
          <w:p w14:paraId="79AB746C" w14:textId="77777777" w:rsidR="00912710" w:rsidRPr="003439E4" w:rsidRDefault="00912710" w:rsidP="0051395F">
            <w:pPr>
              <w:spacing w:after="0" w:line="240" w:lineRule="auto"/>
              <w:ind w:firstLineChars="200" w:firstLine="400"/>
              <w:rPr>
                <w:sz w:val="20"/>
                <w:szCs w:val="20"/>
                <w:lang w:eastAsia="sk-SK"/>
              </w:rPr>
            </w:pPr>
            <w:r w:rsidRPr="003439E4">
              <w:rPr>
                <w:sz w:val="20"/>
                <w:szCs w:val="20"/>
                <w:lang w:eastAsia="sk-SK"/>
              </w:rPr>
              <w:t>Príspevkové organizácie obcí</w:t>
            </w:r>
          </w:p>
        </w:tc>
        <w:tc>
          <w:tcPr>
            <w:tcW w:w="599" w:type="pct"/>
            <w:tcBorders>
              <w:top w:val="nil"/>
              <w:left w:val="nil"/>
              <w:bottom w:val="nil"/>
              <w:right w:val="nil"/>
            </w:tcBorders>
            <w:shd w:val="clear" w:color="auto" w:fill="auto"/>
            <w:noWrap/>
            <w:vAlign w:val="bottom"/>
            <w:hideMark/>
          </w:tcPr>
          <w:p w14:paraId="419E4BB8"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1 540</w:t>
            </w:r>
          </w:p>
        </w:tc>
        <w:tc>
          <w:tcPr>
            <w:tcW w:w="594" w:type="pct"/>
            <w:tcBorders>
              <w:top w:val="nil"/>
              <w:left w:val="nil"/>
              <w:bottom w:val="nil"/>
              <w:right w:val="nil"/>
            </w:tcBorders>
            <w:shd w:val="clear" w:color="auto" w:fill="auto"/>
            <w:noWrap/>
            <w:vAlign w:val="bottom"/>
            <w:hideMark/>
          </w:tcPr>
          <w:p w14:paraId="70CBAEAD"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1 507</w:t>
            </w:r>
          </w:p>
        </w:tc>
        <w:tc>
          <w:tcPr>
            <w:tcW w:w="607" w:type="pct"/>
            <w:tcBorders>
              <w:top w:val="nil"/>
              <w:left w:val="nil"/>
              <w:bottom w:val="nil"/>
              <w:right w:val="nil"/>
            </w:tcBorders>
            <w:shd w:val="clear" w:color="auto" w:fill="auto"/>
            <w:noWrap/>
            <w:vAlign w:val="bottom"/>
            <w:hideMark/>
          </w:tcPr>
          <w:p w14:paraId="50F92513"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1 943</w:t>
            </w:r>
          </w:p>
        </w:tc>
        <w:tc>
          <w:tcPr>
            <w:tcW w:w="606" w:type="pct"/>
            <w:tcBorders>
              <w:top w:val="nil"/>
              <w:left w:val="nil"/>
              <w:bottom w:val="nil"/>
              <w:right w:val="nil"/>
            </w:tcBorders>
            <w:shd w:val="clear" w:color="auto" w:fill="auto"/>
            <w:noWrap/>
            <w:vAlign w:val="bottom"/>
            <w:hideMark/>
          </w:tcPr>
          <w:p w14:paraId="0110180F"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436</w:t>
            </w:r>
          </w:p>
        </w:tc>
      </w:tr>
      <w:tr w:rsidR="00912710" w:rsidRPr="003439E4" w14:paraId="70DE1571" w14:textId="77777777" w:rsidTr="0051395F">
        <w:trPr>
          <w:trHeight w:val="255"/>
        </w:trPr>
        <w:tc>
          <w:tcPr>
            <w:tcW w:w="2594" w:type="pct"/>
            <w:tcBorders>
              <w:top w:val="nil"/>
              <w:left w:val="nil"/>
              <w:bottom w:val="nil"/>
              <w:right w:val="nil"/>
            </w:tcBorders>
            <w:shd w:val="clear" w:color="auto" w:fill="auto"/>
            <w:noWrap/>
            <w:vAlign w:val="bottom"/>
            <w:hideMark/>
          </w:tcPr>
          <w:p w14:paraId="43BD5C1D" w14:textId="77777777" w:rsidR="00912710" w:rsidRPr="003439E4" w:rsidRDefault="00912710" w:rsidP="0051395F">
            <w:pPr>
              <w:spacing w:after="0" w:line="240" w:lineRule="auto"/>
              <w:ind w:firstLineChars="200" w:firstLine="400"/>
              <w:rPr>
                <w:sz w:val="20"/>
                <w:szCs w:val="20"/>
                <w:lang w:eastAsia="sk-SK"/>
              </w:rPr>
            </w:pPr>
            <w:r w:rsidRPr="003439E4">
              <w:rPr>
                <w:sz w:val="20"/>
                <w:szCs w:val="20"/>
                <w:lang w:eastAsia="sk-SK"/>
              </w:rPr>
              <w:t>Príspevkové organizácie VÚC</w:t>
            </w:r>
          </w:p>
        </w:tc>
        <w:tc>
          <w:tcPr>
            <w:tcW w:w="599" w:type="pct"/>
            <w:tcBorders>
              <w:top w:val="nil"/>
              <w:left w:val="nil"/>
              <w:bottom w:val="nil"/>
              <w:right w:val="nil"/>
            </w:tcBorders>
            <w:shd w:val="clear" w:color="auto" w:fill="auto"/>
            <w:noWrap/>
            <w:vAlign w:val="bottom"/>
            <w:hideMark/>
          </w:tcPr>
          <w:p w14:paraId="52838A25"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859</w:t>
            </w:r>
          </w:p>
        </w:tc>
        <w:tc>
          <w:tcPr>
            <w:tcW w:w="594" w:type="pct"/>
            <w:tcBorders>
              <w:top w:val="nil"/>
              <w:left w:val="nil"/>
              <w:bottom w:val="nil"/>
              <w:right w:val="nil"/>
            </w:tcBorders>
            <w:shd w:val="clear" w:color="auto" w:fill="auto"/>
            <w:noWrap/>
            <w:vAlign w:val="bottom"/>
            <w:hideMark/>
          </w:tcPr>
          <w:p w14:paraId="1B577D78"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782</w:t>
            </w:r>
          </w:p>
        </w:tc>
        <w:tc>
          <w:tcPr>
            <w:tcW w:w="607" w:type="pct"/>
            <w:tcBorders>
              <w:top w:val="nil"/>
              <w:left w:val="nil"/>
              <w:bottom w:val="nil"/>
              <w:right w:val="nil"/>
            </w:tcBorders>
            <w:shd w:val="clear" w:color="auto" w:fill="auto"/>
            <w:noWrap/>
            <w:vAlign w:val="bottom"/>
            <w:hideMark/>
          </w:tcPr>
          <w:p w14:paraId="067517C6"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857</w:t>
            </w:r>
          </w:p>
        </w:tc>
        <w:tc>
          <w:tcPr>
            <w:tcW w:w="606" w:type="pct"/>
            <w:tcBorders>
              <w:top w:val="nil"/>
              <w:left w:val="nil"/>
              <w:bottom w:val="nil"/>
              <w:right w:val="nil"/>
            </w:tcBorders>
            <w:shd w:val="clear" w:color="auto" w:fill="auto"/>
            <w:noWrap/>
            <w:vAlign w:val="bottom"/>
            <w:hideMark/>
          </w:tcPr>
          <w:p w14:paraId="551DBCBA"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75</w:t>
            </w:r>
          </w:p>
        </w:tc>
      </w:tr>
      <w:tr w:rsidR="00912710" w:rsidRPr="003439E4" w14:paraId="74CC808D" w14:textId="77777777" w:rsidTr="0051395F">
        <w:trPr>
          <w:trHeight w:val="255"/>
        </w:trPr>
        <w:tc>
          <w:tcPr>
            <w:tcW w:w="2594" w:type="pct"/>
            <w:tcBorders>
              <w:top w:val="nil"/>
              <w:left w:val="nil"/>
              <w:bottom w:val="nil"/>
              <w:right w:val="nil"/>
            </w:tcBorders>
            <w:shd w:val="clear" w:color="auto" w:fill="auto"/>
            <w:noWrap/>
            <w:vAlign w:val="bottom"/>
            <w:hideMark/>
          </w:tcPr>
          <w:p w14:paraId="12E98325" w14:textId="77777777" w:rsidR="00912710" w:rsidRPr="003439E4" w:rsidRDefault="00912710" w:rsidP="0051395F">
            <w:pPr>
              <w:spacing w:after="0" w:line="240" w:lineRule="auto"/>
              <w:rPr>
                <w:b/>
                <w:bCs/>
                <w:sz w:val="20"/>
                <w:szCs w:val="20"/>
                <w:lang w:eastAsia="sk-SK"/>
              </w:rPr>
            </w:pPr>
            <w:r w:rsidRPr="003439E4">
              <w:rPr>
                <w:b/>
                <w:bCs/>
                <w:sz w:val="20"/>
                <w:szCs w:val="20"/>
                <w:lang w:eastAsia="sk-SK"/>
              </w:rPr>
              <w:t>Fondy sociálneho zabezpečenia</w:t>
            </w:r>
          </w:p>
        </w:tc>
        <w:tc>
          <w:tcPr>
            <w:tcW w:w="599" w:type="pct"/>
            <w:tcBorders>
              <w:top w:val="nil"/>
              <w:left w:val="nil"/>
              <w:bottom w:val="nil"/>
              <w:right w:val="nil"/>
            </w:tcBorders>
            <w:shd w:val="clear" w:color="auto" w:fill="auto"/>
            <w:noWrap/>
            <w:vAlign w:val="bottom"/>
            <w:hideMark/>
          </w:tcPr>
          <w:p w14:paraId="2358D5EB"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539</w:t>
            </w:r>
          </w:p>
        </w:tc>
        <w:tc>
          <w:tcPr>
            <w:tcW w:w="594" w:type="pct"/>
            <w:tcBorders>
              <w:top w:val="nil"/>
              <w:left w:val="nil"/>
              <w:bottom w:val="nil"/>
              <w:right w:val="nil"/>
            </w:tcBorders>
            <w:shd w:val="clear" w:color="auto" w:fill="auto"/>
            <w:noWrap/>
            <w:vAlign w:val="bottom"/>
            <w:hideMark/>
          </w:tcPr>
          <w:p w14:paraId="22136A0C"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501</w:t>
            </w:r>
          </w:p>
        </w:tc>
        <w:tc>
          <w:tcPr>
            <w:tcW w:w="607" w:type="pct"/>
            <w:tcBorders>
              <w:top w:val="nil"/>
              <w:left w:val="nil"/>
              <w:bottom w:val="nil"/>
              <w:right w:val="nil"/>
            </w:tcBorders>
            <w:shd w:val="clear" w:color="auto" w:fill="auto"/>
            <w:noWrap/>
            <w:vAlign w:val="bottom"/>
            <w:hideMark/>
          </w:tcPr>
          <w:p w14:paraId="5DD80162"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1 274</w:t>
            </w:r>
          </w:p>
        </w:tc>
        <w:tc>
          <w:tcPr>
            <w:tcW w:w="606" w:type="pct"/>
            <w:tcBorders>
              <w:top w:val="nil"/>
              <w:left w:val="nil"/>
              <w:bottom w:val="nil"/>
              <w:right w:val="nil"/>
            </w:tcBorders>
            <w:shd w:val="clear" w:color="auto" w:fill="auto"/>
            <w:noWrap/>
            <w:vAlign w:val="bottom"/>
            <w:hideMark/>
          </w:tcPr>
          <w:p w14:paraId="42BA0131"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773</w:t>
            </w:r>
          </w:p>
        </w:tc>
      </w:tr>
      <w:tr w:rsidR="00912710" w:rsidRPr="003439E4" w14:paraId="3CEAC7F6" w14:textId="77777777" w:rsidTr="0051395F">
        <w:trPr>
          <w:trHeight w:val="255"/>
        </w:trPr>
        <w:tc>
          <w:tcPr>
            <w:tcW w:w="2594" w:type="pct"/>
            <w:tcBorders>
              <w:top w:val="nil"/>
              <w:left w:val="nil"/>
              <w:bottom w:val="nil"/>
              <w:right w:val="nil"/>
            </w:tcBorders>
            <w:shd w:val="clear" w:color="auto" w:fill="auto"/>
            <w:noWrap/>
            <w:vAlign w:val="bottom"/>
            <w:hideMark/>
          </w:tcPr>
          <w:p w14:paraId="646C9390" w14:textId="77777777" w:rsidR="00912710" w:rsidRPr="003439E4" w:rsidRDefault="00912710" w:rsidP="0051395F">
            <w:pPr>
              <w:spacing w:after="0" w:line="240" w:lineRule="auto"/>
              <w:ind w:firstLineChars="200" w:firstLine="400"/>
              <w:rPr>
                <w:sz w:val="20"/>
                <w:szCs w:val="20"/>
                <w:lang w:eastAsia="sk-SK"/>
              </w:rPr>
            </w:pPr>
            <w:r w:rsidRPr="003439E4">
              <w:rPr>
                <w:sz w:val="20"/>
                <w:szCs w:val="20"/>
                <w:lang w:eastAsia="sk-SK"/>
              </w:rPr>
              <w:t>Sociálna poisťovňa</w:t>
            </w:r>
          </w:p>
        </w:tc>
        <w:tc>
          <w:tcPr>
            <w:tcW w:w="599" w:type="pct"/>
            <w:tcBorders>
              <w:top w:val="nil"/>
              <w:left w:val="nil"/>
              <w:bottom w:val="nil"/>
              <w:right w:val="nil"/>
            </w:tcBorders>
            <w:shd w:val="clear" w:color="auto" w:fill="auto"/>
            <w:noWrap/>
            <w:vAlign w:val="bottom"/>
            <w:hideMark/>
          </w:tcPr>
          <w:p w14:paraId="3465DC58"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395</w:t>
            </w:r>
          </w:p>
        </w:tc>
        <w:tc>
          <w:tcPr>
            <w:tcW w:w="594" w:type="pct"/>
            <w:tcBorders>
              <w:top w:val="nil"/>
              <w:left w:val="nil"/>
              <w:bottom w:val="nil"/>
              <w:right w:val="nil"/>
            </w:tcBorders>
            <w:shd w:val="clear" w:color="auto" w:fill="auto"/>
            <w:noWrap/>
            <w:vAlign w:val="bottom"/>
            <w:hideMark/>
          </w:tcPr>
          <w:p w14:paraId="42C2FE6D"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234</w:t>
            </w:r>
          </w:p>
        </w:tc>
        <w:tc>
          <w:tcPr>
            <w:tcW w:w="607" w:type="pct"/>
            <w:tcBorders>
              <w:top w:val="nil"/>
              <w:left w:val="nil"/>
              <w:bottom w:val="nil"/>
              <w:right w:val="nil"/>
            </w:tcBorders>
            <w:shd w:val="clear" w:color="auto" w:fill="auto"/>
            <w:noWrap/>
            <w:vAlign w:val="bottom"/>
            <w:hideMark/>
          </w:tcPr>
          <w:p w14:paraId="4DA76900"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499</w:t>
            </w:r>
          </w:p>
        </w:tc>
        <w:tc>
          <w:tcPr>
            <w:tcW w:w="606" w:type="pct"/>
            <w:tcBorders>
              <w:top w:val="nil"/>
              <w:left w:val="nil"/>
              <w:bottom w:val="nil"/>
              <w:right w:val="nil"/>
            </w:tcBorders>
            <w:shd w:val="clear" w:color="auto" w:fill="auto"/>
            <w:noWrap/>
            <w:vAlign w:val="bottom"/>
            <w:hideMark/>
          </w:tcPr>
          <w:p w14:paraId="2A73F0D4"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265</w:t>
            </w:r>
          </w:p>
        </w:tc>
      </w:tr>
      <w:tr w:rsidR="00912710" w:rsidRPr="003439E4" w14:paraId="27251D6D" w14:textId="77777777" w:rsidTr="0051395F">
        <w:trPr>
          <w:trHeight w:val="255"/>
        </w:trPr>
        <w:tc>
          <w:tcPr>
            <w:tcW w:w="2594" w:type="pct"/>
            <w:tcBorders>
              <w:top w:val="nil"/>
              <w:left w:val="nil"/>
              <w:bottom w:val="nil"/>
              <w:right w:val="nil"/>
            </w:tcBorders>
            <w:shd w:val="clear" w:color="auto" w:fill="auto"/>
            <w:noWrap/>
            <w:vAlign w:val="bottom"/>
            <w:hideMark/>
          </w:tcPr>
          <w:p w14:paraId="16060522" w14:textId="77777777" w:rsidR="00912710" w:rsidRPr="003439E4" w:rsidRDefault="00912710" w:rsidP="0051395F">
            <w:pPr>
              <w:spacing w:after="0" w:line="240" w:lineRule="auto"/>
              <w:ind w:firstLineChars="200" w:firstLine="400"/>
              <w:rPr>
                <w:sz w:val="20"/>
                <w:szCs w:val="20"/>
                <w:lang w:eastAsia="sk-SK"/>
              </w:rPr>
            </w:pPr>
            <w:r w:rsidRPr="003439E4">
              <w:rPr>
                <w:sz w:val="20"/>
                <w:szCs w:val="20"/>
                <w:lang w:eastAsia="sk-SK"/>
              </w:rPr>
              <w:t>Verejné zdravotné poistenie</w:t>
            </w:r>
          </w:p>
        </w:tc>
        <w:tc>
          <w:tcPr>
            <w:tcW w:w="599" w:type="pct"/>
            <w:tcBorders>
              <w:top w:val="nil"/>
              <w:left w:val="nil"/>
              <w:bottom w:val="nil"/>
              <w:right w:val="nil"/>
            </w:tcBorders>
            <w:shd w:val="clear" w:color="auto" w:fill="auto"/>
            <w:noWrap/>
            <w:vAlign w:val="bottom"/>
            <w:hideMark/>
          </w:tcPr>
          <w:p w14:paraId="7FFF97E1"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144</w:t>
            </w:r>
          </w:p>
        </w:tc>
        <w:tc>
          <w:tcPr>
            <w:tcW w:w="594" w:type="pct"/>
            <w:tcBorders>
              <w:top w:val="nil"/>
              <w:left w:val="nil"/>
              <w:bottom w:val="nil"/>
              <w:right w:val="nil"/>
            </w:tcBorders>
            <w:shd w:val="clear" w:color="auto" w:fill="auto"/>
            <w:noWrap/>
            <w:vAlign w:val="bottom"/>
            <w:hideMark/>
          </w:tcPr>
          <w:p w14:paraId="0B728B3A"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267</w:t>
            </w:r>
          </w:p>
        </w:tc>
        <w:tc>
          <w:tcPr>
            <w:tcW w:w="607" w:type="pct"/>
            <w:tcBorders>
              <w:top w:val="nil"/>
              <w:left w:val="nil"/>
              <w:bottom w:val="nil"/>
              <w:right w:val="nil"/>
            </w:tcBorders>
            <w:shd w:val="clear" w:color="auto" w:fill="auto"/>
            <w:noWrap/>
            <w:vAlign w:val="bottom"/>
            <w:hideMark/>
          </w:tcPr>
          <w:p w14:paraId="4453E68B"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775</w:t>
            </w:r>
          </w:p>
        </w:tc>
        <w:tc>
          <w:tcPr>
            <w:tcW w:w="606" w:type="pct"/>
            <w:tcBorders>
              <w:top w:val="nil"/>
              <w:left w:val="nil"/>
              <w:bottom w:val="nil"/>
              <w:right w:val="nil"/>
            </w:tcBorders>
            <w:shd w:val="clear" w:color="auto" w:fill="auto"/>
            <w:noWrap/>
            <w:vAlign w:val="bottom"/>
            <w:hideMark/>
          </w:tcPr>
          <w:p w14:paraId="61C03E5B"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508</w:t>
            </w:r>
          </w:p>
        </w:tc>
      </w:tr>
      <w:tr w:rsidR="00912710" w:rsidRPr="003439E4" w14:paraId="0CFAE763" w14:textId="77777777" w:rsidTr="0051395F">
        <w:trPr>
          <w:trHeight w:val="255"/>
        </w:trPr>
        <w:tc>
          <w:tcPr>
            <w:tcW w:w="2594" w:type="pct"/>
            <w:tcBorders>
              <w:top w:val="nil"/>
              <w:left w:val="nil"/>
              <w:bottom w:val="nil"/>
              <w:right w:val="nil"/>
            </w:tcBorders>
            <w:shd w:val="clear" w:color="auto" w:fill="auto"/>
            <w:noWrap/>
            <w:vAlign w:val="bottom"/>
            <w:hideMark/>
          </w:tcPr>
          <w:p w14:paraId="55E69572" w14:textId="77777777" w:rsidR="00912710" w:rsidRPr="003439E4" w:rsidRDefault="00912710" w:rsidP="0051395F">
            <w:pPr>
              <w:spacing w:after="0" w:line="240" w:lineRule="auto"/>
              <w:rPr>
                <w:b/>
                <w:bCs/>
                <w:sz w:val="20"/>
                <w:szCs w:val="20"/>
                <w:lang w:eastAsia="sk-SK"/>
              </w:rPr>
            </w:pPr>
            <w:r w:rsidRPr="003439E4">
              <w:rPr>
                <w:b/>
                <w:bCs/>
                <w:sz w:val="20"/>
                <w:szCs w:val="20"/>
                <w:lang w:eastAsia="sk-SK"/>
              </w:rPr>
              <w:t>Verejná správa spolu</w:t>
            </w:r>
          </w:p>
        </w:tc>
        <w:tc>
          <w:tcPr>
            <w:tcW w:w="599" w:type="pct"/>
            <w:tcBorders>
              <w:top w:val="nil"/>
              <w:left w:val="nil"/>
              <w:bottom w:val="nil"/>
              <w:right w:val="nil"/>
            </w:tcBorders>
            <w:shd w:val="clear" w:color="auto" w:fill="auto"/>
            <w:noWrap/>
            <w:vAlign w:val="bottom"/>
            <w:hideMark/>
          </w:tcPr>
          <w:p w14:paraId="0A000EC2"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45 805 709</w:t>
            </w:r>
          </w:p>
        </w:tc>
        <w:tc>
          <w:tcPr>
            <w:tcW w:w="594" w:type="pct"/>
            <w:tcBorders>
              <w:top w:val="nil"/>
              <w:left w:val="nil"/>
              <w:bottom w:val="nil"/>
              <w:right w:val="nil"/>
            </w:tcBorders>
            <w:shd w:val="clear" w:color="auto" w:fill="auto"/>
            <w:noWrap/>
            <w:vAlign w:val="bottom"/>
            <w:hideMark/>
          </w:tcPr>
          <w:p w14:paraId="3F42E1DF"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46 631 621</w:t>
            </w:r>
          </w:p>
        </w:tc>
        <w:tc>
          <w:tcPr>
            <w:tcW w:w="607" w:type="pct"/>
            <w:tcBorders>
              <w:top w:val="nil"/>
              <w:left w:val="nil"/>
              <w:bottom w:val="nil"/>
              <w:right w:val="nil"/>
            </w:tcBorders>
            <w:shd w:val="clear" w:color="auto" w:fill="auto"/>
            <w:noWrap/>
            <w:vAlign w:val="bottom"/>
            <w:hideMark/>
          </w:tcPr>
          <w:p w14:paraId="03E0071A"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56 511 478</w:t>
            </w:r>
          </w:p>
        </w:tc>
        <w:tc>
          <w:tcPr>
            <w:tcW w:w="606" w:type="pct"/>
            <w:tcBorders>
              <w:top w:val="nil"/>
              <w:left w:val="nil"/>
              <w:bottom w:val="nil"/>
              <w:right w:val="nil"/>
            </w:tcBorders>
            <w:shd w:val="clear" w:color="auto" w:fill="auto"/>
            <w:noWrap/>
            <w:vAlign w:val="bottom"/>
            <w:hideMark/>
          </w:tcPr>
          <w:p w14:paraId="447D10D0"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9 879 857</w:t>
            </w:r>
          </w:p>
        </w:tc>
      </w:tr>
      <w:tr w:rsidR="00912710" w:rsidRPr="003439E4" w14:paraId="13ACB460" w14:textId="77777777" w:rsidTr="0051395F">
        <w:trPr>
          <w:trHeight w:val="255"/>
        </w:trPr>
        <w:tc>
          <w:tcPr>
            <w:tcW w:w="2594" w:type="pct"/>
            <w:tcBorders>
              <w:top w:val="nil"/>
              <w:left w:val="nil"/>
              <w:bottom w:val="nil"/>
              <w:right w:val="nil"/>
            </w:tcBorders>
            <w:shd w:val="clear" w:color="auto" w:fill="auto"/>
            <w:noWrap/>
            <w:vAlign w:val="bottom"/>
            <w:hideMark/>
          </w:tcPr>
          <w:p w14:paraId="108B830E" w14:textId="77777777" w:rsidR="00912710" w:rsidRPr="003439E4" w:rsidRDefault="00912710" w:rsidP="0051395F">
            <w:pPr>
              <w:spacing w:after="0" w:line="240" w:lineRule="auto"/>
              <w:ind w:firstLineChars="200" w:firstLine="400"/>
              <w:rPr>
                <w:i/>
                <w:iCs/>
                <w:sz w:val="20"/>
                <w:szCs w:val="20"/>
                <w:lang w:eastAsia="sk-SK"/>
              </w:rPr>
            </w:pPr>
            <w:r w:rsidRPr="003439E4">
              <w:rPr>
                <w:i/>
                <w:iCs/>
                <w:sz w:val="20"/>
                <w:szCs w:val="20"/>
                <w:lang w:eastAsia="sk-SK"/>
              </w:rPr>
              <w:t>Konsolidácia</w:t>
            </w:r>
          </w:p>
        </w:tc>
        <w:tc>
          <w:tcPr>
            <w:tcW w:w="599" w:type="pct"/>
            <w:tcBorders>
              <w:top w:val="nil"/>
              <w:left w:val="nil"/>
              <w:bottom w:val="nil"/>
              <w:right w:val="nil"/>
            </w:tcBorders>
            <w:shd w:val="clear" w:color="auto" w:fill="auto"/>
            <w:noWrap/>
            <w:vAlign w:val="bottom"/>
            <w:hideMark/>
          </w:tcPr>
          <w:p w14:paraId="532F6B81"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1 421 962</w:t>
            </w:r>
          </w:p>
        </w:tc>
        <w:tc>
          <w:tcPr>
            <w:tcW w:w="594" w:type="pct"/>
            <w:tcBorders>
              <w:top w:val="nil"/>
              <w:left w:val="nil"/>
              <w:bottom w:val="nil"/>
              <w:right w:val="nil"/>
            </w:tcBorders>
            <w:shd w:val="clear" w:color="auto" w:fill="auto"/>
            <w:noWrap/>
            <w:vAlign w:val="bottom"/>
            <w:hideMark/>
          </w:tcPr>
          <w:p w14:paraId="5D3C0F46"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1 354 599</w:t>
            </w:r>
          </w:p>
        </w:tc>
        <w:tc>
          <w:tcPr>
            <w:tcW w:w="607" w:type="pct"/>
            <w:tcBorders>
              <w:top w:val="nil"/>
              <w:left w:val="nil"/>
              <w:bottom w:val="nil"/>
              <w:right w:val="nil"/>
            </w:tcBorders>
            <w:shd w:val="clear" w:color="auto" w:fill="auto"/>
            <w:noWrap/>
            <w:vAlign w:val="bottom"/>
            <w:hideMark/>
          </w:tcPr>
          <w:p w14:paraId="6422E158"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1 501 732</w:t>
            </w:r>
          </w:p>
        </w:tc>
        <w:tc>
          <w:tcPr>
            <w:tcW w:w="606" w:type="pct"/>
            <w:tcBorders>
              <w:top w:val="nil"/>
              <w:left w:val="nil"/>
              <w:bottom w:val="nil"/>
              <w:right w:val="nil"/>
            </w:tcBorders>
            <w:shd w:val="clear" w:color="auto" w:fill="auto"/>
            <w:noWrap/>
            <w:vAlign w:val="bottom"/>
            <w:hideMark/>
          </w:tcPr>
          <w:p w14:paraId="292BE2E8"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147 133</w:t>
            </w:r>
          </w:p>
        </w:tc>
      </w:tr>
      <w:tr w:rsidR="00912710" w:rsidRPr="003439E4" w14:paraId="3F57AB8D" w14:textId="77777777" w:rsidTr="0051395F">
        <w:trPr>
          <w:trHeight w:val="255"/>
        </w:trPr>
        <w:tc>
          <w:tcPr>
            <w:tcW w:w="2594" w:type="pct"/>
            <w:tcBorders>
              <w:top w:val="nil"/>
              <w:left w:val="nil"/>
              <w:bottom w:val="nil"/>
              <w:right w:val="nil"/>
            </w:tcBorders>
            <w:shd w:val="clear" w:color="auto" w:fill="auto"/>
            <w:noWrap/>
            <w:vAlign w:val="bottom"/>
            <w:hideMark/>
          </w:tcPr>
          <w:p w14:paraId="63909566" w14:textId="77777777" w:rsidR="00912710" w:rsidRPr="003439E4" w:rsidRDefault="00912710" w:rsidP="0051395F">
            <w:pPr>
              <w:spacing w:after="0" w:line="240" w:lineRule="auto"/>
              <w:ind w:firstLineChars="200" w:firstLine="400"/>
              <w:rPr>
                <w:sz w:val="20"/>
                <w:szCs w:val="20"/>
                <w:lang w:eastAsia="sk-SK"/>
              </w:rPr>
            </w:pPr>
            <w:r w:rsidRPr="003439E4">
              <w:rPr>
                <w:sz w:val="20"/>
                <w:szCs w:val="20"/>
                <w:lang w:eastAsia="sk-SK"/>
              </w:rPr>
              <w:t>z toho: konsolidácia v skupine miestnej samosprávy</w:t>
            </w:r>
          </w:p>
        </w:tc>
        <w:tc>
          <w:tcPr>
            <w:tcW w:w="599" w:type="pct"/>
            <w:tcBorders>
              <w:top w:val="nil"/>
              <w:left w:val="nil"/>
              <w:bottom w:val="nil"/>
              <w:right w:val="nil"/>
            </w:tcBorders>
            <w:shd w:val="clear" w:color="auto" w:fill="auto"/>
            <w:noWrap/>
            <w:vAlign w:val="bottom"/>
            <w:hideMark/>
          </w:tcPr>
          <w:p w14:paraId="3CC051AE"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776 353</w:t>
            </w:r>
          </w:p>
        </w:tc>
        <w:tc>
          <w:tcPr>
            <w:tcW w:w="594" w:type="pct"/>
            <w:tcBorders>
              <w:top w:val="nil"/>
              <w:left w:val="nil"/>
              <w:bottom w:val="nil"/>
              <w:right w:val="nil"/>
            </w:tcBorders>
            <w:shd w:val="clear" w:color="auto" w:fill="auto"/>
            <w:noWrap/>
            <w:vAlign w:val="bottom"/>
            <w:hideMark/>
          </w:tcPr>
          <w:p w14:paraId="390A6211"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785 408</w:t>
            </w:r>
          </w:p>
        </w:tc>
        <w:tc>
          <w:tcPr>
            <w:tcW w:w="607" w:type="pct"/>
            <w:tcBorders>
              <w:top w:val="nil"/>
              <w:left w:val="nil"/>
              <w:bottom w:val="nil"/>
              <w:right w:val="nil"/>
            </w:tcBorders>
            <w:shd w:val="clear" w:color="auto" w:fill="auto"/>
            <w:noWrap/>
            <w:vAlign w:val="bottom"/>
            <w:hideMark/>
          </w:tcPr>
          <w:p w14:paraId="5E61088E"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999 331</w:t>
            </w:r>
          </w:p>
        </w:tc>
        <w:tc>
          <w:tcPr>
            <w:tcW w:w="606" w:type="pct"/>
            <w:tcBorders>
              <w:top w:val="nil"/>
              <w:left w:val="nil"/>
              <w:bottom w:val="nil"/>
              <w:right w:val="nil"/>
            </w:tcBorders>
            <w:shd w:val="clear" w:color="auto" w:fill="auto"/>
            <w:noWrap/>
            <w:vAlign w:val="bottom"/>
            <w:hideMark/>
          </w:tcPr>
          <w:p w14:paraId="4B921C62" w14:textId="77777777" w:rsidR="00912710" w:rsidRPr="003439E4" w:rsidRDefault="00912710" w:rsidP="0051395F">
            <w:pPr>
              <w:spacing w:after="0" w:line="240" w:lineRule="auto"/>
              <w:jc w:val="right"/>
              <w:rPr>
                <w:sz w:val="20"/>
                <w:szCs w:val="20"/>
                <w:lang w:eastAsia="sk-SK"/>
              </w:rPr>
            </w:pPr>
            <w:r w:rsidRPr="003439E4">
              <w:rPr>
                <w:sz w:val="20"/>
                <w:szCs w:val="20"/>
                <w:lang w:eastAsia="sk-SK"/>
              </w:rPr>
              <w:t>213 923</w:t>
            </w:r>
          </w:p>
        </w:tc>
      </w:tr>
      <w:tr w:rsidR="00912710" w:rsidRPr="003439E4" w14:paraId="77D17BE4" w14:textId="77777777" w:rsidTr="0051395F">
        <w:trPr>
          <w:trHeight w:val="255"/>
        </w:trPr>
        <w:tc>
          <w:tcPr>
            <w:tcW w:w="2594" w:type="pct"/>
            <w:tcBorders>
              <w:top w:val="single" w:sz="4" w:space="0" w:color="auto"/>
              <w:left w:val="nil"/>
              <w:bottom w:val="nil"/>
              <w:right w:val="nil"/>
            </w:tcBorders>
            <w:shd w:val="clear" w:color="000000" w:fill="BFBFBF"/>
            <w:noWrap/>
            <w:vAlign w:val="bottom"/>
            <w:hideMark/>
          </w:tcPr>
          <w:p w14:paraId="215D12CC" w14:textId="77777777" w:rsidR="00912710" w:rsidRPr="003439E4" w:rsidRDefault="00912710" w:rsidP="0051395F">
            <w:pPr>
              <w:spacing w:after="0" w:line="240" w:lineRule="auto"/>
              <w:rPr>
                <w:b/>
                <w:bCs/>
                <w:sz w:val="20"/>
                <w:szCs w:val="20"/>
                <w:lang w:eastAsia="sk-SK"/>
              </w:rPr>
            </w:pPr>
            <w:r w:rsidRPr="003439E4">
              <w:rPr>
                <w:b/>
                <w:bCs/>
                <w:sz w:val="20"/>
                <w:szCs w:val="20"/>
                <w:lang w:eastAsia="sk-SK"/>
              </w:rPr>
              <w:t>Verejná správa spolu konsolidovaná</w:t>
            </w:r>
          </w:p>
        </w:tc>
        <w:tc>
          <w:tcPr>
            <w:tcW w:w="599" w:type="pct"/>
            <w:tcBorders>
              <w:top w:val="single" w:sz="4" w:space="0" w:color="auto"/>
              <w:left w:val="nil"/>
              <w:bottom w:val="nil"/>
              <w:right w:val="nil"/>
            </w:tcBorders>
            <w:shd w:val="clear" w:color="000000" w:fill="BFBFBF"/>
            <w:noWrap/>
            <w:vAlign w:val="bottom"/>
            <w:hideMark/>
          </w:tcPr>
          <w:p w14:paraId="0AA6D608"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44 383 747</w:t>
            </w:r>
          </w:p>
        </w:tc>
        <w:tc>
          <w:tcPr>
            <w:tcW w:w="594" w:type="pct"/>
            <w:tcBorders>
              <w:top w:val="single" w:sz="4" w:space="0" w:color="auto"/>
              <w:left w:val="nil"/>
              <w:bottom w:val="nil"/>
              <w:right w:val="nil"/>
            </w:tcBorders>
            <w:shd w:val="clear" w:color="000000" w:fill="BFBFBF"/>
            <w:noWrap/>
            <w:vAlign w:val="bottom"/>
            <w:hideMark/>
          </w:tcPr>
          <w:p w14:paraId="3D6DB40B"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45 277 022</w:t>
            </w:r>
          </w:p>
        </w:tc>
        <w:tc>
          <w:tcPr>
            <w:tcW w:w="607" w:type="pct"/>
            <w:tcBorders>
              <w:top w:val="single" w:sz="4" w:space="0" w:color="auto"/>
              <w:left w:val="nil"/>
              <w:bottom w:val="nil"/>
              <w:right w:val="nil"/>
            </w:tcBorders>
            <w:shd w:val="clear" w:color="000000" w:fill="BFBFBF"/>
            <w:noWrap/>
            <w:vAlign w:val="bottom"/>
            <w:hideMark/>
          </w:tcPr>
          <w:p w14:paraId="34A0DA3F"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55 009 746</w:t>
            </w:r>
          </w:p>
        </w:tc>
        <w:tc>
          <w:tcPr>
            <w:tcW w:w="606" w:type="pct"/>
            <w:tcBorders>
              <w:top w:val="single" w:sz="4" w:space="0" w:color="auto"/>
              <w:left w:val="nil"/>
              <w:bottom w:val="nil"/>
              <w:right w:val="nil"/>
            </w:tcBorders>
            <w:shd w:val="clear" w:color="000000" w:fill="BFBFBF"/>
            <w:noWrap/>
            <w:vAlign w:val="bottom"/>
            <w:hideMark/>
          </w:tcPr>
          <w:p w14:paraId="19E16AF8"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9 732 724</w:t>
            </w:r>
          </w:p>
        </w:tc>
      </w:tr>
      <w:tr w:rsidR="00912710" w:rsidRPr="003439E4" w14:paraId="14F68BAC" w14:textId="77777777" w:rsidTr="0051395F">
        <w:trPr>
          <w:trHeight w:val="255"/>
        </w:trPr>
        <w:tc>
          <w:tcPr>
            <w:tcW w:w="2594" w:type="pct"/>
            <w:tcBorders>
              <w:top w:val="nil"/>
              <w:left w:val="nil"/>
              <w:bottom w:val="single" w:sz="4" w:space="0" w:color="auto"/>
              <w:right w:val="nil"/>
            </w:tcBorders>
            <w:shd w:val="clear" w:color="000000" w:fill="BFBFBF"/>
            <w:noWrap/>
            <w:vAlign w:val="bottom"/>
            <w:hideMark/>
          </w:tcPr>
          <w:p w14:paraId="3A8AC4D4" w14:textId="77777777" w:rsidR="00912710" w:rsidRPr="003439E4" w:rsidRDefault="00912710" w:rsidP="0051395F">
            <w:pPr>
              <w:spacing w:after="0" w:line="240" w:lineRule="auto"/>
              <w:ind w:firstLineChars="200" w:firstLine="400"/>
              <w:rPr>
                <w:b/>
                <w:bCs/>
                <w:sz w:val="20"/>
                <w:szCs w:val="20"/>
                <w:lang w:eastAsia="sk-SK"/>
              </w:rPr>
            </w:pPr>
            <w:r w:rsidRPr="003439E4">
              <w:rPr>
                <w:b/>
                <w:bCs/>
                <w:sz w:val="20"/>
                <w:szCs w:val="20"/>
                <w:lang w:eastAsia="sk-SK"/>
              </w:rPr>
              <w:t>% z HDP</w:t>
            </w:r>
          </w:p>
        </w:tc>
        <w:tc>
          <w:tcPr>
            <w:tcW w:w="599" w:type="pct"/>
            <w:tcBorders>
              <w:top w:val="nil"/>
              <w:left w:val="nil"/>
              <w:bottom w:val="single" w:sz="4" w:space="0" w:color="auto"/>
              <w:right w:val="nil"/>
            </w:tcBorders>
            <w:shd w:val="clear" w:color="000000" w:fill="BFBFBF"/>
            <w:noWrap/>
            <w:vAlign w:val="bottom"/>
            <w:hideMark/>
          </w:tcPr>
          <w:p w14:paraId="78ADBB2D"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49,6</w:t>
            </w:r>
          </w:p>
        </w:tc>
        <w:tc>
          <w:tcPr>
            <w:tcW w:w="594" w:type="pct"/>
            <w:tcBorders>
              <w:top w:val="nil"/>
              <w:left w:val="nil"/>
              <w:bottom w:val="single" w:sz="4" w:space="0" w:color="auto"/>
              <w:right w:val="nil"/>
            </w:tcBorders>
            <w:shd w:val="clear" w:color="000000" w:fill="BFBFBF"/>
            <w:noWrap/>
            <w:vAlign w:val="bottom"/>
            <w:hideMark/>
          </w:tcPr>
          <w:p w14:paraId="3BF29619"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48,1</w:t>
            </w:r>
          </w:p>
        </w:tc>
        <w:tc>
          <w:tcPr>
            <w:tcW w:w="607" w:type="pct"/>
            <w:tcBorders>
              <w:top w:val="nil"/>
              <w:left w:val="nil"/>
              <w:bottom w:val="single" w:sz="4" w:space="0" w:color="auto"/>
              <w:right w:val="nil"/>
            </w:tcBorders>
            <w:shd w:val="clear" w:color="000000" w:fill="BFBFBF"/>
            <w:noWrap/>
            <w:vAlign w:val="bottom"/>
            <w:hideMark/>
          </w:tcPr>
          <w:p w14:paraId="64751485"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59,7</w:t>
            </w:r>
          </w:p>
        </w:tc>
        <w:tc>
          <w:tcPr>
            <w:tcW w:w="606" w:type="pct"/>
            <w:tcBorders>
              <w:top w:val="nil"/>
              <w:left w:val="nil"/>
              <w:bottom w:val="single" w:sz="4" w:space="0" w:color="auto"/>
              <w:right w:val="nil"/>
            </w:tcBorders>
            <w:shd w:val="clear" w:color="000000" w:fill="BFBFBF"/>
            <w:noWrap/>
            <w:vAlign w:val="bottom"/>
            <w:hideMark/>
          </w:tcPr>
          <w:p w14:paraId="7AA1318B" w14:textId="77777777" w:rsidR="00912710" w:rsidRPr="003439E4" w:rsidRDefault="00912710" w:rsidP="0051395F">
            <w:pPr>
              <w:spacing w:after="0" w:line="240" w:lineRule="auto"/>
              <w:jc w:val="right"/>
              <w:rPr>
                <w:b/>
                <w:bCs/>
                <w:sz w:val="20"/>
                <w:szCs w:val="20"/>
                <w:lang w:eastAsia="sk-SK"/>
              </w:rPr>
            </w:pPr>
            <w:r w:rsidRPr="003439E4">
              <w:rPr>
                <w:b/>
                <w:bCs/>
                <w:sz w:val="20"/>
                <w:szCs w:val="20"/>
                <w:lang w:eastAsia="sk-SK"/>
              </w:rPr>
              <w:t>11,6</w:t>
            </w:r>
          </w:p>
        </w:tc>
      </w:tr>
    </w:tbl>
    <w:p w14:paraId="515907CC" w14:textId="77777777" w:rsidR="00912710" w:rsidRDefault="00912710" w:rsidP="00912710">
      <w:pPr>
        <w:spacing w:after="120" w:line="240" w:lineRule="auto"/>
        <w:ind w:right="-284"/>
        <w:jc w:val="both"/>
        <w:rPr>
          <w:sz w:val="16"/>
          <w:szCs w:val="16"/>
          <w:lang w:eastAsia="sk-SK"/>
        </w:rPr>
      </w:pPr>
      <w:r w:rsidRPr="00193B3B">
        <w:rPr>
          <w:color w:val="000000"/>
          <w:sz w:val="16"/>
          <w:szCs w:val="16"/>
          <w:vertAlign w:val="superscript"/>
          <w:lang w:eastAsia="sk-SK"/>
        </w:rPr>
        <w:t xml:space="preserve">1) </w:t>
      </w:r>
      <w:r>
        <w:rPr>
          <w:color w:val="000000"/>
          <w:sz w:val="16"/>
          <w:szCs w:val="16"/>
          <w:lang w:eastAsia="sk-SK"/>
        </w:rPr>
        <w:t>Bez tzv. refinančného systému a záväzkov z vkladov subjektov verejnej správy v Štátnej pokladnici</w:t>
      </w:r>
      <w:r w:rsidRPr="00193B3B">
        <w:rPr>
          <w:color w:val="000000"/>
          <w:sz w:val="16"/>
          <w:szCs w:val="16"/>
          <w:lang w:eastAsia="sk-SK"/>
        </w:rPr>
        <w:tab/>
      </w:r>
      <w:r w:rsidRPr="00193B3B">
        <w:rPr>
          <w:color w:val="000000"/>
          <w:sz w:val="16"/>
          <w:szCs w:val="16"/>
          <w:lang w:eastAsia="sk-SK"/>
        </w:rPr>
        <w:tab/>
        <w:t xml:space="preserve">         </w:t>
      </w:r>
      <w:r>
        <w:rPr>
          <w:color w:val="000000"/>
          <w:sz w:val="16"/>
          <w:szCs w:val="16"/>
          <w:lang w:eastAsia="sk-SK"/>
        </w:rPr>
        <w:t xml:space="preserve"> </w:t>
      </w:r>
      <w:r w:rsidRPr="00193B3B">
        <w:rPr>
          <w:sz w:val="16"/>
          <w:szCs w:val="16"/>
          <w:lang w:eastAsia="sk-SK"/>
        </w:rPr>
        <w:t>Zdroj: MF SR</w:t>
      </w:r>
    </w:p>
    <w:p w14:paraId="5F8CED6E" w14:textId="77777777" w:rsidR="00912710" w:rsidRPr="00B646B3" w:rsidRDefault="00912710" w:rsidP="00912710">
      <w:pPr>
        <w:keepNext/>
        <w:spacing w:after="0" w:line="240" w:lineRule="auto"/>
        <w:contextualSpacing/>
        <w:jc w:val="both"/>
        <w:rPr>
          <w:szCs w:val="22"/>
        </w:rPr>
      </w:pPr>
      <w:r>
        <w:rPr>
          <w:b/>
          <w:szCs w:val="22"/>
        </w:rPr>
        <w:t>Na znížení</w:t>
      </w:r>
      <w:r w:rsidRPr="00B646B3">
        <w:rPr>
          <w:b/>
          <w:szCs w:val="22"/>
        </w:rPr>
        <w:t xml:space="preserve"> </w:t>
      </w:r>
      <w:r w:rsidRPr="00B646B3">
        <w:rPr>
          <w:szCs w:val="22"/>
        </w:rPr>
        <w:t xml:space="preserve">maastrichtského dlhu v roku 2020 mali </w:t>
      </w:r>
      <w:r>
        <w:rPr>
          <w:szCs w:val="22"/>
        </w:rPr>
        <w:t xml:space="preserve">vplyv </w:t>
      </w:r>
      <w:r w:rsidRPr="00B646B3">
        <w:rPr>
          <w:szCs w:val="22"/>
        </w:rPr>
        <w:t>najmä tieto skutočnosti:</w:t>
      </w:r>
    </w:p>
    <w:p w14:paraId="3C7D8A60" w14:textId="77777777" w:rsidR="00912710" w:rsidRPr="00B646B3" w:rsidRDefault="00912710" w:rsidP="00912710">
      <w:pPr>
        <w:pStyle w:val="Odsekzoznamu"/>
        <w:keepNext/>
        <w:numPr>
          <w:ilvl w:val="0"/>
          <w:numId w:val="9"/>
        </w:numPr>
        <w:ind w:left="357" w:hanging="357"/>
        <w:jc w:val="both"/>
        <w:rPr>
          <w:rFonts w:cs="Times New Roman"/>
        </w:rPr>
      </w:pPr>
      <w:r w:rsidRPr="00B646B3">
        <w:rPr>
          <w:rFonts w:cs="Times New Roman"/>
        </w:rPr>
        <w:t>splátky záväzkov zo štátnych pokladničných poukážok v menovitej hodnote 1 820 000 tis. eur a zo štátnych dlhopisov v menovitej hodnote 2 863 611 tis. eur,</w:t>
      </w:r>
    </w:p>
    <w:p w14:paraId="3732508E" w14:textId="77777777" w:rsidR="00912710" w:rsidRDefault="00912710" w:rsidP="00912710">
      <w:pPr>
        <w:pStyle w:val="Odsekzoznamu"/>
        <w:numPr>
          <w:ilvl w:val="0"/>
          <w:numId w:val="9"/>
        </w:numPr>
        <w:ind w:left="357" w:hanging="357"/>
        <w:jc w:val="both"/>
        <w:rPr>
          <w:rFonts w:cs="Times New Roman"/>
        </w:rPr>
      </w:pPr>
      <w:r w:rsidRPr="00B646B3">
        <w:rPr>
          <w:rFonts w:cs="Times New Roman"/>
        </w:rPr>
        <w:t>splátky úverov v štátnom dlhu v menovitej hodnote 15 411 tis. eur,</w:t>
      </w:r>
    </w:p>
    <w:p w14:paraId="20491C99" w14:textId="77777777" w:rsidR="00912710" w:rsidRPr="00B646B3" w:rsidRDefault="00912710" w:rsidP="00912710">
      <w:pPr>
        <w:pStyle w:val="Odsekzoznamu"/>
        <w:numPr>
          <w:ilvl w:val="0"/>
          <w:numId w:val="9"/>
        </w:numPr>
        <w:ind w:left="357" w:hanging="357"/>
        <w:jc w:val="both"/>
        <w:rPr>
          <w:rFonts w:cs="Times New Roman"/>
        </w:rPr>
      </w:pPr>
      <w:r>
        <w:rPr>
          <w:rFonts w:cs="Times New Roman"/>
        </w:rPr>
        <w:t>vplyv zelenej energie sa prejavil na znížení dlhu o 72 068 tis. eur. Zníženie bolo dosiahnuté úhradou starého dlhu z roku 2018 vo výške 161 885 tis. eur, čo ovplyvnilo skutočnú výšku nároku na podporu v roku 2020. Zároveň URSO prehodnotilo výšku nároku elektrární Nováky na dotáciu, čo spôsobilo revíziu údajov medzi jarnou a jesennou notifikáciou</w:t>
      </w:r>
      <w:r w:rsidRPr="00353690">
        <w:rPr>
          <w:rFonts w:cs="Times New Roman"/>
        </w:rPr>
        <w:t>,</w:t>
      </w:r>
    </w:p>
    <w:p w14:paraId="2FDAD839" w14:textId="77777777" w:rsidR="00912710" w:rsidRPr="00B646B3" w:rsidRDefault="00912710" w:rsidP="00912710">
      <w:pPr>
        <w:pStyle w:val="Odsekzoznamu"/>
        <w:numPr>
          <w:ilvl w:val="0"/>
          <w:numId w:val="9"/>
        </w:numPr>
        <w:ind w:left="357" w:hanging="357"/>
        <w:jc w:val="both"/>
        <w:rPr>
          <w:rFonts w:cs="Times New Roman"/>
        </w:rPr>
      </w:pPr>
      <w:r w:rsidRPr="00B646B3">
        <w:rPr>
          <w:rFonts w:cs="Times New Roman"/>
        </w:rPr>
        <w:t>pokles zadlženosti Národnej diaľničnej spoločnosti, a. s. o 29 768 tis. eur z dôvodu splácania úverov z predchádzajúcich rokov,</w:t>
      </w:r>
    </w:p>
    <w:p w14:paraId="79A5D6D9" w14:textId="77777777" w:rsidR="00912710" w:rsidRPr="00B646B3" w:rsidRDefault="00912710" w:rsidP="00912710">
      <w:pPr>
        <w:pStyle w:val="Odsekzoznamu"/>
        <w:numPr>
          <w:ilvl w:val="0"/>
          <w:numId w:val="9"/>
        </w:numPr>
        <w:ind w:left="357" w:hanging="357"/>
        <w:jc w:val="both"/>
        <w:rPr>
          <w:rFonts w:cs="Times New Roman"/>
        </w:rPr>
      </w:pPr>
      <w:r w:rsidRPr="00B646B3">
        <w:rPr>
          <w:rFonts w:cs="Times New Roman"/>
        </w:rPr>
        <w:t>pokles konsolidovaného dlhu vyšších územných celkov o 21 243 tis. eur,</w:t>
      </w:r>
      <w:r>
        <w:rPr>
          <w:rFonts w:cs="Times New Roman"/>
        </w:rPr>
        <w:t xml:space="preserve"> z dôvodu splácania najmä dlhodobých úverov,</w:t>
      </w:r>
    </w:p>
    <w:p w14:paraId="6A30425C" w14:textId="77777777" w:rsidR="00912710" w:rsidRPr="00B646B3" w:rsidRDefault="00912710" w:rsidP="00912710">
      <w:pPr>
        <w:pStyle w:val="Odsekzoznamu"/>
        <w:numPr>
          <w:ilvl w:val="0"/>
          <w:numId w:val="9"/>
        </w:numPr>
        <w:ind w:left="357" w:hanging="357"/>
        <w:jc w:val="both"/>
        <w:rPr>
          <w:rFonts w:cs="Times New Roman"/>
        </w:rPr>
      </w:pPr>
      <w:r w:rsidRPr="00B646B3">
        <w:rPr>
          <w:rFonts w:cs="Times New Roman"/>
        </w:rPr>
        <w:t>zníženie dlhu MH Manažmentu, a. s. o 15 130 tis. eur</w:t>
      </w:r>
      <w:r>
        <w:rPr>
          <w:rFonts w:cs="Times New Roman"/>
        </w:rPr>
        <w:t xml:space="preserve"> z dôvodu odpisu nevyplatených dlhopisov, v prípade ktorých zanikla povinnosť splatiť menovitú hodnotu a výnos dlhopisu a cenný papier zanikol</w:t>
      </w:r>
      <w:r>
        <w:rPr>
          <w:rStyle w:val="Odkaznapoznmkupodiarou"/>
        </w:rPr>
        <w:footnoteReference w:id="14"/>
      </w:r>
      <w:r w:rsidRPr="00B646B3">
        <w:rPr>
          <w:rFonts w:cs="Times New Roman"/>
        </w:rPr>
        <w:t>.</w:t>
      </w:r>
    </w:p>
    <w:p w14:paraId="586EA341" w14:textId="77777777" w:rsidR="00912710" w:rsidRPr="00B646B3" w:rsidRDefault="00912710" w:rsidP="00912710">
      <w:pPr>
        <w:spacing w:after="0" w:line="240" w:lineRule="auto"/>
        <w:jc w:val="both"/>
      </w:pPr>
      <w:r w:rsidRPr="00B646B3">
        <w:t>Naopak</w:t>
      </w:r>
      <w:r w:rsidRPr="00B646B3">
        <w:rPr>
          <w:b/>
        </w:rPr>
        <w:t xml:space="preserve">, </w:t>
      </w:r>
      <w:r>
        <w:rPr>
          <w:b/>
        </w:rPr>
        <w:t>zvýšenie</w:t>
      </w:r>
      <w:r w:rsidRPr="00B646B3">
        <w:t xml:space="preserve"> maastrichtského dlhu v roku 2020 </w:t>
      </w:r>
      <w:r>
        <w:t>spôsobili</w:t>
      </w:r>
      <w:r w:rsidRPr="00B646B3">
        <w:t xml:space="preserve"> najmä tieto skutočnosti:</w:t>
      </w:r>
    </w:p>
    <w:p w14:paraId="2779DAAB" w14:textId="77777777" w:rsidR="00912710" w:rsidRPr="00B646B3" w:rsidRDefault="00912710" w:rsidP="00912710">
      <w:pPr>
        <w:pStyle w:val="Odsekzoznamu"/>
        <w:numPr>
          <w:ilvl w:val="0"/>
          <w:numId w:val="21"/>
        </w:numPr>
        <w:ind w:left="426" w:hanging="426"/>
        <w:jc w:val="both"/>
        <w:rPr>
          <w:rFonts w:cs="Times New Roman"/>
        </w:rPr>
      </w:pPr>
      <w:r w:rsidRPr="00B646B3">
        <w:rPr>
          <w:rFonts w:cs="Times New Roman"/>
        </w:rPr>
        <w:t>schodok štátneho rozpočtu na hotovostnej báze a ďalšie požiadavky na cudzie zdroje vyplývajúce z riadenia dlhu a likvidity v priebehu uplynulého roka, ktoré vyvolali potrebu emitovať štátne pokladničné poukážky v menovitej hodnote 3 200 000 tis. eur, štátne dlhopisy v menovitej hodnote 9 995 700 tis. eur,</w:t>
      </w:r>
    </w:p>
    <w:p w14:paraId="08C694BC" w14:textId="77777777" w:rsidR="00912710" w:rsidRPr="00B646B3" w:rsidRDefault="00912710" w:rsidP="00912710">
      <w:pPr>
        <w:pStyle w:val="Odsekzoznamu"/>
        <w:numPr>
          <w:ilvl w:val="0"/>
          <w:numId w:val="21"/>
        </w:numPr>
        <w:ind w:left="426" w:hanging="426"/>
        <w:jc w:val="both"/>
        <w:rPr>
          <w:rFonts w:cs="Times New Roman"/>
        </w:rPr>
      </w:pPr>
      <w:r w:rsidRPr="00B646B3">
        <w:rPr>
          <w:rFonts w:cs="Times New Roman"/>
        </w:rPr>
        <w:t>prijatie úverov od Európskej investičnej banky vo výške 347 970 tis. eur</w:t>
      </w:r>
      <w:r>
        <w:rPr>
          <w:rFonts w:cs="Times New Roman"/>
        </w:rPr>
        <w:t>, od Rozvojovej ba</w:t>
      </w:r>
      <w:r w:rsidRPr="00B646B3">
        <w:rPr>
          <w:rFonts w:cs="Times New Roman"/>
        </w:rPr>
        <w:t xml:space="preserve">nky Rady Európy vo výške 480 000 tis. eur a čerpanie prvej </w:t>
      </w:r>
      <w:proofErr w:type="spellStart"/>
      <w:r w:rsidRPr="00B646B3">
        <w:rPr>
          <w:rFonts w:cs="Times New Roman"/>
        </w:rPr>
        <w:t>tranže</w:t>
      </w:r>
      <w:proofErr w:type="spellEnd"/>
      <w:r w:rsidRPr="00B646B3">
        <w:rPr>
          <w:rFonts w:cs="Times New Roman"/>
        </w:rPr>
        <w:t xml:space="preserve"> úveru SURE</w:t>
      </w:r>
      <w:r>
        <w:rPr>
          <w:rStyle w:val="Odkaznapoznmkupodiarou"/>
        </w:rPr>
        <w:footnoteReference w:id="15"/>
      </w:r>
      <w:r w:rsidRPr="00B646B3">
        <w:rPr>
          <w:rFonts w:cs="Times New Roman"/>
        </w:rPr>
        <w:t xml:space="preserve"> od Európskej únie vo</w:t>
      </w:r>
      <w:r>
        <w:rPr>
          <w:rFonts w:cs="Times New Roman"/>
        </w:rPr>
        <w:t> </w:t>
      </w:r>
      <w:r w:rsidRPr="00B646B3">
        <w:rPr>
          <w:rFonts w:cs="Times New Roman"/>
        </w:rPr>
        <w:t>výške 300 000 tis. eur v rámci štátneho dlhu,</w:t>
      </w:r>
    </w:p>
    <w:p w14:paraId="4544B621" w14:textId="77777777" w:rsidR="00912710" w:rsidRPr="00B646B3" w:rsidRDefault="00912710" w:rsidP="00912710">
      <w:pPr>
        <w:pStyle w:val="Odsekzoznamu"/>
        <w:numPr>
          <w:ilvl w:val="0"/>
          <w:numId w:val="21"/>
        </w:numPr>
        <w:ind w:left="426" w:hanging="426"/>
        <w:jc w:val="both"/>
        <w:rPr>
          <w:rFonts w:cs="Times New Roman"/>
        </w:rPr>
      </w:pPr>
      <w:r w:rsidRPr="00B646B3">
        <w:rPr>
          <w:rFonts w:cs="Times New Roman"/>
        </w:rPr>
        <w:t>nárast dlhu Exportno-importnej banky SR o 51 418 tis. eur</w:t>
      </w:r>
      <w:r>
        <w:rPr>
          <w:rFonts w:cs="Times New Roman"/>
        </w:rPr>
        <w:t xml:space="preserve"> z dôvodu čerpania nových úverov</w:t>
      </w:r>
      <w:r w:rsidRPr="00B646B3">
        <w:rPr>
          <w:rFonts w:cs="Times New Roman"/>
        </w:rPr>
        <w:t>,</w:t>
      </w:r>
    </w:p>
    <w:p w14:paraId="780BF4EA" w14:textId="77777777" w:rsidR="00912710" w:rsidRDefault="00912710" w:rsidP="00912710">
      <w:pPr>
        <w:pStyle w:val="Odsekzoznamu"/>
        <w:numPr>
          <w:ilvl w:val="0"/>
          <w:numId w:val="21"/>
        </w:numPr>
        <w:ind w:left="426" w:hanging="426"/>
        <w:jc w:val="both"/>
        <w:rPr>
          <w:rFonts w:cs="Times New Roman"/>
        </w:rPr>
      </w:pPr>
      <w:r w:rsidRPr="00B646B3">
        <w:rPr>
          <w:rFonts w:cs="Times New Roman"/>
        </w:rPr>
        <w:t>zvýšenie dlhu Železničnej spoločnosti Slovensko, a. s. o 51 083 tis. eur z dôvodu prijatia nových úverov,</w:t>
      </w:r>
    </w:p>
    <w:p w14:paraId="7DBFA88B" w14:textId="77777777" w:rsidR="00912710" w:rsidRPr="00B646B3" w:rsidRDefault="00912710" w:rsidP="00912710">
      <w:pPr>
        <w:pStyle w:val="Odsekzoznamu"/>
        <w:numPr>
          <w:ilvl w:val="0"/>
          <w:numId w:val="21"/>
        </w:numPr>
        <w:ind w:left="426" w:hanging="426"/>
        <w:jc w:val="both"/>
        <w:rPr>
          <w:rFonts w:cs="Times New Roman"/>
        </w:rPr>
      </w:pPr>
      <w:r>
        <w:rPr>
          <w:rFonts w:cs="Times New Roman"/>
        </w:rPr>
        <w:t>nárast konsolidovaného dlhu obcí o 17 808 tis. eur,</w:t>
      </w:r>
    </w:p>
    <w:p w14:paraId="3CB1E04C" w14:textId="77777777" w:rsidR="00912710" w:rsidRPr="00B646B3" w:rsidRDefault="00912710" w:rsidP="00912710">
      <w:pPr>
        <w:pStyle w:val="Odsekzoznamu"/>
        <w:numPr>
          <w:ilvl w:val="0"/>
          <w:numId w:val="21"/>
        </w:numPr>
        <w:ind w:left="426" w:hanging="426"/>
        <w:jc w:val="both"/>
        <w:rPr>
          <w:rFonts w:cs="Times New Roman"/>
        </w:rPr>
      </w:pPr>
      <w:r w:rsidRPr="00B646B3">
        <w:rPr>
          <w:rFonts w:cs="Times New Roman"/>
        </w:rPr>
        <w:t>nárast konsolidovaného dlhu zdravotníckych zariadení spadajúcich pod ústrednú správu o 13 679 tis. eur,</w:t>
      </w:r>
    </w:p>
    <w:p w14:paraId="0EF68A92" w14:textId="77777777" w:rsidR="00912710" w:rsidRPr="00B646B3" w:rsidRDefault="00912710" w:rsidP="00912710">
      <w:pPr>
        <w:pStyle w:val="Odsekzoznamu"/>
        <w:numPr>
          <w:ilvl w:val="0"/>
          <w:numId w:val="9"/>
        </w:numPr>
        <w:spacing w:after="120"/>
        <w:ind w:left="357" w:hanging="357"/>
        <w:jc w:val="both"/>
        <w:rPr>
          <w:rFonts w:cs="Times New Roman"/>
        </w:rPr>
      </w:pPr>
      <w:r w:rsidRPr="00B646B3">
        <w:rPr>
          <w:rFonts w:cs="Times New Roman"/>
        </w:rPr>
        <w:t>nárast zadlženosti dopravných podnikov v územnej samospráve o 9 742 tis. eur.</w:t>
      </w:r>
    </w:p>
    <w:p w14:paraId="5A26B123" w14:textId="77777777" w:rsidR="007816D4" w:rsidRDefault="007816D4">
      <w:r>
        <w:br w:type="page"/>
      </w:r>
    </w:p>
    <w:p w14:paraId="232EB70B" w14:textId="06432D1F" w:rsidR="00912710" w:rsidRPr="00B646B3" w:rsidRDefault="00912710" w:rsidP="00912710">
      <w:pPr>
        <w:spacing w:after="120" w:line="240" w:lineRule="auto"/>
        <w:jc w:val="both"/>
      </w:pPr>
      <w:r w:rsidRPr="00B646B3">
        <w:lastRenderedPageBreak/>
        <w:t>V roku 2020 najviac prispel k nárastu dlhu hotovostný schodok štátneho rozpočtu vo výške 7 758 420 tis. eur, ktorý medziročne vzrástol o 5 556 940 tis. eur</w:t>
      </w:r>
      <w:r w:rsidRPr="00B646B3">
        <w:rPr>
          <w:rStyle w:val="Odkaznapoznmkupodiarou"/>
          <w:szCs w:val="22"/>
        </w:rPr>
        <w:footnoteReference w:id="16"/>
      </w:r>
      <w:r w:rsidRPr="00B646B3">
        <w:t>.</w:t>
      </w:r>
    </w:p>
    <w:p w14:paraId="5230D6B8" w14:textId="77777777" w:rsidR="00912710" w:rsidRDefault="00912710" w:rsidP="00912710">
      <w:pPr>
        <w:spacing w:after="120" w:line="240" w:lineRule="auto"/>
        <w:jc w:val="both"/>
      </w:pPr>
      <w:r w:rsidRPr="00B646B3">
        <w:t>Štátny dlh vo v</w:t>
      </w:r>
      <w:r w:rsidRPr="00B646B3">
        <w:rPr>
          <w:szCs w:val="22"/>
        </w:rPr>
        <w:t xml:space="preserve">ýške </w:t>
      </w:r>
      <w:r w:rsidRPr="00B646B3">
        <w:rPr>
          <w:szCs w:val="22"/>
          <w:lang w:eastAsia="sk-SK"/>
        </w:rPr>
        <w:t>52 876 796 tis. eur</w:t>
      </w:r>
      <w:r w:rsidRPr="00B646B3">
        <w:t xml:space="preserve"> tvorí 96,1 % konsolidovaného dlhu verejnej správy. Z tejto hodnoty tvoria štátne dlhopisy 46 677 864 tis. eur, zahraničné úvery od finančných inštitúcií, ktorých beneficientom je Ministerstvo financií SR, 3 583 436 tis. eur. Podiel Slovenska na pôžičkách Európskeho nástroja finančnej stability (EFSF) zostá</w:t>
      </w:r>
      <w:r>
        <w:t xml:space="preserve">va na úrovni 1 859 323 tis. eur </w:t>
      </w:r>
      <w:r w:rsidRPr="00B646B3">
        <w:t>ako v predchádzajúcom roku.</w:t>
      </w:r>
    </w:p>
    <w:p w14:paraId="36AA33C0" w14:textId="77777777" w:rsidR="00912710" w:rsidRDefault="00912710" w:rsidP="00912710">
      <w:pPr>
        <w:spacing w:after="120" w:line="240" w:lineRule="auto"/>
        <w:jc w:val="both"/>
      </w:pPr>
      <w:r w:rsidRPr="006134FF">
        <w:t>Do štátneho dlhu za rok 2020 bol už pri jarnej notifikácii zahrnutý vplyv schémy podpory zelenej energie. Rozdiel medzi vyzbieranými poplatkami od spotrebiteľov elektrickej energie, ktoré sú zakomponované v cene elektriny, a subvenciami platenými výrobcom zelenej elektriny, predstavuje dlhový záväzok vlády. Revidovaný záväzok dosiahol v roku 2020 výšku 209</w:t>
      </w:r>
      <w:r>
        <w:t> </w:t>
      </w:r>
      <w:r w:rsidRPr="006134FF">
        <w:t>938</w:t>
      </w:r>
      <w:r>
        <w:t> </w:t>
      </w:r>
      <w:r w:rsidRPr="006134FF">
        <w:t>tis. eur</w:t>
      </w:r>
      <w:r>
        <w:t>.</w:t>
      </w:r>
    </w:p>
    <w:p w14:paraId="3A901D99" w14:textId="77777777" w:rsidR="00912710" w:rsidRDefault="00912710" w:rsidP="00912710">
      <w:pPr>
        <w:spacing w:after="120" w:line="240" w:lineRule="auto"/>
        <w:jc w:val="both"/>
      </w:pPr>
      <w:r w:rsidRPr="00AE7EEB">
        <w:t>Medziročný pokles nominálneho HDP prispel k zvýšeniu podielu dlhu na HDP o 1,3 p. b.</w:t>
      </w:r>
    </w:p>
    <w:p w14:paraId="45CC500C" w14:textId="77777777" w:rsidR="00912710" w:rsidRPr="0039640B" w:rsidRDefault="00912710" w:rsidP="00912710">
      <w:pPr>
        <w:spacing w:after="120" w:line="240" w:lineRule="auto"/>
        <w:jc w:val="both"/>
        <w:rPr>
          <w:b/>
          <w:color w:val="0070C0"/>
          <w:szCs w:val="22"/>
        </w:rPr>
      </w:pPr>
      <w:r w:rsidRPr="0039640B">
        <w:rPr>
          <w:b/>
          <w:color w:val="0070C0"/>
          <w:szCs w:val="22"/>
        </w:rPr>
        <w:t>Štruktúra dlhu verejnej správy k 31.12.2020 bola nasledovná:</w:t>
      </w:r>
    </w:p>
    <w:p w14:paraId="4A27B18D" w14:textId="77777777" w:rsidR="00912710" w:rsidRPr="00B646B3" w:rsidRDefault="00912710" w:rsidP="00912710">
      <w:pPr>
        <w:pStyle w:val="Odsekzoznamu"/>
        <w:numPr>
          <w:ilvl w:val="0"/>
          <w:numId w:val="9"/>
        </w:numPr>
        <w:ind w:left="357" w:hanging="357"/>
        <w:jc w:val="both"/>
        <w:rPr>
          <w:rFonts w:cs="Times New Roman"/>
        </w:rPr>
      </w:pPr>
      <w:r w:rsidRPr="00B646B3">
        <w:rPr>
          <w:rFonts w:cs="Times New Roman"/>
        </w:rPr>
        <w:t>Z hľadiska zdrojov financovania bol dlh financovaný predovšetkým cennými papiermi (84,9 %) a bankovými úvermi a inými záväzkami (14,7 %), z ktorých 23,1 % predstavuje záväzok Slovenska z EFSF, 2,6 % tvorí zelená energia a 0,2 % tvoria dlhodobé záväzky z obchodného styku a prijaté preddavky. Zostávajúcich 0,5 % tvorili záväzky, ktoré vyplývajú z vkladov peňažných prostriedkov v Štátnej pokladnici tých klientov, ktorí nie sú súčasťou verejnej správy.</w:t>
      </w:r>
    </w:p>
    <w:p w14:paraId="6FD35C37" w14:textId="77777777" w:rsidR="00912710" w:rsidRPr="00B646B3" w:rsidRDefault="00912710" w:rsidP="00912710">
      <w:pPr>
        <w:pStyle w:val="Odsekzoznamu"/>
        <w:numPr>
          <w:ilvl w:val="0"/>
          <w:numId w:val="9"/>
        </w:numPr>
        <w:jc w:val="both"/>
        <w:rPr>
          <w:rFonts w:cs="Times New Roman"/>
        </w:rPr>
      </w:pPr>
      <w:r w:rsidRPr="00B646B3">
        <w:rPr>
          <w:rFonts w:cs="Times New Roman"/>
        </w:rPr>
        <w:t>Z hľadiska meny bol dlh verejnej správy v roku 2020 tvorený z 96,6 % dlhom v eurách a 3,4 % dlhu pripadá na iné meny, najmä v prípade štátnych dlhopisov (japonské jeny, americké doláre, švajčiarske franky a iné).</w:t>
      </w:r>
    </w:p>
    <w:p w14:paraId="1A859CB3" w14:textId="77777777" w:rsidR="00912710" w:rsidRPr="00B646B3" w:rsidRDefault="00912710" w:rsidP="00912710">
      <w:pPr>
        <w:pStyle w:val="Odsekzoznamu"/>
        <w:numPr>
          <w:ilvl w:val="0"/>
          <w:numId w:val="9"/>
        </w:numPr>
        <w:jc w:val="both"/>
        <w:rPr>
          <w:rFonts w:cs="Times New Roman"/>
        </w:rPr>
      </w:pPr>
      <w:r w:rsidRPr="00B646B3">
        <w:rPr>
          <w:rFonts w:cs="Times New Roman"/>
        </w:rPr>
        <w:t>Z hľadiska pôvodnej splatnosti je dlh verejnej správy prevažne dlhodobý. Z celkovej výšky dlhu tvorí dlh so splatnosťou dlhšou ako jeden rok 96,5 %. Z toho 2,3 % dlhu je splatných v rozpätí 1 až 5 rokov, 13,3 % dlhu je splatných od 5 do 10 rokov, 37,6% dlhu je splatných v intervale od 10 do 15 rokov a</w:t>
      </w:r>
      <w:r>
        <w:rPr>
          <w:rFonts w:cs="Times New Roman"/>
        </w:rPr>
        <w:t> </w:t>
      </w:r>
      <w:r w:rsidRPr="00B646B3">
        <w:rPr>
          <w:rFonts w:cs="Times New Roman"/>
        </w:rPr>
        <w:t>splatnosť</w:t>
      </w:r>
      <w:r>
        <w:rPr>
          <w:rFonts w:cs="Times New Roman"/>
        </w:rPr>
        <w:t xml:space="preserve"> </w:t>
      </w:r>
      <w:r w:rsidRPr="00B646B3">
        <w:rPr>
          <w:rFonts w:cs="Times New Roman"/>
        </w:rPr>
        <w:t>43,3 % dlhu je vyššia ako 15 rokov. Do jedného roka je pôvodne splatných 3,5 % dlhu verejnej správy.</w:t>
      </w:r>
    </w:p>
    <w:p w14:paraId="12D9361A" w14:textId="77777777" w:rsidR="00912710" w:rsidRPr="00B646B3" w:rsidRDefault="00912710" w:rsidP="00912710">
      <w:pPr>
        <w:pStyle w:val="Odsekzoznamu"/>
        <w:numPr>
          <w:ilvl w:val="0"/>
          <w:numId w:val="9"/>
        </w:numPr>
        <w:spacing w:after="120"/>
        <w:ind w:left="357" w:hanging="357"/>
        <w:jc w:val="both"/>
        <w:rPr>
          <w:rFonts w:cs="Times New Roman"/>
        </w:rPr>
      </w:pPr>
      <w:r w:rsidRPr="00B646B3">
        <w:rPr>
          <w:rFonts w:cs="Times New Roman"/>
        </w:rPr>
        <w:t>Z hľadiska teritoriálnej štruktúry pripadalo na tuzemských veriteľov 46,2% a na zahraničných veriteľov 53,8 % z celkového dlhu. Tuzemskými veriteľmi sú predovšetkým finančné korporácie, ktoré majú v držbe 45,0 % dlhu subjektov verejnej správy.</w:t>
      </w:r>
    </w:p>
    <w:p w14:paraId="31FD4A54" w14:textId="77777777" w:rsidR="00912710" w:rsidRDefault="00912710" w:rsidP="00912710">
      <w:pPr>
        <w:spacing w:after="0" w:line="240" w:lineRule="auto"/>
        <w:jc w:val="both"/>
      </w:pPr>
      <w:r w:rsidRPr="00B646B3">
        <w:t>Ďalšie informácie k zahraničným úverom v správe Ministerstva financií SR ako aj k úverom niektorých subjektov verejnej správy sú uvedené v prílohe č. 3 tejto správy, v súhrnnej účtovnej závierke.</w:t>
      </w:r>
    </w:p>
    <w:p w14:paraId="0377A6B2" w14:textId="77777777" w:rsidR="001F2A88" w:rsidRPr="00A615D3" w:rsidRDefault="001F2A88" w:rsidP="00A615D3">
      <w:pPr>
        <w:rPr>
          <w:highlight w:val="yellow"/>
        </w:rPr>
      </w:pPr>
    </w:p>
    <w:p w14:paraId="7460C77B" w14:textId="348044E9" w:rsidR="00A615D3" w:rsidRPr="007816D4" w:rsidRDefault="00182A70" w:rsidP="00A615D3">
      <w:pPr>
        <w:pStyle w:val="Nadpis2"/>
        <w:numPr>
          <w:ilvl w:val="0"/>
          <w:numId w:val="0"/>
        </w:numPr>
        <w:spacing w:after="120"/>
        <w:ind w:left="896"/>
      </w:pPr>
      <w:bookmarkStart w:id="24" w:name="_Toc85718896"/>
      <w:bookmarkStart w:id="25" w:name="_Toc496786978"/>
      <w:r>
        <w:t>1.4</w:t>
      </w:r>
      <w:r w:rsidR="00C102B8" w:rsidRPr="007816D4">
        <w:t>.</w:t>
      </w:r>
      <w:r w:rsidR="00C102B8" w:rsidRPr="007816D4">
        <w:tab/>
      </w:r>
      <w:r w:rsidR="00A615D3" w:rsidRPr="007816D4">
        <w:t>Čistý dlh verejnej správy</w:t>
      </w:r>
      <w:bookmarkEnd w:id="24"/>
    </w:p>
    <w:p w14:paraId="045474BF" w14:textId="77777777" w:rsidR="000B39AF" w:rsidRPr="00C0042C" w:rsidRDefault="000B39AF" w:rsidP="000B39AF">
      <w:pPr>
        <w:spacing w:after="0" w:line="240" w:lineRule="auto"/>
        <w:jc w:val="both"/>
        <w:rPr>
          <w:szCs w:val="22"/>
        </w:rPr>
      </w:pPr>
      <w:bookmarkStart w:id="26" w:name="_Toc496786977"/>
      <w:r w:rsidRPr="00C0042C">
        <w:rPr>
          <w:szCs w:val="22"/>
        </w:rPr>
        <w:t>Pokým hrubý dlh dosiahol k 31.12.2020 hodnotu 59,7 % HDP a medziročne vzrástol o 11,6 p. b</w:t>
      </w:r>
      <w:r w:rsidRPr="000B39AF">
        <w:rPr>
          <w:color w:val="4F81BD" w:themeColor="accent1"/>
          <w:szCs w:val="22"/>
        </w:rPr>
        <w:t xml:space="preserve">., </w:t>
      </w:r>
      <w:r w:rsidRPr="0039640B">
        <w:rPr>
          <w:b/>
          <w:color w:val="0070C0"/>
          <w:szCs w:val="22"/>
        </w:rPr>
        <w:t xml:space="preserve">čistý dlh Slovenskej republiky dosiahol k 31.12.2020 výšku 45 702 943 tis. eur (49,6 % HDP) a oproti roku 2019 vzrástol o 6,4 p. b. </w:t>
      </w:r>
      <w:r w:rsidRPr="00C0042C">
        <w:rPr>
          <w:szCs w:val="22"/>
        </w:rPr>
        <w:t xml:space="preserve">Čistý dlh verejnej správy je analyticky vhodnejší ukazovateľ ako hrubý dlh pri pohľade na medziročnú dynamiku dlhu, pretože na rozdiel od ukazovateľa hrubého dlhu eliminuje rozdiely vzniknuté nárastom alebo poklesom finančných aktív a tým vernejšie zobrazuje skutočný vývoj zadlženosti štátu. </w:t>
      </w:r>
    </w:p>
    <w:p w14:paraId="370F7178" w14:textId="2EAAC096" w:rsidR="00681732" w:rsidRDefault="000B39AF" w:rsidP="000B39AF">
      <w:pPr>
        <w:spacing w:after="0" w:line="240" w:lineRule="auto"/>
        <w:jc w:val="both"/>
        <w:rPr>
          <w:szCs w:val="22"/>
        </w:rPr>
      </w:pPr>
      <w:r w:rsidRPr="00C0042C">
        <w:rPr>
          <w:szCs w:val="22"/>
        </w:rPr>
        <w:t xml:space="preserve">Čistý dlh ukazuje schopnosť štátu splatiť svoj hrubý dlh na základe speňaženia svojich najlikvidnejších finančných aktív. Pokiaľ hrubý dlh verejnej správy prezentovaný v prvej kapitole je presne vymedzený v metodike ESA2010, metodiku čistého dlhu zatiaľ upravuje len definícia v usmernení Európskej komisie. Podľa tejto definície </w:t>
      </w:r>
      <w:r w:rsidRPr="00C0042C">
        <w:rPr>
          <w:szCs w:val="22"/>
          <w:u w:val="single"/>
        </w:rPr>
        <w:t>čistý dlh verejnej správy predstavuje rozdiel medzi hrubým maastrichtským dlhom a súčtom zlata a špeciálnych práv čerpania (SDR), hotovosti, cenných papierov v trhovej hodnote (okrem akcií) a kótovaných akcií v trhovej hodnote</w:t>
      </w:r>
      <w:r w:rsidRPr="00C0042C">
        <w:rPr>
          <w:szCs w:val="22"/>
        </w:rPr>
        <w:t>.</w:t>
      </w:r>
    </w:p>
    <w:p w14:paraId="67AB0EEF" w14:textId="77777777" w:rsidR="00681732" w:rsidRDefault="00681732">
      <w:pPr>
        <w:rPr>
          <w:szCs w:val="22"/>
        </w:rPr>
      </w:pPr>
      <w:r>
        <w:rPr>
          <w:szCs w:val="22"/>
        </w:rPr>
        <w:br w:type="page"/>
      </w:r>
    </w:p>
    <w:tbl>
      <w:tblPr>
        <w:tblW w:w="5000" w:type="pct"/>
        <w:tblCellMar>
          <w:left w:w="70" w:type="dxa"/>
          <w:right w:w="70" w:type="dxa"/>
        </w:tblCellMar>
        <w:tblLook w:val="04A0" w:firstRow="1" w:lastRow="0" w:firstColumn="1" w:lastColumn="0" w:noHBand="0" w:noVBand="1"/>
      </w:tblPr>
      <w:tblGrid>
        <w:gridCol w:w="2633"/>
        <w:gridCol w:w="557"/>
        <w:gridCol w:w="1246"/>
        <w:gridCol w:w="1246"/>
        <w:gridCol w:w="1250"/>
        <w:gridCol w:w="808"/>
        <w:gridCol w:w="838"/>
        <w:gridCol w:w="776"/>
      </w:tblGrid>
      <w:tr w:rsidR="000B39AF" w:rsidRPr="008E1281" w14:paraId="5BE428DB" w14:textId="77777777" w:rsidTr="0051395F">
        <w:trPr>
          <w:trHeight w:val="255"/>
        </w:trPr>
        <w:tc>
          <w:tcPr>
            <w:tcW w:w="3705" w:type="pct"/>
            <w:gridSpan w:val="5"/>
            <w:tcBorders>
              <w:top w:val="nil"/>
              <w:left w:val="nil"/>
              <w:bottom w:val="nil"/>
              <w:right w:val="nil"/>
            </w:tcBorders>
            <w:shd w:val="clear" w:color="000000" w:fill="000000"/>
            <w:vAlign w:val="center"/>
            <w:hideMark/>
          </w:tcPr>
          <w:p w14:paraId="77CF4143" w14:textId="7FAFC663" w:rsidR="000B39AF" w:rsidRPr="008E1281" w:rsidRDefault="00884682" w:rsidP="00884682">
            <w:pPr>
              <w:pStyle w:val="popistabuliek"/>
            </w:pPr>
            <w:r w:rsidRPr="00884682">
              <w:lastRenderedPageBreak/>
              <w:t>Tab.</w:t>
            </w:r>
            <w:r>
              <w:t xml:space="preserve"> 7</w:t>
            </w:r>
            <w:r w:rsidRPr="00884682">
              <w:t xml:space="preserve"> - </w:t>
            </w:r>
            <w:r w:rsidR="000B39AF" w:rsidRPr="008E1281">
              <w:t>Čistý dlh verejnej správy</w:t>
            </w:r>
          </w:p>
        </w:tc>
        <w:tc>
          <w:tcPr>
            <w:tcW w:w="432" w:type="pct"/>
            <w:tcBorders>
              <w:top w:val="nil"/>
              <w:left w:val="nil"/>
              <w:bottom w:val="nil"/>
              <w:right w:val="nil"/>
            </w:tcBorders>
            <w:shd w:val="clear" w:color="000000" w:fill="000000"/>
            <w:noWrap/>
            <w:vAlign w:val="center"/>
            <w:hideMark/>
          </w:tcPr>
          <w:p w14:paraId="6507A751" w14:textId="77777777" w:rsidR="000B39AF" w:rsidRPr="008E1281" w:rsidRDefault="000B39AF" w:rsidP="00884682">
            <w:pPr>
              <w:pStyle w:val="popistabuliek"/>
              <w:rPr>
                <w:color w:val="000000"/>
              </w:rPr>
            </w:pPr>
            <w:r w:rsidRPr="008E1281">
              <w:rPr>
                <w:color w:val="000000"/>
              </w:rPr>
              <w:t> </w:t>
            </w:r>
          </w:p>
        </w:tc>
        <w:tc>
          <w:tcPr>
            <w:tcW w:w="448" w:type="pct"/>
            <w:tcBorders>
              <w:top w:val="nil"/>
              <w:left w:val="nil"/>
              <w:bottom w:val="nil"/>
              <w:right w:val="nil"/>
            </w:tcBorders>
            <w:shd w:val="clear" w:color="000000" w:fill="000000"/>
            <w:noWrap/>
            <w:vAlign w:val="center"/>
            <w:hideMark/>
          </w:tcPr>
          <w:p w14:paraId="71AAB18E" w14:textId="77777777" w:rsidR="000B39AF" w:rsidRPr="008E1281" w:rsidRDefault="000B39AF" w:rsidP="00884682">
            <w:pPr>
              <w:pStyle w:val="popistabuliek"/>
              <w:rPr>
                <w:color w:val="000000"/>
              </w:rPr>
            </w:pPr>
            <w:r w:rsidRPr="008E1281">
              <w:rPr>
                <w:color w:val="000000"/>
              </w:rPr>
              <w:t> </w:t>
            </w:r>
          </w:p>
        </w:tc>
        <w:tc>
          <w:tcPr>
            <w:tcW w:w="415" w:type="pct"/>
            <w:tcBorders>
              <w:top w:val="nil"/>
              <w:left w:val="nil"/>
              <w:bottom w:val="nil"/>
              <w:right w:val="nil"/>
            </w:tcBorders>
            <w:shd w:val="clear" w:color="000000" w:fill="000000"/>
            <w:noWrap/>
            <w:vAlign w:val="center"/>
            <w:hideMark/>
          </w:tcPr>
          <w:p w14:paraId="3C6A7A57" w14:textId="77777777" w:rsidR="000B39AF" w:rsidRPr="008E1281" w:rsidRDefault="000B39AF" w:rsidP="00884682">
            <w:pPr>
              <w:pStyle w:val="popistabuliek"/>
              <w:rPr>
                <w:color w:val="000000"/>
              </w:rPr>
            </w:pPr>
            <w:r w:rsidRPr="008E1281">
              <w:rPr>
                <w:color w:val="000000"/>
              </w:rPr>
              <w:t> </w:t>
            </w:r>
          </w:p>
        </w:tc>
      </w:tr>
      <w:tr w:rsidR="000B39AF" w:rsidRPr="008E1281" w14:paraId="476FED79" w14:textId="77777777" w:rsidTr="0051395F">
        <w:trPr>
          <w:trHeight w:val="255"/>
        </w:trPr>
        <w:tc>
          <w:tcPr>
            <w:tcW w:w="1407" w:type="pct"/>
            <w:tcBorders>
              <w:top w:val="nil"/>
              <w:left w:val="nil"/>
              <w:bottom w:val="nil"/>
              <w:right w:val="nil"/>
            </w:tcBorders>
            <w:shd w:val="clear" w:color="000000" w:fill="C0C0C0"/>
            <w:noWrap/>
            <w:vAlign w:val="center"/>
            <w:hideMark/>
          </w:tcPr>
          <w:p w14:paraId="5B003DD0" w14:textId="77777777" w:rsidR="000B39AF" w:rsidRPr="008E1281" w:rsidRDefault="000B39AF" w:rsidP="0051395F">
            <w:pPr>
              <w:spacing w:after="0" w:line="240" w:lineRule="auto"/>
              <w:rPr>
                <w:color w:val="000000"/>
                <w:sz w:val="20"/>
                <w:szCs w:val="20"/>
                <w:lang w:eastAsia="sk-SK"/>
              </w:rPr>
            </w:pPr>
            <w:r w:rsidRPr="008E1281">
              <w:rPr>
                <w:color w:val="000000"/>
                <w:sz w:val="20"/>
                <w:szCs w:val="20"/>
                <w:lang w:eastAsia="sk-SK"/>
              </w:rPr>
              <w:t> </w:t>
            </w:r>
          </w:p>
        </w:tc>
        <w:tc>
          <w:tcPr>
            <w:tcW w:w="298" w:type="pct"/>
            <w:tcBorders>
              <w:top w:val="nil"/>
              <w:left w:val="nil"/>
              <w:bottom w:val="nil"/>
              <w:right w:val="nil"/>
            </w:tcBorders>
            <w:shd w:val="clear" w:color="000000" w:fill="C0C0C0"/>
            <w:noWrap/>
            <w:vAlign w:val="center"/>
            <w:hideMark/>
          </w:tcPr>
          <w:p w14:paraId="33502FC0"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 </w:t>
            </w:r>
          </w:p>
        </w:tc>
        <w:tc>
          <w:tcPr>
            <w:tcW w:w="666" w:type="pct"/>
            <w:tcBorders>
              <w:top w:val="nil"/>
              <w:left w:val="nil"/>
              <w:bottom w:val="nil"/>
              <w:right w:val="nil"/>
            </w:tcBorders>
            <w:shd w:val="clear" w:color="000000" w:fill="C0C0C0"/>
            <w:vAlign w:val="center"/>
            <w:hideMark/>
          </w:tcPr>
          <w:p w14:paraId="2644B4C4"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 </w:t>
            </w:r>
          </w:p>
        </w:tc>
        <w:tc>
          <w:tcPr>
            <w:tcW w:w="666" w:type="pct"/>
            <w:tcBorders>
              <w:top w:val="nil"/>
              <w:left w:val="nil"/>
              <w:bottom w:val="nil"/>
              <w:right w:val="nil"/>
            </w:tcBorders>
            <w:shd w:val="clear" w:color="000000" w:fill="C0C0C0"/>
            <w:noWrap/>
            <w:vAlign w:val="center"/>
            <w:hideMark/>
          </w:tcPr>
          <w:p w14:paraId="34D778C7"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tis. eur</w:t>
            </w:r>
          </w:p>
        </w:tc>
        <w:tc>
          <w:tcPr>
            <w:tcW w:w="668" w:type="pct"/>
            <w:tcBorders>
              <w:top w:val="nil"/>
              <w:left w:val="nil"/>
              <w:bottom w:val="nil"/>
              <w:right w:val="nil"/>
            </w:tcBorders>
            <w:shd w:val="clear" w:color="000000" w:fill="C0C0C0"/>
            <w:vAlign w:val="center"/>
            <w:hideMark/>
          </w:tcPr>
          <w:p w14:paraId="49413F43"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 </w:t>
            </w:r>
          </w:p>
        </w:tc>
        <w:tc>
          <w:tcPr>
            <w:tcW w:w="432" w:type="pct"/>
            <w:tcBorders>
              <w:top w:val="nil"/>
              <w:left w:val="nil"/>
              <w:bottom w:val="nil"/>
              <w:right w:val="nil"/>
            </w:tcBorders>
            <w:shd w:val="clear" w:color="000000" w:fill="C0C0C0"/>
            <w:noWrap/>
            <w:vAlign w:val="center"/>
            <w:hideMark/>
          </w:tcPr>
          <w:p w14:paraId="6724C66D" w14:textId="77777777" w:rsidR="000B39AF" w:rsidRPr="008E1281" w:rsidRDefault="000B39AF" w:rsidP="0051395F">
            <w:pPr>
              <w:spacing w:after="0" w:line="240" w:lineRule="auto"/>
              <w:rPr>
                <w:color w:val="000000"/>
                <w:sz w:val="20"/>
                <w:szCs w:val="20"/>
                <w:lang w:eastAsia="sk-SK"/>
              </w:rPr>
            </w:pPr>
            <w:r w:rsidRPr="008E1281">
              <w:rPr>
                <w:color w:val="000000"/>
                <w:sz w:val="20"/>
                <w:szCs w:val="20"/>
                <w:lang w:eastAsia="sk-SK"/>
              </w:rPr>
              <w:t> </w:t>
            </w:r>
          </w:p>
        </w:tc>
        <w:tc>
          <w:tcPr>
            <w:tcW w:w="448" w:type="pct"/>
            <w:tcBorders>
              <w:top w:val="nil"/>
              <w:left w:val="nil"/>
              <w:bottom w:val="nil"/>
              <w:right w:val="nil"/>
            </w:tcBorders>
            <w:shd w:val="clear" w:color="000000" w:fill="C0C0C0"/>
            <w:noWrap/>
            <w:vAlign w:val="center"/>
            <w:hideMark/>
          </w:tcPr>
          <w:p w14:paraId="08DD42AE"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 HDP</w:t>
            </w:r>
          </w:p>
        </w:tc>
        <w:tc>
          <w:tcPr>
            <w:tcW w:w="415" w:type="pct"/>
            <w:tcBorders>
              <w:top w:val="nil"/>
              <w:left w:val="nil"/>
              <w:bottom w:val="nil"/>
              <w:right w:val="nil"/>
            </w:tcBorders>
            <w:shd w:val="clear" w:color="000000" w:fill="C0C0C0"/>
            <w:noWrap/>
            <w:vAlign w:val="center"/>
            <w:hideMark/>
          </w:tcPr>
          <w:p w14:paraId="2B53C316" w14:textId="77777777" w:rsidR="000B39AF" w:rsidRPr="008E1281" w:rsidRDefault="000B39AF" w:rsidP="0051395F">
            <w:pPr>
              <w:spacing w:after="0" w:line="240" w:lineRule="auto"/>
              <w:rPr>
                <w:color w:val="000000"/>
                <w:sz w:val="20"/>
                <w:szCs w:val="20"/>
                <w:lang w:eastAsia="sk-SK"/>
              </w:rPr>
            </w:pPr>
            <w:r w:rsidRPr="008E1281">
              <w:rPr>
                <w:color w:val="000000"/>
                <w:sz w:val="20"/>
                <w:szCs w:val="20"/>
                <w:lang w:eastAsia="sk-SK"/>
              </w:rPr>
              <w:t> </w:t>
            </w:r>
          </w:p>
        </w:tc>
      </w:tr>
      <w:tr w:rsidR="000B39AF" w:rsidRPr="008E1281" w14:paraId="4E1131F5" w14:textId="77777777" w:rsidTr="0051395F">
        <w:trPr>
          <w:trHeight w:val="270"/>
        </w:trPr>
        <w:tc>
          <w:tcPr>
            <w:tcW w:w="1407" w:type="pct"/>
            <w:tcBorders>
              <w:top w:val="nil"/>
              <w:left w:val="nil"/>
              <w:bottom w:val="single" w:sz="8" w:space="0" w:color="auto"/>
              <w:right w:val="nil"/>
            </w:tcBorders>
            <w:shd w:val="clear" w:color="000000" w:fill="C0C0C0"/>
            <w:noWrap/>
            <w:vAlign w:val="center"/>
            <w:hideMark/>
          </w:tcPr>
          <w:p w14:paraId="2BF60390"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 </w:t>
            </w:r>
          </w:p>
        </w:tc>
        <w:tc>
          <w:tcPr>
            <w:tcW w:w="298" w:type="pct"/>
            <w:tcBorders>
              <w:top w:val="nil"/>
              <w:left w:val="nil"/>
              <w:bottom w:val="single" w:sz="8" w:space="0" w:color="auto"/>
              <w:right w:val="nil"/>
            </w:tcBorders>
            <w:shd w:val="clear" w:color="000000" w:fill="C0C0C0"/>
            <w:noWrap/>
            <w:vAlign w:val="center"/>
            <w:hideMark/>
          </w:tcPr>
          <w:p w14:paraId="17F38587"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 </w:t>
            </w:r>
          </w:p>
        </w:tc>
        <w:tc>
          <w:tcPr>
            <w:tcW w:w="666" w:type="pct"/>
            <w:tcBorders>
              <w:top w:val="nil"/>
              <w:left w:val="nil"/>
              <w:bottom w:val="single" w:sz="8" w:space="0" w:color="auto"/>
              <w:right w:val="nil"/>
            </w:tcBorders>
            <w:shd w:val="clear" w:color="000000" w:fill="C0C0C0"/>
            <w:vAlign w:val="center"/>
            <w:hideMark/>
          </w:tcPr>
          <w:p w14:paraId="74565A31"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2018</w:t>
            </w:r>
          </w:p>
        </w:tc>
        <w:tc>
          <w:tcPr>
            <w:tcW w:w="666" w:type="pct"/>
            <w:tcBorders>
              <w:top w:val="nil"/>
              <w:left w:val="nil"/>
              <w:bottom w:val="single" w:sz="8" w:space="0" w:color="auto"/>
              <w:right w:val="nil"/>
            </w:tcBorders>
            <w:shd w:val="clear" w:color="000000" w:fill="C0C0C0"/>
            <w:vAlign w:val="center"/>
            <w:hideMark/>
          </w:tcPr>
          <w:p w14:paraId="2FCEF4F3"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2019</w:t>
            </w:r>
          </w:p>
        </w:tc>
        <w:tc>
          <w:tcPr>
            <w:tcW w:w="668" w:type="pct"/>
            <w:tcBorders>
              <w:top w:val="nil"/>
              <w:left w:val="nil"/>
              <w:bottom w:val="single" w:sz="8" w:space="0" w:color="auto"/>
              <w:right w:val="nil"/>
            </w:tcBorders>
            <w:shd w:val="clear" w:color="000000" w:fill="C0C0C0"/>
            <w:vAlign w:val="center"/>
            <w:hideMark/>
          </w:tcPr>
          <w:p w14:paraId="3197DE87"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2020</w:t>
            </w:r>
          </w:p>
        </w:tc>
        <w:tc>
          <w:tcPr>
            <w:tcW w:w="432" w:type="pct"/>
            <w:tcBorders>
              <w:top w:val="nil"/>
              <w:left w:val="nil"/>
              <w:bottom w:val="single" w:sz="8" w:space="0" w:color="auto"/>
              <w:right w:val="nil"/>
            </w:tcBorders>
            <w:shd w:val="clear" w:color="000000" w:fill="C0C0C0"/>
            <w:vAlign w:val="center"/>
            <w:hideMark/>
          </w:tcPr>
          <w:p w14:paraId="2A40A920"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2018</w:t>
            </w:r>
          </w:p>
        </w:tc>
        <w:tc>
          <w:tcPr>
            <w:tcW w:w="448" w:type="pct"/>
            <w:tcBorders>
              <w:top w:val="nil"/>
              <w:left w:val="nil"/>
              <w:bottom w:val="single" w:sz="8" w:space="0" w:color="auto"/>
              <w:right w:val="nil"/>
            </w:tcBorders>
            <w:shd w:val="clear" w:color="000000" w:fill="C0C0C0"/>
            <w:vAlign w:val="center"/>
            <w:hideMark/>
          </w:tcPr>
          <w:p w14:paraId="0DA5006D"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2019</w:t>
            </w:r>
          </w:p>
        </w:tc>
        <w:tc>
          <w:tcPr>
            <w:tcW w:w="415" w:type="pct"/>
            <w:tcBorders>
              <w:top w:val="nil"/>
              <w:left w:val="nil"/>
              <w:bottom w:val="single" w:sz="8" w:space="0" w:color="auto"/>
              <w:right w:val="nil"/>
            </w:tcBorders>
            <w:shd w:val="clear" w:color="000000" w:fill="C0C0C0"/>
            <w:vAlign w:val="center"/>
            <w:hideMark/>
          </w:tcPr>
          <w:p w14:paraId="0E0E1A3C"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2020</w:t>
            </w:r>
          </w:p>
        </w:tc>
      </w:tr>
      <w:tr w:rsidR="000B39AF" w:rsidRPr="008E1281" w14:paraId="02D14B72" w14:textId="77777777" w:rsidTr="0051395F">
        <w:trPr>
          <w:trHeight w:val="255"/>
        </w:trPr>
        <w:tc>
          <w:tcPr>
            <w:tcW w:w="1407" w:type="pct"/>
            <w:tcBorders>
              <w:top w:val="nil"/>
              <w:left w:val="nil"/>
              <w:bottom w:val="nil"/>
              <w:right w:val="nil"/>
            </w:tcBorders>
            <w:shd w:val="clear" w:color="auto" w:fill="auto"/>
            <w:noWrap/>
            <w:vAlign w:val="center"/>
            <w:hideMark/>
          </w:tcPr>
          <w:p w14:paraId="04B66CC2" w14:textId="77777777" w:rsidR="000B39AF" w:rsidRPr="008E1281" w:rsidRDefault="000B39AF" w:rsidP="0051395F">
            <w:pPr>
              <w:spacing w:after="0" w:line="240" w:lineRule="auto"/>
              <w:rPr>
                <w:b/>
                <w:bCs/>
                <w:color w:val="000000"/>
                <w:sz w:val="20"/>
                <w:szCs w:val="20"/>
                <w:lang w:eastAsia="sk-SK"/>
              </w:rPr>
            </w:pPr>
            <w:r w:rsidRPr="008E1281">
              <w:rPr>
                <w:b/>
                <w:bCs/>
                <w:color w:val="000000"/>
                <w:sz w:val="20"/>
                <w:szCs w:val="20"/>
                <w:lang w:eastAsia="sk-SK"/>
              </w:rPr>
              <w:t>Hrubý dlh verejnej správy</w:t>
            </w:r>
          </w:p>
        </w:tc>
        <w:tc>
          <w:tcPr>
            <w:tcW w:w="298" w:type="pct"/>
            <w:tcBorders>
              <w:top w:val="nil"/>
              <w:left w:val="nil"/>
              <w:bottom w:val="nil"/>
              <w:right w:val="nil"/>
            </w:tcBorders>
            <w:shd w:val="clear" w:color="auto" w:fill="auto"/>
            <w:noWrap/>
            <w:vAlign w:val="center"/>
            <w:hideMark/>
          </w:tcPr>
          <w:p w14:paraId="6576FF67"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(1)</w:t>
            </w:r>
          </w:p>
        </w:tc>
        <w:tc>
          <w:tcPr>
            <w:tcW w:w="666" w:type="pct"/>
            <w:tcBorders>
              <w:top w:val="nil"/>
              <w:left w:val="nil"/>
              <w:bottom w:val="nil"/>
              <w:right w:val="nil"/>
            </w:tcBorders>
            <w:shd w:val="clear" w:color="auto" w:fill="auto"/>
            <w:vAlign w:val="center"/>
            <w:hideMark/>
          </w:tcPr>
          <w:p w14:paraId="213103B6" w14:textId="77777777" w:rsidR="000B39AF" w:rsidRPr="008E1281" w:rsidRDefault="000B39AF" w:rsidP="0051395F">
            <w:pPr>
              <w:spacing w:after="0" w:line="240" w:lineRule="auto"/>
              <w:jc w:val="right"/>
              <w:rPr>
                <w:b/>
                <w:bCs/>
                <w:sz w:val="20"/>
                <w:szCs w:val="20"/>
                <w:lang w:eastAsia="sk-SK"/>
              </w:rPr>
            </w:pPr>
            <w:r w:rsidRPr="008E1281">
              <w:rPr>
                <w:b/>
                <w:bCs/>
                <w:sz w:val="20"/>
                <w:szCs w:val="20"/>
                <w:lang w:eastAsia="sk-SK"/>
              </w:rPr>
              <w:t>44 383 747</w:t>
            </w:r>
          </w:p>
        </w:tc>
        <w:tc>
          <w:tcPr>
            <w:tcW w:w="666" w:type="pct"/>
            <w:tcBorders>
              <w:top w:val="nil"/>
              <w:left w:val="nil"/>
              <w:bottom w:val="nil"/>
              <w:right w:val="nil"/>
            </w:tcBorders>
            <w:shd w:val="clear" w:color="auto" w:fill="auto"/>
            <w:vAlign w:val="center"/>
            <w:hideMark/>
          </w:tcPr>
          <w:p w14:paraId="7068292B" w14:textId="77777777" w:rsidR="000B39AF" w:rsidRPr="008E1281" w:rsidRDefault="000B39AF" w:rsidP="0051395F">
            <w:pPr>
              <w:spacing w:after="0" w:line="240" w:lineRule="auto"/>
              <w:jc w:val="right"/>
              <w:rPr>
                <w:b/>
                <w:bCs/>
                <w:sz w:val="20"/>
                <w:szCs w:val="20"/>
                <w:lang w:eastAsia="sk-SK"/>
              </w:rPr>
            </w:pPr>
            <w:r w:rsidRPr="008E1281">
              <w:rPr>
                <w:b/>
                <w:bCs/>
                <w:sz w:val="20"/>
                <w:szCs w:val="20"/>
                <w:lang w:eastAsia="sk-SK"/>
              </w:rPr>
              <w:t>45 277 022</w:t>
            </w:r>
          </w:p>
        </w:tc>
        <w:tc>
          <w:tcPr>
            <w:tcW w:w="668" w:type="pct"/>
            <w:tcBorders>
              <w:top w:val="nil"/>
              <w:left w:val="nil"/>
              <w:bottom w:val="nil"/>
              <w:right w:val="single" w:sz="8" w:space="0" w:color="auto"/>
            </w:tcBorders>
            <w:shd w:val="clear" w:color="auto" w:fill="auto"/>
            <w:vAlign w:val="center"/>
            <w:hideMark/>
          </w:tcPr>
          <w:p w14:paraId="67003E78" w14:textId="77777777" w:rsidR="000B39AF" w:rsidRPr="008E1281" w:rsidRDefault="000B39AF" w:rsidP="0051395F">
            <w:pPr>
              <w:spacing w:after="0" w:line="240" w:lineRule="auto"/>
              <w:jc w:val="right"/>
              <w:rPr>
                <w:b/>
                <w:bCs/>
                <w:sz w:val="20"/>
                <w:szCs w:val="20"/>
                <w:lang w:eastAsia="sk-SK"/>
              </w:rPr>
            </w:pPr>
            <w:r w:rsidRPr="008E1281">
              <w:rPr>
                <w:b/>
                <w:bCs/>
                <w:sz w:val="20"/>
                <w:szCs w:val="20"/>
                <w:lang w:eastAsia="sk-SK"/>
              </w:rPr>
              <w:t>55 009 746</w:t>
            </w:r>
          </w:p>
        </w:tc>
        <w:tc>
          <w:tcPr>
            <w:tcW w:w="432" w:type="pct"/>
            <w:tcBorders>
              <w:top w:val="nil"/>
              <w:left w:val="nil"/>
              <w:bottom w:val="nil"/>
              <w:right w:val="nil"/>
            </w:tcBorders>
            <w:shd w:val="clear" w:color="auto" w:fill="auto"/>
            <w:vAlign w:val="center"/>
            <w:hideMark/>
          </w:tcPr>
          <w:p w14:paraId="0F697882"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49,6</w:t>
            </w:r>
          </w:p>
        </w:tc>
        <w:tc>
          <w:tcPr>
            <w:tcW w:w="448" w:type="pct"/>
            <w:tcBorders>
              <w:top w:val="nil"/>
              <w:left w:val="nil"/>
              <w:bottom w:val="nil"/>
              <w:right w:val="nil"/>
            </w:tcBorders>
            <w:shd w:val="clear" w:color="auto" w:fill="auto"/>
            <w:vAlign w:val="center"/>
            <w:hideMark/>
          </w:tcPr>
          <w:p w14:paraId="5C40D0D1"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48,1</w:t>
            </w:r>
          </w:p>
        </w:tc>
        <w:tc>
          <w:tcPr>
            <w:tcW w:w="415" w:type="pct"/>
            <w:tcBorders>
              <w:top w:val="nil"/>
              <w:left w:val="nil"/>
              <w:bottom w:val="nil"/>
              <w:right w:val="nil"/>
            </w:tcBorders>
            <w:shd w:val="clear" w:color="auto" w:fill="auto"/>
            <w:vAlign w:val="center"/>
            <w:hideMark/>
          </w:tcPr>
          <w:p w14:paraId="3D97C79B"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59,7</w:t>
            </w:r>
          </w:p>
        </w:tc>
      </w:tr>
      <w:tr w:rsidR="000B39AF" w:rsidRPr="008E1281" w14:paraId="0B0DB89F" w14:textId="77777777" w:rsidTr="0051395F">
        <w:trPr>
          <w:trHeight w:val="255"/>
        </w:trPr>
        <w:tc>
          <w:tcPr>
            <w:tcW w:w="1407" w:type="pct"/>
            <w:tcBorders>
              <w:top w:val="nil"/>
              <w:left w:val="nil"/>
              <w:bottom w:val="nil"/>
              <w:right w:val="nil"/>
            </w:tcBorders>
            <w:shd w:val="clear" w:color="auto" w:fill="auto"/>
            <w:noWrap/>
            <w:vAlign w:val="center"/>
            <w:hideMark/>
          </w:tcPr>
          <w:p w14:paraId="3248087E" w14:textId="77777777" w:rsidR="000B39AF" w:rsidRPr="008E1281" w:rsidRDefault="000B39AF" w:rsidP="0051395F">
            <w:pPr>
              <w:spacing w:after="0" w:line="240" w:lineRule="auto"/>
              <w:rPr>
                <w:b/>
                <w:bCs/>
                <w:color w:val="000000"/>
                <w:sz w:val="20"/>
                <w:szCs w:val="20"/>
                <w:lang w:eastAsia="sk-SK"/>
              </w:rPr>
            </w:pPr>
            <w:r w:rsidRPr="008E1281">
              <w:rPr>
                <w:b/>
                <w:bCs/>
                <w:color w:val="000000"/>
                <w:sz w:val="20"/>
                <w:szCs w:val="20"/>
                <w:lang w:eastAsia="sk-SK"/>
              </w:rPr>
              <w:t xml:space="preserve">Likvidné finančné aktíva:    </w:t>
            </w:r>
          </w:p>
        </w:tc>
        <w:tc>
          <w:tcPr>
            <w:tcW w:w="298" w:type="pct"/>
            <w:tcBorders>
              <w:top w:val="nil"/>
              <w:left w:val="nil"/>
              <w:bottom w:val="nil"/>
              <w:right w:val="nil"/>
            </w:tcBorders>
            <w:shd w:val="clear" w:color="auto" w:fill="auto"/>
            <w:noWrap/>
            <w:vAlign w:val="center"/>
            <w:hideMark/>
          </w:tcPr>
          <w:p w14:paraId="107A8679"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(2)</w:t>
            </w:r>
          </w:p>
        </w:tc>
        <w:tc>
          <w:tcPr>
            <w:tcW w:w="666" w:type="pct"/>
            <w:tcBorders>
              <w:top w:val="nil"/>
              <w:left w:val="nil"/>
              <w:bottom w:val="nil"/>
              <w:right w:val="nil"/>
            </w:tcBorders>
            <w:shd w:val="clear" w:color="auto" w:fill="auto"/>
            <w:vAlign w:val="center"/>
            <w:hideMark/>
          </w:tcPr>
          <w:p w14:paraId="47857905" w14:textId="77777777" w:rsidR="000B39AF" w:rsidRPr="008E1281" w:rsidRDefault="000B39AF" w:rsidP="0051395F">
            <w:pPr>
              <w:spacing w:after="0" w:line="240" w:lineRule="auto"/>
              <w:jc w:val="right"/>
              <w:rPr>
                <w:b/>
                <w:bCs/>
                <w:sz w:val="20"/>
                <w:szCs w:val="20"/>
                <w:lang w:eastAsia="sk-SK"/>
              </w:rPr>
            </w:pPr>
            <w:r w:rsidRPr="008E1281">
              <w:rPr>
                <w:b/>
                <w:bCs/>
                <w:sz w:val="20"/>
                <w:szCs w:val="20"/>
                <w:lang w:eastAsia="sk-SK"/>
              </w:rPr>
              <w:t>5 426 227</w:t>
            </w:r>
          </w:p>
        </w:tc>
        <w:tc>
          <w:tcPr>
            <w:tcW w:w="666" w:type="pct"/>
            <w:tcBorders>
              <w:top w:val="nil"/>
              <w:left w:val="nil"/>
              <w:bottom w:val="nil"/>
              <w:right w:val="nil"/>
            </w:tcBorders>
            <w:shd w:val="clear" w:color="auto" w:fill="auto"/>
            <w:vAlign w:val="center"/>
            <w:hideMark/>
          </w:tcPr>
          <w:p w14:paraId="66807CF8" w14:textId="77777777" w:rsidR="000B39AF" w:rsidRPr="008E1281" w:rsidRDefault="000B39AF" w:rsidP="0051395F">
            <w:pPr>
              <w:spacing w:after="0" w:line="240" w:lineRule="auto"/>
              <w:jc w:val="right"/>
              <w:rPr>
                <w:b/>
                <w:bCs/>
                <w:sz w:val="20"/>
                <w:szCs w:val="20"/>
                <w:lang w:eastAsia="sk-SK"/>
              </w:rPr>
            </w:pPr>
            <w:r w:rsidRPr="008E1281">
              <w:rPr>
                <w:b/>
                <w:bCs/>
                <w:sz w:val="20"/>
                <w:szCs w:val="20"/>
                <w:lang w:eastAsia="sk-SK"/>
              </w:rPr>
              <w:t>4 600 718</w:t>
            </w:r>
          </w:p>
        </w:tc>
        <w:tc>
          <w:tcPr>
            <w:tcW w:w="668" w:type="pct"/>
            <w:tcBorders>
              <w:top w:val="nil"/>
              <w:left w:val="nil"/>
              <w:bottom w:val="nil"/>
              <w:right w:val="single" w:sz="8" w:space="0" w:color="auto"/>
            </w:tcBorders>
            <w:shd w:val="clear" w:color="auto" w:fill="auto"/>
            <w:vAlign w:val="center"/>
            <w:hideMark/>
          </w:tcPr>
          <w:p w14:paraId="6A473339" w14:textId="77777777" w:rsidR="000B39AF" w:rsidRPr="008E1281" w:rsidRDefault="000B39AF" w:rsidP="0051395F">
            <w:pPr>
              <w:spacing w:after="0" w:line="240" w:lineRule="auto"/>
              <w:jc w:val="right"/>
              <w:rPr>
                <w:b/>
                <w:bCs/>
                <w:sz w:val="20"/>
                <w:szCs w:val="20"/>
                <w:lang w:eastAsia="sk-SK"/>
              </w:rPr>
            </w:pPr>
            <w:r w:rsidRPr="008E1281">
              <w:rPr>
                <w:b/>
                <w:bCs/>
                <w:sz w:val="20"/>
                <w:szCs w:val="20"/>
                <w:lang w:eastAsia="sk-SK"/>
              </w:rPr>
              <w:t>9 306 803</w:t>
            </w:r>
          </w:p>
        </w:tc>
        <w:tc>
          <w:tcPr>
            <w:tcW w:w="432" w:type="pct"/>
            <w:tcBorders>
              <w:top w:val="nil"/>
              <w:left w:val="nil"/>
              <w:bottom w:val="nil"/>
              <w:right w:val="nil"/>
            </w:tcBorders>
            <w:shd w:val="clear" w:color="auto" w:fill="auto"/>
            <w:vAlign w:val="center"/>
            <w:hideMark/>
          </w:tcPr>
          <w:p w14:paraId="4884F895"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6,1</w:t>
            </w:r>
          </w:p>
        </w:tc>
        <w:tc>
          <w:tcPr>
            <w:tcW w:w="448" w:type="pct"/>
            <w:tcBorders>
              <w:top w:val="nil"/>
              <w:left w:val="nil"/>
              <w:bottom w:val="nil"/>
              <w:right w:val="nil"/>
            </w:tcBorders>
            <w:shd w:val="clear" w:color="auto" w:fill="auto"/>
            <w:vAlign w:val="center"/>
            <w:hideMark/>
          </w:tcPr>
          <w:p w14:paraId="30415508"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4,9</w:t>
            </w:r>
          </w:p>
        </w:tc>
        <w:tc>
          <w:tcPr>
            <w:tcW w:w="415" w:type="pct"/>
            <w:tcBorders>
              <w:top w:val="nil"/>
              <w:left w:val="nil"/>
              <w:bottom w:val="nil"/>
              <w:right w:val="nil"/>
            </w:tcBorders>
            <w:shd w:val="clear" w:color="auto" w:fill="auto"/>
            <w:vAlign w:val="center"/>
            <w:hideMark/>
          </w:tcPr>
          <w:p w14:paraId="5567D2C5"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10,1</w:t>
            </w:r>
          </w:p>
        </w:tc>
      </w:tr>
      <w:tr w:rsidR="000B39AF" w:rsidRPr="008E1281" w14:paraId="658933DF" w14:textId="77777777" w:rsidTr="0051395F">
        <w:trPr>
          <w:trHeight w:val="330"/>
        </w:trPr>
        <w:tc>
          <w:tcPr>
            <w:tcW w:w="1407" w:type="pct"/>
            <w:tcBorders>
              <w:top w:val="nil"/>
              <w:left w:val="nil"/>
              <w:bottom w:val="nil"/>
              <w:right w:val="nil"/>
            </w:tcBorders>
            <w:shd w:val="clear" w:color="auto" w:fill="auto"/>
            <w:noWrap/>
            <w:vAlign w:val="center"/>
            <w:hideMark/>
          </w:tcPr>
          <w:p w14:paraId="28705234" w14:textId="77777777" w:rsidR="000B39AF" w:rsidRPr="008E1281" w:rsidRDefault="000B39AF" w:rsidP="0051395F">
            <w:pPr>
              <w:spacing w:after="0" w:line="240" w:lineRule="auto"/>
              <w:rPr>
                <w:color w:val="000000"/>
                <w:sz w:val="20"/>
                <w:szCs w:val="20"/>
                <w:lang w:eastAsia="sk-SK"/>
              </w:rPr>
            </w:pPr>
            <w:r w:rsidRPr="008E1281">
              <w:rPr>
                <w:color w:val="000000"/>
                <w:sz w:val="20"/>
                <w:szCs w:val="20"/>
                <w:lang w:eastAsia="sk-SK"/>
              </w:rPr>
              <w:t xml:space="preserve">         - menové zlato a SDR </w:t>
            </w:r>
          </w:p>
        </w:tc>
        <w:tc>
          <w:tcPr>
            <w:tcW w:w="298" w:type="pct"/>
            <w:tcBorders>
              <w:top w:val="nil"/>
              <w:left w:val="nil"/>
              <w:bottom w:val="nil"/>
              <w:right w:val="nil"/>
            </w:tcBorders>
            <w:shd w:val="clear" w:color="auto" w:fill="auto"/>
            <w:noWrap/>
            <w:vAlign w:val="bottom"/>
            <w:hideMark/>
          </w:tcPr>
          <w:p w14:paraId="780E4F55" w14:textId="77777777" w:rsidR="000B39AF" w:rsidRPr="008E1281" w:rsidRDefault="000B39AF" w:rsidP="0051395F">
            <w:pPr>
              <w:spacing w:after="0" w:line="240" w:lineRule="auto"/>
              <w:rPr>
                <w:color w:val="000000"/>
                <w:sz w:val="20"/>
                <w:szCs w:val="20"/>
                <w:lang w:eastAsia="sk-SK"/>
              </w:rPr>
            </w:pPr>
          </w:p>
        </w:tc>
        <w:tc>
          <w:tcPr>
            <w:tcW w:w="666" w:type="pct"/>
            <w:tcBorders>
              <w:top w:val="nil"/>
              <w:left w:val="nil"/>
              <w:bottom w:val="nil"/>
              <w:right w:val="nil"/>
            </w:tcBorders>
            <w:shd w:val="clear" w:color="auto" w:fill="auto"/>
            <w:vAlign w:val="center"/>
            <w:hideMark/>
          </w:tcPr>
          <w:p w14:paraId="580663CB" w14:textId="77777777" w:rsidR="000B39AF" w:rsidRPr="008E1281" w:rsidRDefault="000B39AF" w:rsidP="0051395F">
            <w:pPr>
              <w:spacing w:after="0" w:line="240" w:lineRule="auto"/>
              <w:jc w:val="right"/>
              <w:rPr>
                <w:sz w:val="20"/>
                <w:szCs w:val="20"/>
                <w:lang w:eastAsia="sk-SK"/>
              </w:rPr>
            </w:pPr>
            <w:r w:rsidRPr="008E1281">
              <w:rPr>
                <w:sz w:val="20"/>
                <w:szCs w:val="20"/>
                <w:lang w:eastAsia="sk-SK"/>
              </w:rPr>
              <w:t>0</w:t>
            </w:r>
          </w:p>
        </w:tc>
        <w:tc>
          <w:tcPr>
            <w:tcW w:w="666" w:type="pct"/>
            <w:tcBorders>
              <w:top w:val="nil"/>
              <w:left w:val="nil"/>
              <w:bottom w:val="nil"/>
              <w:right w:val="nil"/>
            </w:tcBorders>
            <w:shd w:val="clear" w:color="auto" w:fill="auto"/>
            <w:vAlign w:val="center"/>
            <w:hideMark/>
          </w:tcPr>
          <w:p w14:paraId="082F3C97" w14:textId="77777777" w:rsidR="000B39AF" w:rsidRPr="008E1281" w:rsidRDefault="000B39AF" w:rsidP="0051395F">
            <w:pPr>
              <w:spacing w:after="0" w:line="240" w:lineRule="auto"/>
              <w:jc w:val="right"/>
              <w:rPr>
                <w:sz w:val="20"/>
                <w:szCs w:val="20"/>
                <w:lang w:eastAsia="sk-SK"/>
              </w:rPr>
            </w:pPr>
            <w:r w:rsidRPr="008E1281">
              <w:rPr>
                <w:sz w:val="20"/>
                <w:szCs w:val="20"/>
                <w:lang w:eastAsia="sk-SK"/>
              </w:rPr>
              <w:t>0</w:t>
            </w:r>
          </w:p>
        </w:tc>
        <w:tc>
          <w:tcPr>
            <w:tcW w:w="668" w:type="pct"/>
            <w:tcBorders>
              <w:top w:val="nil"/>
              <w:left w:val="nil"/>
              <w:bottom w:val="nil"/>
              <w:right w:val="single" w:sz="8" w:space="0" w:color="auto"/>
            </w:tcBorders>
            <w:shd w:val="clear" w:color="auto" w:fill="auto"/>
            <w:vAlign w:val="center"/>
            <w:hideMark/>
          </w:tcPr>
          <w:p w14:paraId="1734182B" w14:textId="77777777" w:rsidR="000B39AF" w:rsidRPr="008E1281" w:rsidRDefault="000B39AF" w:rsidP="0051395F">
            <w:pPr>
              <w:spacing w:after="0" w:line="240" w:lineRule="auto"/>
              <w:jc w:val="right"/>
              <w:rPr>
                <w:sz w:val="20"/>
                <w:szCs w:val="20"/>
                <w:lang w:eastAsia="sk-SK"/>
              </w:rPr>
            </w:pPr>
            <w:r w:rsidRPr="008E1281">
              <w:rPr>
                <w:sz w:val="20"/>
                <w:szCs w:val="20"/>
                <w:lang w:eastAsia="sk-SK"/>
              </w:rPr>
              <w:t>0</w:t>
            </w:r>
          </w:p>
        </w:tc>
        <w:tc>
          <w:tcPr>
            <w:tcW w:w="432" w:type="pct"/>
            <w:tcBorders>
              <w:top w:val="nil"/>
              <w:left w:val="nil"/>
              <w:bottom w:val="nil"/>
              <w:right w:val="nil"/>
            </w:tcBorders>
            <w:shd w:val="clear" w:color="auto" w:fill="auto"/>
            <w:vAlign w:val="center"/>
            <w:hideMark/>
          </w:tcPr>
          <w:p w14:paraId="448FDCA6" w14:textId="77777777" w:rsidR="000B39AF" w:rsidRPr="008E1281" w:rsidRDefault="000B39AF" w:rsidP="0051395F">
            <w:pPr>
              <w:spacing w:after="0" w:line="240" w:lineRule="auto"/>
              <w:jc w:val="center"/>
              <w:rPr>
                <w:color w:val="000000"/>
                <w:sz w:val="20"/>
                <w:szCs w:val="20"/>
                <w:lang w:eastAsia="sk-SK"/>
              </w:rPr>
            </w:pPr>
            <w:r w:rsidRPr="008E1281">
              <w:rPr>
                <w:color w:val="000000"/>
                <w:sz w:val="20"/>
                <w:szCs w:val="20"/>
                <w:lang w:eastAsia="sk-SK"/>
              </w:rPr>
              <w:t>0,0</w:t>
            </w:r>
          </w:p>
        </w:tc>
        <w:tc>
          <w:tcPr>
            <w:tcW w:w="448" w:type="pct"/>
            <w:tcBorders>
              <w:top w:val="nil"/>
              <w:left w:val="nil"/>
              <w:bottom w:val="nil"/>
              <w:right w:val="nil"/>
            </w:tcBorders>
            <w:shd w:val="clear" w:color="auto" w:fill="auto"/>
            <w:vAlign w:val="center"/>
            <w:hideMark/>
          </w:tcPr>
          <w:p w14:paraId="5E109A87" w14:textId="77777777" w:rsidR="000B39AF" w:rsidRPr="008E1281" w:rsidRDefault="000B39AF" w:rsidP="0051395F">
            <w:pPr>
              <w:spacing w:after="0" w:line="240" w:lineRule="auto"/>
              <w:jc w:val="center"/>
              <w:rPr>
                <w:color w:val="000000"/>
                <w:sz w:val="20"/>
                <w:szCs w:val="20"/>
                <w:lang w:eastAsia="sk-SK"/>
              </w:rPr>
            </w:pPr>
            <w:r w:rsidRPr="008E1281">
              <w:rPr>
                <w:color w:val="000000"/>
                <w:sz w:val="20"/>
                <w:szCs w:val="20"/>
                <w:lang w:eastAsia="sk-SK"/>
              </w:rPr>
              <w:t>0,0</w:t>
            </w:r>
          </w:p>
        </w:tc>
        <w:tc>
          <w:tcPr>
            <w:tcW w:w="415" w:type="pct"/>
            <w:tcBorders>
              <w:top w:val="nil"/>
              <w:left w:val="nil"/>
              <w:bottom w:val="nil"/>
              <w:right w:val="nil"/>
            </w:tcBorders>
            <w:shd w:val="clear" w:color="auto" w:fill="auto"/>
            <w:vAlign w:val="center"/>
            <w:hideMark/>
          </w:tcPr>
          <w:p w14:paraId="3E051F29" w14:textId="77777777" w:rsidR="000B39AF" w:rsidRPr="008E1281" w:rsidRDefault="000B39AF" w:rsidP="0051395F">
            <w:pPr>
              <w:spacing w:after="0" w:line="240" w:lineRule="auto"/>
              <w:jc w:val="center"/>
              <w:rPr>
                <w:color w:val="000000"/>
                <w:sz w:val="20"/>
                <w:szCs w:val="20"/>
                <w:lang w:eastAsia="sk-SK"/>
              </w:rPr>
            </w:pPr>
            <w:r w:rsidRPr="008E1281">
              <w:rPr>
                <w:color w:val="000000"/>
                <w:sz w:val="20"/>
                <w:szCs w:val="20"/>
                <w:lang w:eastAsia="sk-SK"/>
              </w:rPr>
              <w:t>0,0</w:t>
            </w:r>
          </w:p>
        </w:tc>
      </w:tr>
      <w:tr w:rsidR="000B39AF" w:rsidRPr="008E1281" w14:paraId="53684985" w14:textId="77777777" w:rsidTr="0051395F">
        <w:trPr>
          <w:trHeight w:val="330"/>
        </w:trPr>
        <w:tc>
          <w:tcPr>
            <w:tcW w:w="1407" w:type="pct"/>
            <w:tcBorders>
              <w:top w:val="nil"/>
              <w:left w:val="nil"/>
              <w:bottom w:val="nil"/>
              <w:right w:val="nil"/>
            </w:tcBorders>
            <w:shd w:val="clear" w:color="auto" w:fill="auto"/>
            <w:noWrap/>
            <w:vAlign w:val="center"/>
            <w:hideMark/>
          </w:tcPr>
          <w:p w14:paraId="5B97D2E5" w14:textId="77777777" w:rsidR="000B39AF" w:rsidRPr="008E1281" w:rsidRDefault="000B39AF" w:rsidP="0051395F">
            <w:pPr>
              <w:spacing w:after="0" w:line="240" w:lineRule="auto"/>
              <w:rPr>
                <w:color w:val="000000"/>
                <w:sz w:val="20"/>
                <w:szCs w:val="20"/>
                <w:lang w:eastAsia="sk-SK"/>
              </w:rPr>
            </w:pPr>
            <w:r w:rsidRPr="008E1281">
              <w:rPr>
                <w:color w:val="000000"/>
                <w:sz w:val="20"/>
                <w:szCs w:val="20"/>
                <w:lang w:eastAsia="sk-SK"/>
              </w:rPr>
              <w:t xml:space="preserve">         - hotovosť na účtoch VS </w:t>
            </w:r>
          </w:p>
        </w:tc>
        <w:tc>
          <w:tcPr>
            <w:tcW w:w="298" w:type="pct"/>
            <w:tcBorders>
              <w:top w:val="nil"/>
              <w:left w:val="nil"/>
              <w:bottom w:val="nil"/>
              <w:right w:val="nil"/>
            </w:tcBorders>
            <w:shd w:val="clear" w:color="auto" w:fill="auto"/>
            <w:noWrap/>
            <w:vAlign w:val="bottom"/>
            <w:hideMark/>
          </w:tcPr>
          <w:p w14:paraId="6A826FB5" w14:textId="77777777" w:rsidR="000B39AF" w:rsidRPr="008E1281" w:rsidRDefault="000B39AF" w:rsidP="0051395F">
            <w:pPr>
              <w:spacing w:after="0" w:line="240" w:lineRule="auto"/>
              <w:rPr>
                <w:color w:val="000000"/>
                <w:sz w:val="20"/>
                <w:szCs w:val="20"/>
                <w:lang w:eastAsia="sk-SK"/>
              </w:rPr>
            </w:pPr>
          </w:p>
        </w:tc>
        <w:tc>
          <w:tcPr>
            <w:tcW w:w="666" w:type="pct"/>
            <w:tcBorders>
              <w:top w:val="nil"/>
              <w:left w:val="nil"/>
              <w:bottom w:val="nil"/>
              <w:right w:val="nil"/>
            </w:tcBorders>
            <w:shd w:val="clear" w:color="auto" w:fill="auto"/>
            <w:vAlign w:val="center"/>
            <w:hideMark/>
          </w:tcPr>
          <w:p w14:paraId="29046EC3" w14:textId="77777777" w:rsidR="000B39AF" w:rsidRPr="008E1281" w:rsidRDefault="000B39AF" w:rsidP="0051395F">
            <w:pPr>
              <w:spacing w:after="0" w:line="240" w:lineRule="auto"/>
              <w:jc w:val="right"/>
              <w:rPr>
                <w:sz w:val="20"/>
                <w:szCs w:val="20"/>
                <w:lang w:eastAsia="sk-SK"/>
              </w:rPr>
            </w:pPr>
            <w:r w:rsidRPr="008E1281">
              <w:rPr>
                <w:sz w:val="20"/>
                <w:szCs w:val="20"/>
                <w:lang w:eastAsia="sk-SK"/>
              </w:rPr>
              <w:t>5 389 103</w:t>
            </w:r>
          </w:p>
        </w:tc>
        <w:tc>
          <w:tcPr>
            <w:tcW w:w="666" w:type="pct"/>
            <w:tcBorders>
              <w:top w:val="nil"/>
              <w:left w:val="nil"/>
              <w:bottom w:val="nil"/>
              <w:right w:val="nil"/>
            </w:tcBorders>
            <w:shd w:val="clear" w:color="auto" w:fill="auto"/>
            <w:vAlign w:val="center"/>
            <w:hideMark/>
          </w:tcPr>
          <w:p w14:paraId="2A19F9EB" w14:textId="77777777" w:rsidR="000B39AF" w:rsidRPr="008E1281" w:rsidRDefault="000B39AF" w:rsidP="0051395F">
            <w:pPr>
              <w:spacing w:after="0" w:line="240" w:lineRule="auto"/>
              <w:jc w:val="right"/>
              <w:rPr>
                <w:sz w:val="20"/>
                <w:szCs w:val="20"/>
                <w:lang w:eastAsia="sk-SK"/>
              </w:rPr>
            </w:pPr>
            <w:r w:rsidRPr="008E1281">
              <w:rPr>
                <w:sz w:val="20"/>
                <w:szCs w:val="20"/>
                <w:lang w:eastAsia="sk-SK"/>
              </w:rPr>
              <w:t>4 563 679</w:t>
            </w:r>
          </w:p>
        </w:tc>
        <w:tc>
          <w:tcPr>
            <w:tcW w:w="668" w:type="pct"/>
            <w:tcBorders>
              <w:top w:val="nil"/>
              <w:left w:val="nil"/>
              <w:bottom w:val="nil"/>
              <w:right w:val="single" w:sz="8" w:space="0" w:color="auto"/>
            </w:tcBorders>
            <w:shd w:val="clear" w:color="auto" w:fill="auto"/>
            <w:vAlign w:val="center"/>
            <w:hideMark/>
          </w:tcPr>
          <w:p w14:paraId="4195865C" w14:textId="77777777" w:rsidR="000B39AF" w:rsidRPr="008E1281" w:rsidRDefault="000B39AF" w:rsidP="0051395F">
            <w:pPr>
              <w:spacing w:after="0" w:line="240" w:lineRule="auto"/>
              <w:jc w:val="right"/>
              <w:rPr>
                <w:sz w:val="20"/>
                <w:szCs w:val="20"/>
                <w:lang w:eastAsia="sk-SK"/>
              </w:rPr>
            </w:pPr>
            <w:r w:rsidRPr="008E1281">
              <w:rPr>
                <w:sz w:val="20"/>
                <w:szCs w:val="20"/>
                <w:lang w:eastAsia="sk-SK"/>
              </w:rPr>
              <w:t>9 301 361</w:t>
            </w:r>
          </w:p>
        </w:tc>
        <w:tc>
          <w:tcPr>
            <w:tcW w:w="432" w:type="pct"/>
            <w:tcBorders>
              <w:top w:val="nil"/>
              <w:left w:val="nil"/>
              <w:bottom w:val="nil"/>
              <w:right w:val="nil"/>
            </w:tcBorders>
            <w:shd w:val="clear" w:color="auto" w:fill="auto"/>
            <w:vAlign w:val="center"/>
            <w:hideMark/>
          </w:tcPr>
          <w:p w14:paraId="20505708" w14:textId="77777777" w:rsidR="000B39AF" w:rsidRPr="008E1281" w:rsidRDefault="000B39AF" w:rsidP="0051395F">
            <w:pPr>
              <w:spacing w:after="0" w:line="240" w:lineRule="auto"/>
              <w:jc w:val="center"/>
              <w:rPr>
                <w:color w:val="000000"/>
                <w:sz w:val="20"/>
                <w:szCs w:val="20"/>
                <w:lang w:eastAsia="sk-SK"/>
              </w:rPr>
            </w:pPr>
            <w:r w:rsidRPr="008E1281">
              <w:rPr>
                <w:color w:val="000000"/>
                <w:sz w:val="20"/>
                <w:szCs w:val="20"/>
                <w:lang w:eastAsia="sk-SK"/>
              </w:rPr>
              <w:t>6,0</w:t>
            </w:r>
          </w:p>
        </w:tc>
        <w:tc>
          <w:tcPr>
            <w:tcW w:w="448" w:type="pct"/>
            <w:tcBorders>
              <w:top w:val="nil"/>
              <w:left w:val="nil"/>
              <w:bottom w:val="nil"/>
              <w:right w:val="nil"/>
            </w:tcBorders>
            <w:shd w:val="clear" w:color="auto" w:fill="auto"/>
            <w:vAlign w:val="center"/>
            <w:hideMark/>
          </w:tcPr>
          <w:p w14:paraId="45279F0E" w14:textId="77777777" w:rsidR="000B39AF" w:rsidRPr="008E1281" w:rsidRDefault="000B39AF" w:rsidP="0051395F">
            <w:pPr>
              <w:spacing w:after="0" w:line="240" w:lineRule="auto"/>
              <w:jc w:val="center"/>
              <w:rPr>
                <w:color w:val="000000"/>
                <w:sz w:val="20"/>
                <w:szCs w:val="20"/>
                <w:lang w:eastAsia="sk-SK"/>
              </w:rPr>
            </w:pPr>
            <w:r w:rsidRPr="008E1281">
              <w:rPr>
                <w:color w:val="000000"/>
                <w:sz w:val="20"/>
                <w:szCs w:val="20"/>
                <w:lang w:eastAsia="sk-SK"/>
              </w:rPr>
              <w:t>4,9</w:t>
            </w:r>
          </w:p>
        </w:tc>
        <w:tc>
          <w:tcPr>
            <w:tcW w:w="415" w:type="pct"/>
            <w:tcBorders>
              <w:top w:val="nil"/>
              <w:left w:val="nil"/>
              <w:bottom w:val="nil"/>
              <w:right w:val="nil"/>
            </w:tcBorders>
            <w:shd w:val="clear" w:color="auto" w:fill="auto"/>
            <w:vAlign w:val="center"/>
            <w:hideMark/>
          </w:tcPr>
          <w:p w14:paraId="1C0DAB10" w14:textId="77777777" w:rsidR="000B39AF" w:rsidRPr="008E1281" w:rsidRDefault="000B39AF" w:rsidP="0051395F">
            <w:pPr>
              <w:spacing w:after="0" w:line="240" w:lineRule="auto"/>
              <w:jc w:val="center"/>
              <w:rPr>
                <w:color w:val="000000"/>
                <w:sz w:val="20"/>
                <w:szCs w:val="20"/>
                <w:lang w:eastAsia="sk-SK"/>
              </w:rPr>
            </w:pPr>
            <w:r w:rsidRPr="008E1281">
              <w:rPr>
                <w:color w:val="000000"/>
                <w:sz w:val="20"/>
                <w:szCs w:val="20"/>
                <w:lang w:eastAsia="sk-SK"/>
              </w:rPr>
              <w:t>10,1</w:t>
            </w:r>
          </w:p>
        </w:tc>
      </w:tr>
      <w:tr w:rsidR="000B39AF" w:rsidRPr="008E1281" w14:paraId="1D957628" w14:textId="77777777" w:rsidTr="0051395F">
        <w:trPr>
          <w:trHeight w:val="330"/>
        </w:trPr>
        <w:tc>
          <w:tcPr>
            <w:tcW w:w="1407" w:type="pct"/>
            <w:tcBorders>
              <w:top w:val="nil"/>
              <w:left w:val="nil"/>
              <w:bottom w:val="nil"/>
              <w:right w:val="nil"/>
            </w:tcBorders>
            <w:shd w:val="clear" w:color="auto" w:fill="auto"/>
            <w:noWrap/>
            <w:vAlign w:val="center"/>
            <w:hideMark/>
          </w:tcPr>
          <w:p w14:paraId="62D962CF" w14:textId="77777777" w:rsidR="000B39AF" w:rsidRPr="008E1281" w:rsidRDefault="000B39AF" w:rsidP="0051395F">
            <w:pPr>
              <w:spacing w:after="0" w:line="240" w:lineRule="auto"/>
              <w:rPr>
                <w:color w:val="000000"/>
                <w:sz w:val="20"/>
                <w:szCs w:val="20"/>
                <w:lang w:eastAsia="sk-SK"/>
              </w:rPr>
            </w:pPr>
            <w:r w:rsidRPr="008E1281">
              <w:rPr>
                <w:color w:val="000000"/>
                <w:sz w:val="20"/>
                <w:szCs w:val="20"/>
                <w:lang w:eastAsia="sk-SK"/>
              </w:rPr>
              <w:t xml:space="preserve">         - cenné papiere</w:t>
            </w:r>
          </w:p>
        </w:tc>
        <w:tc>
          <w:tcPr>
            <w:tcW w:w="298" w:type="pct"/>
            <w:tcBorders>
              <w:top w:val="nil"/>
              <w:left w:val="nil"/>
              <w:bottom w:val="nil"/>
              <w:right w:val="nil"/>
            </w:tcBorders>
            <w:shd w:val="clear" w:color="auto" w:fill="auto"/>
            <w:noWrap/>
            <w:vAlign w:val="bottom"/>
            <w:hideMark/>
          </w:tcPr>
          <w:p w14:paraId="48B083D4" w14:textId="77777777" w:rsidR="000B39AF" w:rsidRPr="008E1281" w:rsidRDefault="000B39AF" w:rsidP="0051395F">
            <w:pPr>
              <w:spacing w:after="0" w:line="240" w:lineRule="auto"/>
              <w:rPr>
                <w:color w:val="000000"/>
                <w:sz w:val="20"/>
                <w:szCs w:val="20"/>
                <w:lang w:eastAsia="sk-SK"/>
              </w:rPr>
            </w:pPr>
          </w:p>
        </w:tc>
        <w:tc>
          <w:tcPr>
            <w:tcW w:w="666" w:type="pct"/>
            <w:tcBorders>
              <w:top w:val="nil"/>
              <w:left w:val="nil"/>
              <w:bottom w:val="nil"/>
              <w:right w:val="nil"/>
            </w:tcBorders>
            <w:shd w:val="clear" w:color="auto" w:fill="auto"/>
            <w:vAlign w:val="center"/>
            <w:hideMark/>
          </w:tcPr>
          <w:p w14:paraId="36BE33AF" w14:textId="77777777" w:rsidR="000B39AF" w:rsidRPr="008E1281" w:rsidRDefault="000B39AF" w:rsidP="0051395F">
            <w:pPr>
              <w:spacing w:after="0" w:line="240" w:lineRule="auto"/>
              <w:jc w:val="right"/>
              <w:rPr>
                <w:sz w:val="20"/>
                <w:szCs w:val="20"/>
                <w:lang w:eastAsia="sk-SK"/>
              </w:rPr>
            </w:pPr>
            <w:r w:rsidRPr="008E1281">
              <w:rPr>
                <w:sz w:val="20"/>
                <w:szCs w:val="20"/>
                <w:lang w:eastAsia="sk-SK"/>
              </w:rPr>
              <w:t>37 124</w:t>
            </w:r>
          </w:p>
        </w:tc>
        <w:tc>
          <w:tcPr>
            <w:tcW w:w="666" w:type="pct"/>
            <w:tcBorders>
              <w:top w:val="nil"/>
              <w:left w:val="nil"/>
              <w:bottom w:val="nil"/>
              <w:right w:val="nil"/>
            </w:tcBorders>
            <w:shd w:val="clear" w:color="auto" w:fill="auto"/>
            <w:vAlign w:val="center"/>
            <w:hideMark/>
          </w:tcPr>
          <w:p w14:paraId="39D187FB" w14:textId="77777777" w:rsidR="000B39AF" w:rsidRPr="008E1281" w:rsidRDefault="000B39AF" w:rsidP="0051395F">
            <w:pPr>
              <w:spacing w:after="0" w:line="240" w:lineRule="auto"/>
              <w:jc w:val="right"/>
              <w:rPr>
                <w:sz w:val="20"/>
                <w:szCs w:val="20"/>
                <w:lang w:eastAsia="sk-SK"/>
              </w:rPr>
            </w:pPr>
            <w:r w:rsidRPr="008E1281">
              <w:rPr>
                <w:sz w:val="20"/>
                <w:szCs w:val="20"/>
                <w:lang w:eastAsia="sk-SK"/>
              </w:rPr>
              <w:t>37 039</w:t>
            </w:r>
          </w:p>
        </w:tc>
        <w:tc>
          <w:tcPr>
            <w:tcW w:w="668" w:type="pct"/>
            <w:tcBorders>
              <w:top w:val="nil"/>
              <w:left w:val="nil"/>
              <w:bottom w:val="nil"/>
              <w:right w:val="single" w:sz="8" w:space="0" w:color="auto"/>
            </w:tcBorders>
            <w:shd w:val="clear" w:color="auto" w:fill="auto"/>
            <w:vAlign w:val="center"/>
            <w:hideMark/>
          </w:tcPr>
          <w:p w14:paraId="365A85FF" w14:textId="77777777" w:rsidR="000B39AF" w:rsidRPr="008E1281" w:rsidRDefault="000B39AF" w:rsidP="0051395F">
            <w:pPr>
              <w:spacing w:after="0" w:line="240" w:lineRule="auto"/>
              <w:jc w:val="right"/>
              <w:rPr>
                <w:sz w:val="20"/>
                <w:szCs w:val="20"/>
                <w:lang w:eastAsia="sk-SK"/>
              </w:rPr>
            </w:pPr>
            <w:r w:rsidRPr="008E1281">
              <w:rPr>
                <w:sz w:val="20"/>
                <w:szCs w:val="20"/>
                <w:lang w:eastAsia="sk-SK"/>
              </w:rPr>
              <w:t>5 442</w:t>
            </w:r>
          </w:p>
        </w:tc>
        <w:tc>
          <w:tcPr>
            <w:tcW w:w="432" w:type="pct"/>
            <w:tcBorders>
              <w:top w:val="nil"/>
              <w:left w:val="nil"/>
              <w:bottom w:val="nil"/>
              <w:right w:val="nil"/>
            </w:tcBorders>
            <w:shd w:val="clear" w:color="auto" w:fill="auto"/>
            <w:vAlign w:val="center"/>
            <w:hideMark/>
          </w:tcPr>
          <w:p w14:paraId="49D34AFF" w14:textId="77777777" w:rsidR="000B39AF" w:rsidRPr="008E1281" w:rsidRDefault="000B39AF" w:rsidP="0051395F">
            <w:pPr>
              <w:spacing w:after="0" w:line="240" w:lineRule="auto"/>
              <w:jc w:val="center"/>
              <w:rPr>
                <w:color w:val="000000"/>
                <w:sz w:val="20"/>
                <w:szCs w:val="20"/>
                <w:lang w:eastAsia="sk-SK"/>
              </w:rPr>
            </w:pPr>
            <w:r w:rsidRPr="008E1281">
              <w:rPr>
                <w:color w:val="000000"/>
                <w:sz w:val="20"/>
                <w:szCs w:val="20"/>
                <w:lang w:eastAsia="sk-SK"/>
              </w:rPr>
              <w:t>0,0</w:t>
            </w:r>
          </w:p>
        </w:tc>
        <w:tc>
          <w:tcPr>
            <w:tcW w:w="448" w:type="pct"/>
            <w:tcBorders>
              <w:top w:val="nil"/>
              <w:left w:val="nil"/>
              <w:bottom w:val="nil"/>
              <w:right w:val="nil"/>
            </w:tcBorders>
            <w:shd w:val="clear" w:color="auto" w:fill="auto"/>
            <w:vAlign w:val="center"/>
            <w:hideMark/>
          </w:tcPr>
          <w:p w14:paraId="49F0FDCA" w14:textId="77777777" w:rsidR="000B39AF" w:rsidRPr="008E1281" w:rsidRDefault="000B39AF" w:rsidP="0051395F">
            <w:pPr>
              <w:spacing w:after="0" w:line="240" w:lineRule="auto"/>
              <w:jc w:val="center"/>
              <w:rPr>
                <w:color w:val="000000"/>
                <w:sz w:val="20"/>
                <w:szCs w:val="20"/>
                <w:lang w:eastAsia="sk-SK"/>
              </w:rPr>
            </w:pPr>
            <w:r w:rsidRPr="008E1281">
              <w:rPr>
                <w:color w:val="000000"/>
                <w:sz w:val="20"/>
                <w:szCs w:val="20"/>
                <w:lang w:eastAsia="sk-SK"/>
              </w:rPr>
              <w:t>0,0</w:t>
            </w:r>
          </w:p>
        </w:tc>
        <w:tc>
          <w:tcPr>
            <w:tcW w:w="415" w:type="pct"/>
            <w:tcBorders>
              <w:top w:val="nil"/>
              <w:left w:val="nil"/>
              <w:bottom w:val="nil"/>
              <w:right w:val="nil"/>
            </w:tcBorders>
            <w:shd w:val="clear" w:color="auto" w:fill="auto"/>
            <w:vAlign w:val="center"/>
            <w:hideMark/>
          </w:tcPr>
          <w:p w14:paraId="3D451077" w14:textId="77777777" w:rsidR="000B39AF" w:rsidRPr="008E1281" w:rsidRDefault="000B39AF" w:rsidP="0051395F">
            <w:pPr>
              <w:spacing w:after="0" w:line="240" w:lineRule="auto"/>
              <w:jc w:val="center"/>
              <w:rPr>
                <w:color w:val="000000"/>
                <w:sz w:val="20"/>
                <w:szCs w:val="20"/>
                <w:lang w:eastAsia="sk-SK"/>
              </w:rPr>
            </w:pPr>
            <w:r w:rsidRPr="008E1281">
              <w:rPr>
                <w:color w:val="000000"/>
                <w:sz w:val="20"/>
                <w:szCs w:val="20"/>
                <w:lang w:eastAsia="sk-SK"/>
              </w:rPr>
              <w:t>0,0</w:t>
            </w:r>
          </w:p>
        </w:tc>
      </w:tr>
      <w:tr w:rsidR="000B39AF" w:rsidRPr="008E1281" w14:paraId="00F6542C" w14:textId="77777777" w:rsidTr="0051395F">
        <w:trPr>
          <w:trHeight w:val="330"/>
        </w:trPr>
        <w:tc>
          <w:tcPr>
            <w:tcW w:w="1407" w:type="pct"/>
            <w:tcBorders>
              <w:top w:val="nil"/>
              <w:left w:val="nil"/>
              <w:bottom w:val="nil"/>
              <w:right w:val="nil"/>
            </w:tcBorders>
            <w:shd w:val="clear" w:color="auto" w:fill="auto"/>
            <w:noWrap/>
            <w:vAlign w:val="center"/>
            <w:hideMark/>
          </w:tcPr>
          <w:p w14:paraId="09E2969B" w14:textId="77777777" w:rsidR="000B39AF" w:rsidRPr="008E1281" w:rsidRDefault="000B39AF" w:rsidP="0051395F">
            <w:pPr>
              <w:spacing w:after="0" w:line="240" w:lineRule="auto"/>
              <w:rPr>
                <w:color w:val="000000"/>
                <w:sz w:val="20"/>
                <w:szCs w:val="20"/>
                <w:lang w:eastAsia="sk-SK"/>
              </w:rPr>
            </w:pPr>
            <w:r w:rsidRPr="008E1281">
              <w:rPr>
                <w:color w:val="000000"/>
                <w:sz w:val="20"/>
                <w:szCs w:val="20"/>
                <w:lang w:eastAsia="sk-SK"/>
              </w:rPr>
              <w:t xml:space="preserve">         - kótované akcie</w:t>
            </w:r>
          </w:p>
        </w:tc>
        <w:tc>
          <w:tcPr>
            <w:tcW w:w="298" w:type="pct"/>
            <w:tcBorders>
              <w:top w:val="nil"/>
              <w:left w:val="nil"/>
              <w:bottom w:val="nil"/>
              <w:right w:val="nil"/>
            </w:tcBorders>
            <w:shd w:val="clear" w:color="auto" w:fill="auto"/>
            <w:noWrap/>
            <w:vAlign w:val="bottom"/>
            <w:hideMark/>
          </w:tcPr>
          <w:p w14:paraId="54B86304" w14:textId="77777777" w:rsidR="000B39AF" w:rsidRPr="008E1281" w:rsidRDefault="000B39AF" w:rsidP="0051395F">
            <w:pPr>
              <w:spacing w:after="0" w:line="240" w:lineRule="auto"/>
              <w:rPr>
                <w:color w:val="000000"/>
                <w:sz w:val="20"/>
                <w:szCs w:val="20"/>
                <w:lang w:eastAsia="sk-SK"/>
              </w:rPr>
            </w:pPr>
          </w:p>
        </w:tc>
        <w:tc>
          <w:tcPr>
            <w:tcW w:w="666" w:type="pct"/>
            <w:tcBorders>
              <w:top w:val="nil"/>
              <w:left w:val="nil"/>
              <w:bottom w:val="nil"/>
              <w:right w:val="nil"/>
            </w:tcBorders>
            <w:shd w:val="clear" w:color="auto" w:fill="auto"/>
            <w:vAlign w:val="center"/>
            <w:hideMark/>
          </w:tcPr>
          <w:p w14:paraId="40BB7ED3" w14:textId="77777777" w:rsidR="000B39AF" w:rsidRPr="008E1281" w:rsidRDefault="000B39AF" w:rsidP="0051395F">
            <w:pPr>
              <w:spacing w:after="0" w:line="240" w:lineRule="auto"/>
              <w:jc w:val="right"/>
              <w:rPr>
                <w:sz w:val="20"/>
                <w:szCs w:val="20"/>
                <w:lang w:eastAsia="sk-SK"/>
              </w:rPr>
            </w:pPr>
            <w:r w:rsidRPr="008E1281">
              <w:rPr>
                <w:sz w:val="20"/>
                <w:szCs w:val="20"/>
                <w:lang w:eastAsia="sk-SK"/>
              </w:rPr>
              <w:t>0</w:t>
            </w:r>
          </w:p>
        </w:tc>
        <w:tc>
          <w:tcPr>
            <w:tcW w:w="666" w:type="pct"/>
            <w:tcBorders>
              <w:top w:val="nil"/>
              <w:left w:val="nil"/>
              <w:bottom w:val="nil"/>
              <w:right w:val="nil"/>
            </w:tcBorders>
            <w:shd w:val="clear" w:color="auto" w:fill="auto"/>
            <w:vAlign w:val="center"/>
            <w:hideMark/>
          </w:tcPr>
          <w:p w14:paraId="73FD2D7B" w14:textId="77777777" w:rsidR="000B39AF" w:rsidRPr="008E1281" w:rsidRDefault="000B39AF" w:rsidP="0051395F">
            <w:pPr>
              <w:spacing w:after="0" w:line="240" w:lineRule="auto"/>
              <w:jc w:val="right"/>
              <w:rPr>
                <w:sz w:val="20"/>
                <w:szCs w:val="20"/>
                <w:lang w:eastAsia="sk-SK"/>
              </w:rPr>
            </w:pPr>
            <w:r w:rsidRPr="008E1281">
              <w:rPr>
                <w:sz w:val="20"/>
                <w:szCs w:val="20"/>
                <w:lang w:eastAsia="sk-SK"/>
              </w:rPr>
              <w:t>0</w:t>
            </w:r>
          </w:p>
        </w:tc>
        <w:tc>
          <w:tcPr>
            <w:tcW w:w="668" w:type="pct"/>
            <w:tcBorders>
              <w:top w:val="nil"/>
              <w:left w:val="nil"/>
              <w:bottom w:val="nil"/>
              <w:right w:val="single" w:sz="8" w:space="0" w:color="auto"/>
            </w:tcBorders>
            <w:shd w:val="clear" w:color="auto" w:fill="auto"/>
            <w:vAlign w:val="center"/>
            <w:hideMark/>
          </w:tcPr>
          <w:p w14:paraId="52C6B6CD" w14:textId="77777777" w:rsidR="000B39AF" w:rsidRPr="008E1281" w:rsidRDefault="000B39AF" w:rsidP="0051395F">
            <w:pPr>
              <w:spacing w:after="0" w:line="240" w:lineRule="auto"/>
              <w:jc w:val="right"/>
              <w:rPr>
                <w:sz w:val="20"/>
                <w:szCs w:val="20"/>
                <w:lang w:eastAsia="sk-SK"/>
              </w:rPr>
            </w:pPr>
            <w:r w:rsidRPr="008E1281">
              <w:rPr>
                <w:sz w:val="20"/>
                <w:szCs w:val="20"/>
                <w:lang w:eastAsia="sk-SK"/>
              </w:rPr>
              <w:t>0</w:t>
            </w:r>
          </w:p>
        </w:tc>
        <w:tc>
          <w:tcPr>
            <w:tcW w:w="432" w:type="pct"/>
            <w:tcBorders>
              <w:top w:val="nil"/>
              <w:left w:val="nil"/>
              <w:bottom w:val="nil"/>
              <w:right w:val="nil"/>
            </w:tcBorders>
            <w:shd w:val="clear" w:color="auto" w:fill="auto"/>
            <w:vAlign w:val="center"/>
            <w:hideMark/>
          </w:tcPr>
          <w:p w14:paraId="2C5FBEB3" w14:textId="77777777" w:rsidR="000B39AF" w:rsidRPr="008E1281" w:rsidRDefault="000B39AF" w:rsidP="0051395F">
            <w:pPr>
              <w:spacing w:after="0" w:line="240" w:lineRule="auto"/>
              <w:jc w:val="center"/>
              <w:rPr>
                <w:color w:val="000000"/>
                <w:sz w:val="20"/>
                <w:szCs w:val="20"/>
                <w:lang w:eastAsia="sk-SK"/>
              </w:rPr>
            </w:pPr>
            <w:r w:rsidRPr="008E1281">
              <w:rPr>
                <w:color w:val="000000"/>
                <w:sz w:val="20"/>
                <w:szCs w:val="20"/>
                <w:lang w:eastAsia="sk-SK"/>
              </w:rPr>
              <w:t>0,0</w:t>
            </w:r>
          </w:p>
        </w:tc>
        <w:tc>
          <w:tcPr>
            <w:tcW w:w="448" w:type="pct"/>
            <w:tcBorders>
              <w:top w:val="nil"/>
              <w:left w:val="nil"/>
              <w:bottom w:val="nil"/>
              <w:right w:val="nil"/>
            </w:tcBorders>
            <w:shd w:val="clear" w:color="auto" w:fill="auto"/>
            <w:vAlign w:val="center"/>
            <w:hideMark/>
          </w:tcPr>
          <w:p w14:paraId="7023A5E7" w14:textId="77777777" w:rsidR="000B39AF" w:rsidRPr="008E1281" w:rsidRDefault="000B39AF" w:rsidP="0051395F">
            <w:pPr>
              <w:spacing w:after="0" w:line="240" w:lineRule="auto"/>
              <w:jc w:val="center"/>
              <w:rPr>
                <w:color w:val="000000"/>
                <w:sz w:val="20"/>
                <w:szCs w:val="20"/>
                <w:lang w:eastAsia="sk-SK"/>
              </w:rPr>
            </w:pPr>
            <w:r w:rsidRPr="008E1281">
              <w:rPr>
                <w:color w:val="000000"/>
                <w:sz w:val="20"/>
                <w:szCs w:val="20"/>
                <w:lang w:eastAsia="sk-SK"/>
              </w:rPr>
              <w:t>0,0</w:t>
            </w:r>
          </w:p>
        </w:tc>
        <w:tc>
          <w:tcPr>
            <w:tcW w:w="415" w:type="pct"/>
            <w:tcBorders>
              <w:top w:val="nil"/>
              <w:left w:val="nil"/>
              <w:bottom w:val="nil"/>
              <w:right w:val="nil"/>
            </w:tcBorders>
            <w:shd w:val="clear" w:color="auto" w:fill="auto"/>
            <w:vAlign w:val="center"/>
            <w:hideMark/>
          </w:tcPr>
          <w:p w14:paraId="22A076B2" w14:textId="77777777" w:rsidR="000B39AF" w:rsidRPr="008E1281" w:rsidRDefault="000B39AF" w:rsidP="0051395F">
            <w:pPr>
              <w:spacing w:after="0" w:line="240" w:lineRule="auto"/>
              <w:jc w:val="center"/>
              <w:rPr>
                <w:color w:val="000000"/>
                <w:sz w:val="20"/>
                <w:szCs w:val="20"/>
                <w:lang w:eastAsia="sk-SK"/>
              </w:rPr>
            </w:pPr>
            <w:r w:rsidRPr="008E1281">
              <w:rPr>
                <w:color w:val="000000"/>
                <w:sz w:val="20"/>
                <w:szCs w:val="20"/>
                <w:lang w:eastAsia="sk-SK"/>
              </w:rPr>
              <w:t>0,0</w:t>
            </w:r>
          </w:p>
        </w:tc>
      </w:tr>
      <w:tr w:rsidR="000B39AF" w:rsidRPr="008E1281" w14:paraId="0FA77CC1" w14:textId="77777777" w:rsidTr="0051395F">
        <w:trPr>
          <w:trHeight w:val="270"/>
        </w:trPr>
        <w:tc>
          <w:tcPr>
            <w:tcW w:w="1407" w:type="pct"/>
            <w:tcBorders>
              <w:top w:val="nil"/>
              <w:left w:val="nil"/>
              <w:bottom w:val="single" w:sz="8" w:space="0" w:color="auto"/>
              <w:right w:val="nil"/>
            </w:tcBorders>
            <w:shd w:val="clear" w:color="auto" w:fill="auto"/>
            <w:noWrap/>
            <w:vAlign w:val="center"/>
            <w:hideMark/>
          </w:tcPr>
          <w:p w14:paraId="0507D6BB" w14:textId="77777777" w:rsidR="000B39AF" w:rsidRPr="008E1281" w:rsidRDefault="000B39AF" w:rsidP="0051395F">
            <w:pPr>
              <w:spacing w:after="0" w:line="240" w:lineRule="auto"/>
              <w:rPr>
                <w:b/>
                <w:bCs/>
                <w:color w:val="000000"/>
                <w:sz w:val="20"/>
                <w:szCs w:val="20"/>
                <w:lang w:eastAsia="sk-SK"/>
              </w:rPr>
            </w:pPr>
            <w:r w:rsidRPr="008E1281">
              <w:rPr>
                <w:b/>
                <w:bCs/>
                <w:color w:val="000000"/>
                <w:sz w:val="20"/>
                <w:szCs w:val="20"/>
                <w:lang w:eastAsia="sk-SK"/>
              </w:rPr>
              <w:t xml:space="preserve">Čistý dlh verejnej správy </w:t>
            </w:r>
            <w:r w:rsidRPr="008E1281">
              <w:rPr>
                <w:color w:val="000000"/>
                <w:sz w:val="20"/>
                <w:szCs w:val="20"/>
                <w:lang w:eastAsia="sk-SK"/>
              </w:rPr>
              <w:t xml:space="preserve">                              </w:t>
            </w:r>
          </w:p>
        </w:tc>
        <w:tc>
          <w:tcPr>
            <w:tcW w:w="298" w:type="pct"/>
            <w:tcBorders>
              <w:top w:val="nil"/>
              <w:left w:val="nil"/>
              <w:bottom w:val="single" w:sz="8" w:space="0" w:color="auto"/>
              <w:right w:val="nil"/>
            </w:tcBorders>
            <w:shd w:val="clear" w:color="auto" w:fill="auto"/>
            <w:noWrap/>
            <w:vAlign w:val="center"/>
            <w:hideMark/>
          </w:tcPr>
          <w:p w14:paraId="18C58700"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(1-2)</w:t>
            </w:r>
          </w:p>
        </w:tc>
        <w:tc>
          <w:tcPr>
            <w:tcW w:w="666" w:type="pct"/>
            <w:tcBorders>
              <w:top w:val="nil"/>
              <w:left w:val="nil"/>
              <w:bottom w:val="single" w:sz="8" w:space="0" w:color="auto"/>
              <w:right w:val="nil"/>
            </w:tcBorders>
            <w:shd w:val="clear" w:color="auto" w:fill="auto"/>
            <w:vAlign w:val="center"/>
            <w:hideMark/>
          </w:tcPr>
          <w:p w14:paraId="6CD8B969" w14:textId="77777777" w:rsidR="000B39AF" w:rsidRPr="008E1281" w:rsidRDefault="000B39AF" w:rsidP="0051395F">
            <w:pPr>
              <w:spacing w:after="0" w:line="240" w:lineRule="auto"/>
              <w:jc w:val="right"/>
              <w:rPr>
                <w:b/>
                <w:bCs/>
                <w:color w:val="000000"/>
                <w:sz w:val="20"/>
                <w:szCs w:val="20"/>
                <w:lang w:eastAsia="sk-SK"/>
              </w:rPr>
            </w:pPr>
            <w:r w:rsidRPr="008E1281">
              <w:rPr>
                <w:b/>
                <w:bCs/>
                <w:color w:val="000000"/>
                <w:sz w:val="20"/>
                <w:szCs w:val="20"/>
                <w:lang w:eastAsia="sk-SK"/>
              </w:rPr>
              <w:t>38 957 520</w:t>
            </w:r>
          </w:p>
        </w:tc>
        <w:tc>
          <w:tcPr>
            <w:tcW w:w="666" w:type="pct"/>
            <w:tcBorders>
              <w:top w:val="nil"/>
              <w:left w:val="nil"/>
              <w:bottom w:val="single" w:sz="8" w:space="0" w:color="auto"/>
              <w:right w:val="nil"/>
            </w:tcBorders>
            <w:shd w:val="clear" w:color="auto" w:fill="auto"/>
            <w:vAlign w:val="center"/>
            <w:hideMark/>
          </w:tcPr>
          <w:p w14:paraId="514DEABC" w14:textId="77777777" w:rsidR="000B39AF" w:rsidRPr="008E1281" w:rsidRDefault="000B39AF" w:rsidP="0051395F">
            <w:pPr>
              <w:spacing w:after="0" w:line="240" w:lineRule="auto"/>
              <w:jc w:val="right"/>
              <w:rPr>
                <w:b/>
                <w:bCs/>
                <w:color w:val="000000"/>
                <w:sz w:val="20"/>
                <w:szCs w:val="20"/>
                <w:lang w:eastAsia="sk-SK"/>
              </w:rPr>
            </w:pPr>
            <w:r w:rsidRPr="008E1281">
              <w:rPr>
                <w:b/>
                <w:bCs/>
                <w:color w:val="000000"/>
                <w:sz w:val="20"/>
                <w:szCs w:val="20"/>
                <w:lang w:eastAsia="sk-SK"/>
              </w:rPr>
              <w:t>40 676 304</w:t>
            </w:r>
          </w:p>
        </w:tc>
        <w:tc>
          <w:tcPr>
            <w:tcW w:w="668" w:type="pct"/>
            <w:tcBorders>
              <w:top w:val="nil"/>
              <w:left w:val="nil"/>
              <w:bottom w:val="single" w:sz="8" w:space="0" w:color="auto"/>
              <w:right w:val="single" w:sz="8" w:space="0" w:color="auto"/>
            </w:tcBorders>
            <w:shd w:val="clear" w:color="auto" w:fill="auto"/>
            <w:vAlign w:val="center"/>
            <w:hideMark/>
          </w:tcPr>
          <w:p w14:paraId="35330870" w14:textId="77777777" w:rsidR="000B39AF" w:rsidRPr="008E1281" w:rsidRDefault="000B39AF" w:rsidP="0051395F">
            <w:pPr>
              <w:spacing w:after="0" w:line="240" w:lineRule="auto"/>
              <w:jc w:val="right"/>
              <w:rPr>
                <w:b/>
                <w:bCs/>
                <w:color w:val="000000"/>
                <w:sz w:val="20"/>
                <w:szCs w:val="20"/>
                <w:lang w:eastAsia="sk-SK"/>
              </w:rPr>
            </w:pPr>
            <w:r w:rsidRPr="008E1281">
              <w:rPr>
                <w:b/>
                <w:bCs/>
                <w:color w:val="000000"/>
                <w:sz w:val="20"/>
                <w:szCs w:val="20"/>
                <w:lang w:eastAsia="sk-SK"/>
              </w:rPr>
              <w:t>45 702 943</w:t>
            </w:r>
          </w:p>
        </w:tc>
        <w:tc>
          <w:tcPr>
            <w:tcW w:w="432" w:type="pct"/>
            <w:tcBorders>
              <w:top w:val="nil"/>
              <w:left w:val="nil"/>
              <w:bottom w:val="single" w:sz="8" w:space="0" w:color="auto"/>
              <w:right w:val="nil"/>
            </w:tcBorders>
            <w:shd w:val="clear" w:color="auto" w:fill="auto"/>
            <w:vAlign w:val="center"/>
            <w:hideMark/>
          </w:tcPr>
          <w:p w14:paraId="01D777E0"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43,6</w:t>
            </w:r>
          </w:p>
        </w:tc>
        <w:tc>
          <w:tcPr>
            <w:tcW w:w="448" w:type="pct"/>
            <w:tcBorders>
              <w:top w:val="nil"/>
              <w:left w:val="nil"/>
              <w:bottom w:val="single" w:sz="8" w:space="0" w:color="auto"/>
              <w:right w:val="nil"/>
            </w:tcBorders>
            <w:shd w:val="clear" w:color="auto" w:fill="auto"/>
            <w:vAlign w:val="center"/>
            <w:hideMark/>
          </w:tcPr>
          <w:p w14:paraId="421E6EEB"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43,3</w:t>
            </w:r>
          </w:p>
        </w:tc>
        <w:tc>
          <w:tcPr>
            <w:tcW w:w="415" w:type="pct"/>
            <w:tcBorders>
              <w:top w:val="nil"/>
              <w:left w:val="nil"/>
              <w:bottom w:val="single" w:sz="8" w:space="0" w:color="auto"/>
              <w:right w:val="nil"/>
            </w:tcBorders>
            <w:shd w:val="clear" w:color="auto" w:fill="auto"/>
            <w:vAlign w:val="center"/>
            <w:hideMark/>
          </w:tcPr>
          <w:p w14:paraId="2491FD19" w14:textId="77777777" w:rsidR="000B39AF" w:rsidRPr="008E1281" w:rsidRDefault="000B39AF" w:rsidP="0051395F">
            <w:pPr>
              <w:spacing w:after="0" w:line="240" w:lineRule="auto"/>
              <w:jc w:val="center"/>
              <w:rPr>
                <w:b/>
                <w:bCs/>
                <w:color w:val="000000"/>
                <w:sz w:val="20"/>
                <w:szCs w:val="20"/>
                <w:lang w:eastAsia="sk-SK"/>
              </w:rPr>
            </w:pPr>
            <w:r w:rsidRPr="008E1281">
              <w:rPr>
                <w:b/>
                <w:bCs/>
                <w:color w:val="000000"/>
                <w:sz w:val="20"/>
                <w:szCs w:val="20"/>
                <w:lang w:eastAsia="sk-SK"/>
              </w:rPr>
              <w:t>49,6</w:t>
            </w:r>
          </w:p>
        </w:tc>
      </w:tr>
    </w:tbl>
    <w:p w14:paraId="2769B555" w14:textId="77777777" w:rsidR="000B39AF" w:rsidRPr="00091628" w:rsidRDefault="000B39AF" w:rsidP="000B39AF">
      <w:pPr>
        <w:spacing w:after="0" w:line="240" w:lineRule="auto"/>
        <w:jc w:val="right"/>
        <w:rPr>
          <w:sz w:val="18"/>
          <w:szCs w:val="18"/>
        </w:rPr>
      </w:pPr>
      <w:r w:rsidRPr="00091628">
        <w:rPr>
          <w:sz w:val="18"/>
          <w:szCs w:val="18"/>
          <w:lang w:eastAsia="sk-SK"/>
        </w:rPr>
        <w:t>Zdroj: ŠÚ SR</w:t>
      </w:r>
    </w:p>
    <w:p w14:paraId="43D57889" w14:textId="77777777" w:rsidR="007B1FAD" w:rsidRDefault="000B39AF" w:rsidP="00DE7095">
      <w:pPr>
        <w:spacing w:before="120" w:after="120" w:line="240" w:lineRule="auto"/>
        <w:jc w:val="both"/>
      </w:pPr>
      <w:r w:rsidRPr="00091628">
        <w:t xml:space="preserve">V prípade verejnej správy je súčasťou likvidných aktív najmä hotovosť na účtoch subjektov verejnej správy a v menšej </w:t>
      </w:r>
      <w:r w:rsidRPr="00091628">
        <w:rPr>
          <w:szCs w:val="22"/>
        </w:rPr>
        <w:t>miere</w:t>
      </w:r>
      <w:r w:rsidRPr="00091628">
        <w:t xml:space="preserve"> cenné papiere. Úroveň hotovosti vzrástla najmä </w:t>
      </w:r>
      <w:r>
        <w:t>na účtoch štátneho dlhu</w:t>
      </w:r>
      <w:r w:rsidRPr="00091628">
        <w:t>, čo súvisí najmä s vysokým medziročným objemom vydaných štátnych dlhopisov</w:t>
      </w:r>
      <w:r w:rsidRPr="00CB0B3C">
        <w:t>.</w:t>
      </w:r>
      <w:r w:rsidRPr="00091628">
        <w:t xml:space="preserve"> </w:t>
      </w:r>
      <w:r>
        <w:t>Č</w:t>
      </w:r>
      <w:r w:rsidRPr="00091628">
        <w:t>iastočne vyplýva aj zo zvýšeného objemu prijatých úverov za účelom financovania opatrení v súvislosti s pandémiou COVID-19 a predzásobenia sa v prípade ďalšieho nepriaznivého vývoja ekonomiky. Ďalšie najvýraznejšie nárasty v tejto položke zaznamenali rozpočtové organizácie obcí a Environmentálny fond SR.</w:t>
      </w:r>
    </w:p>
    <w:p w14:paraId="43E58738" w14:textId="13BFE589" w:rsidR="000B39AF" w:rsidRPr="00091628" w:rsidRDefault="000B39AF" w:rsidP="000B39AF">
      <w:pPr>
        <w:spacing w:after="0" w:line="240" w:lineRule="auto"/>
        <w:jc w:val="both"/>
      </w:pPr>
      <w:r w:rsidRPr="00091628">
        <w:t xml:space="preserve">Cenné papiere v aktívach sú zastúpené najmä u rozpočtových organizácií obcí. Dôvodom výrazného medziročného poklesu je metodická zmena v prevodníku, kedy pôvodne cenné papiere boli </w:t>
      </w:r>
      <w:proofErr w:type="spellStart"/>
      <w:r w:rsidRPr="00091628">
        <w:t>reklasifikované</w:t>
      </w:r>
      <w:proofErr w:type="spellEnd"/>
      <w:r w:rsidRPr="00091628">
        <w:t xml:space="preserve"> na pôžičky. Toto sa výrazne prejavilo hlavne u spoločnosti National </w:t>
      </w:r>
      <w:proofErr w:type="spellStart"/>
      <w:r w:rsidRPr="00091628">
        <w:t>Development</w:t>
      </w:r>
      <w:proofErr w:type="spellEnd"/>
      <w:r w:rsidRPr="00091628">
        <w:t xml:space="preserve"> </w:t>
      </w:r>
      <w:proofErr w:type="spellStart"/>
      <w:r w:rsidRPr="00091628">
        <w:t>Fund</w:t>
      </w:r>
      <w:proofErr w:type="spellEnd"/>
      <w:r w:rsidRPr="00091628">
        <w:t> II, a. s.</w:t>
      </w:r>
    </w:p>
    <w:bookmarkEnd w:id="26"/>
    <w:p w14:paraId="668BEEB6" w14:textId="77777777" w:rsidR="001F2A88" w:rsidRPr="001F2A88" w:rsidRDefault="001F2A88" w:rsidP="001F2A88">
      <w:pPr>
        <w:rPr>
          <w:highlight w:val="yellow"/>
        </w:rPr>
      </w:pPr>
    </w:p>
    <w:p w14:paraId="35AA1551" w14:textId="77777777" w:rsidR="00EB63CA" w:rsidRDefault="00EB63CA">
      <w:pPr>
        <w:rPr>
          <w:b/>
          <w:bCs/>
          <w:sz w:val="24"/>
          <w:szCs w:val="24"/>
        </w:rPr>
      </w:pPr>
      <w:r>
        <w:br w:type="page"/>
      </w:r>
    </w:p>
    <w:p w14:paraId="6D19D152" w14:textId="3122EC29" w:rsidR="003D050C" w:rsidRPr="00B07378" w:rsidRDefault="00182A70" w:rsidP="00A615D3">
      <w:pPr>
        <w:pStyle w:val="Nadpis2"/>
        <w:numPr>
          <w:ilvl w:val="0"/>
          <w:numId w:val="0"/>
        </w:numPr>
        <w:ind w:left="728" w:firstLine="168"/>
      </w:pPr>
      <w:bookmarkStart w:id="27" w:name="_Toc85718897"/>
      <w:r>
        <w:lastRenderedPageBreak/>
        <w:t>1.5</w:t>
      </w:r>
      <w:r w:rsidR="00A615D3" w:rsidRPr="00B07378">
        <w:t>.</w:t>
      </w:r>
      <w:r w:rsidR="00A615D3" w:rsidRPr="00B07378">
        <w:tab/>
      </w:r>
      <w:r w:rsidR="003D050C" w:rsidRPr="00B07378">
        <w:t>Porovnanie salda a dlhu verejnej správy v rámci Európskej únie</w:t>
      </w:r>
      <w:bookmarkEnd w:id="25"/>
      <w:bookmarkEnd w:id="27"/>
    </w:p>
    <w:p w14:paraId="17A3F1D0" w14:textId="77777777" w:rsidR="00B07378" w:rsidRPr="00B07378" w:rsidRDefault="00B07378" w:rsidP="00B07378">
      <w:pPr>
        <w:spacing w:after="120" w:line="240" w:lineRule="auto"/>
        <w:jc w:val="both"/>
        <w:rPr>
          <w:b/>
          <w:szCs w:val="22"/>
        </w:rPr>
      </w:pPr>
      <w:r w:rsidRPr="00B07378">
        <w:rPr>
          <w:szCs w:val="22"/>
        </w:rPr>
        <w:t xml:space="preserve">V rámci Európskej únie (27 krajín) v roku 2020 dosiahlo 17 krajín vyšší schodok a 13 krajín dosiahlo vyšší dlh verejnej správy ako Slovenská republika. </w:t>
      </w:r>
      <w:r w:rsidRPr="0039640B">
        <w:rPr>
          <w:b/>
          <w:color w:val="0070C0"/>
          <w:szCs w:val="22"/>
        </w:rPr>
        <w:t xml:space="preserve">Priemerný schodok EÚ27 bol 6,9 % HDP (Slovensko schodok 5,5 % HDP) a priemerný dlh verejnej správy EÚ27 bol 90,1 % HDP (Slovensko 59,7 % HDP) v roku 2020. </w:t>
      </w:r>
    </w:p>
    <w:p w14:paraId="63C3788E" w14:textId="09B3362C" w:rsidR="00B07378" w:rsidRPr="00B07378" w:rsidRDefault="00B07378" w:rsidP="00B07378">
      <w:pPr>
        <w:spacing w:line="240" w:lineRule="auto"/>
        <w:jc w:val="both"/>
        <w:rPr>
          <w:szCs w:val="22"/>
        </w:rPr>
      </w:pPr>
      <w:r w:rsidRPr="00B07378">
        <w:rPr>
          <w:szCs w:val="22"/>
        </w:rPr>
        <w:t xml:space="preserve">V rámci krajín EÚ 27 došlo k prepadu HDP o 622 220 mil. eur (o 6,6 p. b.) </w:t>
      </w:r>
      <w:r w:rsidR="00FD12D8">
        <w:rPr>
          <w:szCs w:val="22"/>
        </w:rPr>
        <w:t>a nárastu dlhu o 1 243 789 </w:t>
      </w:r>
      <w:r>
        <w:rPr>
          <w:szCs w:val="22"/>
        </w:rPr>
        <w:t>mil.</w:t>
      </w:r>
      <w:r w:rsidR="00FD12D8">
        <w:rPr>
          <w:szCs w:val="22"/>
        </w:rPr>
        <w:t> </w:t>
      </w:r>
      <w:r>
        <w:rPr>
          <w:szCs w:val="22"/>
        </w:rPr>
        <w:t xml:space="preserve">eur </w:t>
      </w:r>
      <w:r w:rsidRPr="00B07378">
        <w:rPr>
          <w:szCs w:val="22"/>
        </w:rPr>
        <w:t>(o 12,9 p. b.). Slovenská republika dosiahla v porovnaní s priemerom krajín EÚ aj Eurozóny nižšie zvýšenie deficitu a dlhu.</w:t>
      </w:r>
    </w:p>
    <w:tbl>
      <w:tblPr>
        <w:tblW w:w="9262" w:type="dxa"/>
        <w:tblCellMar>
          <w:left w:w="70" w:type="dxa"/>
          <w:right w:w="70" w:type="dxa"/>
        </w:tblCellMar>
        <w:tblLook w:val="04A0" w:firstRow="1" w:lastRow="0" w:firstColumn="1" w:lastColumn="0" w:noHBand="0" w:noVBand="1"/>
      </w:tblPr>
      <w:tblGrid>
        <w:gridCol w:w="1761"/>
        <w:gridCol w:w="938"/>
        <w:gridCol w:w="938"/>
        <w:gridCol w:w="960"/>
        <w:gridCol w:w="1659"/>
        <w:gridCol w:w="1002"/>
        <w:gridCol w:w="1002"/>
        <w:gridCol w:w="1002"/>
      </w:tblGrid>
      <w:tr w:rsidR="00B07378" w:rsidRPr="000D58CD" w14:paraId="3565E628" w14:textId="77777777" w:rsidTr="0051395F">
        <w:trPr>
          <w:trHeight w:val="330"/>
        </w:trPr>
        <w:tc>
          <w:tcPr>
            <w:tcW w:w="9262" w:type="dxa"/>
            <w:gridSpan w:val="8"/>
            <w:tcBorders>
              <w:top w:val="single" w:sz="4" w:space="0" w:color="auto"/>
              <w:left w:val="single" w:sz="4" w:space="0" w:color="auto"/>
              <w:bottom w:val="nil"/>
              <w:right w:val="single" w:sz="4" w:space="0" w:color="000000"/>
            </w:tcBorders>
            <w:shd w:val="clear" w:color="000000" w:fill="000000"/>
            <w:noWrap/>
            <w:vAlign w:val="center"/>
            <w:hideMark/>
          </w:tcPr>
          <w:p w14:paraId="5CF4C63C" w14:textId="50A7E479" w:rsidR="00B07378" w:rsidRPr="000D58CD" w:rsidRDefault="00884682" w:rsidP="00884682">
            <w:pPr>
              <w:pStyle w:val="popistabuliek"/>
            </w:pPr>
            <w:r w:rsidRPr="00884682">
              <w:t xml:space="preserve">Tab. </w:t>
            </w:r>
            <w:r>
              <w:t>8</w:t>
            </w:r>
            <w:r w:rsidRPr="00884682">
              <w:t xml:space="preserve"> - </w:t>
            </w:r>
            <w:r w:rsidR="00B07378" w:rsidRPr="000D58CD">
              <w:t>Saldo a dlh verejnej správy v EÚ 27 (% HDP)</w:t>
            </w:r>
            <w:r w:rsidR="00B07378" w:rsidRPr="000D58CD">
              <w:rPr>
                <w:vertAlign w:val="superscript"/>
              </w:rPr>
              <w:t>1)</w:t>
            </w:r>
          </w:p>
        </w:tc>
      </w:tr>
      <w:tr w:rsidR="00B07378" w:rsidRPr="000D58CD" w14:paraId="044A67CA" w14:textId="77777777" w:rsidTr="0051395F">
        <w:trPr>
          <w:trHeight w:val="278"/>
        </w:trPr>
        <w:tc>
          <w:tcPr>
            <w:tcW w:w="4597" w:type="dxa"/>
            <w:gridSpan w:val="4"/>
            <w:tcBorders>
              <w:top w:val="nil"/>
              <w:left w:val="single" w:sz="4" w:space="0" w:color="auto"/>
              <w:bottom w:val="nil"/>
              <w:right w:val="single" w:sz="4" w:space="0" w:color="000000"/>
            </w:tcBorders>
            <w:shd w:val="clear" w:color="000000" w:fill="C0C0C0"/>
            <w:vAlign w:val="center"/>
            <w:hideMark/>
          </w:tcPr>
          <w:p w14:paraId="213B57C3" w14:textId="77777777" w:rsidR="00B07378" w:rsidRPr="000D58CD" w:rsidRDefault="00B07378" w:rsidP="0051395F">
            <w:pPr>
              <w:spacing w:after="0" w:line="240" w:lineRule="auto"/>
              <w:jc w:val="center"/>
              <w:rPr>
                <w:b/>
                <w:bCs/>
                <w:sz w:val="20"/>
                <w:szCs w:val="20"/>
                <w:lang w:eastAsia="sk-SK"/>
              </w:rPr>
            </w:pPr>
            <w:r w:rsidRPr="000D58CD">
              <w:rPr>
                <w:b/>
                <w:bCs/>
                <w:sz w:val="20"/>
                <w:szCs w:val="20"/>
                <w:lang w:eastAsia="sk-SK"/>
              </w:rPr>
              <w:t xml:space="preserve">Saldo verejnej správy </w:t>
            </w:r>
          </w:p>
        </w:tc>
        <w:tc>
          <w:tcPr>
            <w:tcW w:w="4665" w:type="dxa"/>
            <w:gridSpan w:val="4"/>
            <w:tcBorders>
              <w:top w:val="nil"/>
              <w:left w:val="nil"/>
              <w:bottom w:val="nil"/>
              <w:right w:val="single" w:sz="4" w:space="0" w:color="000000"/>
            </w:tcBorders>
            <w:shd w:val="clear" w:color="000000" w:fill="C0C0C0"/>
            <w:vAlign w:val="center"/>
            <w:hideMark/>
          </w:tcPr>
          <w:p w14:paraId="7CA29566" w14:textId="77777777" w:rsidR="00B07378" w:rsidRPr="000D58CD" w:rsidRDefault="00B07378" w:rsidP="0051395F">
            <w:pPr>
              <w:spacing w:after="0" w:line="240" w:lineRule="auto"/>
              <w:jc w:val="center"/>
              <w:rPr>
                <w:b/>
                <w:bCs/>
                <w:sz w:val="20"/>
                <w:szCs w:val="20"/>
                <w:lang w:eastAsia="sk-SK"/>
              </w:rPr>
            </w:pPr>
            <w:r w:rsidRPr="000D58CD">
              <w:rPr>
                <w:b/>
                <w:bCs/>
                <w:sz w:val="20"/>
                <w:szCs w:val="20"/>
                <w:lang w:eastAsia="sk-SK"/>
              </w:rPr>
              <w:t xml:space="preserve">Hrubý dlh verejnej správy </w:t>
            </w:r>
          </w:p>
        </w:tc>
      </w:tr>
      <w:tr w:rsidR="00B07378" w:rsidRPr="000D58CD" w14:paraId="43B1D975" w14:textId="77777777" w:rsidTr="0051395F">
        <w:trPr>
          <w:trHeight w:val="330"/>
        </w:trPr>
        <w:tc>
          <w:tcPr>
            <w:tcW w:w="1761" w:type="dxa"/>
            <w:tcBorders>
              <w:top w:val="nil"/>
              <w:left w:val="single" w:sz="4" w:space="0" w:color="auto"/>
              <w:bottom w:val="nil"/>
              <w:right w:val="nil"/>
            </w:tcBorders>
            <w:shd w:val="clear" w:color="000000" w:fill="C0C0C0"/>
            <w:vAlign w:val="center"/>
            <w:hideMark/>
          </w:tcPr>
          <w:p w14:paraId="357C5C11" w14:textId="77777777" w:rsidR="00B07378" w:rsidRPr="000D58CD" w:rsidRDefault="00B07378" w:rsidP="0051395F">
            <w:pPr>
              <w:spacing w:after="0" w:line="240" w:lineRule="auto"/>
              <w:rPr>
                <w:b/>
                <w:bCs/>
                <w:sz w:val="20"/>
                <w:szCs w:val="20"/>
                <w:lang w:eastAsia="sk-SK"/>
              </w:rPr>
            </w:pPr>
            <w:r w:rsidRPr="000D58CD">
              <w:rPr>
                <w:b/>
                <w:bCs/>
                <w:sz w:val="20"/>
                <w:szCs w:val="20"/>
                <w:lang w:eastAsia="sk-SK"/>
              </w:rPr>
              <w:t> </w:t>
            </w:r>
          </w:p>
        </w:tc>
        <w:tc>
          <w:tcPr>
            <w:tcW w:w="938" w:type="dxa"/>
            <w:tcBorders>
              <w:top w:val="nil"/>
              <w:left w:val="nil"/>
              <w:bottom w:val="nil"/>
              <w:right w:val="nil"/>
            </w:tcBorders>
            <w:shd w:val="clear" w:color="000000" w:fill="C0C0C0"/>
            <w:noWrap/>
            <w:vAlign w:val="center"/>
            <w:hideMark/>
          </w:tcPr>
          <w:p w14:paraId="7EE4CE0A" w14:textId="77777777" w:rsidR="00B07378" w:rsidRPr="000D58CD" w:rsidRDefault="00B07378" w:rsidP="0051395F">
            <w:pPr>
              <w:spacing w:after="0" w:line="240" w:lineRule="auto"/>
              <w:ind w:firstLineChars="100" w:firstLine="200"/>
              <w:jc w:val="right"/>
              <w:rPr>
                <w:b/>
                <w:bCs/>
                <w:sz w:val="20"/>
                <w:szCs w:val="20"/>
                <w:lang w:eastAsia="sk-SK"/>
              </w:rPr>
            </w:pPr>
            <w:r w:rsidRPr="000D58CD">
              <w:rPr>
                <w:b/>
                <w:bCs/>
                <w:sz w:val="20"/>
                <w:szCs w:val="20"/>
                <w:lang w:eastAsia="sk-SK"/>
              </w:rPr>
              <w:t>2018</w:t>
            </w:r>
          </w:p>
        </w:tc>
        <w:tc>
          <w:tcPr>
            <w:tcW w:w="938" w:type="dxa"/>
            <w:tcBorders>
              <w:top w:val="nil"/>
              <w:left w:val="nil"/>
              <w:bottom w:val="nil"/>
              <w:right w:val="nil"/>
            </w:tcBorders>
            <w:shd w:val="clear" w:color="000000" w:fill="C0C0C0"/>
            <w:noWrap/>
            <w:vAlign w:val="center"/>
            <w:hideMark/>
          </w:tcPr>
          <w:p w14:paraId="2AC15BFB" w14:textId="77777777" w:rsidR="00B07378" w:rsidRPr="000D58CD" w:rsidRDefault="00B07378" w:rsidP="0051395F">
            <w:pPr>
              <w:spacing w:after="0" w:line="240" w:lineRule="auto"/>
              <w:ind w:firstLineChars="100" w:firstLine="200"/>
              <w:jc w:val="right"/>
              <w:rPr>
                <w:b/>
                <w:bCs/>
                <w:sz w:val="20"/>
                <w:szCs w:val="20"/>
                <w:lang w:eastAsia="sk-SK"/>
              </w:rPr>
            </w:pPr>
            <w:r w:rsidRPr="000D58CD">
              <w:rPr>
                <w:b/>
                <w:bCs/>
                <w:sz w:val="20"/>
                <w:szCs w:val="20"/>
                <w:lang w:eastAsia="sk-SK"/>
              </w:rPr>
              <w:t>2019</w:t>
            </w:r>
          </w:p>
        </w:tc>
        <w:tc>
          <w:tcPr>
            <w:tcW w:w="960" w:type="dxa"/>
            <w:tcBorders>
              <w:top w:val="nil"/>
              <w:left w:val="nil"/>
              <w:bottom w:val="nil"/>
              <w:right w:val="nil"/>
            </w:tcBorders>
            <w:shd w:val="clear" w:color="000000" w:fill="C0C0C0"/>
            <w:noWrap/>
            <w:vAlign w:val="center"/>
            <w:hideMark/>
          </w:tcPr>
          <w:p w14:paraId="56F279E2" w14:textId="77777777" w:rsidR="00B07378" w:rsidRPr="000D58CD" w:rsidRDefault="00B07378" w:rsidP="0051395F">
            <w:pPr>
              <w:spacing w:after="0" w:line="240" w:lineRule="auto"/>
              <w:ind w:firstLineChars="100" w:firstLine="200"/>
              <w:jc w:val="right"/>
              <w:rPr>
                <w:b/>
                <w:bCs/>
                <w:sz w:val="20"/>
                <w:szCs w:val="20"/>
                <w:lang w:eastAsia="sk-SK"/>
              </w:rPr>
            </w:pPr>
            <w:r w:rsidRPr="000D58CD">
              <w:rPr>
                <w:b/>
                <w:bCs/>
                <w:sz w:val="20"/>
                <w:szCs w:val="20"/>
                <w:lang w:eastAsia="sk-SK"/>
              </w:rPr>
              <w:t>2020</w:t>
            </w:r>
          </w:p>
        </w:tc>
        <w:tc>
          <w:tcPr>
            <w:tcW w:w="1659" w:type="dxa"/>
            <w:tcBorders>
              <w:top w:val="nil"/>
              <w:left w:val="single" w:sz="4" w:space="0" w:color="auto"/>
              <w:bottom w:val="nil"/>
              <w:right w:val="nil"/>
            </w:tcBorders>
            <w:shd w:val="clear" w:color="000000" w:fill="C0C0C0"/>
            <w:noWrap/>
            <w:vAlign w:val="center"/>
            <w:hideMark/>
          </w:tcPr>
          <w:p w14:paraId="2F3ABACE" w14:textId="77777777" w:rsidR="00B07378" w:rsidRPr="000D58CD" w:rsidRDefault="00B07378" w:rsidP="0051395F">
            <w:pPr>
              <w:spacing w:after="0" w:line="240" w:lineRule="auto"/>
              <w:ind w:firstLineChars="100" w:firstLine="200"/>
              <w:jc w:val="right"/>
              <w:rPr>
                <w:b/>
                <w:bCs/>
                <w:sz w:val="20"/>
                <w:szCs w:val="20"/>
                <w:lang w:eastAsia="sk-SK"/>
              </w:rPr>
            </w:pPr>
            <w:r w:rsidRPr="000D58CD">
              <w:rPr>
                <w:b/>
                <w:bCs/>
                <w:sz w:val="20"/>
                <w:szCs w:val="20"/>
                <w:lang w:eastAsia="sk-SK"/>
              </w:rPr>
              <w:t> </w:t>
            </w:r>
          </w:p>
        </w:tc>
        <w:tc>
          <w:tcPr>
            <w:tcW w:w="1002" w:type="dxa"/>
            <w:tcBorders>
              <w:top w:val="nil"/>
              <w:left w:val="nil"/>
              <w:bottom w:val="nil"/>
              <w:right w:val="nil"/>
            </w:tcBorders>
            <w:shd w:val="clear" w:color="000000" w:fill="C0C0C0"/>
            <w:noWrap/>
            <w:vAlign w:val="center"/>
            <w:hideMark/>
          </w:tcPr>
          <w:p w14:paraId="7B1D334B" w14:textId="77777777" w:rsidR="00B07378" w:rsidRPr="000D58CD" w:rsidRDefault="00B07378" w:rsidP="0051395F">
            <w:pPr>
              <w:spacing w:after="0" w:line="240" w:lineRule="auto"/>
              <w:ind w:firstLineChars="100" w:firstLine="200"/>
              <w:jc w:val="right"/>
              <w:rPr>
                <w:b/>
                <w:bCs/>
                <w:sz w:val="20"/>
                <w:szCs w:val="20"/>
                <w:lang w:eastAsia="sk-SK"/>
              </w:rPr>
            </w:pPr>
            <w:r w:rsidRPr="000D58CD">
              <w:rPr>
                <w:b/>
                <w:bCs/>
                <w:sz w:val="20"/>
                <w:szCs w:val="20"/>
                <w:lang w:eastAsia="sk-SK"/>
              </w:rPr>
              <w:t>2018</w:t>
            </w:r>
          </w:p>
        </w:tc>
        <w:tc>
          <w:tcPr>
            <w:tcW w:w="1002" w:type="dxa"/>
            <w:tcBorders>
              <w:top w:val="nil"/>
              <w:left w:val="nil"/>
              <w:bottom w:val="nil"/>
              <w:right w:val="nil"/>
            </w:tcBorders>
            <w:shd w:val="clear" w:color="000000" w:fill="C0C0C0"/>
            <w:noWrap/>
            <w:vAlign w:val="center"/>
            <w:hideMark/>
          </w:tcPr>
          <w:p w14:paraId="2A45C8DF" w14:textId="77777777" w:rsidR="00B07378" w:rsidRPr="000D58CD" w:rsidRDefault="00B07378" w:rsidP="0051395F">
            <w:pPr>
              <w:spacing w:after="0" w:line="240" w:lineRule="auto"/>
              <w:ind w:firstLineChars="100" w:firstLine="200"/>
              <w:jc w:val="right"/>
              <w:rPr>
                <w:b/>
                <w:bCs/>
                <w:sz w:val="20"/>
                <w:szCs w:val="20"/>
                <w:lang w:eastAsia="sk-SK"/>
              </w:rPr>
            </w:pPr>
            <w:r w:rsidRPr="000D58CD">
              <w:rPr>
                <w:b/>
                <w:bCs/>
                <w:sz w:val="20"/>
                <w:szCs w:val="20"/>
                <w:lang w:eastAsia="sk-SK"/>
              </w:rPr>
              <w:t>2019</w:t>
            </w:r>
          </w:p>
        </w:tc>
        <w:tc>
          <w:tcPr>
            <w:tcW w:w="1002" w:type="dxa"/>
            <w:tcBorders>
              <w:top w:val="nil"/>
              <w:left w:val="nil"/>
              <w:bottom w:val="nil"/>
              <w:right w:val="single" w:sz="4" w:space="0" w:color="auto"/>
            </w:tcBorders>
            <w:shd w:val="clear" w:color="000000" w:fill="C0C0C0"/>
            <w:noWrap/>
            <w:vAlign w:val="center"/>
            <w:hideMark/>
          </w:tcPr>
          <w:p w14:paraId="5237D9F8" w14:textId="77777777" w:rsidR="00B07378" w:rsidRPr="000D58CD" w:rsidRDefault="00B07378" w:rsidP="0051395F">
            <w:pPr>
              <w:spacing w:after="0" w:line="240" w:lineRule="auto"/>
              <w:ind w:firstLineChars="100" w:firstLine="200"/>
              <w:jc w:val="right"/>
              <w:rPr>
                <w:b/>
                <w:bCs/>
                <w:sz w:val="20"/>
                <w:szCs w:val="20"/>
                <w:lang w:eastAsia="sk-SK"/>
              </w:rPr>
            </w:pPr>
            <w:r w:rsidRPr="000D58CD">
              <w:rPr>
                <w:b/>
                <w:bCs/>
                <w:sz w:val="20"/>
                <w:szCs w:val="20"/>
                <w:lang w:eastAsia="sk-SK"/>
              </w:rPr>
              <w:t>2020</w:t>
            </w:r>
          </w:p>
        </w:tc>
      </w:tr>
      <w:tr w:rsidR="00B07378" w:rsidRPr="000D58CD" w14:paraId="0C4AC0B5"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18F03998" w14:textId="77777777" w:rsidR="00B07378" w:rsidRPr="000D58CD" w:rsidRDefault="00B07378" w:rsidP="0051395F">
            <w:pPr>
              <w:spacing w:after="0" w:line="240" w:lineRule="auto"/>
              <w:rPr>
                <w:b/>
                <w:bCs/>
                <w:sz w:val="20"/>
                <w:szCs w:val="20"/>
                <w:lang w:eastAsia="sk-SK"/>
              </w:rPr>
            </w:pPr>
            <w:r w:rsidRPr="000D58CD">
              <w:rPr>
                <w:b/>
                <w:bCs/>
                <w:sz w:val="20"/>
                <w:szCs w:val="20"/>
                <w:lang w:eastAsia="sk-SK"/>
              </w:rPr>
              <w:t>EÚ (27 krajín)</w:t>
            </w:r>
          </w:p>
        </w:tc>
        <w:tc>
          <w:tcPr>
            <w:tcW w:w="938" w:type="dxa"/>
            <w:tcBorders>
              <w:top w:val="nil"/>
              <w:left w:val="nil"/>
              <w:bottom w:val="nil"/>
              <w:right w:val="nil"/>
            </w:tcBorders>
            <w:shd w:val="clear" w:color="auto" w:fill="auto"/>
            <w:noWrap/>
            <w:vAlign w:val="center"/>
            <w:hideMark/>
          </w:tcPr>
          <w:p w14:paraId="52DE38C3" w14:textId="77777777" w:rsidR="00B07378" w:rsidRPr="000D58CD" w:rsidRDefault="00B07378" w:rsidP="0051395F">
            <w:pPr>
              <w:spacing w:after="0" w:line="240" w:lineRule="auto"/>
              <w:ind w:firstLineChars="100" w:firstLine="200"/>
              <w:jc w:val="right"/>
              <w:rPr>
                <w:b/>
                <w:bCs/>
                <w:color w:val="000000"/>
                <w:sz w:val="20"/>
                <w:szCs w:val="20"/>
                <w:lang w:eastAsia="sk-SK"/>
              </w:rPr>
            </w:pPr>
            <w:r w:rsidRPr="000D58CD">
              <w:rPr>
                <w:b/>
                <w:bCs/>
                <w:color w:val="000000"/>
                <w:sz w:val="20"/>
                <w:szCs w:val="20"/>
                <w:lang w:eastAsia="sk-SK"/>
              </w:rPr>
              <w:t>-0,4</w:t>
            </w:r>
          </w:p>
        </w:tc>
        <w:tc>
          <w:tcPr>
            <w:tcW w:w="938" w:type="dxa"/>
            <w:tcBorders>
              <w:top w:val="nil"/>
              <w:left w:val="nil"/>
              <w:bottom w:val="nil"/>
              <w:right w:val="nil"/>
            </w:tcBorders>
            <w:shd w:val="clear" w:color="auto" w:fill="auto"/>
            <w:noWrap/>
            <w:vAlign w:val="center"/>
            <w:hideMark/>
          </w:tcPr>
          <w:p w14:paraId="323461B0" w14:textId="77777777" w:rsidR="00B07378" w:rsidRPr="000D58CD" w:rsidRDefault="00B07378" w:rsidP="0051395F">
            <w:pPr>
              <w:spacing w:after="0" w:line="240" w:lineRule="auto"/>
              <w:ind w:firstLineChars="100" w:firstLine="200"/>
              <w:jc w:val="right"/>
              <w:rPr>
                <w:b/>
                <w:bCs/>
                <w:color w:val="000000"/>
                <w:sz w:val="20"/>
                <w:szCs w:val="20"/>
                <w:lang w:eastAsia="sk-SK"/>
              </w:rPr>
            </w:pPr>
            <w:r w:rsidRPr="000D58CD">
              <w:rPr>
                <w:b/>
                <w:bCs/>
                <w:color w:val="000000"/>
                <w:sz w:val="20"/>
                <w:szCs w:val="20"/>
                <w:lang w:eastAsia="sk-SK"/>
              </w:rPr>
              <w:t>-0,5</w:t>
            </w:r>
          </w:p>
        </w:tc>
        <w:tc>
          <w:tcPr>
            <w:tcW w:w="960" w:type="dxa"/>
            <w:tcBorders>
              <w:top w:val="nil"/>
              <w:left w:val="nil"/>
              <w:bottom w:val="nil"/>
              <w:right w:val="nil"/>
            </w:tcBorders>
            <w:shd w:val="clear" w:color="auto" w:fill="auto"/>
            <w:noWrap/>
            <w:vAlign w:val="center"/>
            <w:hideMark/>
          </w:tcPr>
          <w:p w14:paraId="1E947667" w14:textId="77777777" w:rsidR="00B07378" w:rsidRPr="000D58CD" w:rsidRDefault="00B07378" w:rsidP="0051395F">
            <w:pPr>
              <w:spacing w:after="0" w:line="240" w:lineRule="auto"/>
              <w:ind w:firstLineChars="100" w:firstLine="200"/>
              <w:jc w:val="right"/>
              <w:rPr>
                <w:b/>
                <w:bCs/>
                <w:color w:val="000000"/>
                <w:sz w:val="20"/>
                <w:szCs w:val="20"/>
                <w:lang w:eastAsia="sk-SK"/>
              </w:rPr>
            </w:pPr>
            <w:r w:rsidRPr="000D58CD">
              <w:rPr>
                <w:b/>
                <w:bCs/>
                <w:color w:val="000000"/>
                <w:sz w:val="20"/>
                <w:szCs w:val="20"/>
                <w:lang w:eastAsia="sk-SK"/>
              </w:rPr>
              <w:t>-6,9</w:t>
            </w:r>
          </w:p>
        </w:tc>
        <w:tc>
          <w:tcPr>
            <w:tcW w:w="1659" w:type="dxa"/>
            <w:tcBorders>
              <w:top w:val="nil"/>
              <w:left w:val="single" w:sz="4" w:space="0" w:color="auto"/>
              <w:bottom w:val="nil"/>
              <w:right w:val="nil"/>
            </w:tcBorders>
            <w:shd w:val="clear" w:color="auto" w:fill="auto"/>
            <w:noWrap/>
            <w:vAlign w:val="center"/>
            <w:hideMark/>
          </w:tcPr>
          <w:p w14:paraId="408F229D" w14:textId="77777777" w:rsidR="00B07378" w:rsidRPr="000D58CD" w:rsidRDefault="00B07378" w:rsidP="0051395F">
            <w:pPr>
              <w:spacing w:after="0" w:line="240" w:lineRule="auto"/>
              <w:rPr>
                <w:b/>
                <w:bCs/>
                <w:sz w:val="20"/>
                <w:szCs w:val="20"/>
                <w:lang w:eastAsia="sk-SK"/>
              </w:rPr>
            </w:pPr>
            <w:r w:rsidRPr="000D58CD">
              <w:rPr>
                <w:b/>
                <w:bCs/>
                <w:sz w:val="20"/>
                <w:szCs w:val="20"/>
                <w:lang w:eastAsia="sk-SK"/>
              </w:rPr>
              <w:t>EÚ (27 krajín)</w:t>
            </w:r>
          </w:p>
        </w:tc>
        <w:tc>
          <w:tcPr>
            <w:tcW w:w="1002" w:type="dxa"/>
            <w:tcBorders>
              <w:top w:val="nil"/>
              <w:left w:val="nil"/>
              <w:bottom w:val="nil"/>
              <w:right w:val="nil"/>
            </w:tcBorders>
            <w:shd w:val="clear" w:color="auto" w:fill="auto"/>
            <w:noWrap/>
            <w:vAlign w:val="center"/>
            <w:hideMark/>
          </w:tcPr>
          <w:p w14:paraId="4E2FA8AB" w14:textId="77777777" w:rsidR="00B07378" w:rsidRPr="000D58CD" w:rsidRDefault="00B07378" w:rsidP="0051395F">
            <w:pPr>
              <w:spacing w:after="0" w:line="240" w:lineRule="auto"/>
              <w:ind w:firstLineChars="100" w:firstLine="200"/>
              <w:jc w:val="right"/>
              <w:rPr>
                <w:b/>
                <w:bCs/>
                <w:color w:val="000000"/>
                <w:sz w:val="20"/>
                <w:szCs w:val="20"/>
                <w:lang w:eastAsia="sk-SK"/>
              </w:rPr>
            </w:pPr>
            <w:r w:rsidRPr="000D58CD">
              <w:rPr>
                <w:b/>
                <w:bCs/>
                <w:color w:val="000000"/>
                <w:sz w:val="20"/>
                <w:szCs w:val="20"/>
                <w:lang w:eastAsia="sk-SK"/>
              </w:rPr>
              <w:t>79,3</w:t>
            </w:r>
          </w:p>
        </w:tc>
        <w:tc>
          <w:tcPr>
            <w:tcW w:w="1002" w:type="dxa"/>
            <w:tcBorders>
              <w:top w:val="nil"/>
              <w:left w:val="nil"/>
              <w:bottom w:val="nil"/>
              <w:right w:val="nil"/>
            </w:tcBorders>
            <w:shd w:val="clear" w:color="auto" w:fill="auto"/>
            <w:noWrap/>
            <w:vAlign w:val="center"/>
            <w:hideMark/>
          </w:tcPr>
          <w:p w14:paraId="1566747A" w14:textId="77777777" w:rsidR="00B07378" w:rsidRPr="000D58CD" w:rsidRDefault="00B07378" w:rsidP="0051395F">
            <w:pPr>
              <w:spacing w:after="0" w:line="240" w:lineRule="auto"/>
              <w:ind w:firstLineChars="100" w:firstLine="200"/>
              <w:jc w:val="right"/>
              <w:rPr>
                <w:b/>
                <w:bCs/>
                <w:color w:val="000000"/>
                <w:sz w:val="20"/>
                <w:szCs w:val="20"/>
                <w:lang w:eastAsia="sk-SK"/>
              </w:rPr>
            </w:pPr>
            <w:r w:rsidRPr="000D58CD">
              <w:rPr>
                <w:b/>
                <w:bCs/>
                <w:color w:val="000000"/>
                <w:sz w:val="20"/>
                <w:szCs w:val="20"/>
                <w:lang w:eastAsia="sk-SK"/>
              </w:rPr>
              <w:t>77,2</w:t>
            </w:r>
          </w:p>
        </w:tc>
        <w:tc>
          <w:tcPr>
            <w:tcW w:w="1002" w:type="dxa"/>
            <w:tcBorders>
              <w:top w:val="nil"/>
              <w:left w:val="nil"/>
              <w:bottom w:val="nil"/>
              <w:right w:val="single" w:sz="4" w:space="0" w:color="auto"/>
            </w:tcBorders>
            <w:shd w:val="clear" w:color="auto" w:fill="auto"/>
            <w:noWrap/>
            <w:vAlign w:val="center"/>
            <w:hideMark/>
          </w:tcPr>
          <w:p w14:paraId="168F2352" w14:textId="77777777" w:rsidR="00B07378" w:rsidRPr="000D58CD" w:rsidRDefault="00B07378" w:rsidP="0051395F">
            <w:pPr>
              <w:spacing w:after="0" w:line="240" w:lineRule="auto"/>
              <w:ind w:firstLineChars="100" w:firstLine="200"/>
              <w:jc w:val="right"/>
              <w:rPr>
                <w:b/>
                <w:bCs/>
                <w:color w:val="000000"/>
                <w:sz w:val="20"/>
                <w:szCs w:val="20"/>
                <w:lang w:eastAsia="sk-SK"/>
              </w:rPr>
            </w:pPr>
            <w:r w:rsidRPr="000D58CD">
              <w:rPr>
                <w:b/>
                <w:bCs/>
                <w:color w:val="000000"/>
                <w:sz w:val="20"/>
                <w:szCs w:val="20"/>
                <w:lang w:eastAsia="sk-SK"/>
              </w:rPr>
              <w:t>90,1</w:t>
            </w:r>
          </w:p>
        </w:tc>
      </w:tr>
      <w:tr w:rsidR="00B07378" w:rsidRPr="000D58CD" w14:paraId="70DFD69B"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2ACF90E9" w14:textId="77777777" w:rsidR="00B07378" w:rsidRPr="000D58CD" w:rsidRDefault="00B07378" w:rsidP="0051395F">
            <w:pPr>
              <w:spacing w:after="0" w:line="240" w:lineRule="auto"/>
              <w:rPr>
                <w:b/>
                <w:bCs/>
                <w:sz w:val="20"/>
                <w:szCs w:val="20"/>
                <w:lang w:eastAsia="sk-SK"/>
              </w:rPr>
            </w:pPr>
            <w:r w:rsidRPr="000D58CD">
              <w:rPr>
                <w:b/>
                <w:bCs/>
                <w:sz w:val="20"/>
                <w:szCs w:val="20"/>
                <w:lang w:eastAsia="sk-SK"/>
              </w:rPr>
              <w:t>Euro zóna</w:t>
            </w:r>
          </w:p>
        </w:tc>
        <w:tc>
          <w:tcPr>
            <w:tcW w:w="938" w:type="dxa"/>
            <w:tcBorders>
              <w:top w:val="nil"/>
              <w:left w:val="nil"/>
              <w:bottom w:val="nil"/>
              <w:right w:val="nil"/>
            </w:tcBorders>
            <w:shd w:val="clear" w:color="auto" w:fill="auto"/>
            <w:noWrap/>
            <w:vAlign w:val="center"/>
            <w:hideMark/>
          </w:tcPr>
          <w:p w14:paraId="77F6F41D" w14:textId="77777777" w:rsidR="00B07378" w:rsidRPr="000D58CD" w:rsidRDefault="00B07378" w:rsidP="0051395F">
            <w:pPr>
              <w:spacing w:after="0" w:line="240" w:lineRule="auto"/>
              <w:ind w:firstLineChars="100" w:firstLine="200"/>
              <w:jc w:val="right"/>
              <w:rPr>
                <w:b/>
                <w:bCs/>
                <w:color w:val="000000"/>
                <w:sz w:val="20"/>
                <w:szCs w:val="20"/>
                <w:lang w:eastAsia="sk-SK"/>
              </w:rPr>
            </w:pPr>
            <w:r w:rsidRPr="000D58CD">
              <w:rPr>
                <w:b/>
                <w:bCs/>
                <w:color w:val="000000"/>
                <w:sz w:val="20"/>
                <w:szCs w:val="20"/>
                <w:lang w:eastAsia="sk-SK"/>
              </w:rPr>
              <w:t>-0,4</w:t>
            </w:r>
          </w:p>
        </w:tc>
        <w:tc>
          <w:tcPr>
            <w:tcW w:w="938" w:type="dxa"/>
            <w:tcBorders>
              <w:top w:val="nil"/>
              <w:left w:val="nil"/>
              <w:bottom w:val="nil"/>
              <w:right w:val="nil"/>
            </w:tcBorders>
            <w:shd w:val="clear" w:color="auto" w:fill="auto"/>
            <w:noWrap/>
            <w:vAlign w:val="center"/>
            <w:hideMark/>
          </w:tcPr>
          <w:p w14:paraId="57FFE296" w14:textId="77777777" w:rsidR="00B07378" w:rsidRPr="000D58CD" w:rsidRDefault="00B07378" w:rsidP="0051395F">
            <w:pPr>
              <w:spacing w:after="0" w:line="240" w:lineRule="auto"/>
              <w:ind w:firstLineChars="100" w:firstLine="200"/>
              <w:jc w:val="right"/>
              <w:rPr>
                <w:b/>
                <w:bCs/>
                <w:color w:val="000000"/>
                <w:sz w:val="20"/>
                <w:szCs w:val="20"/>
                <w:lang w:eastAsia="sk-SK"/>
              </w:rPr>
            </w:pPr>
            <w:r w:rsidRPr="000D58CD">
              <w:rPr>
                <w:b/>
                <w:bCs/>
                <w:color w:val="000000"/>
                <w:sz w:val="20"/>
                <w:szCs w:val="20"/>
                <w:lang w:eastAsia="sk-SK"/>
              </w:rPr>
              <w:t>-0,6</w:t>
            </w:r>
          </w:p>
        </w:tc>
        <w:tc>
          <w:tcPr>
            <w:tcW w:w="960" w:type="dxa"/>
            <w:tcBorders>
              <w:top w:val="nil"/>
              <w:left w:val="nil"/>
              <w:bottom w:val="nil"/>
              <w:right w:val="nil"/>
            </w:tcBorders>
            <w:shd w:val="clear" w:color="auto" w:fill="auto"/>
            <w:noWrap/>
            <w:vAlign w:val="center"/>
            <w:hideMark/>
          </w:tcPr>
          <w:p w14:paraId="0EA47D9F" w14:textId="77777777" w:rsidR="00B07378" w:rsidRPr="000D58CD" w:rsidRDefault="00B07378" w:rsidP="0051395F">
            <w:pPr>
              <w:spacing w:after="0" w:line="240" w:lineRule="auto"/>
              <w:ind w:firstLineChars="100" w:firstLine="200"/>
              <w:jc w:val="right"/>
              <w:rPr>
                <w:b/>
                <w:bCs/>
                <w:color w:val="000000"/>
                <w:sz w:val="20"/>
                <w:szCs w:val="20"/>
                <w:lang w:eastAsia="sk-SK"/>
              </w:rPr>
            </w:pPr>
            <w:r w:rsidRPr="000D58CD">
              <w:rPr>
                <w:b/>
                <w:bCs/>
                <w:color w:val="000000"/>
                <w:sz w:val="20"/>
                <w:szCs w:val="20"/>
                <w:lang w:eastAsia="sk-SK"/>
              </w:rPr>
              <w:t>-7,2</w:t>
            </w:r>
          </w:p>
        </w:tc>
        <w:tc>
          <w:tcPr>
            <w:tcW w:w="1659" w:type="dxa"/>
            <w:tcBorders>
              <w:top w:val="nil"/>
              <w:left w:val="single" w:sz="4" w:space="0" w:color="auto"/>
              <w:bottom w:val="nil"/>
              <w:right w:val="nil"/>
            </w:tcBorders>
            <w:shd w:val="clear" w:color="auto" w:fill="auto"/>
            <w:noWrap/>
            <w:vAlign w:val="center"/>
            <w:hideMark/>
          </w:tcPr>
          <w:p w14:paraId="5773EA2B" w14:textId="77777777" w:rsidR="00B07378" w:rsidRPr="000D58CD" w:rsidRDefault="00B07378" w:rsidP="0051395F">
            <w:pPr>
              <w:spacing w:after="0" w:line="240" w:lineRule="auto"/>
              <w:rPr>
                <w:b/>
                <w:bCs/>
                <w:sz w:val="20"/>
                <w:szCs w:val="20"/>
                <w:lang w:eastAsia="sk-SK"/>
              </w:rPr>
            </w:pPr>
            <w:r w:rsidRPr="000D58CD">
              <w:rPr>
                <w:b/>
                <w:bCs/>
                <w:sz w:val="20"/>
                <w:szCs w:val="20"/>
                <w:lang w:eastAsia="sk-SK"/>
              </w:rPr>
              <w:t>Euro zóna</w:t>
            </w:r>
          </w:p>
        </w:tc>
        <w:tc>
          <w:tcPr>
            <w:tcW w:w="1002" w:type="dxa"/>
            <w:tcBorders>
              <w:top w:val="nil"/>
              <w:left w:val="nil"/>
              <w:bottom w:val="nil"/>
              <w:right w:val="nil"/>
            </w:tcBorders>
            <w:shd w:val="clear" w:color="auto" w:fill="auto"/>
            <w:noWrap/>
            <w:vAlign w:val="center"/>
            <w:hideMark/>
          </w:tcPr>
          <w:p w14:paraId="14EB504F" w14:textId="77777777" w:rsidR="00B07378" w:rsidRPr="000D58CD" w:rsidRDefault="00B07378" w:rsidP="0051395F">
            <w:pPr>
              <w:spacing w:after="0" w:line="240" w:lineRule="auto"/>
              <w:ind w:firstLineChars="100" w:firstLine="200"/>
              <w:jc w:val="right"/>
              <w:rPr>
                <w:b/>
                <w:bCs/>
                <w:color w:val="000000"/>
                <w:sz w:val="20"/>
                <w:szCs w:val="20"/>
                <w:lang w:eastAsia="sk-SK"/>
              </w:rPr>
            </w:pPr>
            <w:r w:rsidRPr="000D58CD">
              <w:rPr>
                <w:b/>
                <w:bCs/>
                <w:color w:val="000000"/>
                <w:sz w:val="20"/>
                <w:szCs w:val="20"/>
                <w:lang w:eastAsia="sk-SK"/>
              </w:rPr>
              <w:t>85,5</w:t>
            </w:r>
          </w:p>
        </w:tc>
        <w:tc>
          <w:tcPr>
            <w:tcW w:w="1002" w:type="dxa"/>
            <w:tcBorders>
              <w:top w:val="nil"/>
              <w:left w:val="nil"/>
              <w:bottom w:val="nil"/>
              <w:right w:val="nil"/>
            </w:tcBorders>
            <w:shd w:val="clear" w:color="auto" w:fill="auto"/>
            <w:noWrap/>
            <w:vAlign w:val="center"/>
            <w:hideMark/>
          </w:tcPr>
          <w:p w14:paraId="2274B4A0" w14:textId="77777777" w:rsidR="00B07378" w:rsidRPr="000D58CD" w:rsidRDefault="00B07378" w:rsidP="0051395F">
            <w:pPr>
              <w:spacing w:after="0" w:line="240" w:lineRule="auto"/>
              <w:ind w:firstLineChars="100" w:firstLine="200"/>
              <w:jc w:val="right"/>
              <w:rPr>
                <w:b/>
                <w:bCs/>
                <w:color w:val="000000"/>
                <w:sz w:val="20"/>
                <w:szCs w:val="20"/>
                <w:lang w:eastAsia="sk-SK"/>
              </w:rPr>
            </w:pPr>
            <w:r w:rsidRPr="000D58CD">
              <w:rPr>
                <w:b/>
                <w:bCs/>
                <w:color w:val="000000"/>
                <w:sz w:val="20"/>
                <w:szCs w:val="20"/>
                <w:lang w:eastAsia="sk-SK"/>
              </w:rPr>
              <w:t>83,6</w:t>
            </w:r>
          </w:p>
        </w:tc>
        <w:tc>
          <w:tcPr>
            <w:tcW w:w="1002" w:type="dxa"/>
            <w:tcBorders>
              <w:top w:val="nil"/>
              <w:left w:val="nil"/>
              <w:bottom w:val="nil"/>
              <w:right w:val="single" w:sz="4" w:space="0" w:color="auto"/>
            </w:tcBorders>
            <w:shd w:val="clear" w:color="auto" w:fill="auto"/>
            <w:noWrap/>
            <w:vAlign w:val="center"/>
            <w:hideMark/>
          </w:tcPr>
          <w:p w14:paraId="7242345D" w14:textId="77777777" w:rsidR="00B07378" w:rsidRPr="000D58CD" w:rsidRDefault="00B07378" w:rsidP="0051395F">
            <w:pPr>
              <w:spacing w:after="0" w:line="240" w:lineRule="auto"/>
              <w:ind w:firstLineChars="100" w:firstLine="200"/>
              <w:jc w:val="right"/>
              <w:rPr>
                <w:b/>
                <w:bCs/>
                <w:color w:val="000000"/>
                <w:sz w:val="20"/>
                <w:szCs w:val="20"/>
                <w:lang w:eastAsia="sk-SK"/>
              </w:rPr>
            </w:pPr>
            <w:r w:rsidRPr="000D58CD">
              <w:rPr>
                <w:b/>
                <w:bCs/>
                <w:color w:val="000000"/>
                <w:sz w:val="20"/>
                <w:szCs w:val="20"/>
                <w:lang w:eastAsia="sk-SK"/>
              </w:rPr>
              <w:t>97,3</w:t>
            </w:r>
          </w:p>
        </w:tc>
      </w:tr>
      <w:tr w:rsidR="00B07378" w:rsidRPr="000D58CD" w14:paraId="02BC7C60"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5638FE34" w14:textId="77777777" w:rsidR="00B07378" w:rsidRPr="000D58CD" w:rsidRDefault="00B07378" w:rsidP="0051395F">
            <w:pPr>
              <w:spacing w:after="0" w:line="240" w:lineRule="auto"/>
              <w:rPr>
                <w:sz w:val="20"/>
                <w:szCs w:val="20"/>
                <w:lang w:eastAsia="sk-SK"/>
              </w:rPr>
            </w:pPr>
            <w:r w:rsidRPr="000D58CD">
              <w:rPr>
                <w:sz w:val="20"/>
                <w:szCs w:val="20"/>
                <w:lang w:eastAsia="sk-SK"/>
              </w:rPr>
              <w:t>Španielsko</w:t>
            </w:r>
          </w:p>
        </w:tc>
        <w:tc>
          <w:tcPr>
            <w:tcW w:w="938" w:type="dxa"/>
            <w:tcBorders>
              <w:top w:val="nil"/>
              <w:left w:val="nil"/>
              <w:bottom w:val="nil"/>
              <w:right w:val="nil"/>
            </w:tcBorders>
            <w:shd w:val="clear" w:color="auto" w:fill="auto"/>
            <w:noWrap/>
            <w:vAlign w:val="center"/>
            <w:hideMark/>
          </w:tcPr>
          <w:p w14:paraId="637D0182"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-2,5</w:t>
            </w:r>
          </w:p>
        </w:tc>
        <w:tc>
          <w:tcPr>
            <w:tcW w:w="938" w:type="dxa"/>
            <w:tcBorders>
              <w:top w:val="nil"/>
              <w:left w:val="nil"/>
              <w:bottom w:val="nil"/>
              <w:right w:val="nil"/>
            </w:tcBorders>
            <w:shd w:val="clear" w:color="auto" w:fill="auto"/>
            <w:noWrap/>
            <w:vAlign w:val="center"/>
            <w:hideMark/>
          </w:tcPr>
          <w:p w14:paraId="4DAFB24A"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-2,9</w:t>
            </w:r>
          </w:p>
        </w:tc>
        <w:tc>
          <w:tcPr>
            <w:tcW w:w="960" w:type="dxa"/>
            <w:tcBorders>
              <w:top w:val="nil"/>
              <w:left w:val="nil"/>
              <w:bottom w:val="nil"/>
              <w:right w:val="nil"/>
            </w:tcBorders>
            <w:shd w:val="clear" w:color="auto" w:fill="auto"/>
            <w:noWrap/>
            <w:vAlign w:val="center"/>
            <w:hideMark/>
          </w:tcPr>
          <w:p w14:paraId="6857A775"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-11,0</w:t>
            </w:r>
          </w:p>
        </w:tc>
        <w:tc>
          <w:tcPr>
            <w:tcW w:w="1659" w:type="dxa"/>
            <w:tcBorders>
              <w:top w:val="nil"/>
              <w:left w:val="single" w:sz="4" w:space="0" w:color="auto"/>
              <w:bottom w:val="nil"/>
              <w:right w:val="nil"/>
            </w:tcBorders>
            <w:shd w:val="clear" w:color="auto" w:fill="auto"/>
            <w:noWrap/>
            <w:vAlign w:val="center"/>
            <w:hideMark/>
          </w:tcPr>
          <w:p w14:paraId="05C026E6" w14:textId="77777777" w:rsidR="00B07378" w:rsidRPr="000D58CD" w:rsidRDefault="00B07378" w:rsidP="0051395F">
            <w:pPr>
              <w:spacing w:after="0" w:line="240" w:lineRule="auto"/>
              <w:rPr>
                <w:sz w:val="20"/>
                <w:szCs w:val="20"/>
                <w:lang w:eastAsia="sk-SK"/>
              </w:rPr>
            </w:pPr>
            <w:r w:rsidRPr="000D58CD">
              <w:rPr>
                <w:sz w:val="20"/>
                <w:szCs w:val="20"/>
                <w:lang w:eastAsia="sk-SK"/>
              </w:rPr>
              <w:t>Grécko</w:t>
            </w:r>
          </w:p>
        </w:tc>
        <w:tc>
          <w:tcPr>
            <w:tcW w:w="1002" w:type="dxa"/>
            <w:tcBorders>
              <w:top w:val="nil"/>
              <w:left w:val="nil"/>
              <w:bottom w:val="nil"/>
              <w:right w:val="nil"/>
            </w:tcBorders>
            <w:shd w:val="clear" w:color="auto" w:fill="auto"/>
            <w:noWrap/>
            <w:vAlign w:val="center"/>
            <w:hideMark/>
          </w:tcPr>
          <w:p w14:paraId="37A0EE8B"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186,4</w:t>
            </w:r>
          </w:p>
        </w:tc>
        <w:tc>
          <w:tcPr>
            <w:tcW w:w="1002" w:type="dxa"/>
            <w:tcBorders>
              <w:top w:val="nil"/>
              <w:left w:val="nil"/>
              <w:bottom w:val="nil"/>
              <w:right w:val="nil"/>
            </w:tcBorders>
            <w:shd w:val="clear" w:color="auto" w:fill="auto"/>
            <w:noWrap/>
            <w:vAlign w:val="center"/>
            <w:hideMark/>
          </w:tcPr>
          <w:p w14:paraId="33EC0BAF"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180,7</w:t>
            </w:r>
          </w:p>
        </w:tc>
        <w:tc>
          <w:tcPr>
            <w:tcW w:w="1002" w:type="dxa"/>
            <w:tcBorders>
              <w:top w:val="nil"/>
              <w:left w:val="nil"/>
              <w:bottom w:val="nil"/>
              <w:right w:val="single" w:sz="4" w:space="0" w:color="auto"/>
            </w:tcBorders>
            <w:shd w:val="clear" w:color="auto" w:fill="auto"/>
            <w:noWrap/>
            <w:vAlign w:val="center"/>
            <w:hideMark/>
          </w:tcPr>
          <w:p w14:paraId="01891377"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206,3</w:t>
            </w:r>
          </w:p>
        </w:tc>
      </w:tr>
      <w:tr w:rsidR="00B07378" w:rsidRPr="000D58CD" w14:paraId="6978AD51"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13FC0E93" w14:textId="77777777" w:rsidR="00B07378" w:rsidRPr="000D58CD" w:rsidRDefault="00B07378" w:rsidP="0051395F">
            <w:pPr>
              <w:spacing w:after="0" w:line="240" w:lineRule="auto"/>
              <w:rPr>
                <w:sz w:val="20"/>
                <w:szCs w:val="20"/>
                <w:lang w:eastAsia="sk-SK"/>
              </w:rPr>
            </w:pPr>
            <w:r w:rsidRPr="000D58CD">
              <w:rPr>
                <w:sz w:val="20"/>
                <w:szCs w:val="20"/>
                <w:lang w:eastAsia="sk-SK"/>
              </w:rPr>
              <w:t>Grécko</w:t>
            </w:r>
          </w:p>
        </w:tc>
        <w:tc>
          <w:tcPr>
            <w:tcW w:w="938" w:type="dxa"/>
            <w:tcBorders>
              <w:top w:val="nil"/>
              <w:left w:val="nil"/>
              <w:bottom w:val="nil"/>
              <w:right w:val="nil"/>
            </w:tcBorders>
            <w:shd w:val="clear" w:color="auto" w:fill="auto"/>
            <w:noWrap/>
            <w:vAlign w:val="center"/>
            <w:hideMark/>
          </w:tcPr>
          <w:p w14:paraId="47C7D602"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0,9</w:t>
            </w:r>
          </w:p>
        </w:tc>
        <w:tc>
          <w:tcPr>
            <w:tcW w:w="938" w:type="dxa"/>
            <w:tcBorders>
              <w:top w:val="nil"/>
              <w:left w:val="nil"/>
              <w:bottom w:val="nil"/>
              <w:right w:val="nil"/>
            </w:tcBorders>
            <w:shd w:val="clear" w:color="auto" w:fill="auto"/>
            <w:noWrap/>
            <w:vAlign w:val="center"/>
            <w:hideMark/>
          </w:tcPr>
          <w:p w14:paraId="5869E98C"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1,1</w:t>
            </w:r>
          </w:p>
        </w:tc>
        <w:tc>
          <w:tcPr>
            <w:tcW w:w="960" w:type="dxa"/>
            <w:tcBorders>
              <w:top w:val="nil"/>
              <w:left w:val="nil"/>
              <w:bottom w:val="nil"/>
              <w:right w:val="nil"/>
            </w:tcBorders>
            <w:shd w:val="clear" w:color="auto" w:fill="auto"/>
            <w:noWrap/>
            <w:vAlign w:val="center"/>
            <w:hideMark/>
          </w:tcPr>
          <w:p w14:paraId="723187B5"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-10,1</w:t>
            </w:r>
          </w:p>
        </w:tc>
        <w:tc>
          <w:tcPr>
            <w:tcW w:w="1659" w:type="dxa"/>
            <w:tcBorders>
              <w:top w:val="nil"/>
              <w:left w:val="single" w:sz="4" w:space="0" w:color="auto"/>
              <w:bottom w:val="nil"/>
              <w:right w:val="nil"/>
            </w:tcBorders>
            <w:shd w:val="clear" w:color="auto" w:fill="auto"/>
            <w:noWrap/>
            <w:vAlign w:val="center"/>
            <w:hideMark/>
          </w:tcPr>
          <w:p w14:paraId="71302183" w14:textId="77777777" w:rsidR="00B07378" w:rsidRPr="000D58CD" w:rsidRDefault="00B07378" w:rsidP="0051395F">
            <w:pPr>
              <w:spacing w:after="0" w:line="240" w:lineRule="auto"/>
              <w:rPr>
                <w:sz w:val="20"/>
                <w:szCs w:val="20"/>
                <w:lang w:eastAsia="sk-SK"/>
              </w:rPr>
            </w:pPr>
            <w:r w:rsidRPr="000D58CD">
              <w:rPr>
                <w:sz w:val="20"/>
                <w:szCs w:val="20"/>
                <w:lang w:eastAsia="sk-SK"/>
              </w:rPr>
              <w:t>Taliansko</w:t>
            </w:r>
          </w:p>
        </w:tc>
        <w:tc>
          <w:tcPr>
            <w:tcW w:w="1002" w:type="dxa"/>
            <w:tcBorders>
              <w:top w:val="nil"/>
              <w:left w:val="nil"/>
              <w:bottom w:val="nil"/>
              <w:right w:val="nil"/>
            </w:tcBorders>
            <w:shd w:val="clear" w:color="auto" w:fill="auto"/>
            <w:noWrap/>
            <w:vAlign w:val="center"/>
            <w:hideMark/>
          </w:tcPr>
          <w:p w14:paraId="5E829B0B"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134,4</w:t>
            </w:r>
          </w:p>
        </w:tc>
        <w:tc>
          <w:tcPr>
            <w:tcW w:w="1002" w:type="dxa"/>
            <w:tcBorders>
              <w:top w:val="nil"/>
              <w:left w:val="nil"/>
              <w:bottom w:val="nil"/>
              <w:right w:val="nil"/>
            </w:tcBorders>
            <w:shd w:val="clear" w:color="auto" w:fill="auto"/>
            <w:noWrap/>
            <w:vAlign w:val="center"/>
            <w:hideMark/>
          </w:tcPr>
          <w:p w14:paraId="5382E9F5"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134,3</w:t>
            </w:r>
          </w:p>
        </w:tc>
        <w:tc>
          <w:tcPr>
            <w:tcW w:w="1002" w:type="dxa"/>
            <w:tcBorders>
              <w:top w:val="nil"/>
              <w:left w:val="nil"/>
              <w:bottom w:val="nil"/>
              <w:right w:val="single" w:sz="4" w:space="0" w:color="auto"/>
            </w:tcBorders>
            <w:shd w:val="clear" w:color="auto" w:fill="auto"/>
            <w:noWrap/>
            <w:vAlign w:val="center"/>
            <w:hideMark/>
          </w:tcPr>
          <w:p w14:paraId="60564A99"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155,6</w:t>
            </w:r>
          </w:p>
        </w:tc>
      </w:tr>
      <w:tr w:rsidR="00B07378" w:rsidRPr="000D58CD" w14:paraId="7FEAB734"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559DDF2E" w14:textId="77777777" w:rsidR="00B07378" w:rsidRPr="000D58CD" w:rsidRDefault="00B07378" w:rsidP="0051395F">
            <w:pPr>
              <w:spacing w:after="0" w:line="240" w:lineRule="auto"/>
              <w:rPr>
                <w:sz w:val="20"/>
                <w:szCs w:val="20"/>
                <w:lang w:eastAsia="sk-SK"/>
              </w:rPr>
            </w:pPr>
            <w:r w:rsidRPr="000D58CD">
              <w:rPr>
                <w:sz w:val="20"/>
                <w:szCs w:val="20"/>
                <w:lang w:eastAsia="sk-SK"/>
              </w:rPr>
              <w:t>Malta</w:t>
            </w:r>
          </w:p>
        </w:tc>
        <w:tc>
          <w:tcPr>
            <w:tcW w:w="938" w:type="dxa"/>
            <w:tcBorders>
              <w:top w:val="nil"/>
              <w:left w:val="nil"/>
              <w:bottom w:val="nil"/>
              <w:right w:val="nil"/>
            </w:tcBorders>
            <w:shd w:val="clear" w:color="auto" w:fill="auto"/>
            <w:noWrap/>
            <w:vAlign w:val="center"/>
            <w:hideMark/>
          </w:tcPr>
          <w:p w14:paraId="2487D0FD"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1,9</w:t>
            </w:r>
          </w:p>
        </w:tc>
        <w:tc>
          <w:tcPr>
            <w:tcW w:w="938" w:type="dxa"/>
            <w:tcBorders>
              <w:top w:val="nil"/>
              <w:left w:val="nil"/>
              <w:bottom w:val="nil"/>
              <w:right w:val="nil"/>
            </w:tcBorders>
            <w:shd w:val="clear" w:color="auto" w:fill="auto"/>
            <w:noWrap/>
            <w:vAlign w:val="center"/>
            <w:hideMark/>
          </w:tcPr>
          <w:p w14:paraId="09693542"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0,5</w:t>
            </w:r>
          </w:p>
        </w:tc>
        <w:tc>
          <w:tcPr>
            <w:tcW w:w="960" w:type="dxa"/>
            <w:tcBorders>
              <w:top w:val="nil"/>
              <w:left w:val="nil"/>
              <w:bottom w:val="nil"/>
              <w:right w:val="nil"/>
            </w:tcBorders>
            <w:shd w:val="clear" w:color="auto" w:fill="auto"/>
            <w:noWrap/>
            <w:vAlign w:val="center"/>
            <w:hideMark/>
          </w:tcPr>
          <w:p w14:paraId="242CD30F"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-9,7</w:t>
            </w:r>
          </w:p>
        </w:tc>
        <w:tc>
          <w:tcPr>
            <w:tcW w:w="1659" w:type="dxa"/>
            <w:tcBorders>
              <w:top w:val="nil"/>
              <w:left w:val="single" w:sz="4" w:space="0" w:color="auto"/>
              <w:bottom w:val="nil"/>
              <w:right w:val="nil"/>
            </w:tcBorders>
            <w:shd w:val="clear" w:color="auto" w:fill="auto"/>
            <w:noWrap/>
            <w:vAlign w:val="center"/>
            <w:hideMark/>
          </w:tcPr>
          <w:p w14:paraId="66A9B51F" w14:textId="77777777" w:rsidR="00B07378" w:rsidRPr="000D58CD" w:rsidRDefault="00B07378" w:rsidP="0051395F">
            <w:pPr>
              <w:spacing w:after="0" w:line="240" w:lineRule="auto"/>
              <w:rPr>
                <w:sz w:val="20"/>
                <w:szCs w:val="20"/>
                <w:lang w:eastAsia="sk-SK"/>
              </w:rPr>
            </w:pPr>
            <w:r w:rsidRPr="000D58CD">
              <w:rPr>
                <w:sz w:val="20"/>
                <w:szCs w:val="20"/>
                <w:lang w:eastAsia="sk-SK"/>
              </w:rPr>
              <w:t>Portugalsko</w:t>
            </w:r>
          </w:p>
        </w:tc>
        <w:tc>
          <w:tcPr>
            <w:tcW w:w="1002" w:type="dxa"/>
            <w:tcBorders>
              <w:top w:val="nil"/>
              <w:left w:val="nil"/>
              <w:bottom w:val="nil"/>
              <w:right w:val="nil"/>
            </w:tcBorders>
            <w:shd w:val="clear" w:color="auto" w:fill="auto"/>
            <w:noWrap/>
            <w:vAlign w:val="center"/>
            <w:hideMark/>
          </w:tcPr>
          <w:p w14:paraId="17965BD4"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121,5</w:t>
            </w:r>
          </w:p>
        </w:tc>
        <w:tc>
          <w:tcPr>
            <w:tcW w:w="1002" w:type="dxa"/>
            <w:tcBorders>
              <w:top w:val="nil"/>
              <w:left w:val="nil"/>
              <w:bottom w:val="nil"/>
              <w:right w:val="nil"/>
            </w:tcBorders>
            <w:shd w:val="clear" w:color="auto" w:fill="auto"/>
            <w:noWrap/>
            <w:vAlign w:val="center"/>
            <w:hideMark/>
          </w:tcPr>
          <w:p w14:paraId="7E4D8743"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116,6</w:t>
            </w:r>
          </w:p>
        </w:tc>
        <w:tc>
          <w:tcPr>
            <w:tcW w:w="1002" w:type="dxa"/>
            <w:tcBorders>
              <w:top w:val="nil"/>
              <w:left w:val="nil"/>
              <w:bottom w:val="nil"/>
              <w:right w:val="single" w:sz="4" w:space="0" w:color="auto"/>
            </w:tcBorders>
            <w:shd w:val="clear" w:color="auto" w:fill="auto"/>
            <w:noWrap/>
            <w:vAlign w:val="center"/>
            <w:hideMark/>
          </w:tcPr>
          <w:p w14:paraId="7F4B1ED4"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135,2</w:t>
            </w:r>
          </w:p>
        </w:tc>
      </w:tr>
      <w:tr w:rsidR="00B07378" w:rsidRPr="000D58CD" w14:paraId="054AC9F5"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6A834065" w14:textId="77777777" w:rsidR="00B07378" w:rsidRPr="000D58CD" w:rsidRDefault="00B07378" w:rsidP="0051395F">
            <w:pPr>
              <w:spacing w:after="0" w:line="240" w:lineRule="auto"/>
              <w:rPr>
                <w:sz w:val="20"/>
                <w:szCs w:val="20"/>
                <w:lang w:eastAsia="sk-SK"/>
              </w:rPr>
            </w:pPr>
            <w:r w:rsidRPr="000D58CD">
              <w:rPr>
                <w:sz w:val="20"/>
                <w:szCs w:val="20"/>
                <w:lang w:eastAsia="sk-SK"/>
              </w:rPr>
              <w:t>Taliansko</w:t>
            </w:r>
          </w:p>
        </w:tc>
        <w:tc>
          <w:tcPr>
            <w:tcW w:w="938" w:type="dxa"/>
            <w:tcBorders>
              <w:top w:val="nil"/>
              <w:left w:val="nil"/>
              <w:bottom w:val="nil"/>
              <w:right w:val="nil"/>
            </w:tcBorders>
            <w:shd w:val="clear" w:color="auto" w:fill="auto"/>
            <w:noWrap/>
            <w:vAlign w:val="center"/>
            <w:hideMark/>
          </w:tcPr>
          <w:p w14:paraId="484A624B"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-2,2</w:t>
            </w:r>
          </w:p>
        </w:tc>
        <w:tc>
          <w:tcPr>
            <w:tcW w:w="938" w:type="dxa"/>
            <w:tcBorders>
              <w:top w:val="nil"/>
              <w:left w:val="nil"/>
              <w:bottom w:val="nil"/>
              <w:right w:val="nil"/>
            </w:tcBorders>
            <w:shd w:val="clear" w:color="auto" w:fill="auto"/>
            <w:noWrap/>
            <w:vAlign w:val="center"/>
            <w:hideMark/>
          </w:tcPr>
          <w:p w14:paraId="68A9BDE5"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-1,5</w:t>
            </w:r>
          </w:p>
        </w:tc>
        <w:tc>
          <w:tcPr>
            <w:tcW w:w="960" w:type="dxa"/>
            <w:tcBorders>
              <w:top w:val="nil"/>
              <w:left w:val="nil"/>
              <w:bottom w:val="nil"/>
              <w:right w:val="nil"/>
            </w:tcBorders>
            <w:shd w:val="clear" w:color="auto" w:fill="auto"/>
            <w:noWrap/>
            <w:vAlign w:val="center"/>
            <w:hideMark/>
          </w:tcPr>
          <w:p w14:paraId="52E6F48C"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-9,6</w:t>
            </w:r>
          </w:p>
        </w:tc>
        <w:tc>
          <w:tcPr>
            <w:tcW w:w="1659" w:type="dxa"/>
            <w:tcBorders>
              <w:top w:val="nil"/>
              <w:left w:val="single" w:sz="4" w:space="0" w:color="auto"/>
              <w:bottom w:val="nil"/>
              <w:right w:val="nil"/>
            </w:tcBorders>
            <w:shd w:val="clear" w:color="auto" w:fill="auto"/>
            <w:noWrap/>
            <w:vAlign w:val="center"/>
            <w:hideMark/>
          </w:tcPr>
          <w:p w14:paraId="01409074" w14:textId="77777777" w:rsidR="00B07378" w:rsidRPr="000D58CD" w:rsidRDefault="00B07378" w:rsidP="0051395F">
            <w:pPr>
              <w:spacing w:after="0" w:line="240" w:lineRule="auto"/>
              <w:rPr>
                <w:sz w:val="20"/>
                <w:szCs w:val="20"/>
                <w:lang w:eastAsia="sk-SK"/>
              </w:rPr>
            </w:pPr>
            <w:r w:rsidRPr="000D58CD">
              <w:rPr>
                <w:sz w:val="20"/>
                <w:szCs w:val="20"/>
                <w:lang w:eastAsia="sk-SK"/>
              </w:rPr>
              <w:t>Španielsko</w:t>
            </w:r>
          </w:p>
        </w:tc>
        <w:tc>
          <w:tcPr>
            <w:tcW w:w="1002" w:type="dxa"/>
            <w:tcBorders>
              <w:top w:val="nil"/>
              <w:left w:val="nil"/>
              <w:bottom w:val="nil"/>
              <w:right w:val="nil"/>
            </w:tcBorders>
            <w:shd w:val="clear" w:color="auto" w:fill="auto"/>
            <w:noWrap/>
            <w:vAlign w:val="center"/>
            <w:hideMark/>
          </w:tcPr>
          <w:p w14:paraId="24F273B4"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97,5</w:t>
            </w:r>
          </w:p>
        </w:tc>
        <w:tc>
          <w:tcPr>
            <w:tcW w:w="1002" w:type="dxa"/>
            <w:tcBorders>
              <w:top w:val="nil"/>
              <w:left w:val="nil"/>
              <w:bottom w:val="nil"/>
              <w:right w:val="nil"/>
            </w:tcBorders>
            <w:shd w:val="clear" w:color="auto" w:fill="auto"/>
            <w:noWrap/>
            <w:vAlign w:val="center"/>
            <w:hideMark/>
          </w:tcPr>
          <w:p w14:paraId="044D97C3"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95,5</w:t>
            </w:r>
          </w:p>
        </w:tc>
        <w:tc>
          <w:tcPr>
            <w:tcW w:w="1002" w:type="dxa"/>
            <w:tcBorders>
              <w:top w:val="nil"/>
              <w:left w:val="nil"/>
              <w:bottom w:val="nil"/>
              <w:right w:val="single" w:sz="4" w:space="0" w:color="auto"/>
            </w:tcBorders>
            <w:shd w:val="clear" w:color="auto" w:fill="auto"/>
            <w:noWrap/>
            <w:vAlign w:val="center"/>
            <w:hideMark/>
          </w:tcPr>
          <w:p w14:paraId="2FC3CAE0"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120,0</w:t>
            </w:r>
          </w:p>
        </w:tc>
      </w:tr>
      <w:tr w:rsidR="00B07378" w:rsidRPr="000D58CD" w14:paraId="4BF645E8"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21327E48" w14:textId="77777777" w:rsidR="00B07378" w:rsidRPr="000D58CD" w:rsidRDefault="00B07378" w:rsidP="0051395F">
            <w:pPr>
              <w:spacing w:after="0" w:line="240" w:lineRule="auto"/>
              <w:rPr>
                <w:sz w:val="20"/>
                <w:szCs w:val="20"/>
                <w:lang w:eastAsia="sk-SK"/>
              </w:rPr>
            </w:pPr>
            <w:r w:rsidRPr="000D58CD">
              <w:rPr>
                <w:sz w:val="20"/>
                <w:szCs w:val="20"/>
                <w:lang w:eastAsia="sk-SK"/>
              </w:rPr>
              <w:t>Rumunsko</w:t>
            </w:r>
          </w:p>
        </w:tc>
        <w:tc>
          <w:tcPr>
            <w:tcW w:w="938" w:type="dxa"/>
            <w:tcBorders>
              <w:top w:val="nil"/>
              <w:left w:val="nil"/>
              <w:bottom w:val="nil"/>
              <w:right w:val="nil"/>
            </w:tcBorders>
            <w:shd w:val="clear" w:color="auto" w:fill="auto"/>
            <w:noWrap/>
            <w:vAlign w:val="center"/>
            <w:hideMark/>
          </w:tcPr>
          <w:p w14:paraId="292349D1"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-2,9</w:t>
            </w:r>
          </w:p>
        </w:tc>
        <w:tc>
          <w:tcPr>
            <w:tcW w:w="938" w:type="dxa"/>
            <w:tcBorders>
              <w:top w:val="nil"/>
              <w:left w:val="nil"/>
              <w:bottom w:val="nil"/>
              <w:right w:val="nil"/>
            </w:tcBorders>
            <w:shd w:val="clear" w:color="auto" w:fill="auto"/>
            <w:noWrap/>
            <w:vAlign w:val="center"/>
            <w:hideMark/>
          </w:tcPr>
          <w:p w14:paraId="49D394DB"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-4,4</w:t>
            </w:r>
          </w:p>
        </w:tc>
        <w:tc>
          <w:tcPr>
            <w:tcW w:w="960" w:type="dxa"/>
            <w:tcBorders>
              <w:top w:val="nil"/>
              <w:left w:val="nil"/>
              <w:bottom w:val="nil"/>
              <w:right w:val="nil"/>
            </w:tcBorders>
            <w:shd w:val="clear" w:color="auto" w:fill="auto"/>
            <w:noWrap/>
            <w:vAlign w:val="center"/>
            <w:hideMark/>
          </w:tcPr>
          <w:p w14:paraId="5502610C"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-9,4</w:t>
            </w:r>
          </w:p>
        </w:tc>
        <w:tc>
          <w:tcPr>
            <w:tcW w:w="1659" w:type="dxa"/>
            <w:tcBorders>
              <w:top w:val="nil"/>
              <w:left w:val="single" w:sz="4" w:space="0" w:color="auto"/>
              <w:bottom w:val="nil"/>
              <w:right w:val="nil"/>
            </w:tcBorders>
            <w:shd w:val="clear" w:color="auto" w:fill="auto"/>
            <w:noWrap/>
            <w:vAlign w:val="center"/>
            <w:hideMark/>
          </w:tcPr>
          <w:p w14:paraId="5751F674" w14:textId="77777777" w:rsidR="00B07378" w:rsidRPr="000D58CD" w:rsidRDefault="00B07378" w:rsidP="0051395F">
            <w:pPr>
              <w:spacing w:after="0" w:line="240" w:lineRule="auto"/>
              <w:rPr>
                <w:sz w:val="20"/>
                <w:szCs w:val="20"/>
                <w:lang w:eastAsia="sk-SK"/>
              </w:rPr>
            </w:pPr>
            <w:r w:rsidRPr="000D58CD">
              <w:rPr>
                <w:sz w:val="20"/>
                <w:szCs w:val="20"/>
                <w:lang w:eastAsia="sk-SK"/>
              </w:rPr>
              <w:t>Cyprus</w:t>
            </w:r>
          </w:p>
        </w:tc>
        <w:tc>
          <w:tcPr>
            <w:tcW w:w="1002" w:type="dxa"/>
            <w:tcBorders>
              <w:top w:val="nil"/>
              <w:left w:val="nil"/>
              <w:bottom w:val="nil"/>
              <w:right w:val="nil"/>
            </w:tcBorders>
            <w:shd w:val="clear" w:color="auto" w:fill="auto"/>
            <w:noWrap/>
            <w:vAlign w:val="center"/>
            <w:hideMark/>
          </w:tcPr>
          <w:p w14:paraId="7E68ABF5"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98,4</w:t>
            </w:r>
          </w:p>
        </w:tc>
        <w:tc>
          <w:tcPr>
            <w:tcW w:w="1002" w:type="dxa"/>
            <w:tcBorders>
              <w:top w:val="nil"/>
              <w:left w:val="nil"/>
              <w:bottom w:val="nil"/>
              <w:right w:val="nil"/>
            </w:tcBorders>
            <w:shd w:val="clear" w:color="auto" w:fill="auto"/>
            <w:noWrap/>
            <w:vAlign w:val="center"/>
            <w:hideMark/>
          </w:tcPr>
          <w:p w14:paraId="1099E4D2"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91,1</w:t>
            </w:r>
          </w:p>
        </w:tc>
        <w:tc>
          <w:tcPr>
            <w:tcW w:w="1002" w:type="dxa"/>
            <w:tcBorders>
              <w:top w:val="nil"/>
              <w:left w:val="nil"/>
              <w:bottom w:val="nil"/>
              <w:right w:val="single" w:sz="4" w:space="0" w:color="auto"/>
            </w:tcBorders>
            <w:shd w:val="clear" w:color="auto" w:fill="auto"/>
            <w:noWrap/>
            <w:vAlign w:val="center"/>
            <w:hideMark/>
          </w:tcPr>
          <w:p w14:paraId="7AEC07DB"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115,3</w:t>
            </w:r>
          </w:p>
        </w:tc>
      </w:tr>
      <w:tr w:rsidR="00B07378" w:rsidRPr="000D58CD" w14:paraId="34A64349"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41E4BE1B" w14:textId="77777777" w:rsidR="00B07378" w:rsidRPr="000D58CD" w:rsidRDefault="00B07378" w:rsidP="0051395F">
            <w:pPr>
              <w:spacing w:after="0" w:line="240" w:lineRule="auto"/>
              <w:rPr>
                <w:sz w:val="20"/>
                <w:szCs w:val="20"/>
                <w:lang w:eastAsia="sk-SK"/>
              </w:rPr>
            </w:pPr>
            <w:r w:rsidRPr="000D58CD">
              <w:rPr>
                <w:sz w:val="20"/>
                <w:szCs w:val="20"/>
                <w:lang w:eastAsia="sk-SK"/>
              </w:rPr>
              <w:t>Francúzsko</w:t>
            </w:r>
          </w:p>
        </w:tc>
        <w:tc>
          <w:tcPr>
            <w:tcW w:w="938" w:type="dxa"/>
            <w:tcBorders>
              <w:top w:val="nil"/>
              <w:left w:val="nil"/>
              <w:bottom w:val="nil"/>
              <w:right w:val="nil"/>
            </w:tcBorders>
            <w:shd w:val="clear" w:color="auto" w:fill="auto"/>
            <w:noWrap/>
            <w:vAlign w:val="center"/>
            <w:hideMark/>
          </w:tcPr>
          <w:p w14:paraId="7F5DF011"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-2,3</w:t>
            </w:r>
          </w:p>
        </w:tc>
        <w:tc>
          <w:tcPr>
            <w:tcW w:w="938" w:type="dxa"/>
            <w:tcBorders>
              <w:top w:val="nil"/>
              <w:left w:val="nil"/>
              <w:bottom w:val="nil"/>
              <w:right w:val="nil"/>
            </w:tcBorders>
            <w:shd w:val="clear" w:color="auto" w:fill="auto"/>
            <w:noWrap/>
            <w:vAlign w:val="center"/>
            <w:hideMark/>
          </w:tcPr>
          <w:p w14:paraId="51CFA958"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-3,1</w:t>
            </w:r>
          </w:p>
        </w:tc>
        <w:tc>
          <w:tcPr>
            <w:tcW w:w="960" w:type="dxa"/>
            <w:tcBorders>
              <w:top w:val="nil"/>
              <w:left w:val="nil"/>
              <w:bottom w:val="nil"/>
              <w:right w:val="nil"/>
            </w:tcBorders>
            <w:shd w:val="clear" w:color="auto" w:fill="auto"/>
            <w:noWrap/>
            <w:vAlign w:val="center"/>
            <w:hideMark/>
          </w:tcPr>
          <w:p w14:paraId="26A087D6"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-9,1</w:t>
            </w:r>
          </w:p>
        </w:tc>
        <w:tc>
          <w:tcPr>
            <w:tcW w:w="1659" w:type="dxa"/>
            <w:tcBorders>
              <w:top w:val="nil"/>
              <w:left w:val="single" w:sz="4" w:space="0" w:color="auto"/>
              <w:bottom w:val="nil"/>
              <w:right w:val="nil"/>
            </w:tcBorders>
            <w:shd w:val="clear" w:color="auto" w:fill="auto"/>
            <w:noWrap/>
            <w:vAlign w:val="center"/>
            <w:hideMark/>
          </w:tcPr>
          <w:p w14:paraId="7787E1AC" w14:textId="77777777" w:rsidR="00B07378" w:rsidRPr="000D58CD" w:rsidRDefault="00B07378" w:rsidP="0051395F">
            <w:pPr>
              <w:spacing w:after="0" w:line="240" w:lineRule="auto"/>
              <w:rPr>
                <w:sz w:val="20"/>
                <w:szCs w:val="20"/>
                <w:lang w:eastAsia="sk-SK"/>
              </w:rPr>
            </w:pPr>
            <w:r w:rsidRPr="000D58CD">
              <w:rPr>
                <w:sz w:val="20"/>
                <w:szCs w:val="20"/>
                <w:lang w:eastAsia="sk-SK"/>
              </w:rPr>
              <w:t>Francúzsko</w:t>
            </w:r>
          </w:p>
        </w:tc>
        <w:tc>
          <w:tcPr>
            <w:tcW w:w="1002" w:type="dxa"/>
            <w:tcBorders>
              <w:top w:val="nil"/>
              <w:left w:val="nil"/>
              <w:bottom w:val="nil"/>
              <w:right w:val="nil"/>
            </w:tcBorders>
            <w:shd w:val="clear" w:color="auto" w:fill="auto"/>
            <w:noWrap/>
            <w:vAlign w:val="center"/>
            <w:hideMark/>
          </w:tcPr>
          <w:p w14:paraId="32E987E2"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97,8</w:t>
            </w:r>
          </w:p>
        </w:tc>
        <w:tc>
          <w:tcPr>
            <w:tcW w:w="1002" w:type="dxa"/>
            <w:tcBorders>
              <w:top w:val="nil"/>
              <w:left w:val="nil"/>
              <w:bottom w:val="nil"/>
              <w:right w:val="nil"/>
            </w:tcBorders>
            <w:shd w:val="clear" w:color="auto" w:fill="auto"/>
            <w:noWrap/>
            <w:vAlign w:val="center"/>
            <w:hideMark/>
          </w:tcPr>
          <w:p w14:paraId="440EC171"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97,5</w:t>
            </w:r>
          </w:p>
        </w:tc>
        <w:tc>
          <w:tcPr>
            <w:tcW w:w="1002" w:type="dxa"/>
            <w:tcBorders>
              <w:top w:val="nil"/>
              <w:left w:val="nil"/>
              <w:bottom w:val="nil"/>
              <w:right w:val="single" w:sz="4" w:space="0" w:color="auto"/>
            </w:tcBorders>
            <w:shd w:val="clear" w:color="auto" w:fill="auto"/>
            <w:noWrap/>
            <w:vAlign w:val="center"/>
            <w:hideMark/>
          </w:tcPr>
          <w:p w14:paraId="051FEBD0"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115,0</w:t>
            </w:r>
          </w:p>
        </w:tc>
      </w:tr>
      <w:tr w:rsidR="00B07378" w:rsidRPr="000D58CD" w14:paraId="522878D6"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69700E40" w14:textId="77777777" w:rsidR="00B07378" w:rsidRPr="000D58CD" w:rsidRDefault="00B07378" w:rsidP="0051395F">
            <w:pPr>
              <w:spacing w:after="0" w:line="240" w:lineRule="auto"/>
              <w:rPr>
                <w:sz w:val="20"/>
                <w:szCs w:val="20"/>
                <w:lang w:eastAsia="sk-SK"/>
              </w:rPr>
            </w:pPr>
            <w:r w:rsidRPr="000D58CD">
              <w:rPr>
                <w:sz w:val="20"/>
                <w:szCs w:val="20"/>
                <w:lang w:eastAsia="sk-SK"/>
              </w:rPr>
              <w:t>Belgicko</w:t>
            </w:r>
          </w:p>
        </w:tc>
        <w:tc>
          <w:tcPr>
            <w:tcW w:w="938" w:type="dxa"/>
            <w:tcBorders>
              <w:top w:val="nil"/>
              <w:left w:val="nil"/>
              <w:bottom w:val="nil"/>
              <w:right w:val="nil"/>
            </w:tcBorders>
            <w:shd w:val="clear" w:color="auto" w:fill="auto"/>
            <w:noWrap/>
            <w:vAlign w:val="center"/>
            <w:hideMark/>
          </w:tcPr>
          <w:p w14:paraId="0ADF9913"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-0,8</w:t>
            </w:r>
          </w:p>
        </w:tc>
        <w:tc>
          <w:tcPr>
            <w:tcW w:w="938" w:type="dxa"/>
            <w:tcBorders>
              <w:top w:val="nil"/>
              <w:left w:val="nil"/>
              <w:bottom w:val="nil"/>
              <w:right w:val="nil"/>
            </w:tcBorders>
            <w:shd w:val="clear" w:color="auto" w:fill="auto"/>
            <w:noWrap/>
            <w:vAlign w:val="center"/>
            <w:hideMark/>
          </w:tcPr>
          <w:p w14:paraId="3F002FFD"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-1,9</w:t>
            </w:r>
          </w:p>
        </w:tc>
        <w:tc>
          <w:tcPr>
            <w:tcW w:w="960" w:type="dxa"/>
            <w:tcBorders>
              <w:top w:val="nil"/>
              <w:left w:val="nil"/>
              <w:bottom w:val="nil"/>
              <w:right w:val="nil"/>
            </w:tcBorders>
            <w:shd w:val="clear" w:color="auto" w:fill="auto"/>
            <w:noWrap/>
            <w:vAlign w:val="center"/>
            <w:hideMark/>
          </w:tcPr>
          <w:p w14:paraId="053DDEB2"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-9,1</w:t>
            </w:r>
          </w:p>
        </w:tc>
        <w:tc>
          <w:tcPr>
            <w:tcW w:w="1659" w:type="dxa"/>
            <w:tcBorders>
              <w:top w:val="nil"/>
              <w:left w:val="single" w:sz="4" w:space="0" w:color="auto"/>
              <w:bottom w:val="nil"/>
              <w:right w:val="nil"/>
            </w:tcBorders>
            <w:shd w:val="clear" w:color="auto" w:fill="auto"/>
            <w:noWrap/>
            <w:vAlign w:val="center"/>
            <w:hideMark/>
          </w:tcPr>
          <w:p w14:paraId="319507B7" w14:textId="77777777" w:rsidR="00B07378" w:rsidRPr="000D58CD" w:rsidRDefault="00B07378" w:rsidP="0051395F">
            <w:pPr>
              <w:spacing w:after="0" w:line="240" w:lineRule="auto"/>
              <w:rPr>
                <w:sz w:val="20"/>
                <w:szCs w:val="20"/>
                <w:lang w:eastAsia="sk-SK"/>
              </w:rPr>
            </w:pPr>
            <w:r w:rsidRPr="000D58CD">
              <w:rPr>
                <w:sz w:val="20"/>
                <w:szCs w:val="20"/>
                <w:lang w:eastAsia="sk-SK"/>
              </w:rPr>
              <w:t>Belgicko</w:t>
            </w:r>
          </w:p>
        </w:tc>
        <w:tc>
          <w:tcPr>
            <w:tcW w:w="1002" w:type="dxa"/>
            <w:tcBorders>
              <w:top w:val="nil"/>
              <w:left w:val="nil"/>
              <w:bottom w:val="nil"/>
              <w:right w:val="nil"/>
            </w:tcBorders>
            <w:shd w:val="clear" w:color="auto" w:fill="auto"/>
            <w:noWrap/>
            <w:vAlign w:val="center"/>
            <w:hideMark/>
          </w:tcPr>
          <w:p w14:paraId="3D55C209"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99,9</w:t>
            </w:r>
          </w:p>
        </w:tc>
        <w:tc>
          <w:tcPr>
            <w:tcW w:w="1002" w:type="dxa"/>
            <w:tcBorders>
              <w:top w:val="nil"/>
              <w:left w:val="nil"/>
              <w:bottom w:val="nil"/>
              <w:right w:val="nil"/>
            </w:tcBorders>
            <w:shd w:val="clear" w:color="auto" w:fill="auto"/>
            <w:noWrap/>
            <w:vAlign w:val="center"/>
            <w:hideMark/>
          </w:tcPr>
          <w:p w14:paraId="1E01A2D9"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97,7</w:t>
            </w:r>
          </w:p>
        </w:tc>
        <w:tc>
          <w:tcPr>
            <w:tcW w:w="1002" w:type="dxa"/>
            <w:tcBorders>
              <w:top w:val="nil"/>
              <w:left w:val="nil"/>
              <w:bottom w:val="nil"/>
              <w:right w:val="single" w:sz="4" w:space="0" w:color="auto"/>
            </w:tcBorders>
            <w:shd w:val="clear" w:color="auto" w:fill="auto"/>
            <w:noWrap/>
            <w:vAlign w:val="center"/>
            <w:hideMark/>
          </w:tcPr>
          <w:p w14:paraId="3FD10E90"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112,8</w:t>
            </w:r>
          </w:p>
        </w:tc>
      </w:tr>
      <w:tr w:rsidR="00B07378" w:rsidRPr="000D58CD" w14:paraId="23CEE83E"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75B0915D" w14:textId="77777777" w:rsidR="00B07378" w:rsidRPr="000D58CD" w:rsidRDefault="00B07378" w:rsidP="0051395F">
            <w:pPr>
              <w:spacing w:after="0" w:line="240" w:lineRule="auto"/>
              <w:rPr>
                <w:sz w:val="20"/>
                <w:szCs w:val="20"/>
                <w:lang w:eastAsia="sk-SK"/>
              </w:rPr>
            </w:pPr>
            <w:r w:rsidRPr="000D58CD">
              <w:rPr>
                <w:sz w:val="20"/>
                <w:szCs w:val="20"/>
                <w:lang w:eastAsia="sk-SK"/>
              </w:rPr>
              <w:t>Rakúsko</w:t>
            </w:r>
          </w:p>
        </w:tc>
        <w:tc>
          <w:tcPr>
            <w:tcW w:w="938" w:type="dxa"/>
            <w:tcBorders>
              <w:top w:val="nil"/>
              <w:left w:val="nil"/>
              <w:bottom w:val="nil"/>
              <w:right w:val="nil"/>
            </w:tcBorders>
            <w:shd w:val="clear" w:color="auto" w:fill="auto"/>
            <w:noWrap/>
            <w:vAlign w:val="center"/>
            <w:hideMark/>
          </w:tcPr>
          <w:p w14:paraId="11C5A502"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0,2</w:t>
            </w:r>
          </w:p>
        </w:tc>
        <w:tc>
          <w:tcPr>
            <w:tcW w:w="938" w:type="dxa"/>
            <w:tcBorders>
              <w:top w:val="nil"/>
              <w:left w:val="nil"/>
              <w:bottom w:val="nil"/>
              <w:right w:val="nil"/>
            </w:tcBorders>
            <w:shd w:val="clear" w:color="auto" w:fill="auto"/>
            <w:noWrap/>
            <w:vAlign w:val="center"/>
            <w:hideMark/>
          </w:tcPr>
          <w:p w14:paraId="6657F9E4"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0,6</w:t>
            </w:r>
          </w:p>
        </w:tc>
        <w:tc>
          <w:tcPr>
            <w:tcW w:w="960" w:type="dxa"/>
            <w:tcBorders>
              <w:top w:val="nil"/>
              <w:left w:val="nil"/>
              <w:bottom w:val="nil"/>
              <w:right w:val="nil"/>
            </w:tcBorders>
            <w:shd w:val="clear" w:color="auto" w:fill="auto"/>
            <w:noWrap/>
            <w:vAlign w:val="center"/>
            <w:hideMark/>
          </w:tcPr>
          <w:p w14:paraId="581A9A8F"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-8,3</w:t>
            </w:r>
          </w:p>
        </w:tc>
        <w:tc>
          <w:tcPr>
            <w:tcW w:w="1659" w:type="dxa"/>
            <w:tcBorders>
              <w:top w:val="nil"/>
              <w:left w:val="single" w:sz="4" w:space="0" w:color="auto"/>
              <w:bottom w:val="nil"/>
              <w:right w:val="nil"/>
            </w:tcBorders>
            <w:shd w:val="clear" w:color="auto" w:fill="auto"/>
            <w:noWrap/>
            <w:vAlign w:val="center"/>
            <w:hideMark/>
          </w:tcPr>
          <w:p w14:paraId="0FA84E06" w14:textId="77777777" w:rsidR="00B07378" w:rsidRPr="000D58CD" w:rsidRDefault="00B07378" w:rsidP="0051395F">
            <w:pPr>
              <w:spacing w:after="0" w:line="240" w:lineRule="auto"/>
              <w:rPr>
                <w:sz w:val="20"/>
                <w:szCs w:val="20"/>
                <w:lang w:eastAsia="sk-SK"/>
              </w:rPr>
            </w:pPr>
            <w:r w:rsidRPr="000D58CD">
              <w:rPr>
                <w:sz w:val="20"/>
                <w:szCs w:val="20"/>
                <w:lang w:eastAsia="sk-SK"/>
              </w:rPr>
              <w:t>Chorvátsko</w:t>
            </w:r>
          </w:p>
        </w:tc>
        <w:tc>
          <w:tcPr>
            <w:tcW w:w="1002" w:type="dxa"/>
            <w:tcBorders>
              <w:top w:val="nil"/>
              <w:left w:val="nil"/>
              <w:bottom w:val="nil"/>
              <w:right w:val="nil"/>
            </w:tcBorders>
            <w:shd w:val="clear" w:color="auto" w:fill="auto"/>
            <w:noWrap/>
            <w:vAlign w:val="center"/>
            <w:hideMark/>
          </w:tcPr>
          <w:p w14:paraId="46C5E923"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73,3</w:t>
            </w:r>
          </w:p>
        </w:tc>
        <w:tc>
          <w:tcPr>
            <w:tcW w:w="1002" w:type="dxa"/>
            <w:tcBorders>
              <w:top w:val="nil"/>
              <w:left w:val="nil"/>
              <w:bottom w:val="nil"/>
              <w:right w:val="nil"/>
            </w:tcBorders>
            <w:shd w:val="clear" w:color="auto" w:fill="auto"/>
            <w:noWrap/>
            <w:vAlign w:val="center"/>
            <w:hideMark/>
          </w:tcPr>
          <w:p w14:paraId="318DBCF5"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71,1</w:t>
            </w:r>
          </w:p>
        </w:tc>
        <w:tc>
          <w:tcPr>
            <w:tcW w:w="1002" w:type="dxa"/>
            <w:tcBorders>
              <w:top w:val="nil"/>
              <w:left w:val="nil"/>
              <w:bottom w:val="nil"/>
              <w:right w:val="single" w:sz="4" w:space="0" w:color="auto"/>
            </w:tcBorders>
            <w:shd w:val="clear" w:color="auto" w:fill="auto"/>
            <w:noWrap/>
            <w:vAlign w:val="center"/>
            <w:hideMark/>
          </w:tcPr>
          <w:p w14:paraId="2596C34B"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87,3</w:t>
            </w:r>
          </w:p>
        </w:tc>
      </w:tr>
      <w:tr w:rsidR="00B07378" w:rsidRPr="000D58CD" w14:paraId="55EC7FE8"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53B05DC0" w14:textId="77777777" w:rsidR="00B07378" w:rsidRPr="000D58CD" w:rsidRDefault="00B07378" w:rsidP="0051395F">
            <w:pPr>
              <w:spacing w:after="0" w:line="240" w:lineRule="auto"/>
              <w:rPr>
                <w:sz w:val="20"/>
                <w:szCs w:val="20"/>
                <w:lang w:eastAsia="sk-SK"/>
              </w:rPr>
            </w:pPr>
            <w:r w:rsidRPr="000D58CD">
              <w:rPr>
                <w:sz w:val="20"/>
                <w:szCs w:val="20"/>
                <w:lang w:eastAsia="sk-SK"/>
              </w:rPr>
              <w:t>Maďarsko</w:t>
            </w:r>
          </w:p>
        </w:tc>
        <w:tc>
          <w:tcPr>
            <w:tcW w:w="938" w:type="dxa"/>
            <w:tcBorders>
              <w:top w:val="nil"/>
              <w:left w:val="nil"/>
              <w:bottom w:val="nil"/>
              <w:right w:val="nil"/>
            </w:tcBorders>
            <w:shd w:val="clear" w:color="auto" w:fill="auto"/>
            <w:noWrap/>
            <w:vAlign w:val="center"/>
            <w:hideMark/>
          </w:tcPr>
          <w:p w14:paraId="300976AD"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-2,1</w:t>
            </w:r>
          </w:p>
        </w:tc>
        <w:tc>
          <w:tcPr>
            <w:tcW w:w="938" w:type="dxa"/>
            <w:tcBorders>
              <w:top w:val="nil"/>
              <w:left w:val="nil"/>
              <w:bottom w:val="nil"/>
              <w:right w:val="nil"/>
            </w:tcBorders>
            <w:shd w:val="clear" w:color="auto" w:fill="auto"/>
            <w:noWrap/>
            <w:vAlign w:val="center"/>
            <w:hideMark/>
          </w:tcPr>
          <w:p w14:paraId="761AA236"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-2,1</w:t>
            </w:r>
          </w:p>
        </w:tc>
        <w:tc>
          <w:tcPr>
            <w:tcW w:w="960" w:type="dxa"/>
            <w:tcBorders>
              <w:top w:val="nil"/>
              <w:left w:val="nil"/>
              <w:bottom w:val="nil"/>
              <w:right w:val="nil"/>
            </w:tcBorders>
            <w:shd w:val="clear" w:color="auto" w:fill="auto"/>
            <w:noWrap/>
            <w:vAlign w:val="center"/>
            <w:hideMark/>
          </w:tcPr>
          <w:p w14:paraId="76CDE9E0"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-8,0</w:t>
            </w:r>
          </w:p>
        </w:tc>
        <w:tc>
          <w:tcPr>
            <w:tcW w:w="1659" w:type="dxa"/>
            <w:tcBorders>
              <w:top w:val="nil"/>
              <w:left w:val="single" w:sz="4" w:space="0" w:color="auto"/>
              <w:bottom w:val="nil"/>
              <w:right w:val="nil"/>
            </w:tcBorders>
            <w:shd w:val="clear" w:color="auto" w:fill="auto"/>
            <w:noWrap/>
            <w:vAlign w:val="center"/>
            <w:hideMark/>
          </w:tcPr>
          <w:p w14:paraId="549224BE" w14:textId="77777777" w:rsidR="00B07378" w:rsidRPr="000D58CD" w:rsidRDefault="00B07378" w:rsidP="0051395F">
            <w:pPr>
              <w:spacing w:after="0" w:line="240" w:lineRule="auto"/>
              <w:rPr>
                <w:sz w:val="20"/>
                <w:szCs w:val="20"/>
                <w:lang w:eastAsia="sk-SK"/>
              </w:rPr>
            </w:pPr>
            <w:r w:rsidRPr="000D58CD">
              <w:rPr>
                <w:sz w:val="20"/>
                <w:szCs w:val="20"/>
                <w:lang w:eastAsia="sk-SK"/>
              </w:rPr>
              <w:t>Rakúsko</w:t>
            </w:r>
          </w:p>
        </w:tc>
        <w:tc>
          <w:tcPr>
            <w:tcW w:w="1002" w:type="dxa"/>
            <w:tcBorders>
              <w:top w:val="nil"/>
              <w:left w:val="nil"/>
              <w:bottom w:val="nil"/>
              <w:right w:val="nil"/>
            </w:tcBorders>
            <w:shd w:val="clear" w:color="auto" w:fill="auto"/>
            <w:noWrap/>
            <w:vAlign w:val="center"/>
            <w:hideMark/>
          </w:tcPr>
          <w:p w14:paraId="05987C4C"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74,0</w:t>
            </w:r>
          </w:p>
        </w:tc>
        <w:tc>
          <w:tcPr>
            <w:tcW w:w="1002" w:type="dxa"/>
            <w:tcBorders>
              <w:top w:val="nil"/>
              <w:left w:val="nil"/>
              <w:bottom w:val="nil"/>
              <w:right w:val="nil"/>
            </w:tcBorders>
            <w:shd w:val="clear" w:color="auto" w:fill="auto"/>
            <w:noWrap/>
            <w:vAlign w:val="center"/>
            <w:hideMark/>
          </w:tcPr>
          <w:p w14:paraId="45E518F8"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70,6</w:t>
            </w:r>
          </w:p>
        </w:tc>
        <w:tc>
          <w:tcPr>
            <w:tcW w:w="1002" w:type="dxa"/>
            <w:tcBorders>
              <w:top w:val="nil"/>
              <w:left w:val="nil"/>
              <w:bottom w:val="nil"/>
              <w:right w:val="single" w:sz="4" w:space="0" w:color="auto"/>
            </w:tcBorders>
            <w:shd w:val="clear" w:color="auto" w:fill="auto"/>
            <w:noWrap/>
            <w:vAlign w:val="center"/>
            <w:hideMark/>
          </w:tcPr>
          <w:p w14:paraId="00FBC621"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83,2</w:t>
            </w:r>
          </w:p>
        </w:tc>
      </w:tr>
      <w:tr w:rsidR="00B07378" w:rsidRPr="000D58CD" w14:paraId="5435EF5D"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6CF3CFA8" w14:textId="77777777" w:rsidR="00B07378" w:rsidRPr="000D58CD" w:rsidRDefault="00B07378" w:rsidP="0051395F">
            <w:pPr>
              <w:spacing w:after="0" w:line="240" w:lineRule="auto"/>
              <w:rPr>
                <w:sz w:val="20"/>
                <w:szCs w:val="20"/>
                <w:lang w:eastAsia="sk-SK"/>
              </w:rPr>
            </w:pPr>
            <w:r w:rsidRPr="000D58CD">
              <w:rPr>
                <w:sz w:val="20"/>
                <w:szCs w:val="20"/>
                <w:lang w:eastAsia="sk-SK"/>
              </w:rPr>
              <w:t>Slovinsko</w:t>
            </w:r>
          </w:p>
        </w:tc>
        <w:tc>
          <w:tcPr>
            <w:tcW w:w="938" w:type="dxa"/>
            <w:tcBorders>
              <w:top w:val="nil"/>
              <w:left w:val="nil"/>
              <w:bottom w:val="nil"/>
              <w:right w:val="nil"/>
            </w:tcBorders>
            <w:shd w:val="clear" w:color="auto" w:fill="auto"/>
            <w:noWrap/>
            <w:vAlign w:val="center"/>
            <w:hideMark/>
          </w:tcPr>
          <w:p w14:paraId="6072464F"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0,7</w:t>
            </w:r>
          </w:p>
        </w:tc>
        <w:tc>
          <w:tcPr>
            <w:tcW w:w="938" w:type="dxa"/>
            <w:tcBorders>
              <w:top w:val="nil"/>
              <w:left w:val="nil"/>
              <w:bottom w:val="nil"/>
              <w:right w:val="nil"/>
            </w:tcBorders>
            <w:shd w:val="clear" w:color="auto" w:fill="auto"/>
            <w:noWrap/>
            <w:vAlign w:val="center"/>
            <w:hideMark/>
          </w:tcPr>
          <w:p w14:paraId="1B001C4B"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0,4</w:t>
            </w:r>
          </w:p>
        </w:tc>
        <w:tc>
          <w:tcPr>
            <w:tcW w:w="960" w:type="dxa"/>
            <w:tcBorders>
              <w:top w:val="nil"/>
              <w:left w:val="nil"/>
              <w:bottom w:val="nil"/>
              <w:right w:val="nil"/>
            </w:tcBorders>
            <w:shd w:val="clear" w:color="auto" w:fill="auto"/>
            <w:noWrap/>
            <w:vAlign w:val="center"/>
            <w:hideMark/>
          </w:tcPr>
          <w:p w14:paraId="6E4A29AF"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-7,7</w:t>
            </w:r>
          </w:p>
        </w:tc>
        <w:tc>
          <w:tcPr>
            <w:tcW w:w="1659" w:type="dxa"/>
            <w:tcBorders>
              <w:top w:val="nil"/>
              <w:left w:val="single" w:sz="4" w:space="0" w:color="auto"/>
              <w:bottom w:val="nil"/>
              <w:right w:val="nil"/>
            </w:tcBorders>
            <w:shd w:val="clear" w:color="auto" w:fill="auto"/>
            <w:noWrap/>
            <w:vAlign w:val="center"/>
            <w:hideMark/>
          </w:tcPr>
          <w:p w14:paraId="2E2E0082" w14:textId="77777777" w:rsidR="00B07378" w:rsidRPr="000D58CD" w:rsidRDefault="00B07378" w:rsidP="0051395F">
            <w:pPr>
              <w:spacing w:after="0" w:line="240" w:lineRule="auto"/>
              <w:rPr>
                <w:sz w:val="20"/>
                <w:szCs w:val="20"/>
                <w:lang w:eastAsia="sk-SK"/>
              </w:rPr>
            </w:pPr>
            <w:r w:rsidRPr="000D58CD">
              <w:rPr>
                <w:sz w:val="20"/>
                <w:szCs w:val="20"/>
                <w:lang w:eastAsia="sk-SK"/>
              </w:rPr>
              <w:t>Maďarsko</w:t>
            </w:r>
          </w:p>
        </w:tc>
        <w:tc>
          <w:tcPr>
            <w:tcW w:w="1002" w:type="dxa"/>
            <w:tcBorders>
              <w:top w:val="nil"/>
              <w:left w:val="nil"/>
              <w:bottom w:val="nil"/>
              <w:right w:val="nil"/>
            </w:tcBorders>
            <w:shd w:val="clear" w:color="auto" w:fill="auto"/>
            <w:noWrap/>
            <w:vAlign w:val="center"/>
            <w:hideMark/>
          </w:tcPr>
          <w:p w14:paraId="35D63E4A"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69,1</w:t>
            </w:r>
          </w:p>
        </w:tc>
        <w:tc>
          <w:tcPr>
            <w:tcW w:w="1002" w:type="dxa"/>
            <w:tcBorders>
              <w:top w:val="nil"/>
              <w:left w:val="nil"/>
              <w:bottom w:val="nil"/>
              <w:right w:val="nil"/>
            </w:tcBorders>
            <w:shd w:val="clear" w:color="auto" w:fill="auto"/>
            <w:noWrap/>
            <w:vAlign w:val="center"/>
            <w:hideMark/>
          </w:tcPr>
          <w:p w14:paraId="77206629"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65,5</w:t>
            </w:r>
          </w:p>
        </w:tc>
        <w:tc>
          <w:tcPr>
            <w:tcW w:w="1002" w:type="dxa"/>
            <w:tcBorders>
              <w:top w:val="nil"/>
              <w:left w:val="nil"/>
              <w:bottom w:val="nil"/>
              <w:right w:val="single" w:sz="4" w:space="0" w:color="auto"/>
            </w:tcBorders>
            <w:shd w:val="clear" w:color="auto" w:fill="auto"/>
            <w:noWrap/>
            <w:vAlign w:val="center"/>
            <w:hideMark/>
          </w:tcPr>
          <w:p w14:paraId="30FC2576"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80,1</w:t>
            </w:r>
          </w:p>
        </w:tc>
      </w:tr>
      <w:tr w:rsidR="00B07378" w:rsidRPr="000D58CD" w14:paraId="53C78072"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342CB846" w14:textId="77777777" w:rsidR="00B07378" w:rsidRPr="000D58CD" w:rsidRDefault="00B07378" w:rsidP="0051395F">
            <w:pPr>
              <w:spacing w:after="0" w:line="240" w:lineRule="auto"/>
              <w:rPr>
                <w:sz w:val="20"/>
                <w:szCs w:val="20"/>
                <w:lang w:eastAsia="sk-SK"/>
              </w:rPr>
            </w:pPr>
            <w:r w:rsidRPr="000D58CD">
              <w:rPr>
                <w:sz w:val="20"/>
                <w:szCs w:val="20"/>
                <w:lang w:eastAsia="sk-SK"/>
              </w:rPr>
              <w:t>Chorvátsko</w:t>
            </w:r>
          </w:p>
        </w:tc>
        <w:tc>
          <w:tcPr>
            <w:tcW w:w="938" w:type="dxa"/>
            <w:tcBorders>
              <w:top w:val="nil"/>
              <w:left w:val="nil"/>
              <w:bottom w:val="nil"/>
              <w:right w:val="nil"/>
            </w:tcBorders>
            <w:shd w:val="clear" w:color="auto" w:fill="auto"/>
            <w:noWrap/>
            <w:vAlign w:val="center"/>
            <w:hideMark/>
          </w:tcPr>
          <w:p w14:paraId="32A62814"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0,2</w:t>
            </w:r>
          </w:p>
        </w:tc>
        <w:tc>
          <w:tcPr>
            <w:tcW w:w="938" w:type="dxa"/>
            <w:tcBorders>
              <w:top w:val="nil"/>
              <w:left w:val="nil"/>
              <w:bottom w:val="nil"/>
              <w:right w:val="nil"/>
            </w:tcBorders>
            <w:shd w:val="clear" w:color="auto" w:fill="auto"/>
            <w:noWrap/>
            <w:vAlign w:val="center"/>
            <w:hideMark/>
          </w:tcPr>
          <w:p w14:paraId="2B5C4828"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0,3</w:t>
            </w:r>
          </w:p>
        </w:tc>
        <w:tc>
          <w:tcPr>
            <w:tcW w:w="960" w:type="dxa"/>
            <w:tcBorders>
              <w:top w:val="nil"/>
              <w:left w:val="nil"/>
              <w:bottom w:val="nil"/>
              <w:right w:val="nil"/>
            </w:tcBorders>
            <w:shd w:val="clear" w:color="auto" w:fill="auto"/>
            <w:noWrap/>
            <w:vAlign w:val="center"/>
            <w:hideMark/>
          </w:tcPr>
          <w:p w14:paraId="0E48E58D"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-7,4</w:t>
            </w:r>
          </w:p>
        </w:tc>
        <w:tc>
          <w:tcPr>
            <w:tcW w:w="1659" w:type="dxa"/>
            <w:tcBorders>
              <w:top w:val="nil"/>
              <w:left w:val="single" w:sz="4" w:space="0" w:color="auto"/>
              <w:bottom w:val="nil"/>
              <w:right w:val="nil"/>
            </w:tcBorders>
            <w:shd w:val="clear" w:color="auto" w:fill="auto"/>
            <w:noWrap/>
            <w:vAlign w:val="center"/>
            <w:hideMark/>
          </w:tcPr>
          <w:p w14:paraId="1D9AFC7C" w14:textId="77777777" w:rsidR="00B07378" w:rsidRPr="000D58CD" w:rsidRDefault="00B07378" w:rsidP="0051395F">
            <w:pPr>
              <w:spacing w:after="0" w:line="240" w:lineRule="auto"/>
              <w:rPr>
                <w:sz w:val="20"/>
                <w:szCs w:val="20"/>
                <w:lang w:eastAsia="sk-SK"/>
              </w:rPr>
            </w:pPr>
            <w:r w:rsidRPr="000D58CD">
              <w:rPr>
                <w:sz w:val="20"/>
                <w:szCs w:val="20"/>
                <w:lang w:eastAsia="sk-SK"/>
              </w:rPr>
              <w:t>Slovinsko</w:t>
            </w:r>
          </w:p>
        </w:tc>
        <w:tc>
          <w:tcPr>
            <w:tcW w:w="1002" w:type="dxa"/>
            <w:tcBorders>
              <w:top w:val="nil"/>
              <w:left w:val="nil"/>
              <w:bottom w:val="nil"/>
              <w:right w:val="nil"/>
            </w:tcBorders>
            <w:shd w:val="clear" w:color="auto" w:fill="auto"/>
            <w:noWrap/>
            <w:vAlign w:val="center"/>
            <w:hideMark/>
          </w:tcPr>
          <w:p w14:paraId="5DD4E59B"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70,3</w:t>
            </w:r>
          </w:p>
        </w:tc>
        <w:tc>
          <w:tcPr>
            <w:tcW w:w="1002" w:type="dxa"/>
            <w:tcBorders>
              <w:top w:val="nil"/>
              <w:left w:val="nil"/>
              <w:bottom w:val="nil"/>
              <w:right w:val="nil"/>
            </w:tcBorders>
            <w:shd w:val="clear" w:color="auto" w:fill="auto"/>
            <w:noWrap/>
            <w:vAlign w:val="center"/>
            <w:hideMark/>
          </w:tcPr>
          <w:p w14:paraId="4B794CDD"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65,6</w:t>
            </w:r>
          </w:p>
        </w:tc>
        <w:tc>
          <w:tcPr>
            <w:tcW w:w="1002" w:type="dxa"/>
            <w:tcBorders>
              <w:top w:val="nil"/>
              <w:left w:val="nil"/>
              <w:bottom w:val="nil"/>
              <w:right w:val="single" w:sz="4" w:space="0" w:color="auto"/>
            </w:tcBorders>
            <w:shd w:val="clear" w:color="auto" w:fill="auto"/>
            <w:noWrap/>
            <w:vAlign w:val="center"/>
            <w:hideMark/>
          </w:tcPr>
          <w:p w14:paraId="0786A729"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79,8</w:t>
            </w:r>
          </w:p>
        </w:tc>
      </w:tr>
      <w:tr w:rsidR="00B07378" w:rsidRPr="000D58CD" w14:paraId="31C8FE6E"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27978A3B" w14:textId="77777777" w:rsidR="00B07378" w:rsidRPr="000D58CD" w:rsidRDefault="00B07378" w:rsidP="0051395F">
            <w:pPr>
              <w:spacing w:after="0" w:line="240" w:lineRule="auto"/>
              <w:rPr>
                <w:sz w:val="20"/>
                <w:szCs w:val="20"/>
                <w:lang w:eastAsia="sk-SK"/>
              </w:rPr>
            </w:pPr>
            <w:r w:rsidRPr="000D58CD">
              <w:rPr>
                <w:sz w:val="20"/>
                <w:szCs w:val="20"/>
                <w:lang w:eastAsia="sk-SK"/>
              </w:rPr>
              <w:t>Litva</w:t>
            </w:r>
          </w:p>
        </w:tc>
        <w:tc>
          <w:tcPr>
            <w:tcW w:w="938" w:type="dxa"/>
            <w:tcBorders>
              <w:top w:val="nil"/>
              <w:left w:val="nil"/>
              <w:bottom w:val="nil"/>
              <w:right w:val="nil"/>
            </w:tcBorders>
            <w:shd w:val="clear" w:color="auto" w:fill="auto"/>
            <w:noWrap/>
            <w:vAlign w:val="center"/>
            <w:hideMark/>
          </w:tcPr>
          <w:p w14:paraId="7B9EB3B9"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0,5</w:t>
            </w:r>
          </w:p>
        </w:tc>
        <w:tc>
          <w:tcPr>
            <w:tcW w:w="938" w:type="dxa"/>
            <w:tcBorders>
              <w:top w:val="nil"/>
              <w:left w:val="nil"/>
              <w:bottom w:val="nil"/>
              <w:right w:val="nil"/>
            </w:tcBorders>
            <w:shd w:val="clear" w:color="auto" w:fill="auto"/>
            <w:noWrap/>
            <w:vAlign w:val="center"/>
            <w:hideMark/>
          </w:tcPr>
          <w:p w14:paraId="1261CC8D"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0,5</w:t>
            </w:r>
          </w:p>
        </w:tc>
        <w:tc>
          <w:tcPr>
            <w:tcW w:w="960" w:type="dxa"/>
            <w:tcBorders>
              <w:top w:val="nil"/>
              <w:left w:val="nil"/>
              <w:bottom w:val="nil"/>
              <w:right w:val="nil"/>
            </w:tcBorders>
            <w:shd w:val="clear" w:color="auto" w:fill="auto"/>
            <w:noWrap/>
            <w:vAlign w:val="center"/>
            <w:hideMark/>
          </w:tcPr>
          <w:p w14:paraId="4CF0F8F1"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-7,2</w:t>
            </w:r>
          </w:p>
        </w:tc>
        <w:tc>
          <w:tcPr>
            <w:tcW w:w="1659" w:type="dxa"/>
            <w:tcBorders>
              <w:top w:val="nil"/>
              <w:left w:val="single" w:sz="4" w:space="0" w:color="auto"/>
              <w:bottom w:val="nil"/>
              <w:right w:val="nil"/>
            </w:tcBorders>
            <w:shd w:val="clear" w:color="auto" w:fill="auto"/>
            <w:noWrap/>
            <w:vAlign w:val="center"/>
            <w:hideMark/>
          </w:tcPr>
          <w:p w14:paraId="538B0679" w14:textId="77777777" w:rsidR="00B07378" w:rsidRPr="000D58CD" w:rsidRDefault="00B07378" w:rsidP="0051395F">
            <w:pPr>
              <w:spacing w:after="0" w:line="240" w:lineRule="auto"/>
              <w:rPr>
                <w:sz w:val="20"/>
                <w:szCs w:val="20"/>
                <w:lang w:eastAsia="sk-SK"/>
              </w:rPr>
            </w:pPr>
            <w:r w:rsidRPr="000D58CD">
              <w:rPr>
                <w:sz w:val="20"/>
                <w:szCs w:val="20"/>
                <w:lang w:eastAsia="sk-SK"/>
              </w:rPr>
              <w:t>Fínsko</w:t>
            </w:r>
          </w:p>
        </w:tc>
        <w:tc>
          <w:tcPr>
            <w:tcW w:w="1002" w:type="dxa"/>
            <w:tcBorders>
              <w:top w:val="nil"/>
              <w:left w:val="nil"/>
              <w:bottom w:val="nil"/>
              <w:right w:val="nil"/>
            </w:tcBorders>
            <w:shd w:val="clear" w:color="auto" w:fill="auto"/>
            <w:noWrap/>
            <w:vAlign w:val="center"/>
            <w:hideMark/>
          </w:tcPr>
          <w:p w14:paraId="17843064"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59,8</w:t>
            </w:r>
          </w:p>
        </w:tc>
        <w:tc>
          <w:tcPr>
            <w:tcW w:w="1002" w:type="dxa"/>
            <w:tcBorders>
              <w:top w:val="nil"/>
              <w:left w:val="nil"/>
              <w:bottom w:val="nil"/>
              <w:right w:val="nil"/>
            </w:tcBorders>
            <w:shd w:val="clear" w:color="auto" w:fill="auto"/>
            <w:noWrap/>
            <w:vAlign w:val="center"/>
            <w:hideMark/>
          </w:tcPr>
          <w:p w14:paraId="45413D67"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59,5</w:t>
            </w:r>
          </w:p>
        </w:tc>
        <w:tc>
          <w:tcPr>
            <w:tcW w:w="1002" w:type="dxa"/>
            <w:tcBorders>
              <w:top w:val="nil"/>
              <w:left w:val="nil"/>
              <w:bottom w:val="nil"/>
              <w:right w:val="single" w:sz="4" w:space="0" w:color="auto"/>
            </w:tcBorders>
            <w:shd w:val="clear" w:color="auto" w:fill="auto"/>
            <w:noWrap/>
            <w:vAlign w:val="center"/>
            <w:hideMark/>
          </w:tcPr>
          <w:p w14:paraId="72DD606C"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69,5</w:t>
            </w:r>
          </w:p>
        </w:tc>
      </w:tr>
      <w:tr w:rsidR="00B07378" w:rsidRPr="000D58CD" w14:paraId="43AB5EA6"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06D58AB8" w14:textId="77777777" w:rsidR="00B07378" w:rsidRPr="000D58CD" w:rsidRDefault="00B07378" w:rsidP="0051395F">
            <w:pPr>
              <w:spacing w:after="0" w:line="240" w:lineRule="auto"/>
              <w:rPr>
                <w:sz w:val="20"/>
                <w:szCs w:val="20"/>
                <w:lang w:eastAsia="sk-SK"/>
              </w:rPr>
            </w:pPr>
            <w:r w:rsidRPr="000D58CD">
              <w:rPr>
                <w:sz w:val="20"/>
                <w:szCs w:val="20"/>
                <w:lang w:eastAsia="sk-SK"/>
              </w:rPr>
              <w:t>Poľsko</w:t>
            </w:r>
          </w:p>
        </w:tc>
        <w:tc>
          <w:tcPr>
            <w:tcW w:w="938" w:type="dxa"/>
            <w:tcBorders>
              <w:top w:val="nil"/>
              <w:left w:val="nil"/>
              <w:bottom w:val="nil"/>
              <w:right w:val="nil"/>
            </w:tcBorders>
            <w:shd w:val="clear" w:color="auto" w:fill="auto"/>
            <w:noWrap/>
            <w:vAlign w:val="center"/>
            <w:hideMark/>
          </w:tcPr>
          <w:p w14:paraId="493776A1"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-0,2</w:t>
            </w:r>
          </w:p>
        </w:tc>
        <w:tc>
          <w:tcPr>
            <w:tcW w:w="938" w:type="dxa"/>
            <w:tcBorders>
              <w:top w:val="nil"/>
              <w:left w:val="nil"/>
              <w:bottom w:val="nil"/>
              <w:right w:val="nil"/>
            </w:tcBorders>
            <w:shd w:val="clear" w:color="auto" w:fill="auto"/>
            <w:noWrap/>
            <w:vAlign w:val="center"/>
            <w:hideMark/>
          </w:tcPr>
          <w:p w14:paraId="6FCEEAC2"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-0,7</w:t>
            </w:r>
          </w:p>
        </w:tc>
        <w:tc>
          <w:tcPr>
            <w:tcW w:w="960" w:type="dxa"/>
            <w:tcBorders>
              <w:top w:val="nil"/>
              <w:left w:val="nil"/>
              <w:bottom w:val="nil"/>
              <w:right w:val="nil"/>
            </w:tcBorders>
            <w:shd w:val="clear" w:color="auto" w:fill="auto"/>
            <w:noWrap/>
            <w:vAlign w:val="center"/>
            <w:hideMark/>
          </w:tcPr>
          <w:p w14:paraId="7011005F"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-7,1</w:t>
            </w:r>
          </w:p>
        </w:tc>
        <w:tc>
          <w:tcPr>
            <w:tcW w:w="1659" w:type="dxa"/>
            <w:tcBorders>
              <w:top w:val="nil"/>
              <w:left w:val="single" w:sz="4" w:space="0" w:color="auto"/>
              <w:bottom w:val="nil"/>
              <w:right w:val="nil"/>
            </w:tcBorders>
            <w:shd w:val="clear" w:color="auto" w:fill="auto"/>
            <w:noWrap/>
            <w:vAlign w:val="center"/>
            <w:hideMark/>
          </w:tcPr>
          <w:p w14:paraId="57482BEE" w14:textId="77777777" w:rsidR="00B07378" w:rsidRPr="000D58CD" w:rsidRDefault="00B07378" w:rsidP="0051395F">
            <w:pPr>
              <w:spacing w:after="0" w:line="240" w:lineRule="auto"/>
              <w:rPr>
                <w:sz w:val="20"/>
                <w:szCs w:val="20"/>
                <w:lang w:eastAsia="sk-SK"/>
              </w:rPr>
            </w:pPr>
            <w:r w:rsidRPr="000D58CD">
              <w:rPr>
                <w:sz w:val="20"/>
                <w:szCs w:val="20"/>
                <w:lang w:eastAsia="sk-SK"/>
              </w:rPr>
              <w:t>Nemecko</w:t>
            </w:r>
          </w:p>
        </w:tc>
        <w:tc>
          <w:tcPr>
            <w:tcW w:w="1002" w:type="dxa"/>
            <w:tcBorders>
              <w:top w:val="nil"/>
              <w:left w:val="nil"/>
              <w:bottom w:val="nil"/>
              <w:right w:val="nil"/>
            </w:tcBorders>
            <w:shd w:val="clear" w:color="auto" w:fill="auto"/>
            <w:noWrap/>
            <w:vAlign w:val="center"/>
            <w:hideMark/>
          </w:tcPr>
          <w:p w14:paraId="06CA2733"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61,3</w:t>
            </w:r>
          </w:p>
        </w:tc>
        <w:tc>
          <w:tcPr>
            <w:tcW w:w="1002" w:type="dxa"/>
            <w:tcBorders>
              <w:top w:val="nil"/>
              <w:left w:val="nil"/>
              <w:bottom w:val="nil"/>
              <w:right w:val="nil"/>
            </w:tcBorders>
            <w:shd w:val="clear" w:color="auto" w:fill="auto"/>
            <w:noWrap/>
            <w:vAlign w:val="center"/>
            <w:hideMark/>
          </w:tcPr>
          <w:p w14:paraId="144E8BEC"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58,9</w:t>
            </w:r>
          </w:p>
        </w:tc>
        <w:tc>
          <w:tcPr>
            <w:tcW w:w="1002" w:type="dxa"/>
            <w:tcBorders>
              <w:top w:val="nil"/>
              <w:left w:val="nil"/>
              <w:bottom w:val="nil"/>
              <w:right w:val="single" w:sz="4" w:space="0" w:color="auto"/>
            </w:tcBorders>
            <w:shd w:val="clear" w:color="auto" w:fill="auto"/>
            <w:noWrap/>
            <w:vAlign w:val="center"/>
            <w:hideMark/>
          </w:tcPr>
          <w:p w14:paraId="245A9FA6"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68,7</w:t>
            </w:r>
          </w:p>
        </w:tc>
      </w:tr>
      <w:tr w:rsidR="00B07378" w:rsidRPr="000D58CD" w14:paraId="02103233"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205ADAC0" w14:textId="77777777" w:rsidR="00B07378" w:rsidRPr="000D58CD" w:rsidRDefault="00B07378" w:rsidP="0051395F">
            <w:pPr>
              <w:spacing w:after="0" w:line="240" w:lineRule="auto"/>
              <w:rPr>
                <w:sz w:val="20"/>
                <w:szCs w:val="20"/>
                <w:lang w:eastAsia="sk-SK"/>
              </w:rPr>
            </w:pPr>
            <w:r w:rsidRPr="000D58CD">
              <w:rPr>
                <w:sz w:val="20"/>
                <w:szCs w:val="20"/>
                <w:lang w:eastAsia="sk-SK"/>
              </w:rPr>
              <w:t>Portugalsko</w:t>
            </w:r>
          </w:p>
        </w:tc>
        <w:tc>
          <w:tcPr>
            <w:tcW w:w="938" w:type="dxa"/>
            <w:tcBorders>
              <w:top w:val="nil"/>
              <w:left w:val="nil"/>
              <w:bottom w:val="nil"/>
              <w:right w:val="nil"/>
            </w:tcBorders>
            <w:shd w:val="clear" w:color="auto" w:fill="auto"/>
            <w:noWrap/>
            <w:vAlign w:val="center"/>
            <w:hideMark/>
          </w:tcPr>
          <w:p w14:paraId="5886C66C"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-0,3</w:t>
            </w:r>
          </w:p>
        </w:tc>
        <w:tc>
          <w:tcPr>
            <w:tcW w:w="938" w:type="dxa"/>
            <w:tcBorders>
              <w:top w:val="nil"/>
              <w:left w:val="nil"/>
              <w:bottom w:val="nil"/>
              <w:right w:val="nil"/>
            </w:tcBorders>
            <w:shd w:val="clear" w:color="auto" w:fill="auto"/>
            <w:noWrap/>
            <w:vAlign w:val="center"/>
            <w:hideMark/>
          </w:tcPr>
          <w:p w14:paraId="457712CC"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0,1</w:t>
            </w:r>
          </w:p>
        </w:tc>
        <w:tc>
          <w:tcPr>
            <w:tcW w:w="960" w:type="dxa"/>
            <w:tcBorders>
              <w:top w:val="nil"/>
              <w:left w:val="nil"/>
              <w:bottom w:val="nil"/>
              <w:right w:val="nil"/>
            </w:tcBorders>
            <w:shd w:val="clear" w:color="auto" w:fill="auto"/>
            <w:noWrap/>
            <w:vAlign w:val="center"/>
            <w:hideMark/>
          </w:tcPr>
          <w:p w14:paraId="0418F5BA"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-5,8</w:t>
            </w:r>
          </w:p>
        </w:tc>
        <w:tc>
          <w:tcPr>
            <w:tcW w:w="1659" w:type="dxa"/>
            <w:tcBorders>
              <w:top w:val="nil"/>
              <w:left w:val="single" w:sz="4" w:space="0" w:color="auto"/>
              <w:bottom w:val="nil"/>
              <w:right w:val="nil"/>
            </w:tcBorders>
            <w:shd w:val="clear" w:color="auto" w:fill="auto"/>
            <w:noWrap/>
            <w:vAlign w:val="center"/>
            <w:hideMark/>
          </w:tcPr>
          <w:p w14:paraId="4C979D56" w14:textId="77777777" w:rsidR="00B07378" w:rsidRPr="000D58CD" w:rsidRDefault="00B07378" w:rsidP="0051395F">
            <w:pPr>
              <w:spacing w:after="0" w:line="240" w:lineRule="auto"/>
              <w:rPr>
                <w:b/>
                <w:bCs/>
                <w:sz w:val="20"/>
                <w:szCs w:val="20"/>
                <w:lang w:eastAsia="sk-SK"/>
              </w:rPr>
            </w:pPr>
            <w:r w:rsidRPr="000D58CD">
              <w:rPr>
                <w:b/>
                <w:bCs/>
                <w:sz w:val="20"/>
                <w:szCs w:val="20"/>
                <w:lang w:eastAsia="sk-SK"/>
              </w:rPr>
              <w:t>Slovensko</w:t>
            </w:r>
          </w:p>
        </w:tc>
        <w:tc>
          <w:tcPr>
            <w:tcW w:w="1002" w:type="dxa"/>
            <w:tcBorders>
              <w:top w:val="nil"/>
              <w:left w:val="nil"/>
              <w:bottom w:val="nil"/>
              <w:right w:val="nil"/>
            </w:tcBorders>
            <w:shd w:val="clear" w:color="auto" w:fill="auto"/>
            <w:noWrap/>
            <w:vAlign w:val="center"/>
            <w:hideMark/>
          </w:tcPr>
          <w:p w14:paraId="6F7BD1FE" w14:textId="77777777" w:rsidR="00B07378" w:rsidRPr="000D58CD" w:rsidRDefault="00B07378" w:rsidP="0051395F">
            <w:pPr>
              <w:spacing w:after="0" w:line="240" w:lineRule="auto"/>
              <w:ind w:firstLineChars="100" w:firstLine="200"/>
              <w:jc w:val="right"/>
              <w:rPr>
                <w:b/>
                <w:bCs/>
                <w:color w:val="000000"/>
                <w:sz w:val="20"/>
                <w:szCs w:val="20"/>
                <w:lang w:eastAsia="sk-SK"/>
              </w:rPr>
            </w:pPr>
            <w:r w:rsidRPr="000D58CD">
              <w:rPr>
                <w:b/>
                <w:bCs/>
                <w:color w:val="000000"/>
                <w:sz w:val="20"/>
                <w:szCs w:val="20"/>
                <w:lang w:eastAsia="sk-SK"/>
              </w:rPr>
              <w:t>49,6</w:t>
            </w:r>
          </w:p>
        </w:tc>
        <w:tc>
          <w:tcPr>
            <w:tcW w:w="1002" w:type="dxa"/>
            <w:tcBorders>
              <w:top w:val="nil"/>
              <w:left w:val="nil"/>
              <w:bottom w:val="nil"/>
              <w:right w:val="nil"/>
            </w:tcBorders>
            <w:shd w:val="clear" w:color="auto" w:fill="auto"/>
            <w:noWrap/>
            <w:vAlign w:val="center"/>
            <w:hideMark/>
          </w:tcPr>
          <w:p w14:paraId="7C33F0BC" w14:textId="77777777" w:rsidR="00B07378" w:rsidRPr="000D58CD" w:rsidRDefault="00B07378" w:rsidP="0051395F">
            <w:pPr>
              <w:spacing w:after="0" w:line="240" w:lineRule="auto"/>
              <w:ind w:firstLineChars="100" w:firstLine="200"/>
              <w:jc w:val="right"/>
              <w:rPr>
                <w:b/>
                <w:bCs/>
                <w:color w:val="000000"/>
                <w:sz w:val="20"/>
                <w:szCs w:val="20"/>
                <w:lang w:eastAsia="sk-SK"/>
              </w:rPr>
            </w:pPr>
            <w:r w:rsidRPr="000D58CD">
              <w:rPr>
                <w:b/>
                <w:bCs/>
                <w:color w:val="000000"/>
                <w:sz w:val="20"/>
                <w:szCs w:val="20"/>
                <w:lang w:eastAsia="sk-SK"/>
              </w:rPr>
              <w:t>48,1</w:t>
            </w:r>
          </w:p>
        </w:tc>
        <w:tc>
          <w:tcPr>
            <w:tcW w:w="1002" w:type="dxa"/>
            <w:tcBorders>
              <w:top w:val="nil"/>
              <w:left w:val="nil"/>
              <w:bottom w:val="nil"/>
              <w:right w:val="single" w:sz="4" w:space="0" w:color="auto"/>
            </w:tcBorders>
            <w:shd w:val="clear" w:color="auto" w:fill="auto"/>
            <w:noWrap/>
            <w:vAlign w:val="center"/>
            <w:hideMark/>
          </w:tcPr>
          <w:p w14:paraId="6FA7590D" w14:textId="77777777" w:rsidR="00B07378" w:rsidRPr="000D58CD" w:rsidRDefault="00B07378" w:rsidP="0051395F">
            <w:pPr>
              <w:spacing w:after="0" w:line="240" w:lineRule="auto"/>
              <w:ind w:firstLineChars="100" w:firstLine="200"/>
              <w:jc w:val="right"/>
              <w:rPr>
                <w:b/>
                <w:bCs/>
                <w:color w:val="000000"/>
                <w:sz w:val="20"/>
                <w:szCs w:val="20"/>
                <w:lang w:eastAsia="sk-SK"/>
              </w:rPr>
            </w:pPr>
            <w:r w:rsidRPr="000D58CD">
              <w:rPr>
                <w:b/>
                <w:bCs/>
                <w:color w:val="000000"/>
                <w:sz w:val="20"/>
                <w:szCs w:val="20"/>
                <w:lang w:eastAsia="sk-SK"/>
              </w:rPr>
              <w:t>59,7</w:t>
            </w:r>
          </w:p>
        </w:tc>
      </w:tr>
      <w:tr w:rsidR="00B07378" w:rsidRPr="000D58CD" w14:paraId="3BF6DEBF"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42628659" w14:textId="77777777" w:rsidR="00B07378" w:rsidRPr="000D58CD" w:rsidRDefault="00B07378" w:rsidP="0051395F">
            <w:pPr>
              <w:spacing w:after="0" w:line="240" w:lineRule="auto"/>
              <w:rPr>
                <w:sz w:val="20"/>
                <w:szCs w:val="20"/>
                <w:lang w:eastAsia="sk-SK"/>
              </w:rPr>
            </w:pPr>
            <w:r w:rsidRPr="000D58CD">
              <w:rPr>
                <w:sz w:val="20"/>
                <w:szCs w:val="20"/>
                <w:lang w:eastAsia="sk-SK"/>
              </w:rPr>
              <w:t>Cyprus</w:t>
            </w:r>
          </w:p>
        </w:tc>
        <w:tc>
          <w:tcPr>
            <w:tcW w:w="938" w:type="dxa"/>
            <w:tcBorders>
              <w:top w:val="nil"/>
              <w:left w:val="nil"/>
              <w:bottom w:val="nil"/>
              <w:right w:val="nil"/>
            </w:tcBorders>
            <w:shd w:val="clear" w:color="auto" w:fill="auto"/>
            <w:noWrap/>
            <w:vAlign w:val="center"/>
            <w:hideMark/>
          </w:tcPr>
          <w:p w14:paraId="58C8EA89"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-3,5</w:t>
            </w:r>
          </w:p>
        </w:tc>
        <w:tc>
          <w:tcPr>
            <w:tcW w:w="938" w:type="dxa"/>
            <w:tcBorders>
              <w:top w:val="nil"/>
              <w:left w:val="nil"/>
              <w:bottom w:val="nil"/>
              <w:right w:val="nil"/>
            </w:tcBorders>
            <w:shd w:val="clear" w:color="auto" w:fill="auto"/>
            <w:noWrap/>
            <w:vAlign w:val="center"/>
            <w:hideMark/>
          </w:tcPr>
          <w:p w14:paraId="2EDA7152"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1,3</w:t>
            </w:r>
          </w:p>
        </w:tc>
        <w:tc>
          <w:tcPr>
            <w:tcW w:w="960" w:type="dxa"/>
            <w:tcBorders>
              <w:top w:val="nil"/>
              <w:left w:val="nil"/>
              <w:bottom w:val="nil"/>
              <w:right w:val="nil"/>
            </w:tcBorders>
            <w:shd w:val="clear" w:color="auto" w:fill="auto"/>
            <w:noWrap/>
            <w:vAlign w:val="center"/>
            <w:hideMark/>
          </w:tcPr>
          <w:p w14:paraId="0D3A31AE"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-5,7</w:t>
            </w:r>
          </w:p>
        </w:tc>
        <w:tc>
          <w:tcPr>
            <w:tcW w:w="1659" w:type="dxa"/>
            <w:tcBorders>
              <w:top w:val="nil"/>
              <w:left w:val="single" w:sz="4" w:space="0" w:color="auto"/>
              <w:bottom w:val="nil"/>
              <w:right w:val="nil"/>
            </w:tcBorders>
            <w:shd w:val="clear" w:color="auto" w:fill="auto"/>
            <w:noWrap/>
            <w:vAlign w:val="center"/>
            <w:hideMark/>
          </w:tcPr>
          <w:p w14:paraId="0C90A05A" w14:textId="77777777" w:rsidR="00B07378" w:rsidRPr="000D58CD" w:rsidRDefault="00B07378" w:rsidP="0051395F">
            <w:pPr>
              <w:spacing w:after="0" w:line="240" w:lineRule="auto"/>
              <w:rPr>
                <w:sz w:val="20"/>
                <w:szCs w:val="20"/>
                <w:lang w:eastAsia="sk-SK"/>
              </w:rPr>
            </w:pPr>
            <w:r w:rsidRPr="000D58CD">
              <w:rPr>
                <w:sz w:val="20"/>
                <w:szCs w:val="20"/>
                <w:lang w:eastAsia="sk-SK"/>
              </w:rPr>
              <w:t>Írsko</w:t>
            </w:r>
          </w:p>
        </w:tc>
        <w:tc>
          <w:tcPr>
            <w:tcW w:w="1002" w:type="dxa"/>
            <w:tcBorders>
              <w:top w:val="nil"/>
              <w:left w:val="nil"/>
              <w:bottom w:val="nil"/>
              <w:right w:val="nil"/>
            </w:tcBorders>
            <w:shd w:val="clear" w:color="auto" w:fill="auto"/>
            <w:noWrap/>
            <w:vAlign w:val="center"/>
            <w:hideMark/>
          </w:tcPr>
          <w:p w14:paraId="236462C1"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63,1</w:t>
            </w:r>
          </w:p>
        </w:tc>
        <w:tc>
          <w:tcPr>
            <w:tcW w:w="1002" w:type="dxa"/>
            <w:tcBorders>
              <w:top w:val="nil"/>
              <w:left w:val="nil"/>
              <w:bottom w:val="nil"/>
              <w:right w:val="nil"/>
            </w:tcBorders>
            <w:shd w:val="clear" w:color="auto" w:fill="auto"/>
            <w:noWrap/>
            <w:vAlign w:val="center"/>
            <w:hideMark/>
          </w:tcPr>
          <w:p w14:paraId="5D2D5995"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57,2</w:t>
            </w:r>
          </w:p>
        </w:tc>
        <w:tc>
          <w:tcPr>
            <w:tcW w:w="1002" w:type="dxa"/>
            <w:tcBorders>
              <w:top w:val="nil"/>
              <w:left w:val="nil"/>
              <w:bottom w:val="nil"/>
              <w:right w:val="single" w:sz="4" w:space="0" w:color="auto"/>
            </w:tcBorders>
            <w:shd w:val="clear" w:color="auto" w:fill="auto"/>
            <w:noWrap/>
            <w:vAlign w:val="center"/>
            <w:hideMark/>
          </w:tcPr>
          <w:p w14:paraId="2FD2904E"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58,4</w:t>
            </w:r>
          </w:p>
        </w:tc>
      </w:tr>
      <w:tr w:rsidR="00B07378" w:rsidRPr="000D58CD" w14:paraId="19404DA7"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08CC1A22" w14:textId="77777777" w:rsidR="00B07378" w:rsidRPr="000D58CD" w:rsidRDefault="00B07378" w:rsidP="0051395F">
            <w:pPr>
              <w:spacing w:after="0" w:line="240" w:lineRule="auto"/>
              <w:rPr>
                <w:sz w:val="20"/>
                <w:szCs w:val="20"/>
                <w:lang w:eastAsia="sk-SK"/>
              </w:rPr>
            </w:pPr>
            <w:r w:rsidRPr="000D58CD">
              <w:rPr>
                <w:sz w:val="20"/>
                <w:szCs w:val="20"/>
                <w:lang w:eastAsia="sk-SK"/>
              </w:rPr>
              <w:t>Estónsko</w:t>
            </w:r>
          </w:p>
        </w:tc>
        <w:tc>
          <w:tcPr>
            <w:tcW w:w="938" w:type="dxa"/>
            <w:tcBorders>
              <w:top w:val="nil"/>
              <w:left w:val="nil"/>
              <w:bottom w:val="nil"/>
              <w:right w:val="nil"/>
            </w:tcBorders>
            <w:shd w:val="clear" w:color="auto" w:fill="auto"/>
            <w:noWrap/>
            <w:vAlign w:val="center"/>
            <w:hideMark/>
          </w:tcPr>
          <w:p w14:paraId="19134E8A"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-0,6</w:t>
            </w:r>
          </w:p>
        </w:tc>
        <w:tc>
          <w:tcPr>
            <w:tcW w:w="938" w:type="dxa"/>
            <w:tcBorders>
              <w:top w:val="nil"/>
              <w:left w:val="nil"/>
              <w:bottom w:val="nil"/>
              <w:right w:val="nil"/>
            </w:tcBorders>
            <w:shd w:val="clear" w:color="auto" w:fill="auto"/>
            <w:noWrap/>
            <w:vAlign w:val="center"/>
            <w:hideMark/>
          </w:tcPr>
          <w:p w14:paraId="14B8C2DA"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0,1</w:t>
            </w:r>
          </w:p>
        </w:tc>
        <w:tc>
          <w:tcPr>
            <w:tcW w:w="960" w:type="dxa"/>
            <w:tcBorders>
              <w:top w:val="nil"/>
              <w:left w:val="nil"/>
              <w:bottom w:val="nil"/>
              <w:right w:val="nil"/>
            </w:tcBorders>
            <w:shd w:val="clear" w:color="auto" w:fill="auto"/>
            <w:noWrap/>
            <w:vAlign w:val="center"/>
            <w:hideMark/>
          </w:tcPr>
          <w:p w14:paraId="0F17D9F3"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-5,6</w:t>
            </w:r>
          </w:p>
        </w:tc>
        <w:tc>
          <w:tcPr>
            <w:tcW w:w="1659" w:type="dxa"/>
            <w:tcBorders>
              <w:top w:val="nil"/>
              <w:left w:val="single" w:sz="4" w:space="0" w:color="auto"/>
              <w:bottom w:val="nil"/>
              <w:right w:val="nil"/>
            </w:tcBorders>
            <w:shd w:val="clear" w:color="auto" w:fill="auto"/>
            <w:noWrap/>
            <w:vAlign w:val="center"/>
            <w:hideMark/>
          </w:tcPr>
          <w:p w14:paraId="2110EDF6" w14:textId="77777777" w:rsidR="00B07378" w:rsidRPr="000D58CD" w:rsidRDefault="00B07378" w:rsidP="0051395F">
            <w:pPr>
              <w:spacing w:after="0" w:line="240" w:lineRule="auto"/>
              <w:rPr>
                <w:sz w:val="20"/>
                <w:szCs w:val="20"/>
                <w:lang w:eastAsia="sk-SK"/>
              </w:rPr>
            </w:pPr>
            <w:r w:rsidRPr="000D58CD">
              <w:rPr>
                <w:sz w:val="20"/>
                <w:szCs w:val="20"/>
                <w:lang w:eastAsia="sk-SK"/>
              </w:rPr>
              <w:t>Poľsko</w:t>
            </w:r>
          </w:p>
        </w:tc>
        <w:tc>
          <w:tcPr>
            <w:tcW w:w="1002" w:type="dxa"/>
            <w:tcBorders>
              <w:top w:val="nil"/>
              <w:left w:val="nil"/>
              <w:bottom w:val="nil"/>
              <w:right w:val="nil"/>
            </w:tcBorders>
            <w:shd w:val="clear" w:color="auto" w:fill="auto"/>
            <w:noWrap/>
            <w:vAlign w:val="center"/>
            <w:hideMark/>
          </w:tcPr>
          <w:p w14:paraId="2185B010"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48,8</w:t>
            </w:r>
          </w:p>
        </w:tc>
        <w:tc>
          <w:tcPr>
            <w:tcW w:w="1002" w:type="dxa"/>
            <w:tcBorders>
              <w:top w:val="nil"/>
              <w:left w:val="nil"/>
              <w:bottom w:val="nil"/>
              <w:right w:val="nil"/>
            </w:tcBorders>
            <w:shd w:val="clear" w:color="auto" w:fill="auto"/>
            <w:noWrap/>
            <w:vAlign w:val="center"/>
            <w:hideMark/>
          </w:tcPr>
          <w:p w14:paraId="20C02A69"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45,6</w:t>
            </w:r>
          </w:p>
        </w:tc>
        <w:tc>
          <w:tcPr>
            <w:tcW w:w="1002" w:type="dxa"/>
            <w:tcBorders>
              <w:top w:val="nil"/>
              <w:left w:val="nil"/>
              <w:bottom w:val="nil"/>
              <w:right w:val="single" w:sz="4" w:space="0" w:color="auto"/>
            </w:tcBorders>
            <w:shd w:val="clear" w:color="auto" w:fill="auto"/>
            <w:noWrap/>
            <w:vAlign w:val="center"/>
            <w:hideMark/>
          </w:tcPr>
          <w:p w14:paraId="0727B465"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57,4</w:t>
            </w:r>
          </w:p>
        </w:tc>
      </w:tr>
      <w:tr w:rsidR="00B07378" w:rsidRPr="000D58CD" w14:paraId="4358EF5B"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52EFB3AB" w14:textId="77777777" w:rsidR="00B07378" w:rsidRPr="000D58CD" w:rsidRDefault="00B07378" w:rsidP="0051395F">
            <w:pPr>
              <w:spacing w:after="0" w:line="240" w:lineRule="auto"/>
              <w:rPr>
                <w:sz w:val="20"/>
                <w:szCs w:val="20"/>
                <w:lang w:eastAsia="sk-SK"/>
              </w:rPr>
            </w:pPr>
            <w:r w:rsidRPr="000D58CD">
              <w:rPr>
                <w:sz w:val="20"/>
                <w:szCs w:val="20"/>
                <w:lang w:eastAsia="sk-SK"/>
              </w:rPr>
              <w:t>Česká republika</w:t>
            </w:r>
          </w:p>
        </w:tc>
        <w:tc>
          <w:tcPr>
            <w:tcW w:w="938" w:type="dxa"/>
            <w:tcBorders>
              <w:top w:val="nil"/>
              <w:left w:val="nil"/>
              <w:bottom w:val="nil"/>
              <w:right w:val="nil"/>
            </w:tcBorders>
            <w:shd w:val="clear" w:color="auto" w:fill="auto"/>
            <w:noWrap/>
            <w:vAlign w:val="center"/>
            <w:hideMark/>
          </w:tcPr>
          <w:p w14:paraId="50CC8335"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0,9</w:t>
            </w:r>
          </w:p>
        </w:tc>
        <w:tc>
          <w:tcPr>
            <w:tcW w:w="938" w:type="dxa"/>
            <w:tcBorders>
              <w:top w:val="nil"/>
              <w:left w:val="nil"/>
              <w:bottom w:val="nil"/>
              <w:right w:val="nil"/>
            </w:tcBorders>
            <w:shd w:val="clear" w:color="auto" w:fill="auto"/>
            <w:noWrap/>
            <w:vAlign w:val="center"/>
            <w:hideMark/>
          </w:tcPr>
          <w:p w14:paraId="50D26B29"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0,3</w:t>
            </w:r>
          </w:p>
        </w:tc>
        <w:tc>
          <w:tcPr>
            <w:tcW w:w="960" w:type="dxa"/>
            <w:tcBorders>
              <w:top w:val="nil"/>
              <w:left w:val="nil"/>
              <w:bottom w:val="nil"/>
              <w:right w:val="nil"/>
            </w:tcBorders>
            <w:shd w:val="clear" w:color="auto" w:fill="auto"/>
            <w:noWrap/>
            <w:vAlign w:val="center"/>
            <w:hideMark/>
          </w:tcPr>
          <w:p w14:paraId="3365D4BE"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-5,6</w:t>
            </w:r>
          </w:p>
        </w:tc>
        <w:tc>
          <w:tcPr>
            <w:tcW w:w="1659" w:type="dxa"/>
            <w:tcBorders>
              <w:top w:val="nil"/>
              <w:left w:val="single" w:sz="4" w:space="0" w:color="auto"/>
              <w:bottom w:val="nil"/>
              <w:right w:val="nil"/>
            </w:tcBorders>
            <w:shd w:val="clear" w:color="auto" w:fill="auto"/>
            <w:noWrap/>
            <w:vAlign w:val="center"/>
            <w:hideMark/>
          </w:tcPr>
          <w:p w14:paraId="649F567C" w14:textId="77777777" w:rsidR="00B07378" w:rsidRPr="000D58CD" w:rsidRDefault="00B07378" w:rsidP="0051395F">
            <w:pPr>
              <w:spacing w:after="0" w:line="240" w:lineRule="auto"/>
              <w:rPr>
                <w:sz w:val="20"/>
                <w:szCs w:val="20"/>
                <w:lang w:eastAsia="sk-SK"/>
              </w:rPr>
            </w:pPr>
            <w:r w:rsidRPr="000D58CD">
              <w:rPr>
                <w:sz w:val="20"/>
                <w:szCs w:val="20"/>
                <w:lang w:eastAsia="sk-SK"/>
              </w:rPr>
              <w:t>Holandsko</w:t>
            </w:r>
          </w:p>
        </w:tc>
        <w:tc>
          <w:tcPr>
            <w:tcW w:w="1002" w:type="dxa"/>
            <w:tcBorders>
              <w:top w:val="nil"/>
              <w:left w:val="nil"/>
              <w:bottom w:val="nil"/>
              <w:right w:val="nil"/>
            </w:tcBorders>
            <w:shd w:val="clear" w:color="auto" w:fill="auto"/>
            <w:noWrap/>
            <w:vAlign w:val="center"/>
            <w:hideMark/>
          </w:tcPr>
          <w:p w14:paraId="4FC5CE9A"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52,4</w:t>
            </w:r>
          </w:p>
        </w:tc>
        <w:tc>
          <w:tcPr>
            <w:tcW w:w="1002" w:type="dxa"/>
            <w:tcBorders>
              <w:top w:val="nil"/>
              <w:left w:val="nil"/>
              <w:bottom w:val="nil"/>
              <w:right w:val="nil"/>
            </w:tcBorders>
            <w:shd w:val="clear" w:color="auto" w:fill="auto"/>
            <w:noWrap/>
            <w:vAlign w:val="center"/>
            <w:hideMark/>
          </w:tcPr>
          <w:p w14:paraId="7293D7F0"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48,5</w:t>
            </w:r>
          </w:p>
        </w:tc>
        <w:tc>
          <w:tcPr>
            <w:tcW w:w="1002" w:type="dxa"/>
            <w:tcBorders>
              <w:top w:val="nil"/>
              <w:left w:val="nil"/>
              <w:bottom w:val="nil"/>
              <w:right w:val="single" w:sz="4" w:space="0" w:color="auto"/>
            </w:tcBorders>
            <w:shd w:val="clear" w:color="auto" w:fill="auto"/>
            <w:noWrap/>
            <w:vAlign w:val="center"/>
            <w:hideMark/>
          </w:tcPr>
          <w:p w14:paraId="2CD004E7"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54,3</w:t>
            </w:r>
          </w:p>
        </w:tc>
      </w:tr>
      <w:tr w:rsidR="00B07378" w:rsidRPr="000D58CD" w14:paraId="3A90F939"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45E33CF1" w14:textId="77777777" w:rsidR="00B07378" w:rsidRPr="000D58CD" w:rsidRDefault="00B07378" w:rsidP="0051395F">
            <w:pPr>
              <w:spacing w:after="0" w:line="240" w:lineRule="auto"/>
              <w:rPr>
                <w:b/>
                <w:bCs/>
                <w:sz w:val="20"/>
                <w:szCs w:val="20"/>
                <w:lang w:eastAsia="sk-SK"/>
              </w:rPr>
            </w:pPr>
            <w:r w:rsidRPr="000D58CD">
              <w:rPr>
                <w:b/>
                <w:bCs/>
                <w:sz w:val="20"/>
                <w:szCs w:val="20"/>
                <w:lang w:eastAsia="sk-SK"/>
              </w:rPr>
              <w:t>Slovensko</w:t>
            </w:r>
          </w:p>
        </w:tc>
        <w:tc>
          <w:tcPr>
            <w:tcW w:w="938" w:type="dxa"/>
            <w:tcBorders>
              <w:top w:val="nil"/>
              <w:left w:val="nil"/>
              <w:bottom w:val="nil"/>
              <w:right w:val="nil"/>
            </w:tcBorders>
            <w:shd w:val="clear" w:color="auto" w:fill="auto"/>
            <w:noWrap/>
            <w:vAlign w:val="center"/>
            <w:hideMark/>
          </w:tcPr>
          <w:p w14:paraId="39A5BCF2" w14:textId="77777777" w:rsidR="00B07378" w:rsidRPr="000D58CD" w:rsidRDefault="00B07378" w:rsidP="0051395F">
            <w:pPr>
              <w:spacing w:after="0" w:line="240" w:lineRule="auto"/>
              <w:ind w:firstLineChars="100" w:firstLine="200"/>
              <w:jc w:val="right"/>
              <w:rPr>
                <w:b/>
                <w:bCs/>
                <w:color w:val="000000"/>
                <w:sz w:val="20"/>
                <w:szCs w:val="20"/>
                <w:lang w:eastAsia="sk-SK"/>
              </w:rPr>
            </w:pPr>
            <w:r w:rsidRPr="000D58CD">
              <w:rPr>
                <w:b/>
                <w:bCs/>
                <w:color w:val="000000"/>
                <w:sz w:val="20"/>
                <w:szCs w:val="20"/>
                <w:lang w:eastAsia="sk-SK"/>
              </w:rPr>
              <w:t>-1,0</w:t>
            </w:r>
          </w:p>
        </w:tc>
        <w:tc>
          <w:tcPr>
            <w:tcW w:w="938" w:type="dxa"/>
            <w:tcBorders>
              <w:top w:val="nil"/>
              <w:left w:val="nil"/>
              <w:bottom w:val="nil"/>
              <w:right w:val="nil"/>
            </w:tcBorders>
            <w:shd w:val="clear" w:color="auto" w:fill="auto"/>
            <w:noWrap/>
            <w:vAlign w:val="center"/>
            <w:hideMark/>
          </w:tcPr>
          <w:p w14:paraId="264E7020" w14:textId="77777777" w:rsidR="00B07378" w:rsidRPr="000D58CD" w:rsidRDefault="00B07378" w:rsidP="0051395F">
            <w:pPr>
              <w:spacing w:after="0" w:line="240" w:lineRule="auto"/>
              <w:ind w:firstLineChars="100" w:firstLine="200"/>
              <w:jc w:val="right"/>
              <w:rPr>
                <w:b/>
                <w:bCs/>
                <w:color w:val="000000"/>
                <w:sz w:val="20"/>
                <w:szCs w:val="20"/>
                <w:lang w:eastAsia="sk-SK"/>
              </w:rPr>
            </w:pPr>
            <w:r w:rsidRPr="000D58CD">
              <w:rPr>
                <w:b/>
                <w:bCs/>
                <w:color w:val="000000"/>
                <w:sz w:val="20"/>
                <w:szCs w:val="20"/>
                <w:lang w:eastAsia="sk-SK"/>
              </w:rPr>
              <w:t>-1,3</w:t>
            </w:r>
          </w:p>
        </w:tc>
        <w:tc>
          <w:tcPr>
            <w:tcW w:w="960" w:type="dxa"/>
            <w:tcBorders>
              <w:top w:val="nil"/>
              <w:left w:val="nil"/>
              <w:bottom w:val="nil"/>
              <w:right w:val="nil"/>
            </w:tcBorders>
            <w:shd w:val="clear" w:color="auto" w:fill="auto"/>
            <w:noWrap/>
            <w:vAlign w:val="center"/>
            <w:hideMark/>
          </w:tcPr>
          <w:p w14:paraId="2A3037CB" w14:textId="77777777" w:rsidR="00B07378" w:rsidRPr="000D58CD" w:rsidRDefault="00B07378" w:rsidP="0051395F">
            <w:pPr>
              <w:spacing w:after="0" w:line="240" w:lineRule="auto"/>
              <w:ind w:firstLineChars="100" w:firstLine="200"/>
              <w:jc w:val="right"/>
              <w:rPr>
                <w:b/>
                <w:bCs/>
                <w:color w:val="000000"/>
                <w:sz w:val="20"/>
                <w:szCs w:val="20"/>
                <w:lang w:eastAsia="sk-SK"/>
              </w:rPr>
            </w:pPr>
            <w:r w:rsidRPr="000D58CD">
              <w:rPr>
                <w:b/>
                <w:bCs/>
                <w:color w:val="000000"/>
                <w:sz w:val="20"/>
                <w:szCs w:val="20"/>
                <w:lang w:eastAsia="sk-SK"/>
              </w:rPr>
              <w:t>-5,5</w:t>
            </w:r>
          </w:p>
        </w:tc>
        <w:tc>
          <w:tcPr>
            <w:tcW w:w="1659" w:type="dxa"/>
            <w:tcBorders>
              <w:top w:val="nil"/>
              <w:left w:val="single" w:sz="4" w:space="0" w:color="auto"/>
              <w:bottom w:val="nil"/>
              <w:right w:val="nil"/>
            </w:tcBorders>
            <w:shd w:val="clear" w:color="auto" w:fill="auto"/>
            <w:noWrap/>
            <w:vAlign w:val="center"/>
            <w:hideMark/>
          </w:tcPr>
          <w:p w14:paraId="16D93B1E" w14:textId="77777777" w:rsidR="00B07378" w:rsidRPr="000D58CD" w:rsidRDefault="00B07378" w:rsidP="0051395F">
            <w:pPr>
              <w:spacing w:after="0" w:line="240" w:lineRule="auto"/>
              <w:rPr>
                <w:sz w:val="20"/>
                <w:szCs w:val="20"/>
                <w:lang w:eastAsia="sk-SK"/>
              </w:rPr>
            </w:pPr>
            <w:r w:rsidRPr="000D58CD">
              <w:rPr>
                <w:sz w:val="20"/>
                <w:szCs w:val="20"/>
                <w:lang w:eastAsia="sk-SK"/>
              </w:rPr>
              <w:t>Malta</w:t>
            </w:r>
          </w:p>
        </w:tc>
        <w:tc>
          <w:tcPr>
            <w:tcW w:w="1002" w:type="dxa"/>
            <w:tcBorders>
              <w:top w:val="nil"/>
              <w:left w:val="nil"/>
              <w:bottom w:val="nil"/>
              <w:right w:val="nil"/>
            </w:tcBorders>
            <w:shd w:val="clear" w:color="auto" w:fill="auto"/>
            <w:noWrap/>
            <w:vAlign w:val="center"/>
            <w:hideMark/>
          </w:tcPr>
          <w:p w14:paraId="26BDB59B"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43,6</w:t>
            </w:r>
          </w:p>
        </w:tc>
        <w:tc>
          <w:tcPr>
            <w:tcW w:w="1002" w:type="dxa"/>
            <w:tcBorders>
              <w:top w:val="nil"/>
              <w:left w:val="nil"/>
              <w:bottom w:val="nil"/>
              <w:right w:val="nil"/>
            </w:tcBorders>
            <w:shd w:val="clear" w:color="auto" w:fill="auto"/>
            <w:noWrap/>
            <w:vAlign w:val="center"/>
            <w:hideMark/>
          </w:tcPr>
          <w:p w14:paraId="56ECCEA1"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40,7</w:t>
            </w:r>
          </w:p>
        </w:tc>
        <w:tc>
          <w:tcPr>
            <w:tcW w:w="1002" w:type="dxa"/>
            <w:tcBorders>
              <w:top w:val="nil"/>
              <w:left w:val="nil"/>
              <w:bottom w:val="nil"/>
              <w:right w:val="single" w:sz="4" w:space="0" w:color="auto"/>
            </w:tcBorders>
            <w:shd w:val="clear" w:color="auto" w:fill="auto"/>
            <w:noWrap/>
            <w:vAlign w:val="center"/>
            <w:hideMark/>
          </w:tcPr>
          <w:p w14:paraId="55BFCFBA"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53,4</w:t>
            </w:r>
          </w:p>
        </w:tc>
      </w:tr>
      <w:tr w:rsidR="00B07378" w:rsidRPr="000D58CD" w14:paraId="1F54B13E"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66B5D3B3" w14:textId="77777777" w:rsidR="00B07378" w:rsidRPr="000D58CD" w:rsidRDefault="00B07378" w:rsidP="0051395F">
            <w:pPr>
              <w:spacing w:after="0" w:line="240" w:lineRule="auto"/>
              <w:rPr>
                <w:sz w:val="20"/>
                <w:szCs w:val="20"/>
                <w:lang w:eastAsia="sk-SK"/>
              </w:rPr>
            </w:pPr>
            <w:r w:rsidRPr="000D58CD">
              <w:rPr>
                <w:sz w:val="20"/>
                <w:szCs w:val="20"/>
                <w:lang w:eastAsia="sk-SK"/>
              </w:rPr>
              <w:t>Fínsko</w:t>
            </w:r>
          </w:p>
        </w:tc>
        <w:tc>
          <w:tcPr>
            <w:tcW w:w="938" w:type="dxa"/>
            <w:tcBorders>
              <w:top w:val="nil"/>
              <w:left w:val="nil"/>
              <w:bottom w:val="nil"/>
              <w:right w:val="nil"/>
            </w:tcBorders>
            <w:shd w:val="clear" w:color="auto" w:fill="auto"/>
            <w:noWrap/>
            <w:vAlign w:val="center"/>
            <w:hideMark/>
          </w:tcPr>
          <w:p w14:paraId="68876B9E"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-0,9</w:t>
            </w:r>
          </w:p>
        </w:tc>
        <w:tc>
          <w:tcPr>
            <w:tcW w:w="938" w:type="dxa"/>
            <w:tcBorders>
              <w:top w:val="nil"/>
              <w:left w:val="nil"/>
              <w:bottom w:val="nil"/>
              <w:right w:val="nil"/>
            </w:tcBorders>
            <w:shd w:val="clear" w:color="auto" w:fill="auto"/>
            <w:noWrap/>
            <w:vAlign w:val="center"/>
            <w:hideMark/>
          </w:tcPr>
          <w:p w14:paraId="2E387453"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-0,9</w:t>
            </w:r>
          </w:p>
        </w:tc>
        <w:tc>
          <w:tcPr>
            <w:tcW w:w="960" w:type="dxa"/>
            <w:tcBorders>
              <w:top w:val="nil"/>
              <w:left w:val="nil"/>
              <w:bottom w:val="nil"/>
              <w:right w:val="nil"/>
            </w:tcBorders>
            <w:shd w:val="clear" w:color="auto" w:fill="auto"/>
            <w:noWrap/>
            <w:vAlign w:val="center"/>
            <w:hideMark/>
          </w:tcPr>
          <w:p w14:paraId="46D36B85"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-5,5</w:t>
            </w:r>
          </w:p>
        </w:tc>
        <w:tc>
          <w:tcPr>
            <w:tcW w:w="1659" w:type="dxa"/>
            <w:tcBorders>
              <w:top w:val="nil"/>
              <w:left w:val="single" w:sz="4" w:space="0" w:color="auto"/>
              <w:bottom w:val="nil"/>
              <w:right w:val="nil"/>
            </w:tcBorders>
            <w:shd w:val="clear" w:color="auto" w:fill="auto"/>
            <w:noWrap/>
            <w:vAlign w:val="center"/>
            <w:hideMark/>
          </w:tcPr>
          <w:p w14:paraId="37D09F37" w14:textId="77777777" w:rsidR="00B07378" w:rsidRPr="000D58CD" w:rsidRDefault="00B07378" w:rsidP="0051395F">
            <w:pPr>
              <w:spacing w:after="0" w:line="240" w:lineRule="auto"/>
              <w:rPr>
                <w:sz w:val="20"/>
                <w:szCs w:val="20"/>
                <w:lang w:eastAsia="sk-SK"/>
              </w:rPr>
            </w:pPr>
            <w:r w:rsidRPr="000D58CD">
              <w:rPr>
                <w:sz w:val="20"/>
                <w:szCs w:val="20"/>
                <w:lang w:eastAsia="sk-SK"/>
              </w:rPr>
              <w:t>Rumunsko</w:t>
            </w:r>
          </w:p>
        </w:tc>
        <w:tc>
          <w:tcPr>
            <w:tcW w:w="1002" w:type="dxa"/>
            <w:tcBorders>
              <w:top w:val="nil"/>
              <w:left w:val="nil"/>
              <w:bottom w:val="nil"/>
              <w:right w:val="nil"/>
            </w:tcBorders>
            <w:shd w:val="clear" w:color="auto" w:fill="auto"/>
            <w:noWrap/>
            <w:vAlign w:val="center"/>
            <w:hideMark/>
          </w:tcPr>
          <w:p w14:paraId="5978C8E9"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34,7</w:t>
            </w:r>
          </w:p>
        </w:tc>
        <w:tc>
          <w:tcPr>
            <w:tcW w:w="1002" w:type="dxa"/>
            <w:tcBorders>
              <w:top w:val="nil"/>
              <w:left w:val="nil"/>
              <w:bottom w:val="nil"/>
              <w:right w:val="nil"/>
            </w:tcBorders>
            <w:shd w:val="clear" w:color="auto" w:fill="auto"/>
            <w:noWrap/>
            <w:vAlign w:val="center"/>
            <w:hideMark/>
          </w:tcPr>
          <w:p w14:paraId="09C07AE0"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35,3</w:t>
            </w:r>
          </w:p>
        </w:tc>
        <w:tc>
          <w:tcPr>
            <w:tcW w:w="1002" w:type="dxa"/>
            <w:tcBorders>
              <w:top w:val="nil"/>
              <w:left w:val="nil"/>
              <w:bottom w:val="nil"/>
              <w:right w:val="single" w:sz="4" w:space="0" w:color="auto"/>
            </w:tcBorders>
            <w:shd w:val="clear" w:color="auto" w:fill="auto"/>
            <w:noWrap/>
            <w:vAlign w:val="center"/>
            <w:hideMark/>
          </w:tcPr>
          <w:p w14:paraId="383689E4"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47,4</w:t>
            </w:r>
          </w:p>
        </w:tc>
      </w:tr>
      <w:tr w:rsidR="00B07378" w:rsidRPr="000D58CD" w14:paraId="143E3BF4"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0F2060F5" w14:textId="77777777" w:rsidR="00B07378" w:rsidRPr="000D58CD" w:rsidRDefault="00B07378" w:rsidP="0051395F">
            <w:pPr>
              <w:spacing w:after="0" w:line="240" w:lineRule="auto"/>
              <w:rPr>
                <w:sz w:val="20"/>
                <w:szCs w:val="20"/>
                <w:lang w:eastAsia="sk-SK"/>
              </w:rPr>
            </w:pPr>
            <w:r w:rsidRPr="000D58CD">
              <w:rPr>
                <w:sz w:val="20"/>
                <w:szCs w:val="20"/>
                <w:lang w:eastAsia="sk-SK"/>
              </w:rPr>
              <w:t>Írsko</w:t>
            </w:r>
          </w:p>
        </w:tc>
        <w:tc>
          <w:tcPr>
            <w:tcW w:w="938" w:type="dxa"/>
            <w:tcBorders>
              <w:top w:val="nil"/>
              <w:left w:val="nil"/>
              <w:bottom w:val="nil"/>
              <w:right w:val="nil"/>
            </w:tcBorders>
            <w:shd w:val="clear" w:color="auto" w:fill="auto"/>
            <w:noWrap/>
            <w:vAlign w:val="center"/>
            <w:hideMark/>
          </w:tcPr>
          <w:p w14:paraId="68344AC7"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0,1</w:t>
            </w:r>
          </w:p>
        </w:tc>
        <w:tc>
          <w:tcPr>
            <w:tcW w:w="938" w:type="dxa"/>
            <w:tcBorders>
              <w:top w:val="nil"/>
              <w:left w:val="nil"/>
              <w:bottom w:val="nil"/>
              <w:right w:val="nil"/>
            </w:tcBorders>
            <w:shd w:val="clear" w:color="auto" w:fill="auto"/>
            <w:noWrap/>
            <w:vAlign w:val="center"/>
            <w:hideMark/>
          </w:tcPr>
          <w:p w14:paraId="3925A1D7"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0,5</w:t>
            </w:r>
          </w:p>
        </w:tc>
        <w:tc>
          <w:tcPr>
            <w:tcW w:w="960" w:type="dxa"/>
            <w:tcBorders>
              <w:top w:val="nil"/>
              <w:left w:val="nil"/>
              <w:bottom w:val="nil"/>
              <w:right w:val="nil"/>
            </w:tcBorders>
            <w:shd w:val="clear" w:color="auto" w:fill="auto"/>
            <w:noWrap/>
            <w:vAlign w:val="center"/>
            <w:hideMark/>
          </w:tcPr>
          <w:p w14:paraId="73BE7E02"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-4,9</w:t>
            </w:r>
          </w:p>
        </w:tc>
        <w:tc>
          <w:tcPr>
            <w:tcW w:w="1659" w:type="dxa"/>
            <w:tcBorders>
              <w:top w:val="nil"/>
              <w:left w:val="single" w:sz="4" w:space="0" w:color="auto"/>
              <w:bottom w:val="nil"/>
              <w:right w:val="nil"/>
            </w:tcBorders>
            <w:shd w:val="clear" w:color="auto" w:fill="auto"/>
            <w:noWrap/>
            <w:vAlign w:val="center"/>
            <w:hideMark/>
          </w:tcPr>
          <w:p w14:paraId="6DF508D0" w14:textId="77777777" w:rsidR="00B07378" w:rsidRPr="000D58CD" w:rsidRDefault="00B07378" w:rsidP="0051395F">
            <w:pPr>
              <w:spacing w:after="0" w:line="240" w:lineRule="auto"/>
              <w:rPr>
                <w:sz w:val="20"/>
                <w:szCs w:val="20"/>
                <w:lang w:eastAsia="sk-SK"/>
              </w:rPr>
            </w:pPr>
            <w:r w:rsidRPr="000D58CD">
              <w:rPr>
                <w:sz w:val="20"/>
                <w:szCs w:val="20"/>
                <w:lang w:eastAsia="sk-SK"/>
              </w:rPr>
              <w:t>Litva</w:t>
            </w:r>
          </w:p>
        </w:tc>
        <w:tc>
          <w:tcPr>
            <w:tcW w:w="1002" w:type="dxa"/>
            <w:tcBorders>
              <w:top w:val="nil"/>
              <w:left w:val="nil"/>
              <w:bottom w:val="nil"/>
              <w:right w:val="nil"/>
            </w:tcBorders>
            <w:shd w:val="clear" w:color="auto" w:fill="auto"/>
            <w:noWrap/>
            <w:vAlign w:val="center"/>
            <w:hideMark/>
          </w:tcPr>
          <w:p w14:paraId="6C5FF797"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33,7</w:t>
            </w:r>
          </w:p>
        </w:tc>
        <w:tc>
          <w:tcPr>
            <w:tcW w:w="1002" w:type="dxa"/>
            <w:tcBorders>
              <w:top w:val="nil"/>
              <w:left w:val="nil"/>
              <w:bottom w:val="nil"/>
              <w:right w:val="nil"/>
            </w:tcBorders>
            <w:shd w:val="clear" w:color="auto" w:fill="auto"/>
            <w:noWrap/>
            <w:vAlign w:val="center"/>
            <w:hideMark/>
          </w:tcPr>
          <w:p w14:paraId="38AA4894"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35,9</w:t>
            </w:r>
          </w:p>
        </w:tc>
        <w:tc>
          <w:tcPr>
            <w:tcW w:w="1002" w:type="dxa"/>
            <w:tcBorders>
              <w:top w:val="nil"/>
              <w:left w:val="nil"/>
              <w:bottom w:val="nil"/>
              <w:right w:val="single" w:sz="4" w:space="0" w:color="auto"/>
            </w:tcBorders>
            <w:shd w:val="clear" w:color="auto" w:fill="auto"/>
            <w:noWrap/>
            <w:vAlign w:val="center"/>
            <w:hideMark/>
          </w:tcPr>
          <w:p w14:paraId="77AF1ED1"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46,6</w:t>
            </w:r>
          </w:p>
        </w:tc>
      </w:tr>
      <w:tr w:rsidR="00B07378" w:rsidRPr="000D58CD" w14:paraId="3281DCA2"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328EB537" w14:textId="77777777" w:rsidR="00B07378" w:rsidRPr="000D58CD" w:rsidRDefault="00B07378" w:rsidP="0051395F">
            <w:pPr>
              <w:spacing w:after="0" w:line="240" w:lineRule="auto"/>
              <w:rPr>
                <w:sz w:val="20"/>
                <w:szCs w:val="20"/>
                <w:lang w:eastAsia="sk-SK"/>
              </w:rPr>
            </w:pPr>
            <w:r w:rsidRPr="000D58CD">
              <w:rPr>
                <w:sz w:val="20"/>
                <w:szCs w:val="20"/>
                <w:lang w:eastAsia="sk-SK"/>
              </w:rPr>
              <w:t>Lotyšsko</w:t>
            </w:r>
          </w:p>
        </w:tc>
        <w:tc>
          <w:tcPr>
            <w:tcW w:w="938" w:type="dxa"/>
            <w:tcBorders>
              <w:top w:val="nil"/>
              <w:left w:val="nil"/>
              <w:bottom w:val="nil"/>
              <w:right w:val="nil"/>
            </w:tcBorders>
            <w:shd w:val="clear" w:color="auto" w:fill="auto"/>
            <w:noWrap/>
            <w:vAlign w:val="center"/>
            <w:hideMark/>
          </w:tcPr>
          <w:p w14:paraId="27CAD3F3"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-0,8</w:t>
            </w:r>
          </w:p>
        </w:tc>
        <w:tc>
          <w:tcPr>
            <w:tcW w:w="938" w:type="dxa"/>
            <w:tcBorders>
              <w:top w:val="nil"/>
              <w:left w:val="nil"/>
              <w:bottom w:val="nil"/>
              <w:right w:val="nil"/>
            </w:tcBorders>
            <w:shd w:val="clear" w:color="auto" w:fill="auto"/>
            <w:noWrap/>
            <w:vAlign w:val="center"/>
            <w:hideMark/>
          </w:tcPr>
          <w:p w14:paraId="2B31EA5E"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-0,6</w:t>
            </w:r>
          </w:p>
        </w:tc>
        <w:tc>
          <w:tcPr>
            <w:tcW w:w="960" w:type="dxa"/>
            <w:tcBorders>
              <w:top w:val="nil"/>
              <w:left w:val="nil"/>
              <w:bottom w:val="nil"/>
              <w:right w:val="nil"/>
            </w:tcBorders>
            <w:shd w:val="clear" w:color="auto" w:fill="auto"/>
            <w:noWrap/>
            <w:vAlign w:val="center"/>
            <w:hideMark/>
          </w:tcPr>
          <w:p w14:paraId="34F8F0DD"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-4,5</w:t>
            </w:r>
          </w:p>
        </w:tc>
        <w:tc>
          <w:tcPr>
            <w:tcW w:w="1659" w:type="dxa"/>
            <w:tcBorders>
              <w:top w:val="nil"/>
              <w:left w:val="single" w:sz="4" w:space="0" w:color="auto"/>
              <w:bottom w:val="nil"/>
              <w:right w:val="nil"/>
            </w:tcBorders>
            <w:shd w:val="clear" w:color="auto" w:fill="auto"/>
            <w:noWrap/>
            <w:vAlign w:val="center"/>
            <w:hideMark/>
          </w:tcPr>
          <w:p w14:paraId="4D3D2A85" w14:textId="77777777" w:rsidR="00B07378" w:rsidRPr="000D58CD" w:rsidRDefault="00B07378" w:rsidP="0051395F">
            <w:pPr>
              <w:spacing w:after="0" w:line="240" w:lineRule="auto"/>
              <w:rPr>
                <w:sz w:val="20"/>
                <w:szCs w:val="20"/>
                <w:lang w:eastAsia="sk-SK"/>
              </w:rPr>
            </w:pPr>
            <w:r w:rsidRPr="000D58CD">
              <w:rPr>
                <w:sz w:val="20"/>
                <w:szCs w:val="20"/>
                <w:lang w:eastAsia="sk-SK"/>
              </w:rPr>
              <w:t>Lotyšsko</w:t>
            </w:r>
          </w:p>
        </w:tc>
        <w:tc>
          <w:tcPr>
            <w:tcW w:w="1002" w:type="dxa"/>
            <w:tcBorders>
              <w:top w:val="nil"/>
              <w:left w:val="nil"/>
              <w:bottom w:val="nil"/>
              <w:right w:val="nil"/>
            </w:tcBorders>
            <w:shd w:val="clear" w:color="auto" w:fill="auto"/>
            <w:noWrap/>
            <w:vAlign w:val="center"/>
            <w:hideMark/>
          </w:tcPr>
          <w:p w14:paraId="3E952129"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37,1</w:t>
            </w:r>
          </w:p>
        </w:tc>
        <w:tc>
          <w:tcPr>
            <w:tcW w:w="1002" w:type="dxa"/>
            <w:tcBorders>
              <w:top w:val="nil"/>
              <w:left w:val="nil"/>
              <w:bottom w:val="nil"/>
              <w:right w:val="nil"/>
            </w:tcBorders>
            <w:shd w:val="clear" w:color="auto" w:fill="auto"/>
            <w:noWrap/>
            <w:vAlign w:val="center"/>
            <w:hideMark/>
          </w:tcPr>
          <w:p w14:paraId="7A25EA7F"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36,7</w:t>
            </w:r>
          </w:p>
        </w:tc>
        <w:tc>
          <w:tcPr>
            <w:tcW w:w="1002" w:type="dxa"/>
            <w:tcBorders>
              <w:top w:val="nil"/>
              <w:left w:val="nil"/>
              <w:bottom w:val="nil"/>
              <w:right w:val="single" w:sz="4" w:space="0" w:color="auto"/>
            </w:tcBorders>
            <w:shd w:val="clear" w:color="auto" w:fill="auto"/>
            <w:noWrap/>
            <w:vAlign w:val="center"/>
            <w:hideMark/>
          </w:tcPr>
          <w:p w14:paraId="1BA20AB7"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43,2</w:t>
            </w:r>
          </w:p>
        </w:tc>
      </w:tr>
      <w:tr w:rsidR="00B07378" w:rsidRPr="000D58CD" w14:paraId="212B7AF5"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3AF9F7A3" w14:textId="77777777" w:rsidR="00B07378" w:rsidRPr="000D58CD" w:rsidRDefault="00B07378" w:rsidP="0051395F">
            <w:pPr>
              <w:spacing w:after="0" w:line="240" w:lineRule="auto"/>
              <w:rPr>
                <w:sz w:val="20"/>
                <w:szCs w:val="20"/>
                <w:lang w:eastAsia="sk-SK"/>
              </w:rPr>
            </w:pPr>
            <w:r w:rsidRPr="000D58CD">
              <w:rPr>
                <w:sz w:val="20"/>
                <w:szCs w:val="20"/>
                <w:lang w:eastAsia="sk-SK"/>
              </w:rPr>
              <w:t>Nemecko</w:t>
            </w:r>
          </w:p>
        </w:tc>
        <w:tc>
          <w:tcPr>
            <w:tcW w:w="938" w:type="dxa"/>
            <w:tcBorders>
              <w:top w:val="nil"/>
              <w:left w:val="nil"/>
              <w:bottom w:val="nil"/>
              <w:right w:val="nil"/>
            </w:tcBorders>
            <w:shd w:val="clear" w:color="auto" w:fill="auto"/>
            <w:noWrap/>
            <w:vAlign w:val="center"/>
            <w:hideMark/>
          </w:tcPr>
          <w:p w14:paraId="229DF851"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1,9</w:t>
            </w:r>
          </w:p>
        </w:tc>
        <w:tc>
          <w:tcPr>
            <w:tcW w:w="938" w:type="dxa"/>
            <w:tcBorders>
              <w:top w:val="nil"/>
              <w:left w:val="nil"/>
              <w:bottom w:val="nil"/>
              <w:right w:val="nil"/>
            </w:tcBorders>
            <w:shd w:val="clear" w:color="auto" w:fill="auto"/>
            <w:noWrap/>
            <w:vAlign w:val="center"/>
            <w:hideMark/>
          </w:tcPr>
          <w:p w14:paraId="214BF593"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1,5</w:t>
            </w:r>
          </w:p>
        </w:tc>
        <w:tc>
          <w:tcPr>
            <w:tcW w:w="960" w:type="dxa"/>
            <w:tcBorders>
              <w:top w:val="nil"/>
              <w:left w:val="nil"/>
              <w:bottom w:val="nil"/>
              <w:right w:val="nil"/>
            </w:tcBorders>
            <w:shd w:val="clear" w:color="auto" w:fill="auto"/>
            <w:noWrap/>
            <w:vAlign w:val="center"/>
            <w:hideMark/>
          </w:tcPr>
          <w:p w14:paraId="7A18BA14"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-4,3</w:t>
            </w:r>
          </w:p>
        </w:tc>
        <w:tc>
          <w:tcPr>
            <w:tcW w:w="1659" w:type="dxa"/>
            <w:tcBorders>
              <w:top w:val="nil"/>
              <w:left w:val="single" w:sz="4" w:space="0" w:color="auto"/>
              <w:bottom w:val="nil"/>
              <w:right w:val="nil"/>
            </w:tcBorders>
            <w:shd w:val="clear" w:color="auto" w:fill="auto"/>
            <w:noWrap/>
            <w:vAlign w:val="center"/>
            <w:hideMark/>
          </w:tcPr>
          <w:p w14:paraId="21A77B84" w14:textId="77777777" w:rsidR="00B07378" w:rsidRPr="000D58CD" w:rsidRDefault="00B07378" w:rsidP="0051395F">
            <w:pPr>
              <w:spacing w:after="0" w:line="240" w:lineRule="auto"/>
              <w:rPr>
                <w:sz w:val="20"/>
                <w:szCs w:val="20"/>
                <w:lang w:eastAsia="sk-SK"/>
              </w:rPr>
            </w:pPr>
            <w:r w:rsidRPr="000D58CD">
              <w:rPr>
                <w:sz w:val="20"/>
                <w:szCs w:val="20"/>
                <w:lang w:eastAsia="sk-SK"/>
              </w:rPr>
              <w:t>Dánsko</w:t>
            </w:r>
          </w:p>
        </w:tc>
        <w:tc>
          <w:tcPr>
            <w:tcW w:w="1002" w:type="dxa"/>
            <w:tcBorders>
              <w:top w:val="nil"/>
              <w:left w:val="nil"/>
              <w:bottom w:val="nil"/>
              <w:right w:val="nil"/>
            </w:tcBorders>
            <w:shd w:val="clear" w:color="auto" w:fill="auto"/>
            <w:noWrap/>
            <w:vAlign w:val="center"/>
            <w:hideMark/>
          </w:tcPr>
          <w:p w14:paraId="313A404F"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34,0</w:t>
            </w:r>
          </w:p>
        </w:tc>
        <w:tc>
          <w:tcPr>
            <w:tcW w:w="1002" w:type="dxa"/>
            <w:tcBorders>
              <w:top w:val="nil"/>
              <w:left w:val="nil"/>
              <w:bottom w:val="nil"/>
              <w:right w:val="nil"/>
            </w:tcBorders>
            <w:shd w:val="clear" w:color="auto" w:fill="auto"/>
            <w:noWrap/>
            <w:vAlign w:val="center"/>
            <w:hideMark/>
          </w:tcPr>
          <w:p w14:paraId="22C1E9DF"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33,6</w:t>
            </w:r>
          </w:p>
        </w:tc>
        <w:tc>
          <w:tcPr>
            <w:tcW w:w="1002" w:type="dxa"/>
            <w:tcBorders>
              <w:top w:val="nil"/>
              <w:left w:val="nil"/>
              <w:bottom w:val="nil"/>
              <w:right w:val="single" w:sz="4" w:space="0" w:color="auto"/>
            </w:tcBorders>
            <w:shd w:val="clear" w:color="auto" w:fill="auto"/>
            <w:noWrap/>
            <w:vAlign w:val="center"/>
            <w:hideMark/>
          </w:tcPr>
          <w:p w14:paraId="0435DB52"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42,1</w:t>
            </w:r>
          </w:p>
        </w:tc>
      </w:tr>
      <w:tr w:rsidR="00B07378" w:rsidRPr="000D58CD" w14:paraId="34616784"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1C18DC40" w14:textId="77777777" w:rsidR="00B07378" w:rsidRPr="000D58CD" w:rsidRDefault="00B07378" w:rsidP="0051395F">
            <w:pPr>
              <w:spacing w:after="0" w:line="240" w:lineRule="auto"/>
              <w:rPr>
                <w:sz w:val="20"/>
                <w:szCs w:val="20"/>
                <w:lang w:eastAsia="sk-SK"/>
              </w:rPr>
            </w:pPr>
            <w:r w:rsidRPr="000D58CD">
              <w:rPr>
                <w:sz w:val="20"/>
                <w:szCs w:val="20"/>
                <w:lang w:eastAsia="sk-SK"/>
              </w:rPr>
              <w:t>Holandsko</w:t>
            </w:r>
          </w:p>
        </w:tc>
        <w:tc>
          <w:tcPr>
            <w:tcW w:w="938" w:type="dxa"/>
            <w:tcBorders>
              <w:top w:val="nil"/>
              <w:left w:val="nil"/>
              <w:bottom w:val="nil"/>
              <w:right w:val="nil"/>
            </w:tcBorders>
            <w:shd w:val="clear" w:color="auto" w:fill="auto"/>
            <w:noWrap/>
            <w:vAlign w:val="center"/>
            <w:hideMark/>
          </w:tcPr>
          <w:p w14:paraId="00C65587"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1,4</w:t>
            </w:r>
          </w:p>
        </w:tc>
        <w:tc>
          <w:tcPr>
            <w:tcW w:w="938" w:type="dxa"/>
            <w:tcBorders>
              <w:top w:val="nil"/>
              <w:left w:val="nil"/>
              <w:bottom w:val="nil"/>
              <w:right w:val="nil"/>
            </w:tcBorders>
            <w:shd w:val="clear" w:color="auto" w:fill="auto"/>
            <w:noWrap/>
            <w:vAlign w:val="center"/>
            <w:hideMark/>
          </w:tcPr>
          <w:p w14:paraId="53CBBA17"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1,7</w:t>
            </w:r>
          </w:p>
        </w:tc>
        <w:tc>
          <w:tcPr>
            <w:tcW w:w="960" w:type="dxa"/>
            <w:tcBorders>
              <w:top w:val="nil"/>
              <w:left w:val="nil"/>
              <w:bottom w:val="nil"/>
              <w:right w:val="nil"/>
            </w:tcBorders>
            <w:shd w:val="clear" w:color="auto" w:fill="auto"/>
            <w:noWrap/>
            <w:vAlign w:val="center"/>
            <w:hideMark/>
          </w:tcPr>
          <w:p w14:paraId="49AED7FA"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-4,2</w:t>
            </w:r>
          </w:p>
        </w:tc>
        <w:tc>
          <w:tcPr>
            <w:tcW w:w="1659" w:type="dxa"/>
            <w:tcBorders>
              <w:top w:val="nil"/>
              <w:left w:val="single" w:sz="4" w:space="0" w:color="auto"/>
              <w:bottom w:val="nil"/>
              <w:right w:val="nil"/>
            </w:tcBorders>
            <w:shd w:val="clear" w:color="auto" w:fill="auto"/>
            <w:noWrap/>
            <w:vAlign w:val="center"/>
            <w:hideMark/>
          </w:tcPr>
          <w:p w14:paraId="53A06C08" w14:textId="77777777" w:rsidR="00B07378" w:rsidRPr="000D58CD" w:rsidRDefault="00B07378" w:rsidP="0051395F">
            <w:pPr>
              <w:spacing w:after="0" w:line="240" w:lineRule="auto"/>
              <w:rPr>
                <w:sz w:val="20"/>
                <w:szCs w:val="20"/>
                <w:lang w:eastAsia="sk-SK"/>
              </w:rPr>
            </w:pPr>
            <w:r w:rsidRPr="000D58CD">
              <w:rPr>
                <w:sz w:val="20"/>
                <w:szCs w:val="20"/>
                <w:lang w:eastAsia="sk-SK"/>
              </w:rPr>
              <w:t>Švédsko</w:t>
            </w:r>
          </w:p>
        </w:tc>
        <w:tc>
          <w:tcPr>
            <w:tcW w:w="1002" w:type="dxa"/>
            <w:tcBorders>
              <w:top w:val="nil"/>
              <w:left w:val="nil"/>
              <w:bottom w:val="nil"/>
              <w:right w:val="nil"/>
            </w:tcBorders>
            <w:shd w:val="clear" w:color="auto" w:fill="auto"/>
            <w:noWrap/>
            <w:vAlign w:val="center"/>
            <w:hideMark/>
          </w:tcPr>
          <w:p w14:paraId="4C5D636B"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38,9</w:t>
            </w:r>
          </w:p>
        </w:tc>
        <w:tc>
          <w:tcPr>
            <w:tcW w:w="1002" w:type="dxa"/>
            <w:tcBorders>
              <w:top w:val="nil"/>
              <w:left w:val="nil"/>
              <w:bottom w:val="nil"/>
              <w:right w:val="nil"/>
            </w:tcBorders>
            <w:shd w:val="clear" w:color="auto" w:fill="auto"/>
            <w:noWrap/>
            <w:vAlign w:val="center"/>
            <w:hideMark/>
          </w:tcPr>
          <w:p w14:paraId="35BBEB05"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34,9</w:t>
            </w:r>
          </w:p>
        </w:tc>
        <w:tc>
          <w:tcPr>
            <w:tcW w:w="1002" w:type="dxa"/>
            <w:tcBorders>
              <w:top w:val="nil"/>
              <w:left w:val="nil"/>
              <w:bottom w:val="nil"/>
              <w:right w:val="single" w:sz="4" w:space="0" w:color="auto"/>
            </w:tcBorders>
            <w:shd w:val="clear" w:color="auto" w:fill="auto"/>
            <w:noWrap/>
            <w:vAlign w:val="center"/>
            <w:hideMark/>
          </w:tcPr>
          <w:p w14:paraId="0533EEEB"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39,7</w:t>
            </w:r>
          </w:p>
        </w:tc>
      </w:tr>
      <w:tr w:rsidR="00B07378" w:rsidRPr="000D58CD" w14:paraId="043840AD"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17CD0AFF" w14:textId="77777777" w:rsidR="00B07378" w:rsidRPr="000D58CD" w:rsidRDefault="00B07378" w:rsidP="0051395F">
            <w:pPr>
              <w:spacing w:after="0" w:line="240" w:lineRule="auto"/>
              <w:rPr>
                <w:sz w:val="20"/>
                <w:szCs w:val="20"/>
                <w:lang w:eastAsia="sk-SK"/>
              </w:rPr>
            </w:pPr>
            <w:r w:rsidRPr="000D58CD">
              <w:rPr>
                <w:sz w:val="20"/>
                <w:szCs w:val="20"/>
                <w:lang w:eastAsia="sk-SK"/>
              </w:rPr>
              <w:t>Bulharsko</w:t>
            </w:r>
          </w:p>
        </w:tc>
        <w:tc>
          <w:tcPr>
            <w:tcW w:w="938" w:type="dxa"/>
            <w:tcBorders>
              <w:top w:val="nil"/>
              <w:left w:val="nil"/>
              <w:bottom w:val="nil"/>
              <w:right w:val="nil"/>
            </w:tcBorders>
            <w:shd w:val="clear" w:color="auto" w:fill="auto"/>
            <w:noWrap/>
            <w:vAlign w:val="center"/>
            <w:hideMark/>
          </w:tcPr>
          <w:p w14:paraId="302B9C86"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1,7</w:t>
            </w:r>
          </w:p>
        </w:tc>
        <w:tc>
          <w:tcPr>
            <w:tcW w:w="938" w:type="dxa"/>
            <w:tcBorders>
              <w:top w:val="nil"/>
              <w:left w:val="nil"/>
              <w:bottom w:val="nil"/>
              <w:right w:val="nil"/>
            </w:tcBorders>
            <w:shd w:val="clear" w:color="auto" w:fill="auto"/>
            <w:noWrap/>
            <w:vAlign w:val="center"/>
            <w:hideMark/>
          </w:tcPr>
          <w:p w14:paraId="142089E3"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2,1</w:t>
            </w:r>
          </w:p>
        </w:tc>
        <w:tc>
          <w:tcPr>
            <w:tcW w:w="960" w:type="dxa"/>
            <w:tcBorders>
              <w:top w:val="nil"/>
              <w:left w:val="nil"/>
              <w:bottom w:val="nil"/>
              <w:right w:val="nil"/>
            </w:tcBorders>
            <w:shd w:val="clear" w:color="auto" w:fill="auto"/>
            <w:noWrap/>
            <w:vAlign w:val="center"/>
            <w:hideMark/>
          </w:tcPr>
          <w:p w14:paraId="3F568EB3"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-4,0</w:t>
            </w:r>
          </w:p>
        </w:tc>
        <w:tc>
          <w:tcPr>
            <w:tcW w:w="1659" w:type="dxa"/>
            <w:tcBorders>
              <w:top w:val="nil"/>
              <w:left w:val="single" w:sz="4" w:space="0" w:color="auto"/>
              <w:bottom w:val="nil"/>
              <w:right w:val="nil"/>
            </w:tcBorders>
            <w:shd w:val="clear" w:color="auto" w:fill="auto"/>
            <w:noWrap/>
            <w:vAlign w:val="center"/>
            <w:hideMark/>
          </w:tcPr>
          <w:p w14:paraId="76AD3C92" w14:textId="77777777" w:rsidR="00B07378" w:rsidRPr="000D58CD" w:rsidRDefault="00B07378" w:rsidP="0051395F">
            <w:pPr>
              <w:spacing w:after="0" w:line="240" w:lineRule="auto"/>
              <w:rPr>
                <w:sz w:val="20"/>
                <w:szCs w:val="20"/>
                <w:lang w:eastAsia="sk-SK"/>
              </w:rPr>
            </w:pPr>
            <w:r w:rsidRPr="000D58CD">
              <w:rPr>
                <w:sz w:val="20"/>
                <w:szCs w:val="20"/>
                <w:lang w:eastAsia="sk-SK"/>
              </w:rPr>
              <w:t>Česká republika</w:t>
            </w:r>
          </w:p>
        </w:tc>
        <w:tc>
          <w:tcPr>
            <w:tcW w:w="1002" w:type="dxa"/>
            <w:tcBorders>
              <w:top w:val="nil"/>
              <w:left w:val="nil"/>
              <w:bottom w:val="nil"/>
              <w:right w:val="nil"/>
            </w:tcBorders>
            <w:shd w:val="clear" w:color="auto" w:fill="auto"/>
            <w:noWrap/>
            <w:vAlign w:val="center"/>
            <w:hideMark/>
          </w:tcPr>
          <w:p w14:paraId="6EF99B2E"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32,1</w:t>
            </w:r>
          </w:p>
        </w:tc>
        <w:tc>
          <w:tcPr>
            <w:tcW w:w="1002" w:type="dxa"/>
            <w:tcBorders>
              <w:top w:val="nil"/>
              <w:left w:val="nil"/>
              <w:bottom w:val="nil"/>
              <w:right w:val="nil"/>
            </w:tcBorders>
            <w:shd w:val="clear" w:color="auto" w:fill="auto"/>
            <w:noWrap/>
            <w:vAlign w:val="center"/>
            <w:hideMark/>
          </w:tcPr>
          <w:p w14:paraId="78C33482"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30,0</w:t>
            </w:r>
          </w:p>
        </w:tc>
        <w:tc>
          <w:tcPr>
            <w:tcW w:w="1002" w:type="dxa"/>
            <w:tcBorders>
              <w:top w:val="nil"/>
              <w:left w:val="nil"/>
              <w:bottom w:val="nil"/>
              <w:right w:val="single" w:sz="4" w:space="0" w:color="auto"/>
            </w:tcBorders>
            <w:shd w:val="clear" w:color="auto" w:fill="auto"/>
            <w:noWrap/>
            <w:vAlign w:val="center"/>
            <w:hideMark/>
          </w:tcPr>
          <w:p w14:paraId="73C268B8"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37,7</w:t>
            </w:r>
          </w:p>
        </w:tc>
      </w:tr>
      <w:tr w:rsidR="00B07378" w:rsidRPr="000D58CD" w14:paraId="3C51AAD1"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7D15DAA0" w14:textId="77777777" w:rsidR="00B07378" w:rsidRPr="000D58CD" w:rsidRDefault="00B07378" w:rsidP="0051395F">
            <w:pPr>
              <w:spacing w:after="0" w:line="240" w:lineRule="auto"/>
              <w:rPr>
                <w:sz w:val="20"/>
                <w:szCs w:val="20"/>
                <w:lang w:eastAsia="sk-SK"/>
              </w:rPr>
            </w:pPr>
            <w:r w:rsidRPr="000D58CD">
              <w:rPr>
                <w:sz w:val="20"/>
                <w:szCs w:val="20"/>
                <w:lang w:eastAsia="sk-SK"/>
              </w:rPr>
              <w:t>Luxembursko</w:t>
            </w:r>
          </w:p>
        </w:tc>
        <w:tc>
          <w:tcPr>
            <w:tcW w:w="938" w:type="dxa"/>
            <w:tcBorders>
              <w:top w:val="nil"/>
              <w:left w:val="nil"/>
              <w:bottom w:val="nil"/>
              <w:right w:val="nil"/>
            </w:tcBorders>
            <w:shd w:val="clear" w:color="auto" w:fill="auto"/>
            <w:noWrap/>
            <w:vAlign w:val="center"/>
            <w:hideMark/>
          </w:tcPr>
          <w:p w14:paraId="4A712BA7"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3,0</w:t>
            </w:r>
          </w:p>
        </w:tc>
        <w:tc>
          <w:tcPr>
            <w:tcW w:w="938" w:type="dxa"/>
            <w:tcBorders>
              <w:top w:val="nil"/>
              <w:left w:val="nil"/>
              <w:bottom w:val="nil"/>
              <w:right w:val="nil"/>
            </w:tcBorders>
            <w:shd w:val="clear" w:color="auto" w:fill="auto"/>
            <w:noWrap/>
            <w:vAlign w:val="center"/>
            <w:hideMark/>
          </w:tcPr>
          <w:p w14:paraId="72A48580"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2,3</w:t>
            </w:r>
          </w:p>
        </w:tc>
        <w:tc>
          <w:tcPr>
            <w:tcW w:w="960" w:type="dxa"/>
            <w:tcBorders>
              <w:top w:val="nil"/>
              <w:left w:val="nil"/>
              <w:bottom w:val="nil"/>
              <w:right w:val="nil"/>
            </w:tcBorders>
            <w:shd w:val="clear" w:color="auto" w:fill="auto"/>
            <w:noWrap/>
            <w:vAlign w:val="center"/>
            <w:hideMark/>
          </w:tcPr>
          <w:p w14:paraId="2CA2658E"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-3,5</w:t>
            </w:r>
          </w:p>
        </w:tc>
        <w:tc>
          <w:tcPr>
            <w:tcW w:w="1659" w:type="dxa"/>
            <w:tcBorders>
              <w:top w:val="nil"/>
              <w:left w:val="single" w:sz="4" w:space="0" w:color="auto"/>
              <w:bottom w:val="nil"/>
              <w:right w:val="nil"/>
            </w:tcBorders>
            <w:shd w:val="clear" w:color="auto" w:fill="auto"/>
            <w:noWrap/>
            <w:vAlign w:val="center"/>
            <w:hideMark/>
          </w:tcPr>
          <w:p w14:paraId="6D1EBB58" w14:textId="77777777" w:rsidR="00B07378" w:rsidRPr="000D58CD" w:rsidRDefault="00B07378" w:rsidP="0051395F">
            <w:pPr>
              <w:spacing w:after="0" w:line="240" w:lineRule="auto"/>
              <w:rPr>
                <w:sz w:val="20"/>
                <w:szCs w:val="20"/>
                <w:lang w:eastAsia="sk-SK"/>
              </w:rPr>
            </w:pPr>
            <w:r w:rsidRPr="000D58CD">
              <w:rPr>
                <w:sz w:val="20"/>
                <w:szCs w:val="20"/>
                <w:lang w:eastAsia="sk-SK"/>
              </w:rPr>
              <w:t>Luxembursko</w:t>
            </w:r>
          </w:p>
        </w:tc>
        <w:tc>
          <w:tcPr>
            <w:tcW w:w="1002" w:type="dxa"/>
            <w:tcBorders>
              <w:top w:val="nil"/>
              <w:left w:val="nil"/>
              <w:bottom w:val="nil"/>
              <w:right w:val="nil"/>
            </w:tcBorders>
            <w:shd w:val="clear" w:color="auto" w:fill="auto"/>
            <w:noWrap/>
            <w:vAlign w:val="center"/>
            <w:hideMark/>
          </w:tcPr>
          <w:p w14:paraId="4F06191A"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20,8</w:t>
            </w:r>
          </w:p>
        </w:tc>
        <w:tc>
          <w:tcPr>
            <w:tcW w:w="1002" w:type="dxa"/>
            <w:tcBorders>
              <w:top w:val="nil"/>
              <w:left w:val="nil"/>
              <w:bottom w:val="nil"/>
              <w:right w:val="nil"/>
            </w:tcBorders>
            <w:shd w:val="clear" w:color="auto" w:fill="auto"/>
            <w:noWrap/>
            <w:vAlign w:val="center"/>
            <w:hideMark/>
          </w:tcPr>
          <w:p w14:paraId="37FDD748"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22,3</w:t>
            </w:r>
          </w:p>
        </w:tc>
        <w:tc>
          <w:tcPr>
            <w:tcW w:w="1002" w:type="dxa"/>
            <w:tcBorders>
              <w:top w:val="nil"/>
              <w:left w:val="nil"/>
              <w:bottom w:val="nil"/>
              <w:right w:val="single" w:sz="4" w:space="0" w:color="auto"/>
            </w:tcBorders>
            <w:shd w:val="clear" w:color="auto" w:fill="auto"/>
            <w:noWrap/>
            <w:vAlign w:val="center"/>
            <w:hideMark/>
          </w:tcPr>
          <w:p w14:paraId="2038C105"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24,8</w:t>
            </w:r>
          </w:p>
        </w:tc>
      </w:tr>
      <w:tr w:rsidR="00B07378" w:rsidRPr="000D58CD" w14:paraId="440811AB" w14:textId="77777777" w:rsidTr="0051395F">
        <w:trPr>
          <w:trHeight w:val="330"/>
        </w:trPr>
        <w:tc>
          <w:tcPr>
            <w:tcW w:w="1761" w:type="dxa"/>
            <w:tcBorders>
              <w:top w:val="nil"/>
              <w:left w:val="single" w:sz="4" w:space="0" w:color="auto"/>
              <w:bottom w:val="nil"/>
              <w:right w:val="nil"/>
            </w:tcBorders>
            <w:shd w:val="clear" w:color="auto" w:fill="auto"/>
            <w:noWrap/>
            <w:vAlign w:val="center"/>
            <w:hideMark/>
          </w:tcPr>
          <w:p w14:paraId="2412F123" w14:textId="77777777" w:rsidR="00B07378" w:rsidRPr="000D58CD" w:rsidRDefault="00B07378" w:rsidP="0051395F">
            <w:pPr>
              <w:spacing w:after="0" w:line="240" w:lineRule="auto"/>
              <w:rPr>
                <w:sz w:val="20"/>
                <w:szCs w:val="20"/>
                <w:lang w:eastAsia="sk-SK"/>
              </w:rPr>
            </w:pPr>
            <w:r w:rsidRPr="000D58CD">
              <w:rPr>
                <w:sz w:val="20"/>
                <w:szCs w:val="20"/>
                <w:lang w:eastAsia="sk-SK"/>
              </w:rPr>
              <w:t>Švédsko</w:t>
            </w:r>
          </w:p>
        </w:tc>
        <w:tc>
          <w:tcPr>
            <w:tcW w:w="938" w:type="dxa"/>
            <w:tcBorders>
              <w:top w:val="nil"/>
              <w:left w:val="nil"/>
              <w:bottom w:val="nil"/>
              <w:right w:val="nil"/>
            </w:tcBorders>
            <w:shd w:val="clear" w:color="auto" w:fill="auto"/>
            <w:noWrap/>
            <w:vAlign w:val="center"/>
            <w:hideMark/>
          </w:tcPr>
          <w:p w14:paraId="05B9A40F"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0,8</w:t>
            </w:r>
          </w:p>
        </w:tc>
        <w:tc>
          <w:tcPr>
            <w:tcW w:w="938" w:type="dxa"/>
            <w:tcBorders>
              <w:top w:val="nil"/>
              <w:left w:val="nil"/>
              <w:bottom w:val="nil"/>
              <w:right w:val="nil"/>
            </w:tcBorders>
            <w:shd w:val="clear" w:color="auto" w:fill="auto"/>
            <w:noWrap/>
            <w:vAlign w:val="center"/>
            <w:hideMark/>
          </w:tcPr>
          <w:p w14:paraId="3DD78CD8"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0,6</w:t>
            </w:r>
          </w:p>
        </w:tc>
        <w:tc>
          <w:tcPr>
            <w:tcW w:w="960" w:type="dxa"/>
            <w:tcBorders>
              <w:top w:val="nil"/>
              <w:left w:val="nil"/>
              <w:bottom w:val="nil"/>
              <w:right w:val="nil"/>
            </w:tcBorders>
            <w:shd w:val="clear" w:color="auto" w:fill="auto"/>
            <w:noWrap/>
            <w:vAlign w:val="center"/>
            <w:hideMark/>
          </w:tcPr>
          <w:p w14:paraId="1143198E"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-2,8</w:t>
            </w:r>
          </w:p>
        </w:tc>
        <w:tc>
          <w:tcPr>
            <w:tcW w:w="1659" w:type="dxa"/>
            <w:tcBorders>
              <w:top w:val="nil"/>
              <w:left w:val="single" w:sz="4" w:space="0" w:color="auto"/>
              <w:bottom w:val="nil"/>
              <w:right w:val="nil"/>
            </w:tcBorders>
            <w:shd w:val="clear" w:color="auto" w:fill="auto"/>
            <w:noWrap/>
            <w:vAlign w:val="center"/>
            <w:hideMark/>
          </w:tcPr>
          <w:p w14:paraId="56382351" w14:textId="77777777" w:rsidR="00B07378" w:rsidRPr="000D58CD" w:rsidRDefault="00B07378" w:rsidP="0051395F">
            <w:pPr>
              <w:spacing w:after="0" w:line="240" w:lineRule="auto"/>
              <w:rPr>
                <w:sz w:val="20"/>
                <w:szCs w:val="20"/>
                <w:lang w:eastAsia="sk-SK"/>
              </w:rPr>
            </w:pPr>
            <w:r w:rsidRPr="000D58CD">
              <w:rPr>
                <w:sz w:val="20"/>
                <w:szCs w:val="20"/>
                <w:lang w:eastAsia="sk-SK"/>
              </w:rPr>
              <w:t>Bulharsko</w:t>
            </w:r>
          </w:p>
        </w:tc>
        <w:tc>
          <w:tcPr>
            <w:tcW w:w="1002" w:type="dxa"/>
            <w:tcBorders>
              <w:top w:val="nil"/>
              <w:left w:val="nil"/>
              <w:bottom w:val="nil"/>
              <w:right w:val="nil"/>
            </w:tcBorders>
            <w:shd w:val="clear" w:color="auto" w:fill="auto"/>
            <w:noWrap/>
            <w:vAlign w:val="center"/>
            <w:hideMark/>
          </w:tcPr>
          <w:p w14:paraId="42AFC63F"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22,1</w:t>
            </w:r>
          </w:p>
        </w:tc>
        <w:tc>
          <w:tcPr>
            <w:tcW w:w="1002" w:type="dxa"/>
            <w:tcBorders>
              <w:top w:val="nil"/>
              <w:left w:val="nil"/>
              <w:bottom w:val="nil"/>
              <w:right w:val="nil"/>
            </w:tcBorders>
            <w:shd w:val="clear" w:color="auto" w:fill="auto"/>
            <w:noWrap/>
            <w:vAlign w:val="center"/>
            <w:hideMark/>
          </w:tcPr>
          <w:p w14:paraId="6C554756"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20,0</w:t>
            </w:r>
          </w:p>
        </w:tc>
        <w:tc>
          <w:tcPr>
            <w:tcW w:w="1002" w:type="dxa"/>
            <w:tcBorders>
              <w:top w:val="nil"/>
              <w:left w:val="nil"/>
              <w:bottom w:val="nil"/>
              <w:right w:val="single" w:sz="4" w:space="0" w:color="auto"/>
            </w:tcBorders>
            <w:shd w:val="clear" w:color="auto" w:fill="auto"/>
            <w:noWrap/>
            <w:vAlign w:val="center"/>
            <w:hideMark/>
          </w:tcPr>
          <w:p w14:paraId="1E9E9007"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24,7</w:t>
            </w:r>
          </w:p>
        </w:tc>
      </w:tr>
      <w:tr w:rsidR="00B07378" w:rsidRPr="000D58CD" w14:paraId="156BB194" w14:textId="77777777" w:rsidTr="0051395F">
        <w:trPr>
          <w:trHeight w:val="330"/>
        </w:trPr>
        <w:tc>
          <w:tcPr>
            <w:tcW w:w="1761" w:type="dxa"/>
            <w:tcBorders>
              <w:top w:val="nil"/>
              <w:left w:val="single" w:sz="4" w:space="0" w:color="auto"/>
              <w:bottom w:val="single" w:sz="4" w:space="0" w:color="000000"/>
              <w:right w:val="nil"/>
            </w:tcBorders>
            <w:shd w:val="clear" w:color="auto" w:fill="auto"/>
            <w:noWrap/>
            <w:vAlign w:val="center"/>
            <w:hideMark/>
          </w:tcPr>
          <w:p w14:paraId="049A9EA6" w14:textId="77777777" w:rsidR="00B07378" w:rsidRPr="000D58CD" w:rsidRDefault="00B07378" w:rsidP="0051395F">
            <w:pPr>
              <w:spacing w:after="0" w:line="240" w:lineRule="auto"/>
              <w:rPr>
                <w:sz w:val="20"/>
                <w:szCs w:val="20"/>
                <w:lang w:eastAsia="sk-SK"/>
              </w:rPr>
            </w:pPr>
            <w:r w:rsidRPr="000D58CD">
              <w:rPr>
                <w:sz w:val="20"/>
                <w:szCs w:val="20"/>
                <w:lang w:eastAsia="sk-SK"/>
              </w:rPr>
              <w:t>Dánsko</w:t>
            </w:r>
          </w:p>
        </w:tc>
        <w:tc>
          <w:tcPr>
            <w:tcW w:w="938" w:type="dxa"/>
            <w:tcBorders>
              <w:top w:val="nil"/>
              <w:left w:val="nil"/>
              <w:bottom w:val="single" w:sz="4" w:space="0" w:color="auto"/>
              <w:right w:val="nil"/>
            </w:tcBorders>
            <w:shd w:val="clear" w:color="auto" w:fill="auto"/>
            <w:noWrap/>
            <w:vAlign w:val="center"/>
            <w:hideMark/>
          </w:tcPr>
          <w:p w14:paraId="3AC4EB65"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0,8</w:t>
            </w:r>
          </w:p>
        </w:tc>
        <w:tc>
          <w:tcPr>
            <w:tcW w:w="938" w:type="dxa"/>
            <w:tcBorders>
              <w:top w:val="nil"/>
              <w:left w:val="nil"/>
              <w:bottom w:val="single" w:sz="4" w:space="0" w:color="auto"/>
              <w:right w:val="nil"/>
            </w:tcBorders>
            <w:shd w:val="clear" w:color="auto" w:fill="auto"/>
            <w:noWrap/>
            <w:vAlign w:val="center"/>
            <w:hideMark/>
          </w:tcPr>
          <w:p w14:paraId="2F875829"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4,1</w:t>
            </w:r>
          </w:p>
        </w:tc>
        <w:tc>
          <w:tcPr>
            <w:tcW w:w="960" w:type="dxa"/>
            <w:tcBorders>
              <w:top w:val="nil"/>
              <w:left w:val="nil"/>
              <w:bottom w:val="single" w:sz="4" w:space="0" w:color="auto"/>
              <w:right w:val="nil"/>
            </w:tcBorders>
            <w:shd w:val="clear" w:color="auto" w:fill="auto"/>
            <w:noWrap/>
            <w:vAlign w:val="center"/>
            <w:hideMark/>
          </w:tcPr>
          <w:p w14:paraId="764DE7E5"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-0,2</w:t>
            </w:r>
          </w:p>
        </w:tc>
        <w:tc>
          <w:tcPr>
            <w:tcW w:w="1659" w:type="dxa"/>
            <w:tcBorders>
              <w:top w:val="nil"/>
              <w:left w:val="single" w:sz="4" w:space="0" w:color="auto"/>
              <w:bottom w:val="single" w:sz="4" w:space="0" w:color="000000"/>
              <w:right w:val="nil"/>
            </w:tcBorders>
            <w:shd w:val="clear" w:color="auto" w:fill="auto"/>
            <w:noWrap/>
            <w:vAlign w:val="center"/>
            <w:hideMark/>
          </w:tcPr>
          <w:p w14:paraId="25C63594" w14:textId="77777777" w:rsidR="00B07378" w:rsidRPr="000D58CD" w:rsidRDefault="00B07378" w:rsidP="0051395F">
            <w:pPr>
              <w:spacing w:after="0" w:line="240" w:lineRule="auto"/>
              <w:rPr>
                <w:sz w:val="20"/>
                <w:szCs w:val="20"/>
                <w:lang w:eastAsia="sk-SK"/>
              </w:rPr>
            </w:pPr>
            <w:r w:rsidRPr="000D58CD">
              <w:rPr>
                <w:sz w:val="20"/>
                <w:szCs w:val="20"/>
                <w:lang w:eastAsia="sk-SK"/>
              </w:rPr>
              <w:t>Estónsko</w:t>
            </w:r>
          </w:p>
        </w:tc>
        <w:tc>
          <w:tcPr>
            <w:tcW w:w="1002" w:type="dxa"/>
            <w:tcBorders>
              <w:top w:val="nil"/>
              <w:left w:val="nil"/>
              <w:bottom w:val="single" w:sz="4" w:space="0" w:color="auto"/>
              <w:right w:val="nil"/>
            </w:tcBorders>
            <w:shd w:val="clear" w:color="auto" w:fill="auto"/>
            <w:noWrap/>
            <w:vAlign w:val="center"/>
            <w:hideMark/>
          </w:tcPr>
          <w:p w14:paraId="40022C22"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8,2</w:t>
            </w:r>
          </w:p>
        </w:tc>
        <w:tc>
          <w:tcPr>
            <w:tcW w:w="1002" w:type="dxa"/>
            <w:tcBorders>
              <w:top w:val="nil"/>
              <w:left w:val="nil"/>
              <w:bottom w:val="single" w:sz="4" w:space="0" w:color="auto"/>
              <w:right w:val="nil"/>
            </w:tcBorders>
            <w:shd w:val="clear" w:color="auto" w:fill="auto"/>
            <w:noWrap/>
            <w:vAlign w:val="center"/>
            <w:hideMark/>
          </w:tcPr>
          <w:p w14:paraId="2E63E520"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8,6</w:t>
            </w:r>
          </w:p>
        </w:tc>
        <w:tc>
          <w:tcPr>
            <w:tcW w:w="1002" w:type="dxa"/>
            <w:tcBorders>
              <w:top w:val="nil"/>
              <w:left w:val="nil"/>
              <w:bottom w:val="single" w:sz="4" w:space="0" w:color="auto"/>
              <w:right w:val="single" w:sz="4" w:space="0" w:color="auto"/>
            </w:tcBorders>
            <w:shd w:val="clear" w:color="auto" w:fill="auto"/>
            <w:noWrap/>
            <w:vAlign w:val="center"/>
            <w:hideMark/>
          </w:tcPr>
          <w:p w14:paraId="4959CF1F" w14:textId="77777777" w:rsidR="00B07378" w:rsidRPr="000D58CD" w:rsidRDefault="00B07378" w:rsidP="0051395F">
            <w:pPr>
              <w:spacing w:after="0" w:line="240" w:lineRule="auto"/>
              <w:ind w:firstLineChars="100" w:firstLine="200"/>
              <w:jc w:val="right"/>
              <w:rPr>
                <w:color w:val="000000"/>
                <w:sz w:val="20"/>
                <w:szCs w:val="20"/>
                <w:lang w:eastAsia="sk-SK"/>
              </w:rPr>
            </w:pPr>
            <w:r w:rsidRPr="000D58CD">
              <w:rPr>
                <w:color w:val="000000"/>
                <w:sz w:val="20"/>
                <w:szCs w:val="20"/>
                <w:lang w:eastAsia="sk-SK"/>
              </w:rPr>
              <w:t>19,0</w:t>
            </w:r>
          </w:p>
        </w:tc>
      </w:tr>
    </w:tbl>
    <w:p w14:paraId="5F884205" w14:textId="77777777" w:rsidR="00B07378" w:rsidRDefault="00B07378" w:rsidP="00B07378">
      <w:pPr>
        <w:spacing w:after="0" w:line="240" w:lineRule="auto"/>
        <w:jc w:val="right"/>
        <w:rPr>
          <w:sz w:val="18"/>
          <w:szCs w:val="18"/>
          <w:highlight w:val="yellow"/>
        </w:rPr>
      </w:pPr>
      <w:r>
        <w:rPr>
          <w:sz w:val="18"/>
          <w:szCs w:val="18"/>
        </w:rPr>
        <w:t xml:space="preserve"> </w:t>
      </w:r>
      <w:r w:rsidRPr="000D58CD">
        <w:rPr>
          <w:i/>
          <w:sz w:val="16"/>
          <w:szCs w:val="16"/>
        </w:rPr>
        <w:t xml:space="preserve">Zdroj: </w:t>
      </w:r>
      <w:proofErr w:type="spellStart"/>
      <w:r w:rsidRPr="000D58CD">
        <w:rPr>
          <w:i/>
          <w:sz w:val="16"/>
          <w:szCs w:val="16"/>
        </w:rPr>
        <w:t>Eurostat</w:t>
      </w:r>
      <w:proofErr w:type="spellEnd"/>
    </w:p>
    <w:p w14:paraId="0959B00F" w14:textId="77777777" w:rsidR="00B07378" w:rsidRPr="000D58CD" w:rsidRDefault="00B07378" w:rsidP="00B07378">
      <w:pPr>
        <w:spacing w:after="0" w:line="240" w:lineRule="auto"/>
        <w:rPr>
          <w:i/>
          <w:sz w:val="16"/>
          <w:szCs w:val="16"/>
        </w:rPr>
      </w:pPr>
      <w:r w:rsidRPr="000D58CD">
        <w:rPr>
          <w:sz w:val="16"/>
          <w:szCs w:val="16"/>
        </w:rPr>
        <w:t xml:space="preserve">1) Predchádzajúce obdobia sú zrevidované podľa aktuálneho press </w:t>
      </w:r>
      <w:proofErr w:type="spellStart"/>
      <w:r w:rsidRPr="000D58CD">
        <w:rPr>
          <w:sz w:val="16"/>
          <w:szCs w:val="16"/>
        </w:rPr>
        <w:t>release</w:t>
      </w:r>
      <w:proofErr w:type="spellEnd"/>
      <w:r>
        <w:rPr>
          <w:sz w:val="16"/>
          <w:szCs w:val="16"/>
        </w:rPr>
        <w:t xml:space="preserve"> zo dňa 21</w:t>
      </w:r>
      <w:r w:rsidRPr="000D58CD">
        <w:rPr>
          <w:sz w:val="16"/>
          <w:szCs w:val="16"/>
        </w:rPr>
        <w:t>.10.202</w:t>
      </w:r>
      <w:r>
        <w:rPr>
          <w:sz w:val="16"/>
          <w:szCs w:val="16"/>
        </w:rPr>
        <w:t>1</w:t>
      </w:r>
      <w:r w:rsidRPr="000D58CD">
        <w:rPr>
          <w:sz w:val="16"/>
          <w:szCs w:val="16"/>
        </w:rPr>
        <w:t>. Usporiadanie krajín je podľa poradia deficitu</w:t>
      </w:r>
      <w:r>
        <w:rPr>
          <w:sz w:val="16"/>
          <w:szCs w:val="16"/>
        </w:rPr>
        <w:t>/dlhu</w:t>
      </w:r>
      <w:r w:rsidRPr="000D58CD">
        <w:rPr>
          <w:sz w:val="16"/>
          <w:szCs w:val="16"/>
        </w:rPr>
        <w:t xml:space="preserve"> v poslednom sledovanom období</w:t>
      </w:r>
      <w:r>
        <w:rPr>
          <w:sz w:val="16"/>
          <w:szCs w:val="16"/>
        </w:rPr>
        <w:t>.</w:t>
      </w:r>
    </w:p>
    <w:p w14:paraId="7B9BF7D3" w14:textId="5322A590" w:rsidR="00B07378" w:rsidRPr="007222A0" w:rsidRDefault="00B07378" w:rsidP="00EB63CA">
      <w:pPr>
        <w:spacing w:after="120" w:line="240" w:lineRule="auto"/>
        <w:jc w:val="both"/>
        <w:rPr>
          <w:szCs w:val="22"/>
        </w:rPr>
      </w:pPr>
      <w:r w:rsidRPr="007222A0">
        <w:rPr>
          <w:szCs w:val="22"/>
        </w:rPr>
        <w:lastRenderedPageBreak/>
        <w:t>V roku 2020 vládny schodok aj dlh v Eurozóne aj v rámci všetkých krajín EÚ výrazne vzrástol v porovnaní s rokom 2019 najmä z dôvodu pandémie COVID-19. V Eurozóne podiel deficitu k HDP vzrástol z 0,</w:t>
      </w:r>
      <w:r w:rsidR="00FD12D8">
        <w:rPr>
          <w:szCs w:val="22"/>
        </w:rPr>
        <w:t>6 </w:t>
      </w:r>
      <w:r>
        <w:rPr>
          <w:szCs w:val="22"/>
        </w:rPr>
        <w:t>% v roku 2019 na 7,2 </w:t>
      </w:r>
      <w:r w:rsidRPr="007222A0">
        <w:rPr>
          <w:szCs w:val="22"/>
        </w:rPr>
        <w:t>% HD</w:t>
      </w:r>
      <w:r>
        <w:rPr>
          <w:szCs w:val="22"/>
        </w:rPr>
        <w:t>P v roku 2020 a v rámci EÚ z 0,5 % HDP na 6,9 </w:t>
      </w:r>
      <w:r w:rsidRPr="007222A0">
        <w:rPr>
          <w:szCs w:val="22"/>
        </w:rPr>
        <w:t>% HDP. V Eurozóne podiel vládneho dlhu k HDP vzrástol z 83,</w:t>
      </w:r>
      <w:r>
        <w:rPr>
          <w:szCs w:val="22"/>
        </w:rPr>
        <w:t>6 % ku koncu roka 2019 na 97,3 % HDP ku </w:t>
      </w:r>
      <w:r w:rsidRPr="007222A0">
        <w:rPr>
          <w:szCs w:val="22"/>
        </w:rPr>
        <w:t>koncu roka 2020 a v rámci EÚ z</w:t>
      </w:r>
      <w:r>
        <w:rPr>
          <w:szCs w:val="22"/>
        </w:rPr>
        <w:t> 77,2 </w:t>
      </w:r>
      <w:r w:rsidRPr="007222A0">
        <w:rPr>
          <w:szCs w:val="22"/>
        </w:rPr>
        <w:t xml:space="preserve">% HDP na </w:t>
      </w:r>
      <w:r>
        <w:rPr>
          <w:szCs w:val="22"/>
        </w:rPr>
        <w:t>90,1</w:t>
      </w:r>
      <w:r w:rsidRPr="007222A0">
        <w:rPr>
          <w:szCs w:val="22"/>
        </w:rPr>
        <w:t> % HDP.</w:t>
      </w:r>
    </w:p>
    <w:p w14:paraId="297F425E" w14:textId="62987B22" w:rsidR="00B07378" w:rsidRPr="00EB63CA" w:rsidRDefault="00B07378" w:rsidP="00EB63CA">
      <w:pPr>
        <w:spacing w:after="120" w:line="240" w:lineRule="auto"/>
        <w:jc w:val="both"/>
        <w:rPr>
          <w:szCs w:val="22"/>
        </w:rPr>
      </w:pPr>
      <w:r w:rsidRPr="007222A0">
        <w:rPr>
          <w:szCs w:val="22"/>
        </w:rPr>
        <w:t>Najvyššie schodky verejnej správy v rámci EÚ 27 v roku 2020 vykázali krajiny ako Španielsko 11,0 %,</w:t>
      </w:r>
      <w:r>
        <w:rPr>
          <w:szCs w:val="22"/>
        </w:rPr>
        <w:t xml:space="preserve"> Grécko 10,1 </w:t>
      </w:r>
      <w:r w:rsidRPr="007222A0">
        <w:rPr>
          <w:szCs w:val="22"/>
        </w:rPr>
        <w:t xml:space="preserve">%, </w:t>
      </w:r>
      <w:r>
        <w:rPr>
          <w:szCs w:val="22"/>
        </w:rPr>
        <w:t xml:space="preserve"> Malta 9,7</w:t>
      </w:r>
      <w:r w:rsidRPr="007222A0">
        <w:rPr>
          <w:szCs w:val="22"/>
        </w:rPr>
        <w:t xml:space="preserve"> %, </w:t>
      </w:r>
      <w:r>
        <w:rPr>
          <w:szCs w:val="22"/>
        </w:rPr>
        <w:t>Taliansko 9,6 </w:t>
      </w:r>
      <w:r w:rsidRPr="007222A0">
        <w:rPr>
          <w:szCs w:val="22"/>
        </w:rPr>
        <w:t xml:space="preserve">%, </w:t>
      </w:r>
      <w:r>
        <w:rPr>
          <w:szCs w:val="22"/>
        </w:rPr>
        <w:t>Rumunsko 9,4 %, Francúzsko 9,1</w:t>
      </w:r>
      <w:r w:rsidRPr="007222A0">
        <w:rPr>
          <w:szCs w:val="22"/>
        </w:rPr>
        <w:t> % a</w:t>
      </w:r>
      <w:r w:rsidRPr="00C24D4D">
        <w:rPr>
          <w:szCs w:val="22"/>
        </w:rPr>
        <w:t xml:space="preserve"> </w:t>
      </w:r>
      <w:r>
        <w:rPr>
          <w:szCs w:val="22"/>
        </w:rPr>
        <w:t>Belgicko 9,1 %.</w:t>
      </w:r>
      <w:r w:rsidRPr="007222A0">
        <w:rPr>
          <w:szCs w:val="22"/>
        </w:rPr>
        <w:t xml:space="preserve"> Najvýraznejšie medziročn</w:t>
      </w:r>
      <w:r>
        <w:rPr>
          <w:szCs w:val="22"/>
        </w:rPr>
        <w:t>é zhoršenie dosiahlo Grécko o 11,2 p. b., Malta o 10,2</w:t>
      </w:r>
      <w:r w:rsidRPr="007222A0">
        <w:rPr>
          <w:szCs w:val="22"/>
        </w:rPr>
        <w:t> p. b. a</w:t>
      </w:r>
      <w:r>
        <w:rPr>
          <w:szCs w:val="22"/>
        </w:rPr>
        <w:t> Rakúsko o 8,9 p. b. Španielsko, Taliansko a Slovinsko zaznamenali zhoršenie o 8,1</w:t>
      </w:r>
      <w:r w:rsidRPr="007222A0">
        <w:rPr>
          <w:szCs w:val="22"/>
        </w:rPr>
        <w:t xml:space="preserve"> p. b. </w:t>
      </w:r>
      <w:r>
        <w:rPr>
          <w:szCs w:val="22"/>
        </w:rPr>
        <w:t> </w:t>
      </w:r>
      <w:r w:rsidRPr="007222A0">
        <w:rPr>
          <w:szCs w:val="22"/>
        </w:rPr>
        <w:t>K najnižšiemu medziročnému zhoršeniu hospodárenia doš</w:t>
      </w:r>
      <w:r>
        <w:rPr>
          <w:szCs w:val="22"/>
        </w:rPr>
        <w:t xml:space="preserve">lo v krajinách ako Švédsko o 3,4 p. b., Lotyšsko o 3,9 p. b., </w:t>
      </w:r>
      <w:r w:rsidR="00FD12D8">
        <w:rPr>
          <w:szCs w:val="22"/>
        </w:rPr>
        <w:t>Slovensko o 4,2 </w:t>
      </w:r>
      <w:r w:rsidRPr="00EB63CA">
        <w:rPr>
          <w:szCs w:val="22"/>
        </w:rPr>
        <w:t>p. b. a Dánsko o 4,3 p. b.</w:t>
      </w:r>
    </w:p>
    <w:p w14:paraId="0137B3AB" w14:textId="44C3C096" w:rsidR="00AF3131" w:rsidRDefault="00B07378" w:rsidP="0039321C">
      <w:pPr>
        <w:spacing w:line="240" w:lineRule="auto"/>
        <w:jc w:val="both"/>
        <w:rPr>
          <w:szCs w:val="22"/>
        </w:rPr>
      </w:pPr>
      <w:r w:rsidRPr="007222A0">
        <w:rPr>
          <w:szCs w:val="22"/>
        </w:rPr>
        <w:t>Medzi krajinami s najvyšším dlhom sa nachádzajú krajiny s dlhodobo vysokými dlhmi ako Grécko a Taliansko. Sedem krajín dosiahlo úroveň zadlženosti nad 100 %</w:t>
      </w:r>
      <w:r>
        <w:rPr>
          <w:szCs w:val="22"/>
        </w:rPr>
        <w:t> </w:t>
      </w:r>
      <w:r w:rsidRPr="007222A0">
        <w:rPr>
          <w:szCs w:val="22"/>
        </w:rPr>
        <w:t>HDP. Najvyšší dlh verejnej správy v roku 2020 opäť vykázalo Grécko 20</w:t>
      </w:r>
      <w:r>
        <w:rPr>
          <w:szCs w:val="22"/>
        </w:rPr>
        <w:t>6,3</w:t>
      </w:r>
      <w:r w:rsidRPr="007222A0">
        <w:rPr>
          <w:szCs w:val="22"/>
        </w:rPr>
        <w:t> % HDP, Taliansko 155,</w:t>
      </w:r>
      <w:r>
        <w:rPr>
          <w:szCs w:val="22"/>
        </w:rPr>
        <w:t>6</w:t>
      </w:r>
      <w:r w:rsidRPr="007222A0">
        <w:rPr>
          <w:szCs w:val="22"/>
        </w:rPr>
        <w:t> % HDP, Portugalsko 13</w:t>
      </w:r>
      <w:r>
        <w:rPr>
          <w:szCs w:val="22"/>
        </w:rPr>
        <w:t>5,2</w:t>
      </w:r>
      <w:r w:rsidRPr="007222A0">
        <w:rPr>
          <w:szCs w:val="22"/>
        </w:rPr>
        <w:t> % HDP, Španielsko 120,0 % HDP. Najvýraznejší medziročný nárast dlhu dosiahlo Grécko o 25,</w:t>
      </w:r>
      <w:r>
        <w:rPr>
          <w:szCs w:val="22"/>
        </w:rPr>
        <w:t>6</w:t>
      </w:r>
      <w:r w:rsidRPr="007222A0">
        <w:rPr>
          <w:szCs w:val="22"/>
        </w:rPr>
        <w:t xml:space="preserve"> p. b., </w:t>
      </w:r>
      <w:r>
        <w:rPr>
          <w:szCs w:val="22"/>
        </w:rPr>
        <w:t xml:space="preserve">Španielsko o 24,5 p. b., </w:t>
      </w:r>
      <w:r w:rsidRPr="007222A0">
        <w:rPr>
          <w:szCs w:val="22"/>
        </w:rPr>
        <w:t>Cyprus o 24,2 p. b</w:t>
      </w:r>
      <w:r>
        <w:rPr>
          <w:szCs w:val="22"/>
        </w:rPr>
        <w:t xml:space="preserve"> a Taliansko o 21,3 p. b</w:t>
      </w:r>
      <w:r w:rsidRPr="007222A0">
        <w:rPr>
          <w:szCs w:val="22"/>
        </w:rPr>
        <w:t>. K najnižšiemu medziročnému zadlženiu</w:t>
      </w:r>
      <w:r>
        <w:rPr>
          <w:szCs w:val="22"/>
        </w:rPr>
        <w:t xml:space="preserve"> došlo v krajinách ako Írsko o 1,2</w:t>
      </w:r>
      <w:r w:rsidRPr="007222A0">
        <w:rPr>
          <w:szCs w:val="22"/>
        </w:rPr>
        <w:t> p. b., Luxembur</w:t>
      </w:r>
      <w:r>
        <w:rPr>
          <w:szCs w:val="22"/>
        </w:rPr>
        <w:t>sko o 2,5</w:t>
      </w:r>
      <w:r w:rsidRPr="007222A0">
        <w:rPr>
          <w:szCs w:val="22"/>
        </w:rPr>
        <w:t> p. b.</w:t>
      </w:r>
      <w:r>
        <w:rPr>
          <w:szCs w:val="22"/>
        </w:rPr>
        <w:t>, Bulharsko o 4,7 p. b.</w:t>
      </w:r>
      <w:r w:rsidRPr="007222A0">
        <w:rPr>
          <w:szCs w:val="22"/>
        </w:rPr>
        <w:t xml:space="preserve"> a</w:t>
      </w:r>
      <w:r>
        <w:rPr>
          <w:szCs w:val="22"/>
        </w:rPr>
        <w:t> Švédsko</w:t>
      </w:r>
      <w:r w:rsidRPr="007222A0">
        <w:rPr>
          <w:szCs w:val="22"/>
        </w:rPr>
        <w:t xml:space="preserve"> o 4,8 p. b. Najnižší dlh vyk</w:t>
      </w:r>
      <w:r>
        <w:rPr>
          <w:szCs w:val="22"/>
        </w:rPr>
        <w:t>ázalo opäť Estónsko vo výške 19,0</w:t>
      </w:r>
      <w:r w:rsidRPr="007222A0">
        <w:rPr>
          <w:szCs w:val="22"/>
        </w:rPr>
        <w:t xml:space="preserve"> % HDP, </w:t>
      </w:r>
      <w:r>
        <w:rPr>
          <w:szCs w:val="22"/>
        </w:rPr>
        <w:t>Bulharsko 24,7</w:t>
      </w:r>
      <w:r w:rsidRPr="007222A0">
        <w:rPr>
          <w:szCs w:val="22"/>
        </w:rPr>
        <w:t xml:space="preserve"> % HDP </w:t>
      </w:r>
      <w:r>
        <w:rPr>
          <w:szCs w:val="22"/>
        </w:rPr>
        <w:t>a Luxembursko 24,8 % HDP</w:t>
      </w:r>
      <w:r w:rsidRPr="007222A0">
        <w:rPr>
          <w:szCs w:val="22"/>
        </w:rPr>
        <w:t>.</w:t>
      </w:r>
      <w:bookmarkStart w:id="28" w:name="_Toc401920011"/>
      <w:bookmarkStart w:id="29" w:name="_Toc465255015"/>
      <w:bookmarkStart w:id="30" w:name="_Toc465255615"/>
      <w:bookmarkStart w:id="31" w:name="_Toc465257924"/>
      <w:bookmarkStart w:id="32" w:name="_Toc465258105"/>
      <w:bookmarkStart w:id="33" w:name="_Toc465258480"/>
    </w:p>
    <w:p w14:paraId="24C013CF" w14:textId="77777777" w:rsidR="0039321C" w:rsidRPr="001D77FC" w:rsidRDefault="0039321C" w:rsidP="0039321C">
      <w:pPr>
        <w:spacing w:line="240" w:lineRule="auto"/>
        <w:jc w:val="both"/>
        <w:rPr>
          <w:b/>
          <w:szCs w:val="22"/>
          <w:highlight w:val="yellow"/>
        </w:rPr>
      </w:pPr>
    </w:p>
    <w:p w14:paraId="6631792E" w14:textId="317141F9" w:rsidR="003D050C" w:rsidRPr="00C56B37" w:rsidRDefault="003D050C" w:rsidP="00C06381">
      <w:pPr>
        <w:pStyle w:val="Nadpis1"/>
        <w:numPr>
          <w:ilvl w:val="0"/>
          <w:numId w:val="3"/>
        </w:numPr>
        <w:spacing w:before="120" w:line="336" w:lineRule="auto"/>
        <w:ind w:left="425" w:hanging="425"/>
      </w:pPr>
      <w:bookmarkStart w:id="34" w:name="_Toc85718898"/>
      <w:bookmarkEnd w:id="28"/>
      <w:bookmarkEnd w:id="29"/>
      <w:bookmarkEnd w:id="30"/>
      <w:bookmarkEnd w:id="31"/>
      <w:bookmarkEnd w:id="32"/>
      <w:bookmarkEnd w:id="33"/>
      <w:r w:rsidRPr="00C56B37">
        <w:t>Hospodárenie verejnej správy – požiadavky ústavného zákona o rozpočtovej zodpovednosti</w:t>
      </w:r>
      <w:bookmarkEnd w:id="34"/>
    </w:p>
    <w:p w14:paraId="1B5C48BC" w14:textId="77777777" w:rsidR="00C56B37" w:rsidRDefault="00C56B37" w:rsidP="00C56B37">
      <w:pPr>
        <w:spacing w:after="0" w:line="240" w:lineRule="auto"/>
        <w:jc w:val="both"/>
      </w:pPr>
      <w:r w:rsidRPr="0030590D">
        <w:t>Táto kapitola hodnotí vývoj hospodárenia verejnej správy najmä z pohľadu informácií, ktoré má obsahovať súhrnná výročná správa na základe ústavného zákona o rozpočtovej zodpovednosti (bilancia rozpočtu verejnej správy, jednorazové vplyvy a vyhodnotenie stratégie riadenia štátneho dlhu). Špecifikom týchto údajov a informácií je fakt, že z väčšej časti  nie sú založené na štandardnej metodike ESA2010 a v niektorých prípadoch sú postavené na odhadoch a metodike Ministerstva financií SR (jednorazové vplyvy, cyklická zložka, štrukturálne saldo), rozširujú však analytický pohľad na hospodárenie verejnej správy nad rámec salda a dlhu podľa maastrichtských kritérií.</w:t>
      </w:r>
    </w:p>
    <w:p w14:paraId="7D3597C4" w14:textId="77777777" w:rsidR="00B07378" w:rsidRPr="00B07378" w:rsidRDefault="00B07378" w:rsidP="00B07378">
      <w:pPr>
        <w:rPr>
          <w:highlight w:val="yellow"/>
        </w:rPr>
      </w:pPr>
    </w:p>
    <w:p w14:paraId="6AB48E20" w14:textId="7D6507C2" w:rsidR="00A65E40" w:rsidRPr="00C56B37" w:rsidRDefault="003F3407" w:rsidP="00C34D8B">
      <w:pPr>
        <w:pStyle w:val="Nadpis2"/>
        <w:numPr>
          <w:ilvl w:val="1"/>
          <w:numId w:val="3"/>
        </w:numPr>
        <w:spacing w:after="120"/>
      </w:pPr>
      <w:r w:rsidRPr="00C56B37">
        <w:t xml:space="preserve">   </w:t>
      </w:r>
      <w:bookmarkStart w:id="35" w:name="_Toc85718899"/>
      <w:r w:rsidR="00A65E40" w:rsidRPr="00C56B37">
        <w:t>Bilancia rozpočtu verejnej správy</w:t>
      </w:r>
      <w:bookmarkEnd w:id="35"/>
    </w:p>
    <w:p w14:paraId="27E786E7" w14:textId="0185F719" w:rsidR="00B07378" w:rsidRDefault="00C56B37" w:rsidP="00C56B37">
      <w:pPr>
        <w:spacing w:after="120" w:line="240" w:lineRule="auto"/>
        <w:jc w:val="both"/>
        <w:rPr>
          <w:highlight w:val="yellow"/>
        </w:rPr>
      </w:pPr>
      <w:r w:rsidRPr="0030590D">
        <w:t>Bilancia rozpočtu verejnej správy poskytuje analytický pohľad na vývoj hlavných príjmových a výdavkových položiek verejnej správy ako celku za daný rok. Bilancia je konsolidovaná, teda sú vylúčené transakcie medzi jednotlivými subjektmi verejnej správy. Štruktúra prezentovanej bilancie pozostáva z kombinácie kódov ESA2010 a ekonomickej klasifikácie rozpočtovej klasifikácie. Kombinácia metodík má za cieľ umožniť prezentáciu analytických a zároveň medzinárodne porovnateľných údajov. Ekonomická klasifikácia poskytuje vecný pohľad na jednotlivé kategórie príjmov a výdavkov a metodika ESA2010 umožňuje medzinárodné porovnania a je konzistentná s makroekonomickými kategóriami národných účtov (ako napr. HDP, spotreba verejnej správy).</w:t>
      </w:r>
    </w:p>
    <w:p w14:paraId="79907797" w14:textId="27328795" w:rsidR="00C56B37" w:rsidRDefault="00C56B37">
      <w:pPr>
        <w:rPr>
          <w:highlight w:val="yellow"/>
        </w:rPr>
      </w:pPr>
      <w:r>
        <w:rPr>
          <w:highlight w:val="yellow"/>
        </w:rPr>
        <w:br w:type="page"/>
      </w:r>
    </w:p>
    <w:p w14:paraId="5888141A" w14:textId="77777777" w:rsidR="00B07378" w:rsidRPr="00B07378" w:rsidRDefault="00B07378" w:rsidP="00B07378">
      <w:pPr>
        <w:rPr>
          <w:highlight w:val="yellow"/>
        </w:rPr>
      </w:pPr>
    </w:p>
    <w:p w14:paraId="16D867CF" w14:textId="49EA6718" w:rsidR="003D050C" w:rsidRPr="00151939" w:rsidRDefault="003D050C" w:rsidP="00B051D3">
      <w:pPr>
        <w:pStyle w:val="Nadpis3"/>
        <w:numPr>
          <w:ilvl w:val="0"/>
          <w:numId w:val="0"/>
        </w:numPr>
        <w:spacing w:before="120" w:after="0"/>
        <w:ind w:left="1800" w:hanging="720"/>
        <w:rPr>
          <w:sz w:val="24"/>
          <w:szCs w:val="24"/>
        </w:rPr>
      </w:pPr>
      <w:bookmarkStart w:id="36" w:name="_Toc85718900"/>
      <w:r w:rsidRPr="00151939">
        <w:t>2.1.1.</w:t>
      </w:r>
      <w:r w:rsidR="003F00CD" w:rsidRPr="00151939">
        <w:tab/>
      </w:r>
      <w:r w:rsidRPr="00151939">
        <w:t>Príjmy verejnej správy</w:t>
      </w:r>
      <w:bookmarkEnd w:id="36"/>
    </w:p>
    <w:p w14:paraId="73F9DC91" w14:textId="241AF528" w:rsidR="00151939" w:rsidRDefault="00151939" w:rsidP="00151939">
      <w:pPr>
        <w:spacing w:after="120" w:line="240" w:lineRule="auto"/>
        <w:jc w:val="both"/>
        <w:rPr>
          <w:szCs w:val="22"/>
          <w:highlight w:val="yellow"/>
        </w:rPr>
      </w:pPr>
      <w:r w:rsidRPr="0039640B">
        <w:rPr>
          <w:b/>
          <w:color w:val="0070C0"/>
          <w:szCs w:val="22"/>
        </w:rPr>
        <w:t>Celkové príjmy rozpočtu verejnej správy v metodike ESA2010 dosiahli v roku 2020 výšku 36 882 067 tis. eur (40,1 % HDP)</w:t>
      </w:r>
      <w:r w:rsidRPr="009E25F7">
        <w:rPr>
          <w:szCs w:val="22"/>
        </w:rPr>
        <w:t xml:space="preserve"> a medziročne poklesli o 0,3 %, resp. o 106 236 tis. eur. Pokles dosiahli takmer všetky druhy príjmov, najvýraznejší pokles zaznamenala daň z príjmov fyzických osôb z podnikania a inej samostatnej </w:t>
      </w:r>
      <w:r>
        <w:rPr>
          <w:szCs w:val="22"/>
        </w:rPr>
        <w:t xml:space="preserve">zárobkovej </w:t>
      </w:r>
      <w:r w:rsidRPr="009E25F7">
        <w:rPr>
          <w:szCs w:val="22"/>
        </w:rPr>
        <w:t>činnosti o 30,9 %, platby za ostatnú netrhovú produkciu o 24,7% dividendy o 17 %, odvod z hazardných hier o 15,6 % a daň z motorových vozidiel o 15,3 %. Na druhej strane v roku 2020 došlo k nárastu príjmu z predaja emisných kvót o 23,6</w:t>
      </w:r>
      <w:r>
        <w:rPr>
          <w:szCs w:val="22"/>
        </w:rPr>
        <w:t> </w:t>
      </w:r>
      <w:r w:rsidRPr="009E25F7">
        <w:rPr>
          <w:szCs w:val="22"/>
        </w:rPr>
        <w:t>%, ostatných bežných transferov o 19,7 %, dane z nehnuteľnosti o 17,3 % a príspevky zamestnávateľov na</w:t>
      </w:r>
      <w:r>
        <w:rPr>
          <w:szCs w:val="22"/>
        </w:rPr>
        <w:t xml:space="preserve"> sociálne zabezpečenie o 1,3 %</w:t>
      </w:r>
      <w:r w:rsidRPr="009E25F7">
        <w:rPr>
          <w:szCs w:val="22"/>
        </w:rPr>
        <w:t>.</w:t>
      </w:r>
    </w:p>
    <w:tbl>
      <w:tblPr>
        <w:tblW w:w="9026" w:type="dxa"/>
        <w:tblCellMar>
          <w:left w:w="70" w:type="dxa"/>
          <w:right w:w="70" w:type="dxa"/>
        </w:tblCellMar>
        <w:tblLook w:val="04A0" w:firstRow="1" w:lastRow="0" w:firstColumn="1" w:lastColumn="0" w:noHBand="0" w:noVBand="1"/>
      </w:tblPr>
      <w:tblGrid>
        <w:gridCol w:w="3827"/>
        <w:gridCol w:w="1072"/>
        <w:gridCol w:w="1072"/>
        <w:gridCol w:w="1072"/>
        <w:gridCol w:w="1072"/>
        <w:gridCol w:w="911"/>
      </w:tblGrid>
      <w:tr w:rsidR="00151939" w:rsidRPr="00E4226A" w14:paraId="53F36F28" w14:textId="77777777" w:rsidTr="0051395F">
        <w:trPr>
          <w:trHeight w:val="249"/>
          <w:tblHeader/>
        </w:trPr>
        <w:tc>
          <w:tcPr>
            <w:tcW w:w="3827" w:type="dxa"/>
            <w:tcBorders>
              <w:top w:val="nil"/>
              <w:left w:val="nil"/>
              <w:bottom w:val="nil"/>
              <w:right w:val="nil"/>
            </w:tcBorders>
            <w:shd w:val="clear" w:color="000000" w:fill="000000"/>
            <w:noWrap/>
            <w:vAlign w:val="center"/>
            <w:hideMark/>
          </w:tcPr>
          <w:p w14:paraId="538FAAC6" w14:textId="1DBDC3DB" w:rsidR="00151939" w:rsidRPr="00E4226A" w:rsidRDefault="00884682" w:rsidP="00884682">
            <w:pPr>
              <w:pStyle w:val="popistabuliek"/>
            </w:pPr>
            <w:r w:rsidRPr="00884682">
              <w:t>Tab.</w:t>
            </w:r>
            <w:r>
              <w:t xml:space="preserve"> 9</w:t>
            </w:r>
            <w:r w:rsidRPr="00884682">
              <w:t xml:space="preserve"> - </w:t>
            </w:r>
            <w:r w:rsidR="00151939" w:rsidRPr="00E4226A">
              <w:t>Príjmy verejnej správy (ESA 2010)</w:t>
            </w:r>
          </w:p>
        </w:tc>
        <w:tc>
          <w:tcPr>
            <w:tcW w:w="1072" w:type="dxa"/>
            <w:tcBorders>
              <w:top w:val="nil"/>
              <w:left w:val="nil"/>
              <w:bottom w:val="nil"/>
              <w:right w:val="nil"/>
            </w:tcBorders>
            <w:shd w:val="clear" w:color="000000" w:fill="000000"/>
            <w:noWrap/>
            <w:vAlign w:val="center"/>
            <w:hideMark/>
          </w:tcPr>
          <w:p w14:paraId="499750C3" w14:textId="77777777" w:rsidR="00151939" w:rsidRPr="00E4226A" w:rsidRDefault="00151939" w:rsidP="00884682">
            <w:pPr>
              <w:pStyle w:val="popistabuliek"/>
            </w:pPr>
            <w:r w:rsidRPr="00E4226A">
              <w:t> </w:t>
            </w:r>
          </w:p>
        </w:tc>
        <w:tc>
          <w:tcPr>
            <w:tcW w:w="1072" w:type="dxa"/>
            <w:tcBorders>
              <w:top w:val="nil"/>
              <w:left w:val="nil"/>
              <w:bottom w:val="nil"/>
              <w:right w:val="nil"/>
            </w:tcBorders>
            <w:shd w:val="clear" w:color="000000" w:fill="000000"/>
            <w:noWrap/>
            <w:vAlign w:val="center"/>
            <w:hideMark/>
          </w:tcPr>
          <w:p w14:paraId="4D0212B8" w14:textId="77777777" w:rsidR="00151939" w:rsidRPr="00E4226A" w:rsidRDefault="00151939" w:rsidP="00884682">
            <w:pPr>
              <w:pStyle w:val="popistabuliek"/>
            </w:pPr>
            <w:r w:rsidRPr="00E4226A">
              <w:t> </w:t>
            </w:r>
          </w:p>
        </w:tc>
        <w:tc>
          <w:tcPr>
            <w:tcW w:w="1072" w:type="dxa"/>
            <w:tcBorders>
              <w:top w:val="nil"/>
              <w:left w:val="nil"/>
              <w:bottom w:val="nil"/>
              <w:right w:val="nil"/>
            </w:tcBorders>
            <w:shd w:val="clear" w:color="000000" w:fill="000000"/>
            <w:noWrap/>
            <w:vAlign w:val="center"/>
            <w:hideMark/>
          </w:tcPr>
          <w:p w14:paraId="6394FA6D" w14:textId="77777777" w:rsidR="00151939" w:rsidRPr="00E4226A" w:rsidRDefault="00151939" w:rsidP="00884682">
            <w:pPr>
              <w:pStyle w:val="popistabuliek"/>
            </w:pPr>
            <w:r w:rsidRPr="00E4226A">
              <w:t> </w:t>
            </w:r>
          </w:p>
        </w:tc>
        <w:tc>
          <w:tcPr>
            <w:tcW w:w="1072" w:type="dxa"/>
            <w:tcBorders>
              <w:top w:val="nil"/>
              <w:left w:val="nil"/>
              <w:bottom w:val="nil"/>
              <w:right w:val="nil"/>
            </w:tcBorders>
            <w:shd w:val="clear" w:color="000000" w:fill="000000"/>
            <w:noWrap/>
            <w:vAlign w:val="center"/>
            <w:hideMark/>
          </w:tcPr>
          <w:p w14:paraId="655822C7" w14:textId="77777777" w:rsidR="00151939" w:rsidRPr="00E4226A" w:rsidRDefault="00151939" w:rsidP="00884682">
            <w:pPr>
              <w:pStyle w:val="popistabuliek"/>
            </w:pPr>
            <w:r w:rsidRPr="00E4226A">
              <w:t> </w:t>
            </w:r>
          </w:p>
        </w:tc>
        <w:tc>
          <w:tcPr>
            <w:tcW w:w="911" w:type="dxa"/>
            <w:tcBorders>
              <w:top w:val="nil"/>
              <w:left w:val="nil"/>
              <w:bottom w:val="nil"/>
              <w:right w:val="nil"/>
            </w:tcBorders>
            <w:shd w:val="clear" w:color="000000" w:fill="000000"/>
            <w:noWrap/>
            <w:vAlign w:val="center"/>
            <w:hideMark/>
          </w:tcPr>
          <w:p w14:paraId="013B1DD0" w14:textId="77777777" w:rsidR="00151939" w:rsidRPr="00E4226A" w:rsidRDefault="00151939" w:rsidP="00884682">
            <w:pPr>
              <w:pStyle w:val="popistabuliek"/>
            </w:pPr>
            <w:r w:rsidRPr="00E4226A">
              <w:t>v tis. eur</w:t>
            </w:r>
          </w:p>
        </w:tc>
      </w:tr>
      <w:tr w:rsidR="00151939" w:rsidRPr="00E4226A" w14:paraId="18F7B46D" w14:textId="77777777" w:rsidTr="0051395F">
        <w:trPr>
          <w:trHeight w:val="469"/>
          <w:tblHeader/>
        </w:trPr>
        <w:tc>
          <w:tcPr>
            <w:tcW w:w="3827" w:type="dxa"/>
            <w:tcBorders>
              <w:top w:val="single" w:sz="4" w:space="0" w:color="auto"/>
              <w:left w:val="nil"/>
              <w:bottom w:val="nil"/>
              <w:right w:val="nil"/>
            </w:tcBorders>
            <w:shd w:val="clear" w:color="000000" w:fill="BFBFBF"/>
            <w:noWrap/>
            <w:vAlign w:val="center"/>
            <w:hideMark/>
          </w:tcPr>
          <w:p w14:paraId="3CFC2D05" w14:textId="77777777" w:rsidR="00151939" w:rsidRPr="00E4226A" w:rsidRDefault="00151939" w:rsidP="0051395F">
            <w:pPr>
              <w:spacing w:after="0" w:line="240" w:lineRule="auto"/>
              <w:rPr>
                <w:b/>
                <w:bCs/>
                <w:sz w:val="18"/>
                <w:szCs w:val="18"/>
                <w:lang w:eastAsia="sk-SK"/>
              </w:rPr>
            </w:pPr>
            <w:r w:rsidRPr="00E4226A">
              <w:rPr>
                <w:b/>
                <w:bCs/>
                <w:sz w:val="18"/>
                <w:szCs w:val="18"/>
                <w:lang w:eastAsia="sk-SK"/>
              </w:rPr>
              <w:t> </w:t>
            </w:r>
          </w:p>
        </w:tc>
        <w:tc>
          <w:tcPr>
            <w:tcW w:w="1072" w:type="dxa"/>
            <w:tcBorders>
              <w:top w:val="single" w:sz="4" w:space="0" w:color="auto"/>
              <w:left w:val="nil"/>
              <w:bottom w:val="nil"/>
              <w:right w:val="nil"/>
            </w:tcBorders>
            <w:shd w:val="clear" w:color="000000" w:fill="BFBFBF"/>
            <w:vAlign w:val="center"/>
            <w:hideMark/>
          </w:tcPr>
          <w:p w14:paraId="3157F5CE" w14:textId="77777777" w:rsidR="00151939" w:rsidRPr="00E4226A" w:rsidRDefault="00151939" w:rsidP="0051395F">
            <w:pPr>
              <w:spacing w:after="0" w:line="240" w:lineRule="auto"/>
              <w:jc w:val="center"/>
              <w:rPr>
                <w:b/>
                <w:bCs/>
                <w:sz w:val="18"/>
                <w:szCs w:val="18"/>
                <w:lang w:eastAsia="sk-SK"/>
              </w:rPr>
            </w:pPr>
            <w:r w:rsidRPr="00E4226A">
              <w:rPr>
                <w:b/>
                <w:bCs/>
                <w:sz w:val="18"/>
                <w:szCs w:val="18"/>
                <w:lang w:eastAsia="sk-SK"/>
              </w:rPr>
              <w:t>Skutočnosť</w:t>
            </w:r>
            <w:r w:rsidRPr="00E4226A">
              <w:rPr>
                <w:b/>
                <w:bCs/>
                <w:sz w:val="18"/>
                <w:szCs w:val="18"/>
                <w:lang w:eastAsia="sk-SK"/>
              </w:rPr>
              <w:br/>
              <w:t>2018</w:t>
            </w:r>
          </w:p>
        </w:tc>
        <w:tc>
          <w:tcPr>
            <w:tcW w:w="1072" w:type="dxa"/>
            <w:tcBorders>
              <w:top w:val="single" w:sz="4" w:space="0" w:color="auto"/>
              <w:left w:val="nil"/>
              <w:bottom w:val="nil"/>
              <w:right w:val="nil"/>
            </w:tcBorders>
            <w:shd w:val="clear" w:color="000000" w:fill="BFBFBF"/>
            <w:vAlign w:val="center"/>
            <w:hideMark/>
          </w:tcPr>
          <w:p w14:paraId="167DA346" w14:textId="77777777" w:rsidR="00151939" w:rsidRPr="00E4226A" w:rsidRDefault="00151939" w:rsidP="0051395F">
            <w:pPr>
              <w:spacing w:after="0" w:line="240" w:lineRule="auto"/>
              <w:jc w:val="center"/>
              <w:rPr>
                <w:b/>
                <w:bCs/>
                <w:sz w:val="18"/>
                <w:szCs w:val="18"/>
                <w:lang w:eastAsia="sk-SK"/>
              </w:rPr>
            </w:pPr>
            <w:r w:rsidRPr="00E4226A">
              <w:rPr>
                <w:b/>
                <w:bCs/>
                <w:sz w:val="18"/>
                <w:szCs w:val="18"/>
                <w:lang w:eastAsia="sk-SK"/>
              </w:rPr>
              <w:t>Skutočnosť</w:t>
            </w:r>
            <w:r w:rsidRPr="00E4226A">
              <w:rPr>
                <w:b/>
                <w:bCs/>
                <w:sz w:val="18"/>
                <w:szCs w:val="18"/>
                <w:lang w:eastAsia="sk-SK"/>
              </w:rPr>
              <w:br/>
              <w:t>2019</w:t>
            </w:r>
          </w:p>
        </w:tc>
        <w:tc>
          <w:tcPr>
            <w:tcW w:w="1072" w:type="dxa"/>
            <w:tcBorders>
              <w:top w:val="single" w:sz="4" w:space="0" w:color="auto"/>
              <w:left w:val="nil"/>
              <w:bottom w:val="nil"/>
              <w:right w:val="nil"/>
            </w:tcBorders>
            <w:shd w:val="clear" w:color="000000" w:fill="BFBFBF"/>
            <w:vAlign w:val="center"/>
            <w:hideMark/>
          </w:tcPr>
          <w:p w14:paraId="6CED7A2F" w14:textId="77777777" w:rsidR="00151939" w:rsidRPr="00E4226A" w:rsidRDefault="00151939" w:rsidP="0051395F">
            <w:pPr>
              <w:spacing w:after="0" w:line="240" w:lineRule="auto"/>
              <w:jc w:val="center"/>
              <w:rPr>
                <w:b/>
                <w:bCs/>
                <w:sz w:val="18"/>
                <w:szCs w:val="18"/>
                <w:lang w:eastAsia="sk-SK"/>
              </w:rPr>
            </w:pPr>
            <w:r w:rsidRPr="00E4226A">
              <w:rPr>
                <w:b/>
                <w:bCs/>
                <w:sz w:val="18"/>
                <w:szCs w:val="18"/>
                <w:lang w:eastAsia="sk-SK"/>
              </w:rPr>
              <w:t>Skutočnosť</w:t>
            </w:r>
            <w:r w:rsidRPr="00E4226A">
              <w:rPr>
                <w:b/>
                <w:bCs/>
                <w:sz w:val="18"/>
                <w:szCs w:val="18"/>
                <w:lang w:eastAsia="sk-SK"/>
              </w:rPr>
              <w:br/>
              <w:t>2020</w:t>
            </w:r>
          </w:p>
        </w:tc>
        <w:tc>
          <w:tcPr>
            <w:tcW w:w="1072" w:type="dxa"/>
            <w:tcBorders>
              <w:top w:val="single" w:sz="4" w:space="0" w:color="auto"/>
              <w:left w:val="nil"/>
              <w:bottom w:val="nil"/>
              <w:right w:val="nil"/>
            </w:tcBorders>
            <w:shd w:val="clear" w:color="000000" w:fill="BFBFBF"/>
            <w:vAlign w:val="center"/>
            <w:hideMark/>
          </w:tcPr>
          <w:p w14:paraId="6D756165" w14:textId="77777777" w:rsidR="00151939" w:rsidRPr="00E4226A" w:rsidRDefault="00151939" w:rsidP="0051395F">
            <w:pPr>
              <w:spacing w:after="0" w:line="240" w:lineRule="auto"/>
              <w:jc w:val="center"/>
              <w:rPr>
                <w:b/>
                <w:bCs/>
                <w:sz w:val="18"/>
                <w:szCs w:val="18"/>
                <w:lang w:eastAsia="sk-SK"/>
              </w:rPr>
            </w:pPr>
            <w:r w:rsidRPr="00E4226A">
              <w:rPr>
                <w:b/>
                <w:bCs/>
                <w:sz w:val="18"/>
                <w:szCs w:val="18"/>
                <w:lang w:eastAsia="sk-SK"/>
              </w:rPr>
              <w:t xml:space="preserve">Rozpočet </w:t>
            </w:r>
            <w:r w:rsidRPr="00E4226A">
              <w:rPr>
                <w:b/>
                <w:bCs/>
                <w:sz w:val="18"/>
                <w:szCs w:val="18"/>
                <w:lang w:eastAsia="sk-SK"/>
              </w:rPr>
              <w:br/>
              <w:t>2020</w:t>
            </w:r>
          </w:p>
        </w:tc>
        <w:tc>
          <w:tcPr>
            <w:tcW w:w="911" w:type="dxa"/>
            <w:tcBorders>
              <w:top w:val="single" w:sz="4" w:space="0" w:color="auto"/>
              <w:left w:val="nil"/>
              <w:bottom w:val="nil"/>
              <w:right w:val="nil"/>
            </w:tcBorders>
            <w:shd w:val="clear" w:color="000000" w:fill="BFBFBF"/>
            <w:vAlign w:val="center"/>
            <w:hideMark/>
          </w:tcPr>
          <w:p w14:paraId="4B265780" w14:textId="77777777" w:rsidR="00151939" w:rsidRPr="00E4226A" w:rsidRDefault="00151939" w:rsidP="0051395F">
            <w:pPr>
              <w:spacing w:after="0" w:line="240" w:lineRule="auto"/>
              <w:jc w:val="center"/>
              <w:rPr>
                <w:b/>
                <w:bCs/>
                <w:sz w:val="18"/>
                <w:szCs w:val="18"/>
                <w:lang w:eastAsia="sk-SK"/>
              </w:rPr>
            </w:pPr>
            <w:r w:rsidRPr="00E4226A">
              <w:rPr>
                <w:b/>
                <w:bCs/>
                <w:sz w:val="18"/>
                <w:szCs w:val="18"/>
                <w:lang w:eastAsia="sk-SK"/>
              </w:rPr>
              <w:t>2020/2019</w:t>
            </w:r>
            <w:r w:rsidRPr="00E4226A">
              <w:rPr>
                <w:b/>
                <w:bCs/>
                <w:sz w:val="18"/>
                <w:szCs w:val="18"/>
                <w:lang w:eastAsia="sk-SK"/>
              </w:rPr>
              <w:br/>
              <w:t>v %</w:t>
            </w:r>
          </w:p>
        </w:tc>
      </w:tr>
      <w:tr w:rsidR="00151939" w:rsidRPr="00E4226A" w14:paraId="4CBF4661" w14:textId="77777777" w:rsidTr="0051395F">
        <w:trPr>
          <w:trHeight w:val="249"/>
        </w:trPr>
        <w:tc>
          <w:tcPr>
            <w:tcW w:w="3827" w:type="dxa"/>
            <w:tcBorders>
              <w:top w:val="nil"/>
              <w:left w:val="nil"/>
              <w:bottom w:val="nil"/>
              <w:right w:val="nil"/>
            </w:tcBorders>
            <w:shd w:val="clear" w:color="auto" w:fill="auto"/>
            <w:noWrap/>
            <w:vAlign w:val="center"/>
            <w:hideMark/>
          </w:tcPr>
          <w:p w14:paraId="71D174CA" w14:textId="77777777" w:rsidR="00151939" w:rsidRPr="00E4226A" w:rsidRDefault="00151939" w:rsidP="0051395F">
            <w:pPr>
              <w:spacing w:after="0" w:line="240" w:lineRule="auto"/>
              <w:rPr>
                <w:b/>
                <w:bCs/>
                <w:color w:val="000000"/>
                <w:sz w:val="18"/>
                <w:szCs w:val="18"/>
                <w:lang w:eastAsia="sk-SK"/>
              </w:rPr>
            </w:pPr>
            <w:r w:rsidRPr="00E4226A">
              <w:rPr>
                <w:b/>
                <w:bCs/>
                <w:color w:val="000000"/>
                <w:sz w:val="18"/>
                <w:szCs w:val="18"/>
                <w:lang w:eastAsia="sk-SK"/>
              </w:rPr>
              <w:t>Daňové príjmy</w:t>
            </w:r>
          </w:p>
        </w:tc>
        <w:tc>
          <w:tcPr>
            <w:tcW w:w="1072" w:type="dxa"/>
            <w:tcBorders>
              <w:top w:val="nil"/>
              <w:left w:val="nil"/>
              <w:bottom w:val="nil"/>
              <w:right w:val="nil"/>
            </w:tcBorders>
            <w:shd w:val="clear" w:color="auto" w:fill="auto"/>
            <w:noWrap/>
            <w:vAlign w:val="center"/>
            <w:hideMark/>
          </w:tcPr>
          <w:p w14:paraId="0B7A5642" w14:textId="77777777" w:rsidR="00151939" w:rsidRPr="00E4226A" w:rsidRDefault="00151939" w:rsidP="0051395F">
            <w:pPr>
              <w:spacing w:after="0" w:line="240" w:lineRule="auto"/>
              <w:jc w:val="right"/>
              <w:rPr>
                <w:b/>
                <w:bCs/>
                <w:sz w:val="18"/>
                <w:szCs w:val="18"/>
                <w:lang w:eastAsia="sk-SK"/>
              </w:rPr>
            </w:pPr>
            <w:r w:rsidRPr="00E4226A">
              <w:rPr>
                <w:b/>
                <w:bCs/>
                <w:sz w:val="18"/>
                <w:szCs w:val="18"/>
                <w:lang w:eastAsia="sk-SK"/>
              </w:rPr>
              <w:t>17 099 493</w:t>
            </w:r>
          </w:p>
        </w:tc>
        <w:tc>
          <w:tcPr>
            <w:tcW w:w="1072" w:type="dxa"/>
            <w:tcBorders>
              <w:top w:val="nil"/>
              <w:left w:val="nil"/>
              <w:bottom w:val="nil"/>
              <w:right w:val="nil"/>
            </w:tcBorders>
            <w:shd w:val="clear" w:color="auto" w:fill="auto"/>
            <w:noWrap/>
            <w:vAlign w:val="center"/>
            <w:hideMark/>
          </w:tcPr>
          <w:p w14:paraId="6F4BD29A" w14:textId="77777777" w:rsidR="00151939" w:rsidRPr="00E4226A" w:rsidRDefault="00151939" w:rsidP="0051395F">
            <w:pPr>
              <w:spacing w:after="0" w:line="240" w:lineRule="auto"/>
              <w:jc w:val="right"/>
              <w:rPr>
                <w:b/>
                <w:bCs/>
                <w:sz w:val="18"/>
                <w:szCs w:val="18"/>
                <w:lang w:eastAsia="sk-SK"/>
              </w:rPr>
            </w:pPr>
            <w:r w:rsidRPr="00E4226A">
              <w:rPr>
                <w:b/>
                <w:bCs/>
                <w:sz w:val="18"/>
                <w:szCs w:val="18"/>
                <w:lang w:eastAsia="sk-SK"/>
              </w:rPr>
              <w:t>18 057 775</w:t>
            </w:r>
          </w:p>
        </w:tc>
        <w:tc>
          <w:tcPr>
            <w:tcW w:w="1072" w:type="dxa"/>
            <w:tcBorders>
              <w:top w:val="nil"/>
              <w:left w:val="nil"/>
              <w:bottom w:val="nil"/>
              <w:right w:val="nil"/>
            </w:tcBorders>
            <w:shd w:val="clear" w:color="000000" w:fill="BFBFBF"/>
            <w:noWrap/>
            <w:vAlign w:val="center"/>
            <w:hideMark/>
          </w:tcPr>
          <w:p w14:paraId="4ADB59BA" w14:textId="77777777" w:rsidR="00151939" w:rsidRPr="00E4226A" w:rsidRDefault="00151939" w:rsidP="0051395F">
            <w:pPr>
              <w:spacing w:after="0" w:line="240" w:lineRule="auto"/>
              <w:jc w:val="right"/>
              <w:rPr>
                <w:b/>
                <w:bCs/>
                <w:sz w:val="18"/>
                <w:szCs w:val="18"/>
                <w:lang w:eastAsia="sk-SK"/>
              </w:rPr>
            </w:pPr>
            <w:r w:rsidRPr="00E4226A">
              <w:rPr>
                <w:b/>
                <w:bCs/>
                <w:sz w:val="18"/>
                <w:szCs w:val="18"/>
                <w:lang w:eastAsia="sk-SK"/>
              </w:rPr>
              <w:t>17 803 662</w:t>
            </w:r>
          </w:p>
        </w:tc>
        <w:tc>
          <w:tcPr>
            <w:tcW w:w="1072" w:type="dxa"/>
            <w:tcBorders>
              <w:top w:val="nil"/>
              <w:left w:val="nil"/>
              <w:bottom w:val="nil"/>
              <w:right w:val="nil"/>
            </w:tcBorders>
            <w:shd w:val="clear" w:color="auto" w:fill="auto"/>
            <w:noWrap/>
            <w:vAlign w:val="center"/>
            <w:hideMark/>
          </w:tcPr>
          <w:p w14:paraId="5C0E111B" w14:textId="77777777" w:rsidR="00151939" w:rsidRPr="00E4226A" w:rsidRDefault="00151939" w:rsidP="0051395F">
            <w:pPr>
              <w:spacing w:after="0" w:line="240" w:lineRule="auto"/>
              <w:jc w:val="right"/>
              <w:rPr>
                <w:b/>
                <w:bCs/>
                <w:sz w:val="18"/>
                <w:szCs w:val="18"/>
                <w:lang w:eastAsia="sk-SK"/>
              </w:rPr>
            </w:pPr>
            <w:r w:rsidRPr="00E4226A">
              <w:rPr>
                <w:b/>
                <w:bCs/>
                <w:sz w:val="18"/>
                <w:szCs w:val="18"/>
                <w:lang w:eastAsia="sk-SK"/>
              </w:rPr>
              <w:t>16 588 252</w:t>
            </w:r>
          </w:p>
        </w:tc>
        <w:tc>
          <w:tcPr>
            <w:tcW w:w="911" w:type="dxa"/>
            <w:tcBorders>
              <w:top w:val="nil"/>
              <w:left w:val="nil"/>
              <w:bottom w:val="nil"/>
              <w:right w:val="nil"/>
            </w:tcBorders>
            <w:shd w:val="clear" w:color="auto" w:fill="auto"/>
            <w:noWrap/>
            <w:vAlign w:val="center"/>
            <w:hideMark/>
          </w:tcPr>
          <w:p w14:paraId="22B31F2A" w14:textId="77777777" w:rsidR="00151939" w:rsidRPr="00E4226A" w:rsidRDefault="00151939" w:rsidP="0051395F">
            <w:pPr>
              <w:tabs>
                <w:tab w:val="decimal" w:pos="319"/>
              </w:tabs>
              <w:spacing w:after="0" w:line="240" w:lineRule="auto"/>
              <w:jc w:val="center"/>
              <w:rPr>
                <w:b/>
                <w:bCs/>
                <w:sz w:val="18"/>
                <w:szCs w:val="18"/>
                <w:lang w:eastAsia="sk-SK"/>
              </w:rPr>
            </w:pPr>
            <w:r w:rsidRPr="00E4226A">
              <w:rPr>
                <w:b/>
                <w:bCs/>
                <w:sz w:val="18"/>
                <w:szCs w:val="18"/>
                <w:lang w:eastAsia="sk-SK"/>
              </w:rPr>
              <w:t>-1,4</w:t>
            </w:r>
          </w:p>
        </w:tc>
      </w:tr>
      <w:tr w:rsidR="00151939" w:rsidRPr="00E4226A" w14:paraId="52B5770F" w14:textId="77777777" w:rsidTr="0051395F">
        <w:trPr>
          <w:trHeight w:val="249"/>
        </w:trPr>
        <w:tc>
          <w:tcPr>
            <w:tcW w:w="3827" w:type="dxa"/>
            <w:tcBorders>
              <w:top w:val="nil"/>
              <w:left w:val="nil"/>
              <w:bottom w:val="nil"/>
              <w:right w:val="nil"/>
            </w:tcBorders>
            <w:shd w:val="clear" w:color="auto" w:fill="auto"/>
            <w:noWrap/>
            <w:vAlign w:val="center"/>
            <w:hideMark/>
          </w:tcPr>
          <w:p w14:paraId="60FBD2F3" w14:textId="77777777" w:rsidR="00151939" w:rsidRPr="00E4226A" w:rsidRDefault="00151939" w:rsidP="0051395F">
            <w:pPr>
              <w:spacing w:after="0" w:line="240" w:lineRule="auto"/>
              <w:ind w:firstLineChars="100" w:firstLine="180"/>
              <w:rPr>
                <w:color w:val="000000"/>
                <w:sz w:val="18"/>
                <w:szCs w:val="18"/>
                <w:lang w:eastAsia="sk-SK"/>
              </w:rPr>
            </w:pPr>
            <w:r w:rsidRPr="00E4226A">
              <w:rPr>
                <w:color w:val="000000"/>
                <w:sz w:val="18"/>
                <w:szCs w:val="18"/>
                <w:lang w:eastAsia="sk-SK"/>
              </w:rPr>
              <w:t>Dane z produkcie a dovozu</w:t>
            </w:r>
          </w:p>
        </w:tc>
        <w:tc>
          <w:tcPr>
            <w:tcW w:w="1072" w:type="dxa"/>
            <w:tcBorders>
              <w:top w:val="nil"/>
              <w:left w:val="nil"/>
              <w:bottom w:val="nil"/>
              <w:right w:val="nil"/>
            </w:tcBorders>
            <w:shd w:val="clear" w:color="auto" w:fill="auto"/>
            <w:noWrap/>
            <w:vAlign w:val="bottom"/>
            <w:hideMark/>
          </w:tcPr>
          <w:p w14:paraId="37D89AB5"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10 570 256</w:t>
            </w:r>
          </w:p>
        </w:tc>
        <w:tc>
          <w:tcPr>
            <w:tcW w:w="1072" w:type="dxa"/>
            <w:tcBorders>
              <w:top w:val="nil"/>
              <w:left w:val="nil"/>
              <w:bottom w:val="nil"/>
              <w:right w:val="nil"/>
            </w:tcBorders>
            <w:shd w:val="clear" w:color="auto" w:fill="auto"/>
            <w:noWrap/>
            <w:vAlign w:val="bottom"/>
            <w:hideMark/>
          </w:tcPr>
          <w:p w14:paraId="0BB3D0D9"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11 264 493</w:t>
            </w:r>
          </w:p>
        </w:tc>
        <w:tc>
          <w:tcPr>
            <w:tcW w:w="1072" w:type="dxa"/>
            <w:tcBorders>
              <w:top w:val="nil"/>
              <w:left w:val="nil"/>
              <w:bottom w:val="nil"/>
              <w:right w:val="nil"/>
            </w:tcBorders>
            <w:shd w:val="clear" w:color="000000" w:fill="BFBFBF"/>
            <w:noWrap/>
            <w:vAlign w:val="center"/>
            <w:hideMark/>
          </w:tcPr>
          <w:p w14:paraId="0C5FC610" w14:textId="77777777" w:rsidR="00151939" w:rsidRPr="00E4226A" w:rsidRDefault="00151939" w:rsidP="0051395F">
            <w:pPr>
              <w:spacing w:after="0" w:line="240" w:lineRule="auto"/>
              <w:jc w:val="right"/>
              <w:rPr>
                <w:sz w:val="18"/>
                <w:szCs w:val="18"/>
                <w:lang w:eastAsia="sk-SK"/>
              </w:rPr>
            </w:pPr>
            <w:r w:rsidRPr="00E4226A">
              <w:rPr>
                <w:sz w:val="18"/>
                <w:szCs w:val="18"/>
                <w:lang w:eastAsia="sk-SK"/>
              </w:rPr>
              <w:t>11 142 462</w:t>
            </w:r>
          </w:p>
        </w:tc>
        <w:tc>
          <w:tcPr>
            <w:tcW w:w="1072" w:type="dxa"/>
            <w:tcBorders>
              <w:top w:val="nil"/>
              <w:left w:val="nil"/>
              <w:bottom w:val="nil"/>
              <w:right w:val="nil"/>
            </w:tcBorders>
            <w:shd w:val="clear" w:color="auto" w:fill="auto"/>
            <w:noWrap/>
            <w:vAlign w:val="bottom"/>
            <w:hideMark/>
          </w:tcPr>
          <w:p w14:paraId="513E1440"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10 708 913</w:t>
            </w:r>
          </w:p>
        </w:tc>
        <w:tc>
          <w:tcPr>
            <w:tcW w:w="911" w:type="dxa"/>
            <w:tcBorders>
              <w:top w:val="nil"/>
              <w:left w:val="nil"/>
              <w:bottom w:val="nil"/>
              <w:right w:val="nil"/>
            </w:tcBorders>
            <w:shd w:val="clear" w:color="auto" w:fill="auto"/>
            <w:noWrap/>
            <w:vAlign w:val="center"/>
            <w:hideMark/>
          </w:tcPr>
          <w:p w14:paraId="559BBD2E"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-1,1</w:t>
            </w:r>
          </w:p>
        </w:tc>
      </w:tr>
      <w:tr w:rsidR="00151939" w:rsidRPr="00E4226A" w14:paraId="2AF5E1ED" w14:textId="77777777" w:rsidTr="0051395F">
        <w:trPr>
          <w:trHeight w:val="249"/>
        </w:trPr>
        <w:tc>
          <w:tcPr>
            <w:tcW w:w="3827" w:type="dxa"/>
            <w:tcBorders>
              <w:top w:val="nil"/>
              <w:left w:val="nil"/>
              <w:bottom w:val="nil"/>
              <w:right w:val="nil"/>
            </w:tcBorders>
            <w:shd w:val="clear" w:color="auto" w:fill="auto"/>
            <w:vAlign w:val="center"/>
            <w:hideMark/>
          </w:tcPr>
          <w:p w14:paraId="16A56320" w14:textId="77777777" w:rsidR="00151939" w:rsidRPr="00E4226A" w:rsidRDefault="00151939" w:rsidP="0051395F">
            <w:pPr>
              <w:spacing w:after="0" w:line="240" w:lineRule="auto"/>
              <w:ind w:firstLineChars="100" w:firstLine="180"/>
              <w:rPr>
                <w:color w:val="000000"/>
                <w:sz w:val="18"/>
                <w:szCs w:val="18"/>
                <w:lang w:eastAsia="sk-SK"/>
              </w:rPr>
            </w:pPr>
            <w:r w:rsidRPr="00E4226A">
              <w:rPr>
                <w:color w:val="000000"/>
                <w:sz w:val="18"/>
                <w:szCs w:val="18"/>
                <w:lang w:eastAsia="sk-SK"/>
              </w:rPr>
              <w:t xml:space="preserve"> - Daň z pridanej hodnoty</w:t>
            </w:r>
          </w:p>
        </w:tc>
        <w:tc>
          <w:tcPr>
            <w:tcW w:w="1072" w:type="dxa"/>
            <w:tcBorders>
              <w:top w:val="nil"/>
              <w:left w:val="nil"/>
              <w:bottom w:val="nil"/>
              <w:right w:val="nil"/>
            </w:tcBorders>
            <w:shd w:val="clear" w:color="auto" w:fill="auto"/>
            <w:noWrap/>
            <w:vAlign w:val="bottom"/>
            <w:hideMark/>
          </w:tcPr>
          <w:p w14:paraId="61D892F2"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6 319 301</w:t>
            </w:r>
          </w:p>
        </w:tc>
        <w:tc>
          <w:tcPr>
            <w:tcW w:w="1072" w:type="dxa"/>
            <w:tcBorders>
              <w:top w:val="nil"/>
              <w:left w:val="nil"/>
              <w:bottom w:val="nil"/>
              <w:right w:val="nil"/>
            </w:tcBorders>
            <w:shd w:val="clear" w:color="auto" w:fill="auto"/>
            <w:noWrap/>
            <w:vAlign w:val="bottom"/>
            <w:hideMark/>
          </w:tcPr>
          <w:p w14:paraId="4C8A4354"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6 830 155</w:t>
            </w:r>
          </w:p>
        </w:tc>
        <w:tc>
          <w:tcPr>
            <w:tcW w:w="1072" w:type="dxa"/>
            <w:tcBorders>
              <w:top w:val="nil"/>
              <w:left w:val="nil"/>
              <w:bottom w:val="nil"/>
              <w:right w:val="nil"/>
            </w:tcBorders>
            <w:shd w:val="clear" w:color="000000" w:fill="BFBFBF"/>
            <w:noWrap/>
            <w:vAlign w:val="bottom"/>
            <w:hideMark/>
          </w:tcPr>
          <w:p w14:paraId="6F45B931"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6 820 217</w:t>
            </w:r>
          </w:p>
        </w:tc>
        <w:tc>
          <w:tcPr>
            <w:tcW w:w="1072" w:type="dxa"/>
            <w:tcBorders>
              <w:top w:val="nil"/>
              <w:left w:val="nil"/>
              <w:bottom w:val="nil"/>
              <w:right w:val="nil"/>
            </w:tcBorders>
            <w:shd w:val="clear" w:color="auto" w:fill="auto"/>
            <w:noWrap/>
            <w:vAlign w:val="bottom"/>
            <w:hideMark/>
          </w:tcPr>
          <w:p w14:paraId="60DE782C"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6 354 076</w:t>
            </w:r>
          </w:p>
        </w:tc>
        <w:tc>
          <w:tcPr>
            <w:tcW w:w="911" w:type="dxa"/>
            <w:tcBorders>
              <w:top w:val="nil"/>
              <w:left w:val="nil"/>
              <w:bottom w:val="nil"/>
              <w:right w:val="nil"/>
            </w:tcBorders>
            <w:shd w:val="clear" w:color="auto" w:fill="auto"/>
            <w:noWrap/>
            <w:vAlign w:val="center"/>
            <w:hideMark/>
          </w:tcPr>
          <w:p w14:paraId="51B51510"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-0,1</w:t>
            </w:r>
          </w:p>
        </w:tc>
      </w:tr>
      <w:tr w:rsidR="00151939" w:rsidRPr="00E4226A" w14:paraId="4EF99FCC" w14:textId="77777777" w:rsidTr="0051395F">
        <w:trPr>
          <w:trHeight w:val="249"/>
        </w:trPr>
        <w:tc>
          <w:tcPr>
            <w:tcW w:w="3827" w:type="dxa"/>
            <w:tcBorders>
              <w:top w:val="nil"/>
              <w:left w:val="nil"/>
              <w:bottom w:val="nil"/>
              <w:right w:val="nil"/>
            </w:tcBorders>
            <w:shd w:val="clear" w:color="auto" w:fill="auto"/>
            <w:vAlign w:val="center"/>
            <w:hideMark/>
          </w:tcPr>
          <w:p w14:paraId="35E91624" w14:textId="77777777" w:rsidR="00151939" w:rsidRPr="00E4226A" w:rsidRDefault="00151939" w:rsidP="0051395F">
            <w:pPr>
              <w:spacing w:after="0" w:line="240" w:lineRule="auto"/>
              <w:ind w:firstLineChars="100" w:firstLine="180"/>
              <w:rPr>
                <w:color w:val="000000"/>
                <w:sz w:val="18"/>
                <w:szCs w:val="18"/>
                <w:lang w:eastAsia="sk-SK"/>
              </w:rPr>
            </w:pPr>
            <w:r w:rsidRPr="00E4226A">
              <w:rPr>
                <w:color w:val="000000"/>
                <w:sz w:val="18"/>
                <w:szCs w:val="18"/>
                <w:lang w:eastAsia="sk-SK"/>
              </w:rPr>
              <w:t xml:space="preserve"> - Spotrebné dane</w:t>
            </w:r>
          </w:p>
        </w:tc>
        <w:tc>
          <w:tcPr>
            <w:tcW w:w="1072" w:type="dxa"/>
            <w:tcBorders>
              <w:top w:val="nil"/>
              <w:left w:val="nil"/>
              <w:bottom w:val="nil"/>
              <w:right w:val="nil"/>
            </w:tcBorders>
            <w:shd w:val="clear" w:color="auto" w:fill="auto"/>
            <w:noWrap/>
            <w:vAlign w:val="bottom"/>
            <w:hideMark/>
          </w:tcPr>
          <w:p w14:paraId="4A034323"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2 809 959</w:t>
            </w:r>
          </w:p>
        </w:tc>
        <w:tc>
          <w:tcPr>
            <w:tcW w:w="1072" w:type="dxa"/>
            <w:tcBorders>
              <w:top w:val="nil"/>
              <w:left w:val="nil"/>
              <w:bottom w:val="nil"/>
              <w:right w:val="nil"/>
            </w:tcBorders>
            <w:shd w:val="clear" w:color="auto" w:fill="auto"/>
            <w:noWrap/>
            <w:vAlign w:val="bottom"/>
            <w:hideMark/>
          </w:tcPr>
          <w:p w14:paraId="7A336A4E"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2 839 178</w:t>
            </w:r>
          </w:p>
        </w:tc>
        <w:tc>
          <w:tcPr>
            <w:tcW w:w="1072" w:type="dxa"/>
            <w:tcBorders>
              <w:top w:val="nil"/>
              <w:left w:val="nil"/>
              <w:bottom w:val="nil"/>
              <w:right w:val="nil"/>
            </w:tcBorders>
            <w:shd w:val="clear" w:color="000000" w:fill="BFBFBF"/>
            <w:noWrap/>
            <w:vAlign w:val="bottom"/>
            <w:hideMark/>
          </w:tcPr>
          <w:p w14:paraId="21823550"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2 752 268</w:t>
            </w:r>
          </w:p>
        </w:tc>
        <w:tc>
          <w:tcPr>
            <w:tcW w:w="1072" w:type="dxa"/>
            <w:tcBorders>
              <w:top w:val="nil"/>
              <w:left w:val="nil"/>
              <w:bottom w:val="nil"/>
              <w:right w:val="nil"/>
            </w:tcBorders>
            <w:shd w:val="clear" w:color="auto" w:fill="auto"/>
            <w:noWrap/>
            <w:vAlign w:val="center"/>
            <w:hideMark/>
          </w:tcPr>
          <w:p w14:paraId="1B440506"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2 735 104</w:t>
            </w:r>
          </w:p>
        </w:tc>
        <w:tc>
          <w:tcPr>
            <w:tcW w:w="911" w:type="dxa"/>
            <w:tcBorders>
              <w:top w:val="nil"/>
              <w:left w:val="nil"/>
              <w:bottom w:val="nil"/>
              <w:right w:val="nil"/>
            </w:tcBorders>
            <w:shd w:val="clear" w:color="auto" w:fill="auto"/>
            <w:noWrap/>
            <w:vAlign w:val="center"/>
            <w:hideMark/>
          </w:tcPr>
          <w:p w14:paraId="1B816B2F"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-3,1</w:t>
            </w:r>
          </w:p>
        </w:tc>
      </w:tr>
      <w:tr w:rsidR="00151939" w:rsidRPr="00E4226A" w14:paraId="035EE0AB" w14:textId="77777777" w:rsidTr="0051395F">
        <w:trPr>
          <w:trHeight w:val="249"/>
        </w:trPr>
        <w:tc>
          <w:tcPr>
            <w:tcW w:w="3827" w:type="dxa"/>
            <w:tcBorders>
              <w:top w:val="nil"/>
              <w:left w:val="nil"/>
              <w:bottom w:val="nil"/>
              <w:right w:val="nil"/>
            </w:tcBorders>
            <w:shd w:val="clear" w:color="auto" w:fill="auto"/>
            <w:vAlign w:val="center"/>
            <w:hideMark/>
          </w:tcPr>
          <w:p w14:paraId="59743803" w14:textId="77777777" w:rsidR="00151939" w:rsidRPr="00E4226A" w:rsidRDefault="00151939" w:rsidP="0051395F">
            <w:pPr>
              <w:spacing w:after="0" w:line="240" w:lineRule="auto"/>
              <w:ind w:firstLineChars="100" w:firstLine="180"/>
              <w:rPr>
                <w:sz w:val="18"/>
                <w:szCs w:val="18"/>
                <w:lang w:eastAsia="sk-SK"/>
              </w:rPr>
            </w:pPr>
            <w:r w:rsidRPr="00E4226A">
              <w:rPr>
                <w:sz w:val="18"/>
                <w:szCs w:val="18"/>
                <w:lang w:eastAsia="sk-SK"/>
              </w:rPr>
              <w:t xml:space="preserve"> - Daň z nehnuteľnosti a iné</w:t>
            </w:r>
          </w:p>
        </w:tc>
        <w:tc>
          <w:tcPr>
            <w:tcW w:w="1072" w:type="dxa"/>
            <w:tcBorders>
              <w:top w:val="nil"/>
              <w:left w:val="nil"/>
              <w:bottom w:val="nil"/>
              <w:right w:val="nil"/>
            </w:tcBorders>
            <w:shd w:val="clear" w:color="auto" w:fill="auto"/>
            <w:noWrap/>
            <w:vAlign w:val="bottom"/>
            <w:hideMark/>
          </w:tcPr>
          <w:p w14:paraId="5A95C24D"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337 928</w:t>
            </w:r>
          </w:p>
        </w:tc>
        <w:tc>
          <w:tcPr>
            <w:tcW w:w="1072" w:type="dxa"/>
            <w:tcBorders>
              <w:top w:val="nil"/>
              <w:left w:val="nil"/>
              <w:bottom w:val="nil"/>
              <w:right w:val="nil"/>
            </w:tcBorders>
            <w:shd w:val="clear" w:color="auto" w:fill="auto"/>
            <w:noWrap/>
            <w:vAlign w:val="bottom"/>
            <w:hideMark/>
          </w:tcPr>
          <w:p w14:paraId="3E4BDD70"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342 894</w:t>
            </w:r>
          </w:p>
        </w:tc>
        <w:tc>
          <w:tcPr>
            <w:tcW w:w="1072" w:type="dxa"/>
            <w:tcBorders>
              <w:top w:val="nil"/>
              <w:left w:val="nil"/>
              <w:bottom w:val="nil"/>
              <w:right w:val="nil"/>
            </w:tcBorders>
            <w:shd w:val="clear" w:color="000000" w:fill="BFBFBF"/>
            <w:noWrap/>
            <w:vAlign w:val="bottom"/>
            <w:hideMark/>
          </w:tcPr>
          <w:p w14:paraId="7F7AE6E1"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402 211</w:t>
            </w:r>
          </w:p>
        </w:tc>
        <w:tc>
          <w:tcPr>
            <w:tcW w:w="1072" w:type="dxa"/>
            <w:tcBorders>
              <w:top w:val="nil"/>
              <w:left w:val="nil"/>
              <w:bottom w:val="nil"/>
              <w:right w:val="nil"/>
            </w:tcBorders>
            <w:shd w:val="clear" w:color="auto" w:fill="auto"/>
            <w:noWrap/>
            <w:vAlign w:val="center"/>
            <w:hideMark/>
          </w:tcPr>
          <w:p w14:paraId="28F833BC"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414 212</w:t>
            </w:r>
          </w:p>
        </w:tc>
        <w:tc>
          <w:tcPr>
            <w:tcW w:w="911" w:type="dxa"/>
            <w:tcBorders>
              <w:top w:val="nil"/>
              <w:left w:val="nil"/>
              <w:bottom w:val="nil"/>
              <w:right w:val="nil"/>
            </w:tcBorders>
            <w:shd w:val="clear" w:color="auto" w:fill="auto"/>
            <w:noWrap/>
            <w:vAlign w:val="center"/>
            <w:hideMark/>
          </w:tcPr>
          <w:p w14:paraId="54E57FA6"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17,3</w:t>
            </w:r>
          </w:p>
        </w:tc>
      </w:tr>
      <w:tr w:rsidR="00151939" w:rsidRPr="00E4226A" w14:paraId="31A98BC6" w14:textId="77777777" w:rsidTr="0051395F">
        <w:trPr>
          <w:trHeight w:val="249"/>
        </w:trPr>
        <w:tc>
          <w:tcPr>
            <w:tcW w:w="3827" w:type="dxa"/>
            <w:tcBorders>
              <w:top w:val="nil"/>
              <w:left w:val="nil"/>
              <w:bottom w:val="nil"/>
              <w:right w:val="nil"/>
            </w:tcBorders>
            <w:shd w:val="clear" w:color="auto" w:fill="auto"/>
            <w:vAlign w:val="center"/>
            <w:hideMark/>
          </w:tcPr>
          <w:p w14:paraId="69DDC008" w14:textId="77777777" w:rsidR="00151939" w:rsidRPr="00E4226A" w:rsidRDefault="00151939" w:rsidP="0051395F">
            <w:pPr>
              <w:spacing w:after="0" w:line="240" w:lineRule="auto"/>
              <w:ind w:firstLineChars="100" w:firstLine="180"/>
              <w:rPr>
                <w:sz w:val="18"/>
                <w:szCs w:val="18"/>
                <w:lang w:eastAsia="sk-SK"/>
              </w:rPr>
            </w:pPr>
            <w:r w:rsidRPr="00E4226A">
              <w:rPr>
                <w:sz w:val="18"/>
                <w:szCs w:val="18"/>
                <w:lang w:eastAsia="sk-SK"/>
              </w:rPr>
              <w:t xml:space="preserve"> - Osobitný odvod vybraných fin. inštitúcii</w:t>
            </w:r>
          </w:p>
        </w:tc>
        <w:tc>
          <w:tcPr>
            <w:tcW w:w="1072" w:type="dxa"/>
            <w:tcBorders>
              <w:top w:val="nil"/>
              <w:left w:val="nil"/>
              <w:bottom w:val="nil"/>
              <w:right w:val="nil"/>
            </w:tcBorders>
            <w:shd w:val="clear" w:color="auto" w:fill="auto"/>
            <w:noWrap/>
            <w:vAlign w:val="bottom"/>
            <w:hideMark/>
          </w:tcPr>
          <w:p w14:paraId="7B1CF0C8"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134 177</w:t>
            </w:r>
          </w:p>
        </w:tc>
        <w:tc>
          <w:tcPr>
            <w:tcW w:w="1072" w:type="dxa"/>
            <w:tcBorders>
              <w:top w:val="nil"/>
              <w:left w:val="nil"/>
              <w:bottom w:val="nil"/>
              <w:right w:val="nil"/>
            </w:tcBorders>
            <w:shd w:val="clear" w:color="auto" w:fill="auto"/>
            <w:noWrap/>
            <w:vAlign w:val="bottom"/>
            <w:hideMark/>
          </w:tcPr>
          <w:p w14:paraId="204E2EDB"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143 412</w:t>
            </w:r>
          </w:p>
        </w:tc>
        <w:tc>
          <w:tcPr>
            <w:tcW w:w="1072" w:type="dxa"/>
            <w:tcBorders>
              <w:top w:val="nil"/>
              <w:left w:val="nil"/>
              <w:bottom w:val="nil"/>
              <w:right w:val="nil"/>
            </w:tcBorders>
            <w:shd w:val="clear" w:color="000000" w:fill="BFBFBF"/>
            <w:noWrap/>
            <w:vAlign w:val="bottom"/>
            <w:hideMark/>
          </w:tcPr>
          <w:p w14:paraId="72684752"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148 950</w:t>
            </w:r>
          </w:p>
        </w:tc>
        <w:tc>
          <w:tcPr>
            <w:tcW w:w="1072" w:type="dxa"/>
            <w:tcBorders>
              <w:top w:val="nil"/>
              <w:left w:val="nil"/>
              <w:bottom w:val="nil"/>
              <w:right w:val="nil"/>
            </w:tcBorders>
            <w:shd w:val="clear" w:color="auto" w:fill="auto"/>
            <w:noWrap/>
            <w:vAlign w:val="center"/>
            <w:hideMark/>
          </w:tcPr>
          <w:p w14:paraId="258504BC"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148 950</w:t>
            </w:r>
          </w:p>
        </w:tc>
        <w:tc>
          <w:tcPr>
            <w:tcW w:w="911" w:type="dxa"/>
            <w:tcBorders>
              <w:top w:val="nil"/>
              <w:left w:val="nil"/>
              <w:bottom w:val="nil"/>
              <w:right w:val="nil"/>
            </w:tcBorders>
            <w:shd w:val="clear" w:color="auto" w:fill="auto"/>
            <w:noWrap/>
            <w:vAlign w:val="center"/>
            <w:hideMark/>
          </w:tcPr>
          <w:p w14:paraId="7B136228"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3,9</w:t>
            </w:r>
          </w:p>
        </w:tc>
      </w:tr>
      <w:tr w:rsidR="00151939" w:rsidRPr="00E4226A" w14:paraId="798D5D70" w14:textId="77777777" w:rsidTr="0051395F">
        <w:trPr>
          <w:trHeight w:val="249"/>
        </w:trPr>
        <w:tc>
          <w:tcPr>
            <w:tcW w:w="3827" w:type="dxa"/>
            <w:tcBorders>
              <w:top w:val="nil"/>
              <w:left w:val="nil"/>
              <w:bottom w:val="nil"/>
              <w:right w:val="nil"/>
            </w:tcBorders>
            <w:shd w:val="clear" w:color="auto" w:fill="auto"/>
            <w:vAlign w:val="center"/>
            <w:hideMark/>
          </w:tcPr>
          <w:p w14:paraId="5063EC7E" w14:textId="77777777" w:rsidR="00151939" w:rsidRPr="00E4226A" w:rsidRDefault="00151939" w:rsidP="0051395F">
            <w:pPr>
              <w:spacing w:after="0" w:line="240" w:lineRule="auto"/>
              <w:ind w:firstLineChars="100" w:firstLine="180"/>
              <w:rPr>
                <w:sz w:val="18"/>
                <w:szCs w:val="18"/>
                <w:lang w:eastAsia="sk-SK"/>
              </w:rPr>
            </w:pPr>
            <w:r w:rsidRPr="00E4226A">
              <w:rPr>
                <w:sz w:val="18"/>
                <w:szCs w:val="18"/>
                <w:lang w:eastAsia="sk-SK"/>
              </w:rPr>
              <w:t xml:space="preserve"> - Odvod z hazardných hier</w:t>
            </w:r>
          </w:p>
        </w:tc>
        <w:tc>
          <w:tcPr>
            <w:tcW w:w="1072" w:type="dxa"/>
            <w:tcBorders>
              <w:top w:val="nil"/>
              <w:left w:val="nil"/>
              <w:bottom w:val="nil"/>
              <w:right w:val="nil"/>
            </w:tcBorders>
            <w:shd w:val="clear" w:color="auto" w:fill="auto"/>
            <w:noWrap/>
            <w:vAlign w:val="bottom"/>
            <w:hideMark/>
          </w:tcPr>
          <w:p w14:paraId="24747524"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245 362</w:t>
            </w:r>
          </w:p>
        </w:tc>
        <w:tc>
          <w:tcPr>
            <w:tcW w:w="1072" w:type="dxa"/>
            <w:tcBorders>
              <w:top w:val="nil"/>
              <w:left w:val="nil"/>
              <w:bottom w:val="nil"/>
              <w:right w:val="nil"/>
            </w:tcBorders>
            <w:shd w:val="clear" w:color="auto" w:fill="auto"/>
            <w:noWrap/>
            <w:vAlign w:val="bottom"/>
            <w:hideMark/>
          </w:tcPr>
          <w:p w14:paraId="22BEB7FA"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273 918</w:t>
            </w:r>
          </w:p>
        </w:tc>
        <w:tc>
          <w:tcPr>
            <w:tcW w:w="1072" w:type="dxa"/>
            <w:tcBorders>
              <w:top w:val="nil"/>
              <w:left w:val="nil"/>
              <w:bottom w:val="nil"/>
              <w:right w:val="nil"/>
            </w:tcBorders>
            <w:shd w:val="clear" w:color="000000" w:fill="BFBFBF"/>
            <w:noWrap/>
            <w:vAlign w:val="bottom"/>
            <w:hideMark/>
          </w:tcPr>
          <w:p w14:paraId="09A4B9C1"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231 196</w:t>
            </w:r>
          </w:p>
        </w:tc>
        <w:tc>
          <w:tcPr>
            <w:tcW w:w="1072" w:type="dxa"/>
            <w:tcBorders>
              <w:top w:val="nil"/>
              <w:left w:val="nil"/>
              <w:bottom w:val="nil"/>
              <w:right w:val="nil"/>
            </w:tcBorders>
            <w:shd w:val="clear" w:color="auto" w:fill="auto"/>
            <w:noWrap/>
            <w:vAlign w:val="center"/>
            <w:hideMark/>
          </w:tcPr>
          <w:p w14:paraId="0F76E2FB"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189 080</w:t>
            </w:r>
          </w:p>
        </w:tc>
        <w:tc>
          <w:tcPr>
            <w:tcW w:w="911" w:type="dxa"/>
            <w:tcBorders>
              <w:top w:val="nil"/>
              <w:left w:val="nil"/>
              <w:bottom w:val="nil"/>
              <w:right w:val="nil"/>
            </w:tcBorders>
            <w:shd w:val="clear" w:color="auto" w:fill="auto"/>
            <w:noWrap/>
            <w:vAlign w:val="center"/>
            <w:hideMark/>
          </w:tcPr>
          <w:p w14:paraId="5EEE5DB2"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-15,6</w:t>
            </w:r>
          </w:p>
        </w:tc>
      </w:tr>
      <w:tr w:rsidR="00151939" w:rsidRPr="00E4226A" w14:paraId="60F425AF" w14:textId="77777777" w:rsidTr="0051395F">
        <w:trPr>
          <w:trHeight w:val="249"/>
        </w:trPr>
        <w:tc>
          <w:tcPr>
            <w:tcW w:w="3827" w:type="dxa"/>
            <w:tcBorders>
              <w:top w:val="nil"/>
              <w:left w:val="nil"/>
              <w:bottom w:val="nil"/>
              <w:right w:val="nil"/>
            </w:tcBorders>
            <w:shd w:val="clear" w:color="auto" w:fill="auto"/>
            <w:vAlign w:val="center"/>
            <w:hideMark/>
          </w:tcPr>
          <w:p w14:paraId="3F46817B" w14:textId="77777777" w:rsidR="00151939" w:rsidRPr="00E4226A" w:rsidRDefault="00151939" w:rsidP="0051395F">
            <w:pPr>
              <w:spacing w:after="0" w:line="240" w:lineRule="auto"/>
              <w:ind w:firstLineChars="100" w:firstLine="180"/>
              <w:rPr>
                <w:sz w:val="18"/>
                <w:szCs w:val="18"/>
                <w:lang w:eastAsia="sk-SK"/>
              </w:rPr>
            </w:pPr>
            <w:r w:rsidRPr="00E4226A">
              <w:rPr>
                <w:sz w:val="18"/>
                <w:szCs w:val="18"/>
                <w:lang w:eastAsia="sk-SK"/>
              </w:rPr>
              <w:t xml:space="preserve"> - Daň z motorových vozidiel</w:t>
            </w:r>
          </w:p>
        </w:tc>
        <w:tc>
          <w:tcPr>
            <w:tcW w:w="1072" w:type="dxa"/>
            <w:tcBorders>
              <w:top w:val="nil"/>
              <w:left w:val="nil"/>
              <w:bottom w:val="nil"/>
              <w:right w:val="nil"/>
            </w:tcBorders>
            <w:shd w:val="clear" w:color="auto" w:fill="auto"/>
            <w:noWrap/>
            <w:vAlign w:val="bottom"/>
            <w:hideMark/>
          </w:tcPr>
          <w:p w14:paraId="0EE225D3"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154 891</w:t>
            </w:r>
          </w:p>
        </w:tc>
        <w:tc>
          <w:tcPr>
            <w:tcW w:w="1072" w:type="dxa"/>
            <w:tcBorders>
              <w:top w:val="nil"/>
              <w:left w:val="nil"/>
              <w:bottom w:val="nil"/>
              <w:right w:val="nil"/>
            </w:tcBorders>
            <w:shd w:val="clear" w:color="auto" w:fill="auto"/>
            <w:noWrap/>
            <w:vAlign w:val="bottom"/>
            <w:hideMark/>
          </w:tcPr>
          <w:p w14:paraId="14D1D6D6"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153 655</w:t>
            </w:r>
          </w:p>
        </w:tc>
        <w:tc>
          <w:tcPr>
            <w:tcW w:w="1072" w:type="dxa"/>
            <w:tcBorders>
              <w:top w:val="nil"/>
              <w:left w:val="nil"/>
              <w:bottom w:val="nil"/>
              <w:right w:val="nil"/>
            </w:tcBorders>
            <w:shd w:val="clear" w:color="000000" w:fill="BFBFBF"/>
            <w:noWrap/>
            <w:vAlign w:val="bottom"/>
            <w:hideMark/>
          </w:tcPr>
          <w:p w14:paraId="512B98A6"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130 159</w:t>
            </w:r>
          </w:p>
        </w:tc>
        <w:tc>
          <w:tcPr>
            <w:tcW w:w="1072" w:type="dxa"/>
            <w:tcBorders>
              <w:top w:val="nil"/>
              <w:left w:val="nil"/>
              <w:bottom w:val="nil"/>
              <w:right w:val="nil"/>
            </w:tcBorders>
            <w:shd w:val="clear" w:color="auto" w:fill="auto"/>
            <w:noWrap/>
            <w:vAlign w:val="center"/>
            <w:hideMark/>
          </w:tcPr>
          <w:p w14:paraId="108BE808"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146 622</w:t>
            </w:r>
          </w:p>
        </w:tc>
        <w:tc>
          <w:tcPr>
            <w:tcW w:w="911" w:type="dxa"/>
            <w:tcBorders>
              <w:top w:val="nil"/>
              <w:left w:val="nil"/>
              <w:bottom w:val="nil"/>
              <w:right w:val="nil"/>
            </w:tcBorders>
            <w:shd w:val="clear" w:color="auto" w:fill="auto"/>
            <w:noWrap/>
            <w:vAlign w:val="center"/>
            <w:hideMark/>
          </w:tcPr>
          <w:p w14:paraId="62513892"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-15,3</w:t>
            </w:r>
          </w:p>
        </w:tc>
      </w:tr>
      <w:tr w:rsidR="00151939" w:rsidRPr="00E4226A" w14:paraId="31A7B490" w14:textId="77777777" w:rsidTr="0051395F">
        <w:trPr>
          <w:trHeight w:val="249"/>
        </w:trPr>
        <w:tc>
          <w:tcPr>
            <w:tcW w:w="3827" w:type="dxa"/>
            <w:tcBorders>
              <w:top w:val="nil"/>
              <w:left w:val="nil"/>
              <w:bottom w:val="nil"/>
              <w:right w:val="nil"/>
            </w:tcBorders>
            <w:shd w:val="clear" w:color="auto" w:fill="auto"/>
            <w:vAlign w:val="center"/>
            <w:hideMark/>
          </w:tcPr>
          <w:p w14:paraId="115692F4" w14:textId="77777777" w:rsidR="00151939" w:rsidRPr="00E4226A" w:rsidRDefault="00151939" w:rsidP="0051395F">
            <w:pPr>
              <w:spacing w:after="0" w:line="240" w:lineRule="auto"/>
              <w:ind w:firstLineChars="100" w:firstLine="180"/>
              <w:rPr>
                <w:sz w:val="18"/>
                <w:szCs w:val="18"/>
                <w:lang w:eastAsia="sk-SK"/>
              </w:rPr>
            </w:pPr>
            <w:r w:rsidRPr="00E4226A">
              <w:rPr>
                <w:sz w:val="18"/>
                <w:szCs w:val="18"/>
                <w:lang w:eastAsia="sk-SK"/>
              </w:rPr>
              <w:t xml:space="preserve"> - Emisné kvóty – príjem z predaja </w:t>
            </w:r>
          </w:p>
        </w:tc>
        <w:tc>
          <w:tcPr>
            <w:tcW w:w="1072" w:type="dxa"/>
            <w:tcBorders>
              <w:top w:val="nil"/>
              <w:left w:val="nil"/>
              <w:bottom w:val="nil"/>
              <w:right w:val="nil"/>
            </w:tcBorders>
            <w:shd w:val="clear" w:color="auto" w:fill="auto"/>
            <w:noWrap/>
            <w:vAlign w:val="bottom"/>
            <w:hideMark/>
          </w:tcPr>
          <w:p w14:paraId="41504F17"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63 464</w:t>
            </w:r>
          </w:p>
        </w:tc>
        <w:tc>
          <w:tcPr>
            <w:tcW w:w="1072" w:type="dxa"/>
            <w:tcBorders>
              <w:top w:val="nil"/>
              <w:left w:val="nil"/>
              <w:bottom w:val="nil"/>
              <w:right w:val="nil"/>
            </w:tcBorders>
            <w:shd w:val="clear" w:color="auto" w:fill="auto"/>
            <w:noWrap/>
            <w:vAlign w:val="bottom"/>
            <w:hideMark/>
          </w:tcPr>
          <w:p w14:paraId="40F704E4"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114 139</w:t>
            </w:r>
          </w:p>
        </w:tc>
        <w:tc>
          <w:tcPr>
            <w:tcW w:w="1072" w:type="dxa"/>
            <w:tcBorders>
              <w:top w:val="nil"/>
              <w:left w:val="nil"/>
              <w:bottom w:val="nil"/>
              <w:right w:val="nil"/>
            </w:tcBorders>
            <w:shd w:val="clear" w:color="000000" w:fill="BFBFBF"/>
            <w:noWrap/>
            <w:vAlign w:val="bottom"/>
            <w:hideMark/>
          </w:tcPr>
          <w:p w14:paraId="5F836901"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141 092</w:t>
            </w:r>
          </w:p>
        </w:tc>
        <w:tc>
          <w:tcPr>
            <w:tcW w:w="1072" w:type="dxa"/>
            <w:tcBorders>
              <w:top w:val="nil"/>
              <w:left w:val="nil"/>
              <w:bottom w:val="nil"/>
              <w:right w:val="nil"/>
            </w:tcBorders>
            <w:shd w:val="clear" w:color="auto" w:fill="auto"/>
            <w:noWrap/>
            <w:vAlign w:val="center"/>
            <w:hideMark/>
          </w:tcPr>
          <w:p w14:paraId="4F6044D2"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150 655</w:t>
            </w:r>
          </w:p>
        </w:tc>
        <w:tc>
          <w:tcPr>
            <w:tcW w:w="911" w:type="dxa"/>
            <w:tcBorders>
              <w:top w:val="nil"/>
              <w:left w:val="nil"/>
              <w:bottom w:val="nil"/>
              <w:right w:val="nil"/>
            </w:tcBorders>
            <w:shd w:val="clear" w:color="auto" w:fill="auto"/>
            <w:noWrap/>
            <w:vAlign w:val="center"/>
            <w:hideMark/>
          </w:tcPr>
          <w:p w14:paraId="3B3D16FD"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23,6</w:t>
            </w:r>
          </w:p>
        </w:tc>
      </w:tr>
      <w:tr w:rsidR="00151939" w:rsidRPr="00E4226A" w14:paraId="36B66FB1" w14:textId="77777777" w:rsidTr="0051395F">
        <w:trPr>
          <w:trHeight w:val="249"/>
        </w:trPr>
        <w:tc>
          <w:tcPr>
            <w:tcW w:w="3827" w:type="dxa"/>
            <w:tcBorders>
              <w:top w:val="nil"/>
              <w:left w:val="nil"/>
              <w:bottom w:val="nil"/>
              <w:right w:val="nil"/>
            </w:tcBorders>
            <w:shd w:val="clear" w:color="auto" w:fill="auto"/>
            <w:vAlign w:val="center"/>
            <w:hideMark/>
          </w:tcPr>
          <w:p w14:paraId="09C6CB30" w14:textId="77777777" w:rsidR="00151939" w:rsidRPr="00E4226A" w:rsidRDefault="00151939" w:rsidP="0051395F">
            <w:pPr>
              <w:spacing w:after="0" w:line="240" w:lineRule="auto"/>
              <w:ind w:firstLineChars="100" w:firstLine="180"/>
              <w:rPr>
                <w:sz w:val="18"/>
                <w:szCs w:val="18"/>
                <w:lang w:eastAsia="sk-SK"/>
              </w:rPr>
            </w:pPr>
            <w:r w:rsidRPr="00E4226A">
              <w:rPr>
                <w:sz w:val="18"/>
                <w:szCs w:val="18"/>
                <w:lang w:eastAsia="sk-SK"/>
              </w:rPr>
              <w:t xml:space="preserve"> - Ostatné</w:t>
            </w:r>
          </w:p>
        </w:tc>
        <w:tc>
          <w:tcPr>
            <w:tcW w:w="1072" w:type="dxa"/>
            <w:tcBorders>
              <w:top w:val="nil"/>
              <w:left w:val="nil"/>
              <w:bottom w:val="nil"/>
              <w:right w:val="nil"/>
            </w:tcBorders>
            <w:shd w:val="clear" w:color="auto" w:fill="auto"/>
            <w:noWrap/>
            <w:vAlign w:val="bottom"/>
            <w:hideMark/>
          </w:tcPr>
          <w:p w14:paraId="2A6D9FDE"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505 174</w:t>
            </w:r>
          </w:p>
        </w:tc>
        <w:tc>
          <w:tcPr>
            <w:tcW w:w="1072" w:type="dxa"/>
            <w:tcBorders>
              <w:top w:val="nil"/>
              <w:left w:val="nil"/>
              <w:bottom w:val="nil"/>
              <w:right w:val="nil"/>
            </w:tcBorders>
            <w:shd w:val="clear" w:color="auto" w:fill="auto"/>
            <w:noWrap/>
            <w:vAlign w:val="bottom"/>
            <w:hideMark/>
          </w:tcPr>
          <w:p w14:paraId="4A9AE0AA"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567 142</w:t>
            </w:r>
          </w:p>
        </w:tc>
        <w:tc>
          <w:tcPr>
            <w:tcW w:w="1072" w:type="dxa"/>
            <w:tcBorders>
              <w:top w:val="nil"/>
              <w:left w:val="nil"/>
              <w:bottom w:val="nil"/>
              <w:right w:val="nil"/>
            </w:tcBorders>
            <w:shd w:val="clear" w:color="000000" w:fill="BFBFBF"/>
            <w:noWrap/>
            <w:vAlign w:val="bottom"/>
            <w:hideMark/>
          </w:tcPr>
          <w:p w14:paraId="32A9AB81"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516 369</w:t>
            </w:r>
          </w:p>
        </w:tc>
        <w:tc>
          <w:tcPr>
            <w:tcW w:w="1072" w:type="dxa"/>
            <w:tcBorders>
              <w:top w:val="nil"/>
              <w:left w:val="nil"/>
              <w:bottom w:val="nil"/>
              <w:right w:val="nil"/>
            </w:tcBorders>
            <w:shd w:val="clear" w:color="auto" w:fill="auto"/>
            <w:noWrap/>
            <w:vAlign w:val="center"/>
            <w:hideMark/>
          </w:tcPr>
          <w:p w14:paraId="32255439"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570 214</w:t>
            </w:r>
          </w:p>
        </w:tc>
        <w:tc>
          <w:tcPr>
            <w:tcW w:w="911" w:type="dxa"/>
            <w:tcBorders>
              <w:top w:val="nil"/>
              <w:left w:val="nil"/>
              <w:bottom w:val="nil"/>
              <w:right w:val="nil"/>
            </w:tcBorders>
            <w:shd w:val="clear" w:color="auto" w:fill="auto"/>
            <w:noWrap/>
            <w:vAlign w:val="center"/>
            <w:hideMark/>
          </w:tcPr>
          <w:p w14:paraId="5D1CD8CF"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-9,0</w:t>
            </w:r>
          </w:p>
        </w:tc>
      </w:tr>
      <w:tr w:rsidR="00151939" w:rsidRPr="00E4226A" w14:paraId="31E6B9EE" w14:textId="77777777" w:rsidTr="0051395F">
        <w:trPr>
          <w:trHeight w:val="249"/>
        </w:trPr>
        <w:tc>
          <w:tcPr>
            <w:tcW w:w="3827" w:type="dxa"/>
            <w:tcBorders>
              <w:top w:val="nil"/>
              <w:left w:val="nil"/>
              <w:bottom w:val="nil"/>
              <w:right w:val="nil"/>
            </w:tcBorders>
            <w:shd w:val="clear" w:color="auto" w:fill="auto"/>
            <w:vAlign w:val="center"/>
            <w:hideMark/>
          </w:tcPr>
          <w:p w14:paraId="0FE7A1C2" w14:textId="77777777" w:rsidR="00151939" w:rsidRPr="00E4226A" w:rsidRDefault="00151939" w:rsidP="0051395F">
            <w:pPr>
              <w:spacing w:after="0" w:line="240" w:lineRule="auto"/>
              <w:ind w:firstLineChars="100" w:firstLine="180"/>
              <w:rPr>
                <w:sz w:val="18"/>
                <w:szCs w:val="18"/>
                <w:lang w:eastAsia="sk-SK"/>
              </w:rPr>
            </w:pPr>
            <w:r w:rsidRPr="00E4226A">
              <w:rPr>
                <w:sz w:val="18"/>
                <w:szCs w:val="18"/>
                <w:lang w:eastAsia="sk-SK"/>
              </w:rPr>
              <w:t>Bežné dane z dôchodkov, majetku</w:t>
            </w:r>
          </w:p>
        </w:tc>
        <w:tc>
          <w:tcPr>
            <w:tcW w:w="1072" w:type="dxa"/>
            <w:tcBorders>
              <w:top w:val="nil"/>
              <w:left w:val="nil"/>
              <w:bottom w:val="nil"/>
              <w:right w:val="nil"/>
            </w:tcBorders>
            <w:shd w:val="clear" w:color="auto" w:fill="auto"/>
            <w:noWrap/>
            <w:vAlign w:val="bottom"/>
            <w:hideMark/>
          </w:tcPr>
          <w:p w14:paraId="44355BC1"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6 529 237</w:t>
            </w:r>
          </w:p>
        </w:tc>
        <w:tc>
          <w:tcPr>
            <w:tcW w:w="1072" w:type="dxa"/>
            <w:tcBorders>
              <w:top w:val="nil"/>
              <w:left w:val="nil"/>
              <w:bottom w:val="nil"/>
              <w:right w:val="nil"/>
            </w:tcBorders>
            <w:shd w:val="clear" w:color="auto" w:fill="auto"/>
            <w:noWrap/>
            <w:vAlign w:val="bottom"/>
            <w:hideMark/>
          </w:tcPr>
          <w:p w14:paraId="4E0DD181"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6 793 282</w:t>
            </w:r>
          </w:p>
        </w:tc>
        <w:tc>
          <w:tcPr>
            <w:tcW w:w="1072" w:type="dxa"/>
            <w:tcBorders>
              <w:top w:val="nil"/>
              <w:left w:val="nil"/>
              <w:bottom w:val="nil"/>
              <w:right w:val="nil"/>
            </w:tcBorders>
            <w:shd w:val="clear" w:color="000000" w:fill="BFBFBF"/>
            <w:noWrap/>
            <w:vAlign w:val="bottom"/>
            <w:hideMark/>
          </w:tcPr>
          <w:p w14:paraId="032B2C44"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6 661 200</w:t>
            </w:r>
          </w:p>
        </w:tc>
        <w:tc>
          <w:tcPr>
            <w:tcW w:w="1072" w:type="dxa"/>
            <w:tcBorders>
              <w:top w:val="nil"/>
              <w:left w:val="nil"/>
              <w:bottom w:val="nil"/>
              <w:right w:val="nil"/>
            </w:tcBorders>
            <w:shd w:val="clear" w:color="auto" w:fill="auto"/>
            <w:noWrap/>
            <w:vAlign w:val="center"/>
            <w:hideMark/>
          </w:tcPr>
          <w:p w14:paraId="2A4DDD7C"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5 879 339</w:t>
            </w:r>
          </w:p>
        </w:tc>
        <w:tc>
          <w:tcPr>
            <w:tcW w:w="911" w:type="dxa"/>
            <w:tcBorders>
              <w:top w:val="nil"/>
              <w:left w:val="nil"/>
              <w:bottom w:val="nil"/>
              <w:right w:val="nil"/>
            </w:tcBorders>
            <w:shd w:val="clear" w:color="auto" w:fill="auto"/>
            <w:noWrap/>
            <w:vAlign w:val="center"/>
            <w:hideMark/>
          </w:tcPr>
          <w:p w14:paraId="08369B0B"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-1,9</w:t>
            </w:r>
          </w:p>
        </w:tc>
      </w:tr>
      <w:tr w:rsidR="00151939" w:rsidRPr="00E4226A" w14:paraId="1BDF6828" w14:textId="77777777" w:rsidTr="0051395F">
        <w:trPr>
          <w:trHeight w:val="249"/>
        </w:trPr>
        <w:tc>
          <w:tcPr>
            <w:tcW w:w="3827" w:type="dxa"/>
            <w:tcBorders>
              <w:top w:val="nil"/>
              <w:left w:val="nil"/>
              <w:bottom w:val="nil"/>
              <w:right w:val="nil"/>
            </w:tcBorders>
            <w:shd w:val="clear" w:color="auto" w:fill="auto"/>
            <w:vAlign w:val="center"/>
            <w:hideMark/>
          </w:tcPr>
          <w:p w14:paraId="7B77BD7E" w14:textId="77777777" w:rsidR="00151939" w:rsidRPr="00E4226A" w:rsidRDefault="00151939" w:rsidP="0051395F">
            <w:pPr>
              <w:spacing w:after="0" w:line="240" w:lineRule="auto"/>
              <w:ind w:firstLineChars="100" w:firstLine="180"/>
              <w:rPr>
                <w:sz w:val="18"/>
                <w:szCs w:val="18"/>
                <w:lang w:eastAsia="sk-SK"/>
              </w:rPr>
            </w:pPr>
            <w:r w:rsidRPr="00E4226A">
              <w:rPr>
                <w:sz w:val="18"/>
                <w:szCs w:val="18"/>
                <w:lang w:eastAsia="sk-SK"/>
              </w:rPr>
              <w:t xml:space="preserve"> - Daň z príjmov fyzických osôb</w:t>
            </w:r>
          </w:p>
        </w:tc>
        <w:tc>
          <w:tcPr>
            <w:tcW w:w="1072" w:type="dxa"/>
            <w:tcBorders>
              <w:top w:val="nil"/>
              <w:left w:val="nil"/>
              <w:bottom w:val="nil"/>
              <w:right w:val="nil"/>
            </w:tcBorders>
            <w:shd w:val="clear" w:color="auto" w:fill="auto"/>
            <w:noWrap/>
            <w:vAlign w:val="bottom"/>
            <w:hideMark/>
          </w:tcPr>
          <w:p w14:paraId="3BAD8967"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3 217 997</w:t>
            </w:r>
          </w:p>
        </w:tc>
        <w:tc>
          <w:tcPr>
            <w:tcW w:w="1072" w:type="dxa"/>
            <w:tcBorders>
              <w:top w:val="nil"/>
              <w:left w:val="nil"/>
              <w:bottom w:val="nil"/>
              <w:right w:val="nil"/>
            </w:tcBorders>
            <w:shd w:val="clear" w:color="auto" w:fill="auto"/>
            <w:noWrap/>
            <w:vAlign w:val="bottom"/>
            <w:hideMark/>
          </w:tcPr>
          <w:p w14:paraId="0B7D0D5D"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3 534 730</w:t>
            </w:r>
          </w:p>
        </w:tc>
        <w:tc>
          <w:tcPr>
            <w:tcW w:w="1072" w:type="dxa"/>
            <w:tcBorders>
              <w:top w:val="nil"/>
              <w:left w:val="nil"/>
              <w:bottom w:val="nil"/>
              <w:right w:val="nil"/>
            </w:tcBorders>
            <w:shd w:val="clear" w:color="000000" w:fill="BFBFBF"/>
            <w:noWrap/>
            <w:vAlign w:val="bottom"/>
            <w:hideMark/>
          </w:tcPr>
          <w:p w14:paraId="57764D33"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3 491 759</w:t>
            </w:r>
          </w:p>
        </w:tc>
        <w:tc>
          <w:tcPr>
            <w:tcW w:w="1072" w:type="dxa"/>
            <w:tcBorders>
              <w:top w:val="nil"/>
              <w:left w:val="nil"/>
              <w:bottom w:val="nil"/>
              <w:right w:val="nil"/>
            </w:tcBorders>
            <w:shd w:val="clear" w:color="auto" w:fill="auto"/>
            <w:noWrap/>
            <w:vAlign w:val="center"/>
            <w:hideMark/>
          </w:tcPr>
          <w:p w14:paraId="707C8201"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3 350 710</w:t>
            </w:r>
          </w:p>
        </w:tc>
        <w:tc>
          <w:tcPr>
            <w:tcW w:w="911" w:type="dxa"/>
            <w:tcBorders>
              <w:top w:val="nil"/>
              <w:left w:val="nil"/>
              <w:bottom w:val="nil"/>
              <w:right w:val="nil"/>
            </w:tcBorders>
            <w:shd w:val="clear" w:color="auto" w:fill="auto"/>
            <w:noWrap/>
            <w:vAlign w:val="center"/>
            <w:hideMark/>
          </w:tcPr>
          <w:p w14:paraId="73945074"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-1,2</w:t>
            </w:r>
          </w:p>
        </w:tc>
      </w:tr>
      <w:tr w:rsidR="00151939" w:rsidRPr="00E4226A" w14:paraId="7651791B" w14:textId="77777777" w:rsidTr="0051395F">
        <w:trPr>
          <w:trHeight w:val="249"/>
        </w:trPr>
        <w:tc>
          <w:tcPr>
            <w:tcW w:w="3827" w:type="dxa"/>
            <w:tcBorders>
              <w:top w:val="nil"/>
              <w:left w:val="nil"/>
              <w:bottom w:val="nil"/>
              <w:right w:val="nil"/>
            </w:tcBorders>
            <w:shd w:val="clear" w:color="auto" w:fill="auto"/>
            <w:noWrap/>
            <w:vAlign w:val="bottom"/>
            <w:hideMark/>
          </w:tcPr>
          <w:p w14:paraId="64AB7D4D" w14:textId="77777777" w:rsidR="00151939" w:rsidRPr="00E4226A" w:rsidRDefault="00151939" w:rsidP="0051395F">
            <w:pPr>
              <w:spacing w:after="0" w:line="240" w:lineRule="auto"/>
              <w:ind w:firstLineChars="200" w:firstLine="360"/>
              <w:rPr>
                <w:sz w:val="18"/>
                <w:szCs w:val="18"/>
                <w:lang w:eastAsia="sk-SK"/>
              </w:rPr>
            </w:pPr>
            <w:r w:rsidRPr="00E4226A">
              <w:rPr>
                <w:sz w:val="18"/>
                <w:szCs w:val="18"/>
                <w:lang w:eastAsia="sk-SK"/>
              </w:rPr>
              <w:t xml:space="preserve"> - zo závislej činnosti (</w:t>
            </w:r>
            <w:proofErr w:type="spellStart"/>
            <w:r w:rsidRPr="00E4226A">
              <w:rPr>
                <w:sz w:val="18"/>
                <w:szCs w:val="18"/>
                <w:lang w:eastAsia="sk-SK"/>
              </w:rPr>
              <w:t>akruál</w:t>
            </w:r>
            <w:proofErr w:type="spellEnd"/>
            <w:r w:rsidRPr="00E4226A">
              <w:rPr>
                <w:sz w:val="18"/>
                <w:szCs w:val="18"/>
                <w:lang w:eastAsia="sk-SK"/>
              </w:rPr>
              <w:t>)</w:t>
            </w:r>
          </w:p>
        </w:tc>
        <w:tc>
          <w:tcPr>
            <w:tcW w:w="1072" w:type="dxa"/>
            <w:tcBorders>
              <w:top w:val="nil"/>
              <w:left w:val="nil"/>
              <w:bottom w:val="nil"/>
              <w:right w:val="nil"/>
            </w:tcBorders>
            <w:shd w:val="clear" w:color="auto" w:fill="auto"/>
            <w:noWrap/>
            <w:vAlign w:val="bottom"/>
            <w:hideMark/>
          </w:tcPr>
          <w:p w14:paraId="21F2EAB6"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3 094 282</w:t>
            </w:r>
          </w:p>
        </w:tc>
        <w:tc>
          <w:tcPr>
            <w:tcW w:w="1072" w:type="dxa"/>
            <w:tcBorders>
              <w:top w:val="nil"/>
              <w:left w:val="nil"/>
              <w:bottom w:val="nil"/>
              <w:right w:val="nil"/>
            </w:tcBorders>
            <w:shd w:val="clear" w:color="auto" w:fill="auto"/>
            <w:noWrap/>
            <w:vAlign w:val="bottom"/>
            <w:hideMark/>
          </w:tcPr>
          <w:p w14:paraId="7F2305A1"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3 410 112</w:t>
            </w:r>
          </w:p>
        </w:tc>
        <w:tc>
          <w:tcPr>
            <w:tcW w:w="1072" w:type="dxa"/>
            <w:tcBorders>
              <w:top w:val="nil"/>
              <w:left w:val="nil"/>
              <w:bottom w:val="nil"/>
              <w:right w:val="nil"/>
            </w:tcBorders>
            <w:shd w:val="clear" w:color="000000" w:fill="BFBFBF"/>
            <w:noWrap/>
            <w:vAlign w:val="bottom"/>
            <w:hideMark/>
          </w:tcPr>
          <w:p w14:paraId="7D9BF68F"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3 405 679</w:t>
            </w:r>
          </w:p>
        </w:tc>
        <w:tc>
          <w:tcPr>
            <w:tcW w:w="1072" w:type="dxa"/>
            <w:tcBorders>
              <w:top w:val="nil"/>
              <w:left w:val="nil"/>
              <w:bottom w:val="nil"/>
              <w:right w:val="nil"/>
            </w:tcBorders>
            <w:shd w:val="clear" w:color="auto" w:fill="auto"/>
            <w:noWrap/>
            <w:vAlign w:val="center"/>
            <w:hideMark/>
          </w:tcPr>
          <w:p w14:paraId="634EBC91"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3 285 588</w:t>
            </w:r>
          </w:p>
        </w:tc>
        <w:tc>
          <w:tcPr>
            <w:tcW w:w="911" w:type="dxa"/>
            <w:tcBorders>
              <w:top w:val="nil"/>
              <w:left w:val="nil"/>
              <w:bottom w:val="nil"/>
              <w:right w:val="nil"/>
            </w:tcBorders>
            <w:shd w:val="clear" w:color="auto" w:fill="auto"/>
            <w:noWrap/>
            <w:vAlign w:val="center"/>
            <w:hideMark/>
          </w:tcPr>
          <w:p w14:paraId="5EA4E0D0"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-0,1</w:t>
            </w:r>
          </w:p>
        </w:tc>
      </w:tr>
      <w:tr w:rsidR="00151939" w:rsidRPr="00E4226A" w14:paraId="44E9318A" w14:textId="77777777" w:rsidTr="0051395F">
        <w:trPr>
          <w:trHeight w:val="249"/>
        </w:trPr>
        <w:tc>
          <w:tcPr>
            <w:tcW w:w="3827" w:type="dxa"/>
            <w:tcBorders>
              <w:top w:val="nil"/>
              <w:left w:val="nil"/>
              <w:bottom w:val="nil"/>
              <w:right w:val="nil"/>
            </w:tcBorders>
            <w:shd w:val="clear" w:color="auto" w:fill="auto"/>
            <w:noWrap/>
            <w:vAlign w:val="bottom"/>
            <w:hideMark/>
          </w:tcPr>
          <w:p w14:paraId="2E9FF014" w14:textId="10D0B778" w:rsidR="00151939" w:rsidRPr="00E4226A" w:rsidRDefault="00151939" w:rsidP="002F297B">
            <w:pPr>
              <w:spacing w:after="0" w:line="240" w:lineRule="auto"/>
              <w:ind w:firstLineChars="200" w:firstLine="360"/>
              <w:rPr>
                <w:sz w:val="18"/>
                <w:szCs w:val="18"/>
                <w:lang w:eastAsia="sk-SK"/>
              </w:rPr>
            </w:pPr>
            <w:r w:rsidRPr="00E4226A">
              <w:rPr>
                <w:sz w:val="18"/>
                <w:szCs w:val="18"/>
                <w:lang w:eastAsia="sk-SK"/>
              </w:rPr>
              <w:t xml:space="preserve"> - z podnikania a inej </w:t>
            </w:r>
            <w:proofErr w:type="spellStart"/>
            <w:r w:rsidRPr="00E4226A">
              <w:rPr>
                <w:sz w:val="18"/>
                <w:szCs w:val="18"/>
                <w:lang w:eastAsia="sk-SK"/>
              </w:rPr>
              <w:t>sam</w:t>
            </w:r>
            <w:r>
              <w:rPr>
                <w:sz w:val="18"/>
                <w:szCs w:val="18"/>
                <w:lang w:eastAsia="sk-SK"/>
              </w:rPr>
              <w:t>.</w:t>
            </w:r>
            <w:r w:rsidR="002F297B">
              <w:rPr>
                <w:sz w:val="18"/>
                <w:szCs w:val="18"/>
                <w:lang w:eastAsia="sk-SK"/>
              </w:rPr>
              <w:t>zar.</w:t>
            </w:r>
            <w:r w:rsidRPr="00E4226A">
              <w:rPr>
                <w:sz w:val="18"/>
                <w:szCs w:val="18"/>
                <w:lang w:eastAsia="sk-SK"/>
              </w:rPr>
              <w:t>činnosti</w:t>
            </w:r>
            <w:proofErr w:type="spellEnd"/>
            <w:r>
              <w:rPr>
                <w:sz w:val="18"/>
                <w:szCs w:val="18"/>
                <w:lang w:eastAsia="sk-SK"/>
              </w:rPr>
              <w:t>(</w:t>
            </w:r>
            <w:proofErr w:type="spellStart"/>
            <w:r w:rsidRPr="00E4226A">
              <w:rPr>
                <w:sz w:val="18"/>
                <w:szCs w:val="18"/>
                <w:lang w:eastAsia="sk-SK"/>
              </w:rPr>
              <w:t>akruál</w:t>
            </w:r>
            <w:proofErr w:type="spellEnd"/>
            <w:r w:rsidRPr="00E4226A">
              <w:rPr>
                <w:sz w:val="18"/>
                <w:szCs w:val="18"/>
                <w:lang w:eastAsia="sk-SK"/>
              </w:rPr>
              <w:t>)</w:t>
            </w:r>
          </w:p>
        </w:tc>
        <w:tc>
          <w:tcPr>
            <w:tcW w:w="1072" w:type="dxa"/>
            <w:tcBorders>
              <w:top w:val="nil"/>
              <w:left w:val="nil"/>
              <w:bottom w:val="nil"/>
              <w:right w:val="nil"/>
            </w:tcBorders>
            <w:shd w:val="clear" w:color="auto" w:fill="auto"/>
            <w:noWrap/>
            <w:vAlign w:val="bottom"/>
            <w:hideMark/>
          </w:tcPr>
          <w:p w14:paraId="48C9FF10"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123 715</w:t>
            </w:r>
          </w:p>
        </w:tc>
        <w:tc>
          <w:tcPr>
            <w:tcW w:w="1072" w:type="dxa"/>
            <w:tcBorders>
              <w:top w:val="nil"/>
              <w:left w:val="nil"/>
              <w:bottom w:val="nil"/>
              <w:right w:val="nil"/>
            </w:tcBorders>
            <w:shd w:val="clear" w:color="auto" w:fill="auto"/>
            <w:noWrap/>
            <w:vAlign w:val="bottom"/>
            <w:hideMark/>
          </w:tcPr>
          <w:p w14:paraId="084AF3D0"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124 617</w:t>
            </w:r>
          </w:p>
        </w:tc>
        <w:tc>
          <w:tcPr>
            <w:tcW w:w="1072" w:type="dxa"/>
            <w:tcBorders>
              <w:top w:val="nil"/>
              <w:left w:val="nil"/>
              <w:bottom w:val="nil"/>
              <w:right w:val="nil"/>
            </w:tcBorders>
            <w:shd w:val="clear" w:color="000000" w:fill="BFBFBF"/>
            <w:noWrap/>
            <w:vAlign w:val="bottom"/>
            <w:hideMark/>
          </w:tcPr>
          <w:p w14:paraId="3E7834B9"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86 079</w:t>
            </w:r>
          </w:p>
        </w:tc>
        <w:tc>
          <w:tcPr>
            <w:tcW w:w="1072" w:type="dxa"/>
            <w:tcBorders>
              <w:top w:val="nil"/>
              <w:left w:val="nil"/>
              <w:bottom w:val="nil"/>
              <w:right w:val="nil"/>
            </w:tcBorders>
            <w:shd w:val="clear" w:color="auto" w:fill="auto"/>
            <w:noWrap/>
            <w:vAlign w:val="bottom"/>
            <w:hideMark/>
          </w:tcPr>
          <w:p w14:paraId="248B85F5" w14:textId="77777777" w:rsidR="00151939" w:rsidRPr="00E4226A" w:rsidRDefault="00151939" w:rsidP="0051395F">
            <w:pPr>
              <w:spacing w:after="0" w:line="240" w:lineRule="auto"/>
              <w:jc w:val="right"/>
              <w:rPr>
                <w:sz w:val="18"/>
                <w:szCs w:val="18"/>
                <w:lang w:eastAsia="sk-SK"/>
              </w:rPr>
            </w:pPr>
            <w:r w:rsidRPr="00E4226A">
              <w:rPr>
                <w:sz w:val="18"/>
                <w:szCs w:val="18"/>
                <w:lang w:eastAsia="sk-SK"/>
              </w:rPr>
              <w:t>65 122</w:t>
            </w:r>
          </w:p>
        </w:tc>
        <w:tc>
          <w:tcPr>
            <w:tcW w:w="911" w:type="dxa"/>
            <w:tcBorders>
              <w:top w:val="nil"/>
              <w:left w:val="nil"/>
              <w:bottom w:val="nil"/>
              <w:right w:val="nil"/>
            </w:tcBorders>
            <w:shd w:val="clear" w:color="auto" w:fill="auto"/>
            <w:noWrap/>
            <w:vAlign w:val="center"/>
            <w:hideMark/>
          </w:tcPr>
          <w:p w14:paraId="179EDF4C"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-30,9</w:t>
            </w:r>
          </w:p>
        </w:tc>
      </w:tr>
      <w:tr w:rsidR="00151939" w:rsidRPr="00E4226A" w14:paraId="47468824" w14:textId="77777777" w:rsidTr="0051395F">
        <w:trPr>
          <w:trHeight w:val="105"/>
        </w:trPr>
        <w:tc>
          <w:tcPr>
            <w:tcW w:w="3827" w:type="dxa"/>
            <w:tcBorders>
              <w:top w:val="nil"/>
              <w:left w:val="nil"/>
              <w:bottom w:val="nil"/>
              <w:right w:val="nil"/>
            </w:tcBorders>
            <w:shd w:val="clear" w:color="auto" w:fill="auto"/>
            <w:noWrap/>
            <w:vAlign w:val="center"/>
            <w:hideMark/>
          </w:tcPr>
          <w:p w14:paraId="411E472F" w14:textId="77777777" w:rsidR="00151939" w:rsidRPr="00E4226A" w:rsidRDefault="00151939" w:rsidP="0051395F">
            <w:pPr>
              <w:spacing w:after="0" w:line="240" w:lineRule="auto"/>
              <w:ind w:firstLineChars="100" w:firstLine="180"/>
              <w:rPr>
                <w:sz w:val="18"/>
                <w:szCs w:val="18"/>
                <w:lang w:eastAsia="sk-SK"/>
              </w:rPr>
            </w:pPr>
            <w:r w:rsidRPr="00E4226A">
              <w:rPr>
                <w:sz w:val="18"/>
                <w:szCs w:val="18"/>
                <w:lang w:eastAsia="sk-SK"/>
              </w:rPr>
              <w:t xml:space="preserve"> - Daň z príjmov právnických osôb</w:t>
            </w:r>
          </w:p>
        </w:tc>
        <w:tc>
          <w:tcPr>
            <w:tcW w:w="1072" w:type="dxa"/>
            <w:tcBorders>
              <w:top w:val="nil"/>
              <w:left w:val="nil"/>
              <w:bottom w:val="nil"/>
              <w:right w:val="nil"/>
            </w:tcBorders>
            <w:shd w:val="clear" w:color="auto" w:fill="auto"/>
            <w:noWrap/>
            <w:vAlign w:val="bottom"/>
            <w:hideMark/>
          </w:tcPr>
          <w:p w14:paraId="419DBDED"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2 942 902</w:t>
            </w:r>
          </w:p>
        </w:tc>
        <w:tc>
          <w:tcPr>
            <w:tcW w:w="1072" w:type="dxa"/>
            <w:tcBorders>
              <w:top w:val="nil"/>
              <w:left w:val="nil"/>
              <w:bottom w:val="nil"/>
              <w:right w:val="nil"/>
            </w:tcBorders>
            <w:shd w:val="clear" w:color="auto" w:fill="auto"/>
            <w:noWrap/>
            <w:vAlign w:val="bottom"/>
            <w:hideMark/>
          </w:tcPr>
          <w:p w14:paraId="5B8BFD7F"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2 848 085</w:t>
            </w:r>
          </w:p>
        </w:tc>
        <w:tc>
          <w:tcPr>
            <w:tcW w:w="1072" w:type="dxa"/>
            <w:tcBorders>
              <w:top w:val="nil"/>
              <w:left w:val="nil"/>
              <w:bottom w:val="nil"/>
              <w:right w:val="nil"/>
            </w:tcBorders>
            <w:shd w:val="clear" w:color="000000" w:fill="BFBFBF"/>
            <w:noWrap/>
            <w:vAlign w:val="bottom"/>
            <w:hideMark/>
          </w:tcPr>
          <w:p w14:paraId="2488C728"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2 786 853</w:t>
            </w:r>
          </w:p>
        </w:tc>
        <w:tc>
          <w:tcPr>
            <w:tcW w:w="1072" w:type="dxa"/>
            <w:tcBorders>
              <w:top w:val="nil"/>
              <w:left w:val="nil"/>
              <w:bottom w:val="nil"/>
              <w:right w:val="nil"/>
            </w:tcBorders>
            <w:shd w:val="clear" w:color="auto" w:fill="auto"/>
            <w:noWrap/>
            <w:vAlign w:val="center"/>
            <w:hideMark/>
          </w:tcPr>
          <w:p w14:paraId="2E4D1117"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2 082 954</w:t>
            </w:r>
          </w:p>
        </w:tc>
        <w:tc>
          <w:tcPr>
            <w:tcW w:w="911" w:type="dxa"/>
            <w:tcBorders>
              <w:top w:val="nil"/>
              <w:left w:val="nil"/>
              <w:bottom w:val="nil"/>
              <w:right w:val="nil"/>
            </w:tcBorders>
            <w:shd w:val="clear" w:color="auto" w:fill="auto"/>
            <w:noWrap/>
            <w:vAlign w:val="center"/>
            <w:hideMark/>
          </w:tcPr>
          <w:p w14:paraId="5D9564BD"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-2,1</w:t>
            </w:r>
          </w:p>
        </w:tc>
      </w:tr>
      <w:tr w:rsidR="00151939" w:rsidRPr="00E4226A" w14:paraId="233FF56F" w14:textId="77777777" w:rsidTr="0051395F">
        <w:trPr>
          <w:trHeight w:val="462"/>
        </w:trPr>
        <w:tc>
          <w:tcPr>
            <w:tcW w:w="3827" w:type="dxa"/>
            <w:tcBorders>
              <w:top w:val="nil"/>
              <w:left w:val="nil"/>
              <w:bottom w:val="nil"/>
              <w:right w:val="nil"/>
            </w:tcBorders>
            <w:shd w:val="clear" w:color="auto" w:fill="auto"/>
            <w:vAlign w:val="bottom"/>
            <w:hideMark/>
          </w:tcPr>
          <w:p w14:paraId="77E1B2FA" w14:textId="77777777" w:rsidR="00151939" w:rsidRPr="00E4226A" w:rsidRDefault="00151939" w:rsidP="0051395F">
            <w:pPr>
              <w:spacing w:after="0" w:line="240" w:lineRule="auto"/>
              <w:ind w:firstLineChars="300" w:firstLine="540"/>
              <w:rPr>
                <w:sz w:val="18"/>
                <w:szCs w:val="18"/>
                <w:lang w:eastAsia="sk-SK"/>
              </w:rPr>
            </w:pPr>
            <w:r w:rsidRPr="00E4226A">
              <w:rPr>
                <w:sz w:val="18"/>
                <w:szCs w:val="18"/>
                <w:lang w:eastAsia="sk-SK"/>
              </w:rPr>
              <w:t xml:space="preserve">       z toho:  Osobitný odvod z podnikania </w:t>
            </w:r>
            <w:r w:rsidRPr="00E4226A">
              <w:rPr>
                <w:sz w:val="18"/>
                <w:szCs w:val="18"/>
                <w:lang w:eastAsia="sk-SK"/>
              </w:rPr>
              <w:br/>
              <w:t xml:space="preserve">                    v </w:t>
            </w:r>
            <w:proofErr w:type="spellStart"/>
            <w:r w:rsidRPr="00E4226A">
              <w:rPr>
                <w:sz w:val="18"/>
                <w:szCs w:val="18"/>
                <w:lang w:eastAsia="sk-SK"/>
              </w:rPr>
              <w:t>regul</w:t>
            </w:r>
            <w:proofErr w:type="spellEnd"/>
            <w:r w:rsidRPr="00E4226A">
              <w:rPr>
                <w:sz w:val="18"/>
                <w:szCs w:val="18"/>
                <w:lang w:eastAsia="sk-SK"/>
              </w:rPr>
              <w:t>. odvet</w:t>
            </w:r>
            <w:r>
              <w:rPr>
                <w:sz w:val="18"/>
                <w:szCs w:val="18"/>
                <w:lang w:eastAsia="sk-SK"/>
              </w:rPr>
              <w:t>v</w:t>
            </w:r>
            <w:r w:rsidRPr="00E4226A">
              <w:rPr>
                <w:sz w:val="18"/>
                <w:szCs w:val="18"/>
                <w:lang w:eastAsia="sk-SK"/>
              </w:rPr>
              <w:t>iach</w:t>
            </w:r>
          </w:p>
        </w:tc>
        <w:tc>
          <w:tcPr>
            <w:tcW w:w="1072" w:type="dxa"/>
            <w:tcBorders>
              <w:top w:val="nil"/>
              <w:left w:val="nil"/>
              <w:bottom w:val="nil"/>
              <w:right w:val="nil"/>
            </w:tcBorders>
            <w:shd w:val="clear" w:color="auto" w:fill="auto"/>
            <w:noWrap/>
            <w:vAlign w:val="center"/>
            <w:hideMark/>
          </w:tcPr>
          <w:p w14:paraId="289C2239"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155 197</w:t>
            </w:r>
          </w:p>
        </w:tc>
        <w:tc>
          <w:tcPr>
            <w:tcW w:w="1072" w:type="dxa"/>
            <w:tcBorders>
              <w:top w:val="nil"/>
              <w:left w:val="nil"/>
              <w:bottom w:val="nil"/>
              <w:right w:val="nil"/>
            </w:tcBorders>
            <w:shd w:val="clear" w:color="auto" w:fill="auto"/>
            <w:noWrap/>
            <w:vAlign w:val="center"/>
            <w:hideMark/>
          </w:tcPr>
          <w:p w14:paraId="08D9B2DC" w14:textId="03EAFF79" w:rsidR="00151939" w:rsidRPr="00E4226A" w:rsidRDefault="00DA79C0" w:rsidP="00DA79C0">
            <w:pPr>
              <w:spacing w:after="0" w:line="240" w:lineRule="auto"/>
              <w:jc w:val="right"/>
              <w:rPr>
                <w:color w:val="000000"/>
                <w:sz w:val="18"/>
                <w:szCs w:val="18"/>
                <w:lang w:eastAsia="sk-SK"/>
              </w:rPr>
            </w:pPr>
            <w:r>
              <w:rPr>
                <w:color w:val="000000"/>
                <w:sz w:val="18"/>
                <w:szCs w:val="18"/>
                <w:lang w:eastAsia="sk-SK"/>
              </w:rPr>
              <w:t>120 708</w:t>
            </w:r>
          </w:p>
        </w:tc>
        <w:tc>
          <w:tcPr>
            <w:tcW w:w="1072" w:type="dxa"/>
            <w:tcBorders>
              <w:top w:val="nil"/>
              <w:left w:val="nil"/>
              <w:bottom w:val="nil"/>
              <w:right w:val="nil"/>
            </w:tcBorders>
            <w:shd w:val="clear" w:color="000000" w:fill="BFBFBF"/>
            <w:noWrap/>
            <w:vAlign w:val="center"/>
            <w:hideMark/>
          </w:tcPr>
          <w:p w14:paraId="22AF66B5" w14:textId="35A74504" w:rsidR="00151939" w:rsidRPr="00E4226A" w:rsidRDefault="00DA79C0" w:rsidP="0051395F">
            <w:pPr>
              <w:spacing w:after="0" w:line="240" w:lineRule="auto"/>
              <w:jc w:val="right"/>
              <w:rPr>
                <w:color w:val="000000"/>
                <w:sz w:val="18"/>
                <w:szCs w:val="18"/>
                <w:lang w:eastAsia="sk-SK"/>
              </w:rPr>
            </w:pPr>
            <w:r>
              <w:rPr>
                <w:color w:val="000000"/>
                <w:sz w:val="18"/>
                <w:szCs w:val="18"/>
                <w:lang w:eastAsia="sk-SK"/>
              </w:rPr>
              <w:t>135 301</w:t>
            </w:r>
          </w:p>
        </w:tc>
        <w:tc>
          <w:tcPr>
            <w:tcW w:w="1072" w:type="dxa"/>
            <w:tcBorders>
              <w:top w:val="nil"/>
              <w:left w:val="nil"/>
              <w:bottom w:val="nil"/>
              <w:right w:val="nil"/>
            </w:tcBorders>
            <w:shd w:val="clear" w:color="auto" w:fill="auto"/>
            <w:noWrap/>
            <w:vAlign w:val="center"/>
            <w:hideMark/>
          </w:tcPr>
          <w:p w14:paraId="3E03FDDA"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116 674</w:t>
            </w:r>
          </w:p>
        </w:tc>
        <w:tc>
          <w:tcPr>
            <w:tcW w:w="911" w:type="dxa"/>
            <w:tcBorders>
              <w:top w:val="nil"/>
              <w:left w:val="nil"/>
              <w:bottom w:val="nil"/>
              <w:right w:val="nil"/>
            </w:tcBorders>
            <w:shd w:val="clear" w:color="auto" w:fill="auto"/>
            <w:noWrap/>
            <w:vAlign w:val="center"/>
            <w:hideMark/>
          </w:tcPr>
          <w:p w14:paraId="3A2E74B4" w14:textId="7F7C353D" w:rsidR="00151939" w:rsidRPr="00E4226A" w:rsidRDefault="00151939" w:rsidP="00DA79C0">
            <w:pPr>
              <w:tabs>
                <w:tab w:val="decimal" w:pos="319"/>
              </w:tabs>
              <w:spacing w:after="0" w:line="240" w:lineRule="auto"/>
              <w:jc w:val="center"/>
              <w:rPr>
                <w:color w:val="000000"/>
                <w:sz w:val="18"/>
                <w:szCs w:val="18"/>
                <w:lang w:eastAsia="sk-SK"/>
              </w:rPr>
            </w:pPr>
            <w:r w:rsidRPr="00E4226A">
              <w:rPr>
                <w:color w:val="000000"/>
                <w:sz w:val="18"/>
                <w:szCs w:val="18"/>
                <w:lang w:eastAsia="sk-SK"/>
              </w:rPr>
              <w:t>1</w:t>
            </w:r>
            <w:r w:rsidR="00DA79C0">
              <w:rPr>
                <w:color w:val="000000"/>
                <w:sz w:val="18"/>
                <w:szCs w:val="18"/>
                <w:lang w:eastAsia="sk-SK"/>
              </w:rPr>
              <w:t>2,1</w:t>
            </w:r>
          </w:p>
        </w:tc>
      </w:tr>
      <w:tr w:rsidR="00151939" w:rsidRPr="00E4226A" w14:paraId="40F37086" w14:textId="77777777" w:rsidTr="0051395F">
        <w:trPr>
          <w:trHeight w:val="249"/>
        </w:trPr>
        <w:tc>
          <w:tcPr>
            <w:tcW w:w="3827" w:type="dxa"/>
            <w:tcBorders>
              <w:top w:val="nil"/>
              <w:left w:val="nil"/>
              <w:bottom w:val="nil"/>
              <w:right w:val="nil"/>
            </w:tcBorders>
            <w:shd w:val="clear" w:color="auto" w:fill="auto"/>
            <w:noWrap/>
            <w:vAlign w:val="bottom"/>
            <w:hideMark/>
          </w:tcPr>
          <w:p w14:paraId="67B76735" w14:textId="77777777" w:rsidR="00151939" w:rsidRPr="00E4226A" w:rsidRDefault="00151939" w:rsidP="0051395F">
            <w:pPr>
              <w:spacing w:after="0" w:line="240" w:lineRule="auto"/>
              <w:ind w:firstLineChars="100" w:firstLine="180"/>
              <w:rPr>
                <w:sz w:val="18"/>
                <w:szCs w:val="18"/>
                <w:lang w:eastAsia="sk-SK"/>
              </w:rPr>
            </w:pPr>
            <w:r w:rsidRPr="00E4226A">
              <w:rPr>
                <w:sz w:val="18"/>
                <w:szCs w:val="18"/>
                <w:lang w:eastAsia="sk-SK"/>
              </w:rPr>
              <w:t xml:space="preserve"> - Daň z príjmov vyberaná zrážkou </w:t>
            </w:r>
          </w:p>
        </w:tc>
        <w:tc>
          <w:tcPr>
            <w:tcW w:w="1072" w:type="dxa"/>
            <w:tcBorders>
              <w:top w:val="nil"/>
              <w:left w:val="nil"/>
              <w:bottom w:val="nil"/>
              <w:right w:val="nil"/>
            </w:tcBorders>
            <w:shd w:val="clear" w:color="auto" w:fill="auto"/>
            <w:noWrap/>
            <w:vAlign w:val="bottom"/>
            <w:hideMark/>
          </w:tcPr>
          <w:p w14:paraId="01FF4BD4"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209 169</w:t>
            </w:r>
          </w:p>
        </w:tc>
        <w:tc>
          <w:tcPr>
            <w:tcW w:w="1072" w:type="dxa"/>
            <w:tcBorders>
              <w:top w:val="nil"/>
              <w:left w:val="nil"/>
              <w:bottom w:val="nil"/>
              <w:right w:val="nil"/>
            </w:tcBorders>
            <w:shd w:val="clear" w:color="auto" w:fill="auto"/>
            <w:noWrap/>
            <w:vAlign w:val="bottom"/>
            <w:hideMark/>
          </w:tcPr>
          <w:p w14:paraId="3A0CA2E3"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245 615</w:t>
            </w:r>
          </w:p>
        </w:tc>
        <w:tc>
          <w:tcPr>
            <w:tcW w:w="1072" w:type="dxa"/>
            <w:tcBorders>
              <w:top w:val="nil"/>
              <w:left w:val="nil"/>
              <w:bottom w:val="nil"/>
              <w:right w:val="nil"/>
            </w:tcBorders>
            <w:shd w:val="clear" w:color="000000" w:fill="BFBFBF"/>
            <w:noWrap/>
            <w:vAlign w:val="bottom"/>
            <w:hideMark/>
          </w:tcPr>
          <w:p w14:paraId="11D1B204"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235 080</w:t>
            </w:r>
          </w:p>
        </w:tc>
        <w:tc>
          <w:tcPr>
            <w:tcW w:w="1072" w:type="dxa"/>
            <w:tcBorders>
              <w:top w:val="nil"/>
              <w:left w:val="nil"/>
              <w:bottom w:val="nil"/>
              <w:right w:val="nil"/>
            </w:tcBorders>
            <w:shd w:val="clear" w:color="auto" w:fill="auto"/>
            <w:noWrap/>
            <w:vAlign w:val="center"/>
            <w:hideMark/>
          </w:tcPr>
          <w:p w14:paraId="34A6FBE0"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232 870</w:t>
            </w:r>
          </w:p>
        </w:tc>
        <w:tc>
          <w:tcPr>
            <w:tcW w:w="911" w:type="dxa"/>
            <w:tcBorders>
              <w:top w:val="nil"/>
              <w:left w:val="nil"/>
              <w:bottom w:val="nil"/>
              <w:right w:val="nil"/>
            </w:tcBorders>
            <w:shd w:val="clear" w:color="auto" w:fill="auto"/>
            <w:noWrap/>
            <w:vAlign w:val="center"/>
            <w:hideMark/>
          </w:tcPr>
          <w:p w14:paraId="0519919A"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-4,3</w:t>
            </w:r>
          </w:p>
        </w:tc>
      </w:tr>
      <w:tr w:rsidR="00151939" w:rsidRPr="00E4226A" w14:paraId="11A6EE44" w14:textId="77777777" w:rsidTr="0051395F">
        <w:trPr>
          <w:trHeight w:val="249"/>
        </w:trPr>
        <w:tc>
          <w:tcPr>
            <w:tcW w:w="3827" w:type="dxa"/>
            <w:tcBorders>
              <w:top w:val="nil"/>
              <w:left w:val="nil"/>
              <w:bottom w:val="nil"/>
              <w:right w:val="nil"/>
            </w:tcBorders>
            <w:shd w:val="clear" w:color="auto" w:fill="auto"/>
            <w:noWrap/>
            <w:vAlign w:val="center"/>
            <w:hideMark/>
          </w:tcPr>
          <w:p w14:paraId="5630ABA1" w14:textId="77777777" w:rsidR="00151939" w:rsidRPr="00E4226A" w:rsidRDefault="00151939" w:rsidP="0051395F">
            <w:pPr>
              <w:spacing w:after="0" w:line="240" w:lineRule="auto"/>
              <w:ind w:firstLineChars="100" w:firstLine="180"/>
              <w:rPr>
                <w:sz w:val="18"/>
                <w:szCs w:val="18"/>
                <w:lang w:eastAsia="sk-SK"/>
              </w:rPr>
            </w:pPr>
            <w:r w:rsidRPr="00E4226A">
              <w:rPr>
                <w:sz w:val="18"/>
                <w:szCs w:val="18"/>
                <w:lang w:eastAsia="sk-SK"/>
              </w:rPr>
              <w:t xml:space="preserve"> - Dane z majetku a iné</w:t>
            </w:r>
          </w:p>
        </w:tc>
        <w:tc>
          <w:tcPr>
            <w:tcW w:w="1072" w:type="dxa"/>
            <w:tcBorders>
              <w:top w:val="nil"/>
              <w:left w:val="nil"/>
              <w:bottom w:val="nil"/>
              <w:right w:val="nil"/>
            </w:tcBorders>
            <w:shd w:val="clear" w:color="auto" w:fill="auto"/>
            <w:noWrap/>
            <w:vAlign w:val="bottom"/>
            <w:hideMark/>
          </w:tcPr>
          <w:p w14:paraId="24352F5C"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31 239</w:t>
            </w:r>
          </w:p>
        </w:tc>
        <w:tc>
          <w:tcPr>
            <w:tcW w:w="1072" w:type="dxa"/>
            <w:tcBorders>
              <w:top w:val="nil"/>
              <w:left w:val="nil"/>
              <w:bottom w:val="nil"/>
              <w:right w:val="nil"/>
            </w:tcBorders>
            <w:shd w:val="clear" w:color="auto" w:fill="auto"/>
            <w:noWrap/>
            <w:vAlign w:val="bottom"/>
            <w:hideMark/>
          </w:tcPr>
          <w:p w14:paraId="2766972B"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34 669</w:t>
            </w:r>
          </w:p>
        </w:tc>
        <w:tc>
          <w:tcPr>
            <w:tcW w:w="1072" w:type="dxa"/>
            <w:tcBorders>
              <w:top w:val="nil"/>
              <w:left w:val="nil"/>
              <w:bottom w:val="nil"/>
              <w:right w:val="nil"/>
            </w:tcBorders>
            <w:shd w:val="clear" w:color="000000" w:fill="BFBFBF"/>
            <w:noWrap/>
            <w:vAlign w:val="bottom"/>
            <w:hideMark/>
          </w:tcPr>
          <w:p w14:paraId="25C20FAF"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35 596</w:t>
            </w:r>
          </w:p>
        </w:tc>
        <w:tc>
          <w:tcPr>
            <w:tcW w:w="1072" w:type="dxa"/>
            <w:tcBorders>
              <w:top w:val="nil"/>
              <w:left w:val="nil"/>
              <w:bottom w:val="nil"/>
              <w:right w:val="nil"/>
            </w:tcBorders>
            <w:shd w:val="clear" w:color="auto" w:fill="auto"/>
            <w:noWrap/>
            <w:vAlign w:val="center"/>
            <w:hideMark/>
          </w:tcPr>
          <w:p w14:paraId="20E075DB"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44 583</w:t>
            </w:r>
          </w:p>
        </w:tc>
        <w:tc>
          <w:tcPr>
            <w:tcW w:w="911" w:type="dxa"/>
            <w:tcBorders>
              <w:top w:val="nil"/>
              <w:left w:val="nil"/>
              <w:bottom w:val="nil"/>
              <w:right w:val="nil"/>
            </w:tcBorders>
            <w:shd w:val="clear" w:color="auto" w:fill="auto"/>
            <w:noWrap/>
            <w:vAlign w:val="center"/>
            <w:hideMark/>
          </w:tcPr>
          <w:p w14:paraId="5E161EC2"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2,7</w:t>
            </w:r>
          </w:p>
        </w:tc>
      </w:tr>
      <w:tr w:rsidR="00151939" w:rsidRPr="00E4226A" w14:paraId="46DD615E" w14:textId="77777777" w:rsidTr="0051395F">
        <w:trPr>
          <w:trHeight w:val="249"/>
        </w:trPr>
        <w:tc>
          <w:tcPr>
            <w:tcW w:w="3827" w:type="dxa"/>
            <w:tcBorders>
              <w:top w:val="nil"/>
              <w:left w:val="nil"/>
              <w:bottom w:val="nil"/>
              <w:right w:val="nil"/>
            </w:tcBorders>
            <w:shd w:val="clear" w:color="auto" w:fill="auto"/>
            <w:vAlign w:val="center"/>
            <w:hideMark/>
          </w:tcPr>
          <w:p w14:paraId="4C0F6EDC" w14:textId="77777777" w:rsidR="00151939" w:rsidRPr="00E4226A" w:rsidRDefault="00151939" w:rsidP="0051395F">
            <w:pPr>
              <w:spacing w:after="0" w:line="240" w:lineRule="auto"/>
              <w:ind w:firstLineChars="100" w:firstLine="180"/>
              <w:rPr>
                <w:sz w:val="18"/>
                <w:szCs w:val="18"/>
                <w:lang w:eastAsia="sk-SK"/>
              </w:rPr>
            </w:pPr>
            <w:r w:rsidRPr="00E4226A">
              <w:rPr>
                <w:sz w:val="18"/>
                <w:szCs w:val="18"/>
                <w:lang w:eastAsia="sk-SK"/>
              </w:rPr>
              <w:t xml:space="preserve"> - Ostatné</w:t>
            </w:r>
          </w:p>
        </w:tc>
        <w:tc>
          <w:tcPr>
            <w:tcW w:w="1072" w:type="dxa"/>
            <w:tcBorders>
              <w:top w:val="nil"/>
              <w:left w:val="nil"/>
              <w:bottom w:val="nil"/>
              <w:right w:val="nil"/>
            </w:tcBorders>
            <w:shd w:val="clear" w:color="auto" w:fill="auto"/>
            <w:noWrap/>
            <w:vAlign w:val="bottom"/>
            <w:hideMark/>
          </w:tcPr>
          <w:p w14:paraId="071CC4B1"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127 930</w:t>
            </w:r>
          </w:p>
        </w:tc>
        <w:tc>
          <w:tcPr>
            <w:tcW w:w="1072" w:type="dxa"/>
            <w:tcBorders>
              <w:top w:val="nil"/>
              <w:left w:val="nil"/>
              <w:bottom w:val="nil"/>
              <w:right w:val="nil"/>
            </w:tcBorders>
            <w:shd w:val="clear" w:color="auto" w:fill="auto"/>
            <w:noWrap/>
            <w:vAlign w:val="bottom"/>
            <w:hideMark/>
          </w:tcPr>
          <w:p w14:paraId="75B27AD0"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130 183</w:t>
            </w:r>
          </w:p>
        </w:tc>
        <w:tc>
          <w:tcPr>
            <w:tcW w:w="1072" w:type="dxa"/>
            <w:tcBorders>
              <w:top w:val="nil"/>
              <w:left w:val="nil"/>
              <w:bottom w:val="nil"/>
              <w:right w:val="nil"/>
            </w:tcBorders>
            <w:shd w:val="clear" w:color="000000" w:fill="BFBFBF"/>
            <w:noWrap/>
            <w:vAlign w:val="bottom"/>
            <w:hideMark/>
          </w:tcPr>
          <w:p w14:paraId="5B1E6676"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111 912</w:t>
            </w:r>
          </w:p>
        </w:tc>
        <w:tc>
          <w:tcPr>
            <w:tcW w:w="1072" w:type="dxa"/>
            <w:tcBorders>
              <w:top w:val="nil"/>
              <w:left w:val="nil"/>
              <w:bottom w:val="nil"/>
              <w:right w:val="nil"/>
            </w:tcBorders>
            <w:shd w:val="clear" w:color="auto" w:fill="auto"/>
            <w:noWrap/>
            <w:vAlign w:val="center"/>
            <w:hideMark/>
          </w:tcPr>
          <w:p w14:paraId="384DA219"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168 222</w:t>
            </w:r>
          </w:p>
        </w:tc>
        <w:tc>
          <w:tcPr>
            <w:tcW w:w="911" w:type="dxa"/>
            <w:tcBorders>
              <w:top w:val="nil"/>
              <w:left w:val="nil"/>
              <w:bottom w:val="nil"/>
              <w:right w:val="nil"/>
            </w:tcBorders>
            <w:shd w:val="clear" w:color="auto" w:fill="auto"/>
            <w:noWrap/>
            <w:vAlign w:val="center"/>
            <w:hideMark/>
          </w:tcPr>
          <w:p w14:paraId="15505BC5"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-14,0</w:t>
            </w:r>
          </w:p>
        </w:tc>
      </w:tr>
      <w:tr w:rsidR="00151939" w:rsidRPr="00E4226A" w14:paraId="5684CB51" w14:textId="77777777" w:rsidTr="0051395F">
        <w:trPr>
          <w:trHeight w:val="249"/>
        </w:trPr>
        <w:tc>
          <w:tcPr>
            <w:tcW w:w="3827" w:type="dxa"/>
            <w:tcBorders>
              <w:top w:val="nil"/>
              <w:left w:val="nil"/>
              <w:bottom w:val="nil"/>
              <w:right w:val="nil"/>
            </w:tcBorders>
            <w:shd w:val="clear" w:color="auto" w:fill="auto"/>
            <w:noWrap/>
            <w:vAlign w:val="center"/>
            <w:hideMark/>
          </w:tcPr>
          <w:p w14:paraId="35ED33F5" w14:textId="77777777" w:rsidR="00151939" w:rsidRPr="00E4226A" w:rsidRDefault="00151939" w:rsidP="0051395F">
            <w:pPr>
              <w:spacing w:after="0" w:line="240" w:lineRule="auto"/>
              <w:rPr>
                <w:b/>
                <w:bCs/>
                <w:color w:val="000000"/>
                <w:sz w:val="18"/>
                <w:szCs w:val="18"/>
                <w:lang w:eastAsia="sk-SK"/>
              </w:rPr>
            </w:pPr>
            <w:r w:rsidRPr="00E4226A">
              <w:rPr>
                <w:b/>
                <w:bCs/>
                <w:color w:val="000000"/>
                <w:sz w:val="18"/>
                <w:szCs w:val="18"/>
                <w:lang w:eastAsia="sk-SK"/>
              </w:rPr>
              <w:t>Príspevky na sociálne zabezpečenie</w:t>
            </w:r>
          </w:p>
        </w:tc>
        <w:tc>
          <w:tcPr>
            <w:tcW w:w="1072" w:type="dxa"/>
            <w:tcBorders>
              <w:top w:val="nil"/>
              <w:left w:val="nil"/>
              <w:bottom w:val="nil"/>
              <w:right w:val="nil"/>
            </w:tcBorders>
            <w:shd w:val="clear" w:color="auto" w:fill="auto"/>
            <w:noWrap/>
            <w:vAlign w:val="center"/>
            <w:hideMark/>
          </w:tcPr>
          <w:p w14:paraId="67EF0B8D" w14:textId="77777777" w:rsidR="00151939" w:rsidRPr="00E4226A" w:rsidRDefault="00151939" w:rsidP="0051395F">
            <w:pPr>
              <w:spacing w:after="0" w:line="240" w:lineRule="auto"/>
              <w:jc w:val="right"/>
              <w:rPr>
                <w:b/>
                <w:bCs/>
                <w:sz w:val="18"/>
                <w:szCs w:val="18"/>
                <w:lang w:eastAsia="sk-SK"/>
              </w:rPr>
            </w:pPr>
            <w:r w:rsidRPr="00E4226A">
              <w:rPr>
                <w:b/>
                <w:bCs/>
                <w:sz w:val="18"/>
                <w:szCs w:val="18"/>
                <w:lang w:eastAsia="sk-SK"/>
              </w:rPr>
              <w:t>13 346 543</w:t>
            </w:r>
          </w:p>
        </w:tc>
        <w:tc>
          <w:tcPr>
            <w:tcW w:w="1072" w:type="dxa"/>
            <w:tcBorders>
              <w:top w:val="nil"/>
              <w:left w:val="nil"/>
              <w:bottom w:val="nil"/>
              <w:right w:val="nil"/>
            </w:tcBorders>
            <w:shd w:val="clear" w:color="auto" w:fill="auto"/>
            <w:noWrap/>
            <w:vAlign w:val="center"/>
            <w:hideMark/>
          </w:tcPr>
          <w:p w14:paraId="589B2059" w14:textId="77777777" w:rsidR="00151939" w:rsidRPr="00E4226A" w:rsidRDefault="00151939" w:rsidP="0051395F">
            <w:pPr>
              <w:spacing w:after="0" w:line="240" w:lineRule="auto"/>
              <w:jc w:val="right"/>
              <w:rPr>
                <w:b/>
                <w:bCs/>
                <w:sz w:val="18"/>
                <w:szCs w:val="18"/>
                <w:lang w:eastAsia="sk-SK"/>
              </w:rPr>
            </w:pPr>
            <w:r w:rsidRPr="00E4226A">
              <w:rPr>
                <w:b/>
                <w:bCs/>
                <w:sz w:val="18"/>
                <w:szCs w:val="18"/>
                <w:lang w:eastAsia="sk-SK"/>
              </w:rPr>
              <w:t>14 314 771</w:t>
            </w:r>
          </w:p>
        </w:tc>
        <w:tc>
          <w:tcPr>
            <w:tcW w:w="1072" w:type="dxa"/>
            <w:tcBorders>
              <w:top w:val="nil"/>
              <w:left w:val="nil"/>
              <w:bottom w:val="nil"/>
              <w:right w:val="nil"/>
            </w:tcBorders>
            <w:shd w:val="clear" w:color="000000" w:fill="BFBFBF"/>
            <w:noWrap/>
            <w:vAlign w:val="center"/>
            <w:hideMark/>
          </w:tcPr>
          <w:p w14:paraId="5234E766" w14:textId="77777777" w:rsidR="00151939" w:rsidRPr="00E4226A" w:rsidRDefault="00151939" w:rsidP="0051395F">
            <w:pPr>
              <w:spacing w:after="0" w:line="240" w:lineRule="auto"/>
              <w:jc w:val="right"/>
              <w:rPr>
                <w:b/>
                <w:bCs/>
                <w:sz w:val="18"/>
                <w:szCs w:val="18"/>
                <w:lang w:eastAsia="sk-SK"/>
              </w:rPr>
            </w:pPr>
            <w:r w:rsidRPr="00E4226A">
              <w:rPr>
                <w:b/>
                <w:bCs/>
                <w:sz w:val="18"/>
                <w:szCs w:val="18"/>
                <w:lang w:eastAsia="sk-SK"/>
              </w:rPr>
              <w:t>14 499 744</w:t>
            </w:r>
          </w:p>
        </w:tc>
        <w:tc>
          <w:tcPr>
            <w:tcW w:w="1072" w:type="dxa"/>
            <w:tcBorders>
              <w:top w:val="nil"/>
              <w:left w:val="nil"/>
              <w:bottom w:val="nil"/>
              <w:right w:val="nil"/>
            </w:tcBorders>
            <w:shd w:val="clear" w:color="auto" w:fill="auto"/>
            <w:noWrap/>
            <w:vAlign w:val="center"/>
            <w:hideMark/>
          </w:tcPr>
          <w:p w14:paraId="529E1190" w14:textId="77777777" w:rsidR="00151939" w:rsidRPr="00E4226A" w:rsidRDefault="00151939" w:rsidP="0051395F">
            <w:pPr>
              <w:spacing w:after="0" w:line="240" w:lineRule="auto"/>
              <w:jc w:val="right"/>
              <w:rPr>
                <w:b/>
                <w:bCs/>
                <w:color w:val="000000"/>
                <w:sz w:val="18"/>
                <w:szCs w:val="18"/>
                <w:lang w:eastAsia="sk-SK"/>
              </w:rPr>
            </w:pPr>
            <w:r w:rsidRPr="00E4226A">
              <w:rPr>
                <w:b/>
                <w:bCs/>
                <w:color w:val="000000"/>
                <w:sz w:val="18"/>
                <w:szCs w:val="18"/>
                <w:lang w:eastAsia="sk-SK"/>
              </w:rPr>
              <w:t>14 464 220</w:t>
            </w:r>
          </w:p>
        </w:tc>
        <w:tc>
          <w:tcPr>
            <w:tcW w:w="911" w:type="dxa"/>
            <w:tcBorders>
              <w:top w:val="nil"/>
              <w:left w:val="nil"/>
              <w:bottom w:val="nil"/>
              <w:right w:val="nil"/>
            </w:tcBorders>
            <w:shd w:val="clear" w:color="auto" w:fill="auto"/>
            <w:noWrap/>
            <w:vAlign w:val="center"/>
            <w:hideMark/>
          </w:tcPr>
          <w:p w14:paraId="1514B587" w14:textId="77777777" w:rsidR="00151939" w:rsidRPr="00E4226A" w:rsidRDefault="00151939" w:rsidP="0051395F">
            <w:pPr>
              <w:tabs>
                <w:tab w:val="decimal" w:pos="319"/>
              </w:tabs>
              <w:spacing w:after="0" w:line="240" w:lineRule="auto"/>
              <w:jc w:val="center"/>
              <w:rPr>
                <w:b/>
                <w:bCs/>
                <w:sz w:val="18"/>
                <w:szCs w:val="18"/>
                <w:lang w:eastAsia="sk-SK"/>
              </w:rPr>
            </w:pPr>
            <w:r w:rsidRPr="00E4226A">
              <w:rPr>
                <w:b/>
                <w:bCs/>
                <w:sz w:val="18"/>
                <w:szCs w:val="18"/>
                <w:lang w:eastAsia="sk-SK"/>
              </w:rPr>
              <w:t>1,3</w:t>
            </w:r>
          </w:p>
        </w:tc>
      </w:tr>
      <w:tr w:rsidR="00151939" w:rsidRPr="00E4226A" w14:paraId="3C3718A9" w14:textId="77777777" w:rsidTr="0051395F">
        <w:trPr>
          <w:trHeight w:val="249"/>
        </w:trPr>
        <w:tc>
          <w:tcPr>
            <w:tcW w:w="3827" w:type="dxa"/>
            <w:tcBorders>
              <w:top w:val="nil"/>
              <w:left w:val="nil"/>
              <w:bottom w:val="nil"/>
              <w:right w:val="nil"/>
            </w:tcBorders>
            <w:shd w:val="clear" w:color="auto" w:fill="auto"/>
            <w:noWrap/>
            <w:vAlign w:val="center"/>
            <w:hideMark/>
          </w:tcPr>
          <w:p w14:paraId="3F78C302" w14:textId="77777777" w:rsidR="00151939" w:rsidRPr="00E4226A" w:rsidRDefault="00151939" w:rsidP="0051395F">
            <w:pPr>
              <w:spacing w:after="0" w:line="240" w:lineRule="auto"/>
              <w:ind w:firstLineChars="100" w:firstLine="180"/>
              <w:rPr>
                <w:color w:val="000000"/>
                <w:sz w:val="18"/>
                <w:szCs w:val="18"/>
                <w:lang w:eastAsia="sk-SK"/>
              </w:rPr>
            </w:pPr>
            <w:r w:rsidRPr="00E4226A">
              <w:rPr>
                <w:color w:val="000000"/>
                <w:sz w:val="18"/>
                <w:szCs w:val="18"/>
                <w:lang w:eastAsia="sk-SK"/>
              </w:rPr>
              <w:t>Skutočné príspevky na sociálne zabezpečenie</w:t>
            </w:r>
          </w:p>
        </w:tc>
        <w:tc>
          <w:tcPr>
            <w:tcW w:w="1072" w:type="dxa"/>
            <w:tcBorders>
              <w:top w:val="nil"/>
              <w:left w:val="nil"/>
              <w:bottom w:val="nil"/>
              <w:right w:val="nil"/>
            </w:tcBorders>
            <w:shd w:val="clear" w:color="auto" w:fill="auto"/>
            <w:noWrap/>
            <w:vAlign w:val="bottom"/>
            <w:hideMark/>
          </w:tcPr>
          <w:p w14:paraId="16DE02BD"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13 158 088</w:t>
            </w:r>
          </w:p>
        </w:tc>
        <w:tc>
          <w:tcPr>
            <w:tcW w:w="1072" w:type="dxa"/>
            <w:tcBorders>
              <w:top w:val="nil"/>
              <w:left w:val="nil"/>
              <w:bottom w:val="nil"/>
              <w:right w:val="nil"/>
            </w:tcBorders>
            <w:shd w:val="clear" w:color="auto" w:fill="auto"/>
            <w:noWrap/>
            <w:vAlign w:val="bottom"/>
            <w:hideMark/>
          </w:tcPr>
          <w:p w14:paraId="5E1BCC6C"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14 096 022</w:t>
            </w:r>
          </w:p>
        </w:tc>
        <w:tc>
          <w:tcPr>
            <w:tcW w:w="1072" w:type="dxa"/>
            <w:tcBorders>
              <w:top w:val="nil"/>
              <w:left w:val="nil"/>
              <w:bottom w:val="nil"/>
              <w:right w:val="nil"/>
            </w:tcBorders>
            <w:shd w:val="clear" w:color="000000" w:fill="BFBFBF"/>
            <w:noWrap/>
            <w:vAlign w:val="bottom"/>
            <w:hideMark/>
          </w:tcPr>
          <w:p w14:paraId="6B7E3B2D"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14 245 671</w:t>
            </w:r>
          </w:p>
        </w:tc>
        <w:tc>
          <w:tcPr>
            <w:tcW w:w="1072" w:type="dxa"/>
            <w:tcBorders>
              <w:top w:val="nil"/>
              <w:left w:val="nil"/>
              <w:bottom w:val="nil"/>
              <w:right w:val="nil"/>
            </w:tcBorders>
            <w:shd w:val="clear" w:color="auto" w:fill="auto"/>
            <w:noWrap/>
            <w:vAlign w:val="center"/>
            <w:hideMark/>
          </w:tcPr>
          <w:p w14:paraId="64B1156C"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14 272 069</w:t>
            </w:r>
          </w:p>
        </w:tc>
        <w:tc>
          <w:tcPr>
            <w:tcW w:w="911" w:type="dxa"/>
            <w:tcBorders>
              <w:top w:val="nil"/>
              <w:left w:val="nil"/>
              <w:bottom w:val="nil"/>
              <w:right w:val="nil"/>
            </w:tcBorders>
            <w:shd w:val="clear" w:color="auto" w:fill="auto"/>
            <w:noWrap/>
            <w:vAlign w:val="center"/>
            <w:hideMark/>
          </w:tcPr>
          <w:p w14:paraId="788FB59C"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1,1</w:t>
            </w:r>
          </w:p>
        </w:tc>
      </w:tr>
      <w:tr w:rsidR="00151939" w:rsidRPr="00E4226A" w14:paraId="7EF79933" w14:textId="77777777" w:rsidTr="0051395F">
        <w:trPr>
          <w:trHeight w:val="249"/>
        </w:trPr>
        <w:tc>
          <w:tcPr>
            <w:tcW w:w="3827" w:type="dxa"/>
            <w:tcBorders>
              <w:top w:val="nil"/>
              <w:left w:val="nil"/>
              <w:bottom w:val="nil"/>
              <w:right w:val="nil"/>
            </w:tcBorders>
            <w:shd w:val="clear" w:color="auto" w:fill="auto"/>
            <w:noWrap/>
            <w:vAlign w:val="center"/>
            <w:hideMark/>
          </w:tcPr>
          <w:p w14:paraId="28B9CFF5" w14:textId="77777777" w:rsidR="00151939" w:rsidRPr="00E4226A" w:rsidRDefault="00151939" w:rsidP="0051395F">
            <w:pPr>
              <w:spacing w:after="0" w:line="240" w:lineRule="auto"/>
              <w:ind w:firstLineChars="100" w:firstLine="180"/>
              <w:rPr>
                <w:color w:val="000000"/>
                <w:sz w:val="18"/>
                <w:szCs w:val="18"/>
                <w:lang w:eastAsia="sk-SK"/>
              </w:rPr>
            </w:pPr>
            <w:r w:rsidRPr="00E4226A">
              <w:rPr>
                <w:color w:val="000000"/>
                <w:sz w:val="18"/>
                <w:szCs w:val="18"/>
                <w:lang w:eastAsia="sk-SK"/>
              </w:rPr>
              <w:t xml:space="preserve"> - Príspevky zamestnávateľov</w:t>
            </w:r>
          </w:p>
        </w:tc>
        <w:tc>
          <w:tcPr>
            <w:tcW w:w="1072" w:type="dxa"/>
            <w:tcBorders>
              <w:top w:val="nil"/>
              <w:left w:val="nil"/>
              <w:bottom w:val="nil"/>
              <w:right w:val="nil"/>
            </w:tcBorders>
            <w:shd w:val="clear" w:color="auto" w:fill="auto"/>
            <w:noWrap/>
            <w:vAlign w:val="bottom"/>
            <w:hideMark/>
          </w:tcPr>
          <w:p w14:paraId="7B6BA532"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7 781 560</w:t>
            </w:r>
          </w:p>
        </w:tc>
        <w:tc>
          <w:tcPr>
            <w:tcW w:w="1072" w:type="dxa"/>
            <w:tcBorders>
              <w:top w:val="nil"/>
              <w:left w:val="nil"/>
              <w:bottom w:val="nil"/>
              <w:right w:val="nil"/>
            </w:tcBorders>
            <w:shd w:val="clear" w:color="auto" w:fill="auto"/>
            <w:noWrap/>
            <w:vAlign w:val="bottom"/>
            <w:hideMark/>
          </w:tcPr>
          <w:p w14:paraId="6BAD5C08"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8 538 819</w:t>
            </w:r>
          </w:p>
        </w:tc>
        <w:tc>
          <w:tcPr>
            <w:tcW w:w="1072" w:type="dxa"/>
            <w:tcBorders>
              <w:top w:val="nil"/>
              <w:left w:val="nil"/>
              <w:bottom w:val="nil"/>
              <w:right w:val="nil"/>
            </w:tcBorders>
            <w:shd w:val="clear" w:color="000000" w:fill="BFBFBF"/>
            <w:noWrap/>
            <w:vAlign w:val="bottom"/>
            <w:hideMark/>
          </w:tcPr>
          <w:p w14:paraId="74B09C42" w14:textId="77777777" w:rsidR="00151939" w:rsidRPr="00E4226A" w:rsidRDefault="00151939" w:rsidP="0051395F">
            <w:pPr>
              <w:spacing w:after="0" w:line="240" w:lineRule="auto"/>
              <w:jc w:val="right"/>
              <w:rPr>
                <w:sz w:val="18"/>
                <w:szCs w:val="18"/>
                <w:lang w:eastAsia="sk-SK"/>
              </w:rPr>
            </w:pPr>
            <w:r w:rsidRPr="00E4226A">
              <w:rPr>
                <w:sz w:val="18"/>
                <w:szCs w:val="18"/>
                <w:lang w:eastAsia="sk-SK"/>
              </w:rPr>
              <w:t>8 653 695</w:t>
            </w:r>
          </w:p>
        </w:tc>
        <w:tc>
          <w:tcPr>
            <w:tcW w:w="1072" w:type="dxa"/>
            <w:tcBorders>
              <w:top w:val="nil"/>
              <w:left w:val="nil"/>
              <w:bottom w:val="nil"/>
              <w:right w:val="nil"/>
            </w:tcBorders>
            <w:shd w:val="clear" w:color="auto" w:fill="auto"/>
            <w:noWrap/>
            <w:vAlign w:val="center"/>
            <w:hideMark/>
          </w:tcPr>
          <w:p w14:paraId="36678BD5"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8 176 354</w:t>
            </w:r>
          </w:p>
        </w:tc>
        <w:tc>
          <w:tcPr>
            <w:tcW w:w="911" w:type="dxa"/>
            <w:tcBorders>
              <w:top w:val="nil"/>
              <w:left w:val="nil"/>
              <w:bottom w:val="nil"/>
              <w:right w:val="nil"/>
            </w:tcBorders>
            <w:shd w:val="clear" w:color="auto" w:fill="auto"/>
            <w:noWrap/>
            <w:vAlign w:val="center"/>
            <w:hideMark/>
          </w:tcPr>
          <w:p w14:paraId="3D6C4DF6"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1,3</w:t>
            </w:r>
          </w:p>
        </w:tc>
      </w:tr>
      <w:tr w:rsidR="00151939" w:rsidRPr="00E4226A" w14:paraId="165CB7A4" w14:textId="77777777" w:rsidTr="0051395F">
        <w:trPr>
          <w:trHeight w:val="249"/>
        </w:trPr>
        <w:tc>
          <w:tcPr>
            <w:tcW w:w="3827" w:type="dxa"/>
            <w:tcBorders>
              <w:top w:val="nil"/>
              <w:left w:val="nil"/>
              <w:bottom w:val="nil"/>
              <w:right w:val="nil"/>
            </w:tcBorders>
            <w:shd w:val="clear" w:color="auto" w:fill="auto"/>
            <w:noWrap/>
            <w:vAlign w:val="center"/>
            <w:hideMark/>
          </w:tcPr>
          <w:p w14:paraId="7BBD3AA0" w14:textId="77777777" w:rsidR="00151939" w:rsidRPr="00E4226A" w:rsidRDefault="00151939" w:rsidP="0051395F">
            <w:pPr>
              <w:spacing w:after="0" w:line="240" w:lineRule="auto"/>
              <w:ind w:firstLineChars="100" w:firstLine="180"/>
              <w:rPr>
                <w:sz w:val="18"/>
                <w:szCs w:val="18"/>
                <w:lang w:eastAsia="sk-SK"/>
              </w:rPr>
            </w:pPr>
            <w:r w:rsidRPr="00E4226A">
              <w:rPr>
                <w:sz w:val="18"/>
                <w:szCs w:val="18"/>
                <w:lang w:eastAsia="sk-SK"/>
              </w:rPr>
              <w:t xml:space="preserve"> - Príspevky od domácnosti</w:t>
            </w:r>
          </w:p>
        </w:tc>
        <w:tc>
          <w:tcPr>
            <w:tcW w:w="1072" w:type="dxa"/>
            <w:tcBorders>
              <w:top w:val="nil"/>
              <w:left w:val="nil"/>
              <w:bottom w:val="nil"/>
              <w:right w:val="nil"/>
            </w:tcBorders>
            <w:shd w:val="clear" w:color="auto" w:fill="auto"/>
            <w:noWrap/>
            <w:vAlign w:val="bottom"/>
            <w:hideMark/>
          </w:tcPr>
          <w:p w14:paraId="257F0B21"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5 376 528</w:t>
            </w:r>
          </w:p>
        </w:tc>
        <w:tc>
          <w:tcPr>
            <w:tcW w:w="1072" w:type="dxa"/>
            <w:tcBorders>
              <w:top w:val="nil"/>
              <w:left w:val="nil"/>
              <w:bottom w:val="nil"/>
              <w:right w:val="nil"/>
            </w:tcBorders>
            <w:shd w:val="clear" w:color="auto" w:fill="auto"/>
            <w:noWrap/>
            <w:vAlign w:val="bottom"/>
            <w:hideMark/>
          </w:tcPr>
          <w:p w14:paraId="15DAC656"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5 557 203</w:t>
            </w:r>
          </w:p>
        </w:tc>
        <w:tc>
          <w:tcPr>
            <w:tcW w:w="1072" w:type="dxa"/>
            <w:tcBorders>
              <w:top w:val="nil"/>
              <w:left w:val="nil"/>
              <w:bottom w:val="nil"/>
              <w:right w:val="nil"/>
            </w:tcBorders>
            <w:shd w:val="clear" w:color="000000" w:fill="BFBFBF"/>
            <w:noWrap/>
            <w:vAlign w:val="bottom"/>
            <w:hideMark/>
          </w:tcPr>
          <w:p w14:paraId="04F78073" w14:textId="77777777" w:rsidR="00151939" w:rsidRPr="00E4226A" w:rsidRDefault="00151939" w:rsidP="0051395F">
            <w:pPr>
              <w:spacing w:after="0" w:line="240" w:lineRule="auto"/>
              <w:jc w:val="right"/>
              <w:rPr>
                <w:sz w:val="18"/>
                <w:szCs w:val="18"/>
                <w:lang w:eastAsia="sk-SK"/>
              </w:rPr>
            </w:pPr>
            <w:r w:rsidRPr="00E4226A">
              <w:rPr>
                <w:sz w:val="18"/>
                <w:szCs w:val="18"/>
                <w:lang w:eastAsia="sk-SK"/>
              </w:rPr>
              <w:t>5 591 976</w:t>
            </w:r>
          </w:p>
        </w:tc>
        <w:tc>
          <w:tcPr>
            <w:tcW w:w="1072" w:type="dxa"/>
            <w:tcBorders>
              <w:top w:val="nil"/>
              <w:left w:val="nil"/>
              <w:bottom w:val="nil"/>
              <w:right w:val="nil"/>
            </w:tcBorders>
            <w:shd w:val="clear" w:color="auto" w:fill="auto"/>
            <w:noWrap/>
            <w:vAlign w:val="center"/>
            <w:hideMark/>
          </w:tcPr>
          <w:p w14:paraId="26077FE4"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6 095 715</w:t>
            </w:r>
          </w:p>
        </w:tc>
        <w:tc>
          <w:tcPr>
            <w:tcW w:w="911" w:type="dxa"/>
            <w:tcBorders>
              <w:top w:val="nil"/>
              <w:left w:val="nil"/>
              <w:bottom w:val="nil"/>
              <w:right w:val="nil"/>
            </w:tcBorders>
            <w:shd w:val="clear" w:color="auto" w:fill="auto"/>
            <w:noWrap/>
            <w:vAlign w:val="center"/>
            <w:hideMark/>
          </w:tcPr>
          <w:p w14:paraId="08C20594"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0,6</w:t>
            </w:r>
          </w:p>
        </w:tc>
      </w:tr>
      <w:tr w:rsidR="00151939" w:rsidRPr="00E4226A" w14:paraId="7A956852" w14:textId="77777777" w:rsidTr="0051395F">
        <w:trPr>
          <w:trHeight w:val="249"/>
        </w:trPr>
        <w:tc>
          <w:tcPr>
            <w:tcW w:w="3827" w:type="dxa"/>
            <w:tcBorders>
              <w:top w:val="nil"/>
              <w:left w:val="nil"/>
              <w:bottom w:val="nil"/>
              <w:right w:val="nil"/>
            </w:tcBorders>
            <w:shd w:val="clear" w:color="auto" w:fill="auto"/>
            <w:noWrap/>
            <w:vAlign w:val="center"/>
            <w:hideMark/>
          </w:tcPr>
          <w:p w14:paraId="7DFDBCE1" w14:textId="77777777" w:rsidR="00151939" w:rsidRPr="00E4226A" w:rsidRDefault="00151939" w:rsidP="0051395F">
            <w:pPr>
              <w:spacing w:after="0" w:line="240" w:lineRule="auto"/>
              <w:ind w:firstLineChars="100" w:firstLine="180"/>
              <w:rPr>
                <w:color w:val="000000"/>
                <w:sz w:val="18"/>
                <w:szCs w:val="18"/>
                <w:lang w:eastAsia="sk-SK"/>
              </w:rPr>
            </w:pPr>
            <w:r w:rsidRPr="00E4226A">
              <w:rPr>
                <w:color w:val="000000"/>
                <w:sz w:val="18"/>
                <w:szCs w:val="18"/>
                <w:lang w:eastAsia="sk-SK"/>
              </w:rPr>
              <w:t>Imputované príspevky na sociálne zabezpečenie</w:t>
            </w:r>
          </w:p>
        </w:tc>
        <w:tc>
          <w:tcPr>
            <w:tcW w:w="1072" w:type="dxa"/>
            <w:tcBorders>
              <w:top w:val="nil"/>
              <w:left w:val="nil"/>
              <w:bottom w:val="nil"/>
              <w:right w:val="nil"/>
            </w:tcBorders>
            <w:shd w:val="clear" w:color="auto" w:fill="auto"/>
            <w:noWrap/>
            <w:vAlign w:val="bottom"/>
            <w:hideMark/>
          </w:tcPr>
          <w:p w14:paraId="0A440DAF"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188 455</w:t>
            </w:r>
          </w:p>
        </w:tc>
        <w:tc>
          <w:tcPr>
            <w:tcW w:w="1072" w:type="dxa"/>
            <w:tcBorders>
              <w:top w:val="nil"/>
              <w:left w:val="nil"/>
              <w:bottom w:val="nil"/>
              <w:right w:val="nil"/>
            </w:tcBorders>
            <w:shd w:val="clear" w:color="auto" w:fill="auto"/>
            <w:noWrap/>
            <w:vAlign w:val="bottom"/>
            <w:hideMark/>
          </w:tcPr>
          <w:p w14:paraId="6FCDB57C"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218 749</w:t>
            </w:r>
          </w:p>
        </w:tc>
        <w:tc>
          <w:tcPr>
            <w:tcW w:w="1072" w:type="dxa"/>
            <w:tcBorders>
              <w:top w:val="nil"/>
              <w:left w:val="nil"/>
              <w:bottom w:val="nil"/>
              <w:right w:val="nil"/>
            </w:tcBorders>
            <w:shd w:val="clear" w:color="000000" w:fill="BFBFBF"/>
            <w:noWrap/>
            <w:vAlign w:val="bottom"/>
            <w:hideMark/>
          </w:tcPr>
          <w:p w14:paraId="41B837C1" w14:textId="77777777" w:rsidR="00151939" w:rsidRPr="00E4226A" w:rsidRDefault="00151939" w:rsidP="0051395F">
            <w:pPr>
              <w:spacing w:after="0" w:line="240" w:lineRule="auto"/>
              <w:jc w:val="right"/>
              <w:rPr>
                <w:sz w:val="18"/>
                <w:szCs w:val="18"/>
                <w:lang w:eastAsia="sk-SK"/>
              </w:rPr>
            </w:pPr>
            <w:r w:rsidRPr="00E4226A">
              <w:rPr>
                <w:sz w:val="18"/>
                <w:szCs w:val="18"/>
                <w:lang w:eastAsia="sk-SK"/>
              </w:rPr>
              <w:t>254 073</w:t>
            </w:r>
          </w:p>
        </w:tc>
        <w:tc>
          <w:tcPr>
            <w:tcW w:w="1072" w:type="dxa"/>
            <w:tcBorders>
              <w:top w:val="nil"/>
              <w:left w:val="nil"/>
              <w:bottom w:val="nil"/>
              <w:right w:val="nil"/>
            </w:tcBorders>
            <w:shd w:val="clear" w:color="auto" w:fill="auto"/>
            <w:noWrap/>
            <w:vAlign w:val="center"/>
            <w:hideMark/>
          </w:tcPr>
          <w:p w14:paraId="533FBB8E"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192 151</w:t>
            </w:r>
          </w:p>
        </w:tc>
        <w:tc>
          <w:tcPr>
            <w:tcW w:w="911" w:type="dxa"/>
            <w:tcBorders>
              <w:top w:val="nil"/>
              <w:left w:val="nil"/>
              <w:bottom w:val="nil"/>
              <w:right w:val="nil"/>
            </w:tcBorders>
            <w:shd w:val="clear" w:color="auto" w:fill="auto"/>
            <w:noWrap/>
            <w:vAlign w:val="center"/>
            <w:hideMark/>
          </w:tcPr>
          <w:p w14:paraId="4F0B2BA0"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16,1</w:t>
            </w:r>
          </w:p>
        </w:tc>
      </w:tr>
      <w:tr w:rsidR="00151939" w:rsidRPr="00E4226A" w14:paraId="5CC1537A" w14:textId="77777777" w:rsidTr="0051395F">
        <w:trPr>
          <w:trHeight w:val="249"/>
        </w:trPr>
        <w:tc>
          <w:tcPr>
            <w:tcW w:w="3827" w:type="dxa"/>
            <w:tcBorders>
              <w:top w:val="nil"/>
              <w:left w:val="nil"/>
              <w:bottom w:val="nil"/>
              <w:right w:val="nil"/>
            </w:tcBorders>
            <w:shd w:val="clear" w:color="auto" w:fill="auto"/>
            <w:noWrap/>
            <w:vAlign w:val="center"/>
            <w:hideMark/>
          </w:tcPr>
          <w:p w14:paraId="50D011C4" w14:textId="77777777" w:rsidR="00151939" w:rsidRPr="00E4226A" w:rsidRDefault="00151939" w:rsidP="0051395F">
            <w:pPr>
              <w:spacing w:after="0" w:line="240" w:lineRule="auto"/>
              <w:rPr>
                <w:b/>
                <w:bCs/>
                <w:color w:val="000000"/>
                <w:sz w:val="18"/>
                <w:szCs w:val="18"/>
                <w:lang w:eastAsia="sk-SK"/>
              </w:rPr>
            </w:pPr>
            <w:r w:rsidRPr="00E4226A">
              <w:rPr>
                <w:b/>
                <w:bCs/>
                <w:color w:val="000000"/>
                <w:sz w:val="18"/>
                <w:szCs w:val="18"/>
                <w:lang w:eastAsia="sk-SK"/>
              </w:rPr>
              <w:t>Nedaňové príjmy</w:t>
            </w:r>
          </w:p>
        </w:tc>
        <w:tc>
          <w:tcPr>
            <w:tcW w:w="1072" w:type="dxa"/>
            <w:tcBorders>
              <w:top w:val="nil"/>
              <w:left w:val="nil"/>
              <w:bottom w:val="nil"/>
              <w:right w:val="nil"/>
            </w:tcBorders>
            <w:shd w:val="clear" w:color="auto" w:fill="auto"/>
            <w:noWrap/>
            <w:vAlign w:val="center"/>
            <w:hideMark/>
          </w:tcPr>
          <w:p w14:paraId="59466F55" w14:textId="77777777" w:rsidR="00151939" w:rsidRPr="00E4226A" w:rsidRDefault="00151939" w:rsidP="0051395F">
            <w:pPr>
              <w:spacing w:after="0" w:line="240" w:lineRule="auto"/>
              <w:jc w:val="right"/>
              <w:rPr>
                <w:b/>
                <w:bCs/>
                <w:sz w:val="18"/>
                <w:szCs w:val="18"/>
                <w:lang w:eastAsia="sk-SK"/>
              </w:rPr>
            </w:pPr>
            <w:r w:rsidRPr="00E4226A">
              <w:rPr>
                <w:b/>
                <w:bCs/>
                <w:sz w:val="18"/>
                <w:szCs w:val="18"/>
                <w:lang w:eastAsia="sk-SK"/>
              </w:rPr>
              <w:t>3 095 964</w:t>
            </w:r>
          </w:p>
        </w:tc>
        <w:tc>
          <w:tcPr>
            <w:tcW w:w="1072" w:type="dxa"/>
            <w:tcBorders>
              <w:top w:val="nil"/>
              <w:left w:val="nil"/>
              <w:bottom w:val="nil"/>
              <w:right w:val="nil"/>
            </w:tcBorders>
            <w:shd w:val="clear" w:color="auto" w:fill="auto"/>
            <w:noWrap/>
            <w:vAlign w:val="center"/>
            <w:hideMark/>
          </w:tcPr>
          <w:p w14:paraId="7E29F5A1" w14:textId="77777777" w:rsidR="00151939" w:rsidRPr="00E4226A" w:rsidRDefault="00151939" w:rsidP="0051395F">
            <w:pPr>
              <w:spacing w:after="0" w:line="240" w:lineRule="auto"/>
              <w:jc w:val="right"/>
              <w:rPr>
                <w:b/>
                <w:bCs/>
                <w:sz w:val="18"/>
                <w:szCs w:val="18"/>
                <w:lang w:eastAsia="sk-SK"/>
              </w:rPr>
            </w:pPr>
            <w:r w:rsidRPr="00E4226A">
              <w:rPr>
                <w:b/>
                <w:bCs/>
                <w:sz w:val="18"/>
                <w:szCs w:val="18"/>
                <w:lang w:eastAsia="sk-SK"/>
              </w:rPr>
              <w:t>3 090 027</w:t>
            </w:r>
          </w:p>
        </w:tc>
        <w:tc>
          <w:tcPr>
            <w:tcW w:w="1072" w:type="dxa"/>
            <w:tcBorders>
              <w:top w:val="nil"/>
              <w:left w:val="nil"/>
              <w:bottom w:val="nil"/>
              <w:right w:val="nil"/>
            </w:tcBorders>
            <w:shd w:val="clear" w:color="000000" w:fill="BFBFBF"/>
            <w:noWrap/>
            <w:vAlign w:val="center"/>
            <w:hideMark/>
          </w:tcPr>
          <w:p w14:paraId="2AC114F4" w14:textId="77777777" w:rsidR="00151939" w:rsidRPr="00E4226A" w:rsidRDefault="00151939" w:rsidP="0051395F">
            <w:pPr>
              <w:spacing w:after="0" w:line="240" w:lineRule="auto"/>
              <w:jc w:val="right"/>
              <w:rPr>
                <w:b/>
                <w:bCs/>
                <w:sz w:val="18"/>
                <w:szCs w:val="18"/>
                <w:lang w:eastAsia="sk-SK"/>
              </w:rPr>
            </w:pPr>
            <w:r w:rsidRPr="00E4226A">
              <w:rPr>
                <w:b/>
                <w:bCs/>
                <w:sz w:val="18"/>
                <w:szCs w:val="18"/>
                <w:lang w:eastAsia="sk-SK"/>
              </w:rPr>
              <w:t>2 852 011</w:t>
            </w:r>
          </w:p>
        </w:tc>
        <w:tc>
          <w:tcPr>
            <w:tcW w:w="1072" w:type="dxa"/>
            <w:tcBorders>
              <w:top w:val="nil"/>
              <w:left w:val="nil"/>
              <w:bottom w:val="nil"/>
              <w:right w:val="nil"/>
            </w:tcBorders>
            <w:shd w:val="clear" w:color="auto" w:fill="auto"/>
            <w:noWrap/>
            <w:vAlign w:val="center"/>
            <w:hideMark/>
          </w:tcPr>
          <w:p w14:paraId="4C4DAB08" w14:textId="77777777" w:rsidR="00151939" w:rsidRPr="00E4226A" w:rsidRDefault="00151939" w:rsidP="0051395F">
            <w:pPr>
              <w:spacing w:after="0" w:line="240" w:lineRule="auto"/>
              <w:jc w:val="right"/>
              <w:rPr>
                <w:b/>
                <w:bCs/>
                <w:sz w:val="18"/>
                <w:szCs w:val="18"/>
                <w:lang w:eastAsia="sk-SK"/>
              </w:rPr>
            </w:pPr>
            <w:r w:rsidRPr="00E4226A">
              <w:rPr>
                <w:b/>
                <w:bCs/>
                <w:sz w:val="18"/>
                <w:szCs w:val="18"/>
                <w:lang w:eastAsia="sk-SK"/>
              </w:rPr>
              <w:t>4 492 184</w:t>
            </w:r>
          </w:p>
        </w:tc>
        <w:tc>
          <w:tcPr>
            <w:tcW w:w="911" w:type="dxa"/>
            <w:tcBorders>
              <w:top w:val="nil"/>
              <w:left w:val="nil"/>
              <w:bottom w:val="nil"/>
              <w:right w:val="nil"/>
            </w:tcBorders>
            <w:shd w:val="clear" w:color="auto" w:fill="auto"/>
            <w:noWrap/>
            <w:vAlign w:val="center"/>
            <w:hideMark/>
          </w:tcPr>
          <w:p w14:paraId="5AA73C4E" w14:textId="77777777" w:rsidR="00151939" w:rsidRPr="00E4226A" w:rsidRDefault="00151939" w:rsidP="0051395F">
            <w:pPr>
              <w:tabs>
                <w:tab w:val="decimal" w:pos="319"/>
              </w:tabs>
              <w:spacing w:after="0" w:line="240" w:lineRule="auto"/>
              <w:jc w:val="center"/>
              <w:rPr>
                <w:b/>
                <w:bCs/>
                <w:sz w:val="18"/>
                <w:szCs w:val="18"/>
                <w:lang w:eastAsia="sk-SK"/>
              </w:rPr>
            </w:pPr>
            <w:r w:rsidRPr="00E4226A">
              <w:rPr>
                <w:b/>
                <w:bCs/>
                <w:sz w:val="18"/>
                <w:szCs w:val="18"/>
                <w:lang w:eastAsia="sk-SK"/>
              </w:rPr>
              <w:t>-7,7</w:t>
            </w:r>
          </w:p>
        </w:tc>
      </w:tr>
      <w:tr w:rsidR="00151939" w:rsidRPr="00E4226A" w14:paraId="6350A862" w14:textId="77777777" w:rsidTr="0051395F">
        <w:trPr>
          <w:trHeight w:val="249"/>
        </w:trPr>
        <w:tc>
          <w:tcPr>
            <w:tcW w:w="3827" w:type="dxa"/>
            <w:tcBorders>
              <w:top w:val="nil"/>
              <w:left w:val="nil"/>
              <w:bottom w:val="nil"/>
              <w:right w:val="nil"/>
            </w:tcBorders>
            <w:shd w:val="clear" w:color="auto" w:fill="auto"/>
            <w:noWrap/>
            <w:vAlign w:val="center"/>
            <w:hideMark/>
          </w:tcPr>
          <w:p w14:paraId="7FAC52AC" w14:textId="77777777" w:rsidR="00151939" w:rsidRPr="00E4226A" w:rsidRDefault="00151939" w:rsidP="0051395F">
            <w:pPr>
              <w:spacing w:after="0" w:line="240" w:lineRule="auto"/>
              <w:ind w:firstLineChars="100" w:firstLine="180"/>
              <w:rPr>
                <w:color w:val="000000"/>
                <w:sz w:val="18"/>
                <w:szCs w:val="18"/>
                <w:lang w:eastAsia="sk-SK"/>
              </w:rPr>
            </w:pPr>
            <w:r w:rsidRPr="00E4226A">
              <w:rPr>
                <w:color w:val="000000"/>
                <w:sz w:val="18"/>
                <w:szCs w:val="18"/>
                <w:lang w:eastAsia="sk-SK"/>
              </w:rPr>
              <w:t>Tržby</w:t>
            </w:r>
          </w:p>
        </w:tc>
        <w:tc>
          <w:tcPr>
            <w:tcW w:w="1072" w:type="dxa"/>
            <w:tcBorders>
              <w:top w:val="nil"/>
              <w:left w:val="nil"/>
              <w:bottom w:val="nil"/>
              <w:right w:val="nil"/>
            </w:tcBorders>
            <w:shd w:val="clear" w:color="auto" w:fill="auto"/>
            <w:noWrap/>
            <w:vAlign w:val="bottom"/>
            <w:hideMark/>
          </w:tcPr>
          <w:p w14:paraId="10EC8B25"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2 431 952</w:t>
            </w:r>
          </w:p>
        </w:tc>
        <w:tc>
          <w:tcPr>
            <w:tcW w:w="1072" w:type="dxa"/>
            <w:tcBorders>
              <w:top w:val="nil"/>
              <w:left w:val="nil"/>
              <w:bottom w:val="nil"/>
              <w:right w:val="nil"/>
            </w:tcBorders>
            <w:shd w:val="clear" w:color="auto" w:fill="auto"/>
            <w:noWrap/>
            <w:vAlign w:val="bottom"/>
            <w:hideMark/>
          </w:tcPr>
          <w:p w14:paraId="5DA2CB41"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2 529 846</w:t>
            </w:r>
          </w:p>
        </w:tc>
        <w:tc>
          <w:tcPr>
            <w:tcW w:w="1072" w:type="dxa"/>
            <w:tcBorders>
              <w:top w:val="nil"/>
              <w:left w:val="nil"/>
              <w:bottom w:val="nil"/>
              <w:right w:val="nil"/>
            </w:tcBorders>
            <w:shd w:val="clear" w:color="000000" w:fill="BFBFBF"/>
            <w:noWrap/>
            <w:vAlign w:val="bottom"/>
            <w:hideMark/>
          </w:tcPr>
          <w:p w14:paraId="495C5B06"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2 345 652</w:t>
            </w:r>
          </w:p>
        </w:tc>
        <w:tc>
          <w:tcPr>
            <w:tcW w:w="1072" w:type="dxa"/>
            <w:tcBorders>
              <w:top w:val="nil"/>
              <w:left w:val="nil"/>
              <w:bottom w:val="nil"/>
              <w:right w:val="nil"/>
            </w:tcBorders>
            <w:shd w:val="clear" w:color="auto" w:fill="auto"/>
            <w:noWrap/>
            <w:vAlign w:val="center"/>
            <w:hideMark/>
          </w:tcPr>
          <w:p w14:paraId="771CC9EC"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3 912 383</w:t>
            </w:r>
          </w:p>
        </w:tc>
        <w:tc>
          <w:tcPr>
            <w:tcW w:w="911" w:type="dxa"/>
            <w:tcBorders>
              <w:top w:val="nil"/>
              <w:left w:val="nil"/>
              <w:bottom w:val="nil"/>
              <w:right w:val="nil"/>
            </w:tcBorders>
            <w:shd w:val="clear" w:color="auto" w:fill="auto"/>
            <w:noWrap/>
            <w:vAlign w:val="center"/>
            <w:hideMark/>
          </w:tcPr>
          <w:p w14:paraId="267B4D49"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-7,3</w:t>
            </w:r>
          </w:p>
        </w:tc>
      </w:tr>
      <w:tr w:rsidR="00151939" w:rsidRPr="00E4226A" w14:paraId="47CE6BB6" w14:textId="77777777" w:rsidTr="0051395F">
        <w:trPr>
          <w:trHeight w:val="389"/>
        </w:trPr>
        <w:tc>
          <w:tcPr>
            <w:tcW w:w="3827" w:type="dxa"/>
            <w:tcBorders>
              <w:top w:val="nil"/>
              <w:left w:val="nil"/>
              <w:bottom w:val="nil"/>
              <w:right w:val="nil"/>
            </w:tcBorders>
            <w:shd w:val="clear" w:color="auto" w:fill="auto"/>
            <w:vAlign w:val="center"/>
            <w:hideMark/>
          </w:tcPr>
          <w:p w14:paraId="2858A0A7" w14:textId="77777777" w:rsidR="00151939" w:rsidRPr="00E4226A" w:rsidRDefault="00151939" w:rsidP="0051395F">
            <w:pPr>
              <w:spacing w:after="0" w:line="240" w:lineRule="auto"/>
              <w:ind w:firstLineChars="100" w:firstLine="180"/>
              <w:rPr>
                <w:color w:val="000000"/>
                <w:sz w:val="18"/>
                <w:szCs w:val="18"/>
                <w:lang w:eastAsia="sk-SK"/>
              </w:rPr>
            </w:pPr>
            <w:r w:rsidRPr="00E4226A">
              <w:rPr>
                <w:color w:val="000000"/>
                <w:sz w:val="18"/>
                <w:szCs w:val="18"/>
                <w:lang w:eastAsia="sk-SK"/>
              </w:rPr>
              <w:t xml:space="preserve"> - Produkcia trhová + pre vlastné konečné </w:t>
            </w:r>
            <w:r w:rsidRPr="00E4226A">
              <w:rPr>
                <w:color w:val="000000"/>
                <w:sz w:val="18"/>
                <w:szCs w:val="18"/>
                <w:lang w:eastAsia="sk-SK"/>
              </w:rPr>
              <w:br/>
              <w:t xml:space="preserve">   použitie</w:t>
            </w:r>
          </w:p>
        </w:tc>
        <w:tc>
          <w:tcPr>
            <w:tcW w:w="1072" w:type="dxa"/>
            <w:tcBorders>
              <w:top w:val="nil"/>
              <w:left w:val="nil"/>
              <w:bottom w:val="nil"/>
              <w:right w:val="nil"/>
            </w:tcBorders>
            <w:shd w:val="clear" w:color="auto" w:fill="auto"/>
            <w:noWrap/>
            <w:vAlign w:val="center"/>
            <w:hideMark/>
          </w:tcPr>
          <w:p w14:paraId="6B17F378"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2 196 431</w:t>
            </w:r>
          </w:p>
        </w:tc>
        <w:tc>
          <w:tcPr>
            <w:tcW w:w="1072" w:type="dxa"/>
            <w:tcBorders>
              <w:top w:val="nil"/>
              <w:left w:val="nil"/>
              <w:bottom w:val="nil"/>
              <w:right w:val="nil"/>
            </w:tcBorders>
            <w:shd w:val="clear" w:color="auto" w:fill="auto"/>
            <w:noWrap/>
            <w:vAlign w:val="center"/>
            <w:hideMark/>
          </w:tcPr>
          <w:p w14:paraId="10E42368"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2 261 516</w:t>
            </w:r>
          </w:p>
        </w:tc>
        <w:tc>
          <w:tcPr>
            <w:tcW w:w="1072" w:type="dxa"/>
            <w:tcBorders>
              <w:top w:val="nil"/>
              <w:left w:val="nil"/>
              <w:bottom w:val="nil"/>
              <w:right w:val="nil"/>
            </w:tcBorders>
            <w:shd w:val="clear" w:color="000000" w:fill="BFBFBF"/>
            <w:noWrap/>
            <w:vAlign w:val="center"/>
            <w:hideMark/>
          </w:tcPr>
          <w:p w14:paraId="1B2EF3F9"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2 143 637</w:t>
            </w:r>
          </w:p>
        </w:tc>
        <w:tc>
          <w:tcPr>
            <w:tcW w:w="1072" w:type="dxa"/>
            <w:tcBorders>
              <w:top w:val="nil"/>
              <w:left w:val="nil"/>
              <w:bottom w:val="nil"/>
              <w:right w:val="nil"/>
            </w:tcBorders>
            <w:shd w:val="clear" w:color="auto" w:fill="auto"/>
            <w:noWrap/>
            <w:vAlign w:val="center"/>
            <w:hideMark/>
          </w:tcPr>
          <w:p w14:paraId="73524ADB"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3 789 236</w:t>
            </w:r>
          </w:p>
        </w:tc>
        <w:tc>
          <w:tcPr>
            <w:tcW w:w="911" w:type="dxa"/>
            <w:tcBorders>
              <w:top w:val="nil"/>
              <w:left w:val="nil"/>
              <w:bottom w:val="nil"/>
              <w:right w:val="nil"/>
            </w:tcBorders>
            <w:shd w:val="clear" w:color="auto" w:fill="auto"/>
            <w:noWrap/>
            <w:vAlign w:val="center"/>
            <w:hideMark/>
          </w:tcPr>
          <w:p w14:paraId="370EA4A0"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-5,2</w:t>
            </w:r>
          </w:p>
        </w:tc>
      </w:tr>
      <w:tr w:rsidR="00151939" w:rsidRPr="00E4226A" w14:paraId="2383B3E6" w14:textId="77777777" w:rsidTr="0051395F">
        <w:trPr>
          <w:trHeight w:val="249"/>
        </w:trPr>
        <w:tc>
          <w:tcPr>
            <w:tcW w:w="3827" w:type="dxa"/>
            <w:tcBorders>
              <w:top w:val="nil"/>
              <w:left w:val="nil"/>
              <w:bottom w:val="nil"/>
              <w:right w:val="nil"/>
            </w:tcBorders>
            <w:shd w:val="clear" w:color="auto" w:fill="auto"/>
            <w:noWrap/>
            <w:vAlign w:val="center"/>
            <w:hideMark/>
          </w:tcPr>
          <w:p w14:paraId="5506F9EF" w14:textId="77777777" w:rsidR="00151939" w:rsidRPr="00E4226A" w:rsidRDefault="00151939" w:rsidP="0051395F">
            <w:pPr>
              <w:spacing w:after="0" w:line="240" w:lineRule="auto"/>
              <w:ind w:firstLineChars="100" w:firstLine="180"/>
              <w:rPr>
                <w:color w:val="000000"/>
                <w:sz w:val="18"/>
                <w:szCs w:val="18"/>
                <w:lang w:eastAsia="sk-SK"/>
              </w:rPr>
            </w:pPr>
            <w:r w:rsidRPr="00E4226A">
              <w:rPr>
                <w:color w:val="000000"/>
                <w:sz w:val="18"/>
                <w:szCs w:val="18"/>
                <w:lang w:eastAsia="sk-SK"/>
              </w:rPr>
              <w:t xml:space="preserve"> - Platby za ostatnú netrhovú produkciu</w:t>
            </w:r>
          </w:p>
        </w:tc>
        <w:tc>
          <w:tcPr>
            <w:tcW w:w="1072" w:type="dxa"/>
            <w:tcBorders>
              <w:top w:val="nil"/>
              <w:left w:val="nil"/>
              <w:bottom w:val="nil"/>
              <w:right w:val="nil"/>
            </w:tcBorders>
            <w:shd w:val="clear" w:color="auto" w:fill="auto"/>
            <w:noWrap/>
            <w:vAlign w:val="bottom"/>
            <w:hideMark/>
          </w:tcPr>
          <w:p w14:paraId="07AF3758"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235 521</w:t>
            </w:r>
          </w:p>
        </w:tc>
        <w:tc>
          <w:tcPr>
            <w:tcW w:w="1072" w:type="dxa"/>
            <w:tcBorders>
              <w:top w:val="nil"/>
              <w:left w:val="nil"/>
              <w:bottom w:val="nil"/>
              <w:right w:val="nil"/>
            </w:tcBorders>
            <w:shd w:val="clear" w:color="auto" w:fill="auto"/>
            <w:noWrap/>
            <w:vAlign w:val="bottom"/>
            <w:hideMark/>
          </w:tcPr>
          <w:p w14:paraId="67EAE590"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268 330</w:t>
            </w:r>
          </w:p>
        </w:tc>
        <w:tc>
          <w:tcPr>
            <w:tcW w:w="1072" w:type="dxa"/>
            <w:tcBorders>
              <w:top w:val="nil"/>
              <w:left w:val="nil"/>
              <w:bottom w:val="nil"/>
              <w:right w:val="nil"/>
            </w:tcBorders>
            <w:shd w:val="clear" w:color="000000" w:fill="BFBFBF"/>
            <w:noWrap/>
            <w:vAlign w:val="bottom"/>
            <w:hideMark/>
          </w:tcPr>
          <w:p w14:paraId="3975A0CD"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202 015</w:t>
            </w:r>
          </w:p>
        </w:tc>
        <w:tc>
          <w:tcPr>
            <w:tcW w:w="1072" w:type="dxa"/>
            <w:tcBorders>
              <w:top w:val="nil"/>
              <w:left w:val="nil"/>
              <w:bottom w:val="nil"/>
              <w:right w:val="nil"/>
            </w:tcBorders>
            <w:shd w:val="clear" w:color="auto" w:fill="auto"/>
            <w:noWrap/>
            <w:vAlign w:val="center"/>
            <w:hideMark/>
          </w:tcPr>
          <w:p w14:paraId="70A6A9FE"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123 147</w:t>
            </w:r>
          </w:p>
        </w:tc>
        <w:tc>
          <w:tcPr>
            <w:tcW w:w="911" w:type="dxa"/>
            <w:tcBorders>
              <w:top w:val="nil"/>
              <w:left w:val="nil"/>
              <w:bottom w:val="nil"/>
              <w:right w:val="nil"/>
            </w:tcBorders>
            <w:shd w:val="clear" w:color="auto" w:fill="auto"/>
            <w:noWrap/>
            <w:vAlign w:val="center"/>
            <w:hideMark/>
          </w:tcPr>
          <w:p w14:paraId="44D46717"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-24,7</w:t>
            </w:r>
          </w:p>
        </w:tc>
      </w:tr>
      <w:tr w:rsidR="00151939" w:rsidRPr="00E4226A" w14:paraId="1D94E9E5" w14:textId="77777777" w:rsidTr="0051395F">
        <w:trPr>
          <w:trHeight w:val="249"/>
        </w:trPr>
        <w:tc>
          <w:tcPr>
            <w:tcW w:w="3827" w:type="dxa"/>
            <w:tcBorders>
              <w:top w:val="nil"/>
              <w:left w:val="nil"/>
              <w:bottom w:val="nil"/>
              <w:right w:val="nil"/>
            </w:tcBorders>
            <w:shd w:val="clear" w:color="auto" w:fill="auto"/>
            <w:noWrap/>
            <w:vAlign w:val="center"/>
            <w:hideMark/>
          </w:tcPr>
          <w:p w14:paraId="0E995088" w14:textId="77777777" w:rsidR="00151939" w:rsidRPr="00E4226A" w:rsidRDefault="00151939" w:rsidP="0051395F">
            <w:pPr>
              <w:spacing w:after="0" w:line="240" w:lineRule="auto"/>
              <w:ind w:firstLineChars="100" w:firstLine="180"/>
              <w:rPr>
                <w:color w:val="000000"/>
                <w:sz w:val="18"/>
                <w:szCs w:val="18"/>
                <w:lang w:eastAsia="sk-SK"/>
              </w:rPr>
            </w:pPr>
            <w:r w:rsidRPr="00E4226A">
              <w:rPr>
                <w:color w:val="000000"/>
                <w:sz w:val="18"/>
                <w:szCs w:val="18"/>
                <w:lang w:eastAsia="sk-SK"/>
              </w:rPr>
              <w:t>Dôchodky z majetku, z toho</w:t>
            </w:r>
          </w:p>
        </w:tc>
        <w:tc>
          <w:tcPr>
            <w:tcW w:w="1072" w:type="dxa"/>
            <w:tcBorders>
              <w:top w:val="nil"/>
              <w:left w:val="nil"/>
              <w:bottom w:val="nil"/>
              <w:right w:val="nil"/>
            </w:tcBorders>
            <w:shd w:val="clear" w:color="auto" w:fill="auto"/>
            <w:noWrap/>
            <w:vAlign w:val="bottom"/>
            <w:hideMark/>
          </w:tcPr>
          <w:p w14:paraId="2AB319F2"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664 012</w:t>
            </w:r>
          </w:p>
        </w:tc>
        <w:tc>
          <w:tcPr>
            <w:tcW w:w="1072" w:type="dxa"/>
            <w:tcBorders>
              <w:top w:val="nil"/>
              <w:left w:val="nil"/>
              <w:bottom w:val="nil"/>
              <w:right w:val="nil"/>
            </w:tcBorders>
            <w:shd w:val="clear" w:color="auto" w:fill="auto"/>
            <w:noWrap/>
            <w:vAlign w:val="bottom"/>
            <w:hideMark/>
          </w:tcPr>
          <w:p w14:paraId="33F716A8"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560 181</w:t>
            </w:r>
          </w:p>
        </w:tc>
        <w:tc>
          <w:tcPr>
            <w:tcW w:w="1072" w:type="dxa"/>
            <w:tcBorders>
              <w:top w:val="nil"/>
              <w:left w:val="nil"/>
              <w:bottom w:val="nil"/>
              <w:right w:val="nil"/>
            </w:tcBorders>
            <w:shd w:val="clear" w:color="000000" w:fill="BFBFBF"/>
            <w:noWrap/>
            <w:vAlign w:val="bottom"/>
            <w:hideMark/>
          </w:tcPr>
          <w:p w14:paraId="292CF849"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506 359</w:t>
            </w:r>
          </w:p>
        </w:tc>
        <w:tc>
          <w:tcPr>
            <w:tcW w:w="1072" w:type="dxa"/>
            <w:tcBorders>
              <w:top w:val="nil"/>
              <w:left w:val="nil"/>
              <w:bottom w:val="nil"/>
              <w:right w:val="nil"/>
            </w:tcBorders>
            <w:shd w:val="clear" w:color="auto" w:fill="auto"/>
            <w:noWrap/>
            <w:vAlign w:val="center"/>
            <w:hideMark/>
          </w:tcPr>
          <w:p w14:paraId="3D3DC669"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579 801</w:t>
            </w:r>
          </w:p>
        </w:tc>
        <w:tc>
          <w:tcPr>
            <w:tcW w:w="911" w:type="dxa"/>
            <w:tcBorders>
              <w:top w:val="nil"/>
              <w:left w:val="nil"/>
              <w:bottom w:val="nil"/>
              <w:right w:val="nil"/>
            </w:tcBorders>
            <w:shd w:val="clear" w:color="auto" w:fill="auto"/>
            <w:noWrap/>
            <w:vAlign w:val="center"/>
            <w:hideMark/>
          </w:tcPr>
          <w:p w14:paraId="05F18556"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-9,6</w:t>
            </w:r>
          </w:p>
        </w:tc>
      </w:tr>
      <w:tr w:rsidR="00151939" w:rsidRPr="00E4226A" w14:paraId="1FFD8D36" w14:textId="77777777" w:rsidTr="0051395F">
        <w:trPr>
          <w:trHeight w:val="249"/>
        </w:trPr>
        <w:tc>
          <w:tcPr>
            <w:tcW w:w="3827" w:type="dxa"/>
            <w:tcBorders>
              <w:top w:val="nil"/>
              <w:left w:val="nil"/>
              <w:bottom w:val="nil"/>
              <w:right w:val="nil"/>
            </w:tcBorders>
            <w:shd w:val="clear" w:color="auto" w:fill="auto"/>
            <w:noWrap/>
            <w:vAlign w:val="center"/>
            <w:hideMark/>
          </w:tcPr>
          <w:p w14:paraId="74DDABC3" w14:textId="77777777" w:rsidR="00151939" w:rsidRPr="00E4226A" w:rsidRDefault="00151939" w:rsidP="0051395F">
            <w:pPr>
              <w:spacing w:after="0" w:line="240" w:lineRule="auto"/>
              <w:ind w:firstLineChars="100" w:firstLine="180"/>
              <w:rPr>
                <w:color w:val="000000"/>
                <w:sz w:val="18"/>
                <w:szCs w:val="18"/>
                <w:lang w:eastAsia="sk-SK"/>
              </w:rPr>
            </w:pPr>
            <w:r w:rsidRPr="00E4226A">
              <w:rPr>
                <w:color w:val="000000"/>
                <w:sz w:val="18"/>
                <w:szCs w:val="18"/>
                <w:lang w:eastAsia="sk-SK"/>
              </w:rPr>
              <w:t xml:space="preserve"> - Dividendy</w:t>
            </w:r>
          </w:p>
        </w:tc>
        <w:tc>
          <w:tcPr>
            <w:tcW w:w="1072" w:type="dxa"/>
            <w:tcBorders>
              <w:top w:val="nil"/>
              <w:left w:val="nil"/>
              <w:bottom w:val="nil"/>
              <w:right w:val="nil"/>
            </w:tcBorders>
            <w:shd w:val="clear" w:color="auto" w:fill="auto"/>
            <w:noWrap/>
            <w:vAlign w:val="bottom"/>
            <w:hideMark/>
          </w:tcPr>
          <w:p w14:paraId="7713532B"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410 124</w:t>
            </w:r>
          </w:p>
        </w:tc>
        <w:tc>
          <w:tcPr>
            <w:tcW w:w="1072" w:type="dxa"/>
            <w:tcBorders>
              <w:top w:val="nil"/>
              <w:left w:val="nil"/>
              <w:bottom w:val="nil"/>
              <w:right w:val="nil"/>
            </w:tcBorders>
            <w:shd w:val="clear" w:color="auto" w:fill="auto"/>
            <w:noWrap/>
            <w:vAlign w:val="bottom"/>
            <w:hideMark/>
          </w:tcPr>
          <w:p w14:paraId="3B6A9839"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323 940</w:t>
            </w:r>
          </w:p>
        </w:tc>
        <w:tc>
          <w:tcPr>
            <w:tcW w:w="1072" w:type="dxa"/>
            <w:tcBorders>
              <w:top w:val="nil"/>
              <w:left w:val="nil"/>
              <w:bottom w:val="nil"/>
              <w:right w:val="nil"/>
            </w:tcBorders>
            <w:shd w:val="clear" w:color="000000" w:fill="BFBFBF"/>
            <w:noWrap/>
            <w:vAlign w:val="bottom"/>
            <w:hideMark/>
          </w:tcPr>
          <w:p w14:paraId="035EA970"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268 855</w:t>
            </w:r>
          </w:p>
        </w:tc>
        <w:tc>
          <w:tcPr>
            <w:tcW w:w="1072" w:type="dxa"/>
            <w:tcBorders>
              <w:top w:val="nil"/>
              <w:left w:val="nil"/>
              <w:bottom w:val="nil"/>
              <w:right w:val="nil"/>
            </w:tcBorders>
            <w:shd w:val="clear" w:color="auto" w:fill="auto"/>
            <w:noWrap/>
            <w:vAlign w:val="center"/>
            <w:hideMark/>
          </w:tcPr>
          <w:p w14:paraId="6196E249"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460 684</w:t>
            </w:r>
          </w:p>
        </w:tc>
        <w:tc>
          <w:tcPr>
            <w:tcW w:w="911" w:type="dxa"/>
            <w:tcBorders>
              <w:top w:val="nil"/>
              <w:left w:val="nil"/>
              <w:bottom w:val="nil"/>
              <w:right w:val="nil"/>
            </w:tcBorders>
            <w:shd w:val="clear" w:color="auto" w:fill="auto"/>
            <w:noWrap/>
            <w:vAlign w:val="center"/>
            <w:hideMark/>
          </w:tcPr>
          <w:p w14:paraId="7473F7FD"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-17,0</w:t>
            </w:r>
          </w:p>
        </w:tc>
      </w:tr>
      <w:tr w:rsidR="00151939" w:rsidRPr="00E4226A" w14:paraId="6AAD112F" w14:textId="77777777" w:rsidTr="0051395F">
        <w:trPr>
          <w:trHeight w:val="249"/>
        </w:trPr>
        <w:tc>
          <w:tcPr>
            <w:tcW w:w="3827" w:type="dxa"/>
            <w:tcBorders>
              <w:top w:val="nil"/>
              <w:left w:val="nil"/>
              <w:bottom w:val="nil"/>
              <w:right w:val="nil"/>
            </w:tcBorders>
            <w:shd w:val="clear" w:color="auto" w:fill="auto"/>
            <w:noWrap/>
            <w:vAlign w:val="center"/>
            <w:hideMark/>
          </w:tcPr>
          <w:p w14:paraId="5D1F2476" w14:textId="77777777" w:rsidR="00151939" w:rsidRPr="00E4226A" w:rsidRDefault="00151939" w:rsidP="0051395F">
            <w:pPr>
              <w:spacing w:after="0" w:line="240" w:lineRule="auto"/>
              <w:ind w:firstLineChars="100" w:firstLine="180"/>
              <w:rPr>
                <w:color w:val="000000"/>
                <w:sz w:val="18"/>
                <w:szCs w:val="18"/>
                <w:lang w:eastAsia="sk-SK"/>
              </w:rPr>
            </w:pPr>
            <w:r w:rsidRPr="00E4226A">
              <w:rPr>
                <w:color w:val="000000"/>
                <w:sz w:val="18"/>
                <w:szCs w:val="18"/>
                <w:lang w:eastAsia="sk-SK"/>
              </w:rPr>
              <w:t xml:space="preserve"> - Úroky</w:t>
            </w:r>
          </w:p>
        </w:tc>
        <w:tc>
          <w:tcPr>
            <w:tcW w:w="1072" w:type="dxa"/>
            <w:tcBorders>
              <w:top w:val="nil"/>
              <w:left w:val="nil"/>
              <w:bottom w:val="nil"/>
              <w:right w:val="nil"/>
            </w:tcBorders>
            <w:shd w:val="clear" w:color="auto" w:fill="auto"/>
            <w:noWrap/>
            <w:vAlign w:val="bottom"/>
            <w:hideMark/>
          </w:tcPr>
          <w:p w14:paraId="0EC6A686"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172 415</w:t>
            </w:r>
          </w:p>
        </w:tc>
        <w:tc>
          <w:tcPr>
            <w:tcW w:w="1072" w:type="dxa"/>
            <w:tcBorders>
              <w:top w:val="nil"/>
              <w:left w:val="nil"/>
              <w:bottom w:val="nil"/>
              <w:right w:val="nil"/>
            </w:tcBorders>
            <w:shd w:val="clear" w:color="auto" w:fill="auto"/>
            <w:noWrap/>
            <w:vAlign w:val="bottom"/>
            <w:hideMark/>
          </w:tcPr>
          <w:p w14:paraId="75EF2C7B"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160 996</w:t>
            </w:r>
          </w:p>
        </w:tc>
        <w:tc>
          <w:tcPr>
            <w:tcW w:w="1072" w:type="dxa"/>
            <w:tcBorders>
              <w:top w:val="nil"/>
              <w:left w:val="nil"/>
              <w:bottom w:val="nil"/>
              <w:right w:val="nil"/>
            </w:tcBorders>
            <w:shd w:val="clear" w:color="000000" w:fill="BFBFBF"/>
            <w:noWrap/>
            <w:vAlign w:val="bottom"/>
            <w:hideMark/>
          </w:tcPr>
          <w:p w14:paraId="738A67A9"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163 239</w:t>
            </w:r>
          </w:p>
        </w:tc>
        <w:tc>
          <w:tcPr>
            <w:tcW w:w="1072" w:type="dxa"/>
            <w:tcBorders>
              <w:top w:val="nil"/>
              <w:left w:val="nil"/>
              <w:bottom w:val="nil"/>
              <w:right w:val="nil"/>
            </w:tcBorders>
            <w:shd w:val="clear" w:color="auto" w:fill="auto"/>
            <w:noWrap/>
            <w:vAlign w:val="center"/>
            <w:hideMark/>
          </w:tcPr>
          <w:p w14:paraId="1FB7BDB3"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32 218</w:t>
            </w:r>
          </w:p>
        </w:tc>
        <w:tc>
          <w:tcPr>
            <w:tcW w:w="911" w:type="dxa"/>
            <w:tcBorders>
              <w:top w:val="nil"/>
              <w:left w:val="nil"/>
              <w:bottom w:val="nil"/>
              <w:right w:val="nil"/>
            </w:tcBorders>
            <w:shd w:val="clear" w:color="auto" w:fill="auto"/>
            <w:noWrap/>
            <w:vAlign w:val="center"/>
            <w:hideMark/>
          </w:tcPr>
          <w:p w14:paraId="66F546E1"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1,4</w:t>
            </w:r>
          </w:p>
        </w:tc>
      </w:tr>
      <w:tr w:rsidR="00151939" w:rsidRPr="00E4226A" w14:paraId="62638D79" w14:textId="77777777" w:rsidTr="0051395F">
        <w:trPr>
          <w:trHeight w:val="249"/>
        </w:trPr>
        <w:tc>
          <w:tcPr>
            <w:tcW w:w="3827" w:type="dxa"/>
            <w:tcBorders>
              <w:top w:val="nil"/>
              <w:left w:val="nil"/>
              <w:bottom w:val="nil"/>
              <w:right w:val="nil"/>
            </w:tcBorders>
            <w:shd w:val="clear" w:color="auto" w:fill="auto"/>
            <w:noWrap/>
            <w:vAlign w:val="center"/>
            <w:hideMark/>
          </w:tcPr>
          <w:p w14:paraId="0C79240D" w14:textId="77777777" w:rsidR="00151939" w:rsidRPr="00E4226A" w:rsidRDefault="00151939" w:rsidP="0051395F">
            <w:pPr>
              <w:spacing w:after="0" w:line="240" w:lineRule="auto"/>
              <w:rPr>
                <w:b/>
                <w:bCs/>
                <w:color w:val="000000"/>
                <w:sz w:val="18"/>
                <w:szCs w:val="18"/>
                <w:lang w:eastAsia="sk-SK"/>
              </w:rPr>
            </w:pPr>
            <w:r w:rsidRPr="00E4226A">
              <w:rPr>
                <w:b/>
                <w:bCs/>
                <w:color w:val="000000"/>
                <w:sz w:val="18"/>
                <w:szCs w:val="18"/>
                <w:lang w:eastAsia="sk-SK"/>
              </w:rPr>
              <w:t>Granty a transfery</w:t>
            </w:r>
          </w:p>
        </w:tc>
        <w:tc>
          <w:tcPr>
            <w:tcW w:w="1072" w:type="dxa"/>
            <w:tcBorders>
              <w:top w:val="nil"/>
              <w:left w:val="nil"/>
              <w:bottom w:val="nil"/>
              <w:right w:val="nil"/>
            </w:tcBorders>
            <w:shd w:val="clear" w:color="auto" w:fill="auto"/>
            <w:noWrap/>
            <w:vAlign w:val="center"/>
            <w:hideMark/>
          </w:tcPr>
          <w:p w14:paraId="1E68B063" w14:textId="77777777" w:rsidR="00151939" w:rsidRPr="00E4226A" w:rsidRDefault="00151939" w:rsidP="0051395F">
            <w:pPr>
              <w:spacing w:after="0" w:line="240" w:lineRule="auto"/>
              <w:jc w:val="right"/>
              <w:rPr>
                <w:b/>
                <w:bCs/>
                <w:sz w:val="18"/>
                <w:szCs w:val="18"/>
                <w:lang w:eastAsia="sk-SK"/>
              </w:rPr>
            </w:pPr>
            <w:r w:rsidRPr="00E4226A">
              <w:rPr>
                <w:b/>
                <w:bCs/>
                <w:sz w:val="18"/>
                <w:szCs w:val="18"/>
                <w:lang w:eastAsia="sk-SK"/>
              </w:rPr>
              <w:t>1 168 091</w:t>
            </w:r>
          </w:p>
        </w:tc>
        <w:tc>
          <w:tcPr>
            <w:tcW w:w="1072" w:type="dxa"/>
            <w:tcBorders>
              <w:top w:val="nil"/>
              <w:left w:val="nil"/>
              <w:bottom w:val="nil"/>
              <w:right w:val="nil"/>
            </w:tcBorders>
            <w:shd w:val="clear" w:color="auto" w:fill="auto"/>
            <w:noWrap/>
            <w:vAlign w:val="center"/>
            <w:hideMark/>
          </w:tcPr>
          <w:p w14:paraId="31437924" w14:textId="77777777" w:rsidR="00151939" w:rsidRPr="00E4226A" w:rsidRDefault="00151939" w:rsidP="0051395F">
            <w:pPr>
              <w:spacing w:after="0" w:line="240" w:lineRule="auto"/>
              <w:jc w:val="right"/>
              <w:rPr>
                <w:b/>
                <w:bCs/>
                <w:sz w:val="18"/>
                <w:szCs w:val="18"/>
                <w:lang w:eastAsia="sk-SK"/>
              </w:rPr>
            </w:pPr>
            <w:r w:rsidRPr="00E4226A">
              <w:rPr>
                <w:b/>
                <w:bCs/>
                <w:sz w:val="18"/>
                <w:szCs w:val="18"/>
                <w:lang w:eastAsia="sk-SK"/>
              </w:rPr>
              <w:t>1 525 730</w:t>
            </w:r>
          </w:p>
        </w:tc>
        <w:tc>
          <w:tcPr>
            <w:tcW w:w="1072" w:type="dxa"/>
            <w:tcBorders>
              <w:top w:val="nil"/>
              <w:left w:val="nil"/>
              <w:bottom w:val="nil"/>
              <w:right w:val="nil"/>
            </w:tcBorders>
            <w:shd w:val="clear" w:color="000000" w:fill="BFBFBF"/>
            <w:noWrap/>
            <w:vAlign w:val="center"/>
            <w:hideMark/>
          </w:tcPr>
          <w:p w14:paraId="048B363E" w14:textId="77777777" w:rsidR="00151939" w:rsidRPr="00E4226A" w:rsidRDefault="00151939" w:rsidP="0051395F">
            <w:pPr>
              <w:spacing w:after="0" w:line="240" w:lineRule="auto"/>
              <w:jc w:val="right"/>
              <w:rPr>
                <w:b/>
                <w:bCs/>
                <w:sz w:val="18"/>
                <w:szCs w:val="18"/>
                <w:lang w:eastAsia="sk-SK"/>
              </w:rPr>
            </w:pPr>
            <w:r w:rsidRPr="00E4226A">
              <w:rPr>
                <w:b/>
                <w:bCs/>
                <w:sz w:val="18"/>
                <w:szCs w:val="18"/>
                <w:lang w:eastAsia="sk-SK"/>
              </w:rPr>
              <w:t>1 726 650</w:t>
            </w:r>
          </w:p>
        </w:tc>
        <w:tc>
          <w:tcPr>
            <w:tcW w:w="1072" w:type="dxa"/>
            <w:tcBorders>
              <w:top w:val="nil"/>
              <w:left w:val="nil"/>
              <w:bottom w:val="nil"/>
              <w:right w:val="nil"/>
            </w:tcBorders>
            <w:shd w:val="clear" w:color="auto" w:fill="auto"/>
            <w:noWrap/>
            <w:vAlign w:val="center"/>
            <w:hideMark/>
          </w:tcPr>
          <w:p w14:paraId="6BACAC08" w14:textId="77777777" w:rsidR="00151939" w:rsidRPr="00E4226A" w:rsidRDefault="00151939" w:rsidP="0051395F">
            <w:pPr>
              <w:spacing w:after="0" w:line="240" w:lineRule="auto"/>
              <w:jc w:val="right"/>
              <w:rPr>
                <w:b/>
                <w:bCs/>
                <w:sz w:val="18"/>
                <w:szCs w:val="18"/>
                <w:lang w:eastAsia="sk-SK"/>
              </w:rPr>
            </w:pPr>
            <w:r w:rsidRPr="00E4226A">
              <w:rPr>
                <w:b/>
                <w:bCs/>
                <w:sz w:val="18"/>
                <w:szCs w:val="18"/>
                <w:lang w:eastAsia="sk-SK"/>
              </w:rPr>
              <w:t>1 897 066</w:t>
            </w:r>
          </w:p>
        </w:tc>
        <w:tc>
          <w:tcPr>
            <w:tcW w:w="911" w:type="dxa"/>
            <w:tcBorders>
              <w:top w:val="nil"/>
              <w:left w:val="nil"/>
              <w:bottom w:val="nil"/>
              <w:right w:val="nil"/>
            </w:tcBorders>
            <w:shd w:val="clear" w:color="auto" w:fill="auto"/>
            <w:noWrap/>
            <w:vAlign w:val="center"/>
            <w:hideMark/>
          </w:tcPr>
          <w:p w14:paraId="5A50A1FF" w14:textId="77777777" w:rsidR="00151939" w:rsidRPr="00E4226A" w:rsidRDefault="00151939" w:rsidP="0051395F">
            <w:pPr>
              <w:tabs>
                <w:tab w:val="decimal" w:pos="319"/>
              </w:tabs>
              <w:spacing w:after="0" w:line="240" w:lineRule="auto"/>
              <w:jc w:val="center"/>
              <w:rPr>
                <w:b/>
                <w:bCs/>
                <w:sz w:val="18"/>
                <w:szCs w:val="18"/>
                <w:lang w:eastAsia="sk-SK"/>
              </w:rPr>
            </w:pPr>
            <w:r w:rsidRPr="00E4226A">
              <w:rPr>
                <w:b/>
                <w:bCs/>
                <w:sz w:val="18"/>
                <w:szCs w:val="18"/>
                <w:lang w:eastAsia="sk-SK"/>
              </w:rPr>
              <w:t>13,2</w:t>
            </w:r>
          </w:p>
        </w:tc>
      </w:tr>
      <w:tr w:rsidR="00151939" w:rsidRPr="00C00FE2" w14:paraId="6BC36E69" w14:textId="77777777" w:rsidTr="0051395F">
        <w:trPr>
          <w:trHeight w:val="249"/>
        </w:trPr>
        <w:tc>
          <w:tcPr>
            <w:tcW w:w="3827" w:type="dxa"/>
            <w:tcBorders>
              <w:top w:val="nil"/>
              <w:left w:val="nil"/>
              <w:bottom w:val="nil"/>
              <w:right w:val="nil"/>
            </w:tcBorders>
            <w:shd w:val="clear" w:color="auto" w:fill="auto"/>
            <w:noWrap/>
            <w:vAlign w:val="center"/>
            <w:hideMark/>
          </w:tcPr>
          <w:p w14:paraId="203752FF" w14:textId="77777777" w:rsidR="00151939" w:rsidRPr="00E4226A" w:rsidRDefault="00151939" w:rsidP="0051395F">
            <w:pPr>
              <w:spacing w:after="0" w:line="240" w:lineRule="auto"/>
              <w:ind w:firstLineChars="100" w:firstLine="180"/>
              <w:rPr>
                <w:i/>
                <w:iCs/>
                <w:color w:val="000000"/>
                <w:sz w:val="18"/>
                <w:szCs w:val="18"/>
                <w:lang w:eastAsia="sk-SK"/>
              </w:rPr>
            </w:pPr>
            <w:r>
              <w:rPr>
                <w:i/>
                <w:iCs/>
                <w:color w:val="000000"/>
                <w:sz w:val="18"/>
                <w:szCs w:val="18"/>
                <w:lang w:eastAsia="sk-SK"/>
              </w:rPr>
              <w:t>z toho: z EÚ*</w:t>
            </w:r>
          </w:p>
        </w:tc>
        <w:tc>
          <w:tcPr>
            <w:tcW w:w="1072" w:type="dxa"/>
            <w:tcBorders>
              <w:top w:val="nil"/>
              <w:left w:val="nil"/>
              <w:bottom w:val="nil"/>
              <w:right w:val="nil"/>
            </w:tcBorders>
            <w:shd w:val="clear" w:color="auto" w:fill="auto"/>
            <w:noWrap/>
            <w:vAlign w:val="bottom"/>
            <w:hideMark/>
          </w:tcPr>
          <w:p w14:paraId="0577B3AB" w14:textId="77777777" w:rsidR="00151939" w:rsidRPr="00C00FE2" w:rsidRDefault="00151939" w:rsidP="0051395F">
            <w:pPr>
              <w:spacing w:after="0" w:line="240" w:lineRule="auto"/>
              <w:jc w:val="right"/>
              <w:rPr>
                <w:i/>
                <w:color w:val="000000"/>
                <w:sz w:val="18"/>
                <w:szCs w:val="18"/>
                <w:lang w:eastAsia="sk-SK"/>
              </w:rPr>
            </w:pPr>
            <w:r w:rsidRPr="00C00FE2">
              <w:rPr>
                <w:i/>
                <w:color w:val="000000"/>
                <w:sz w:val="18"/>
                <w:szCs w:val="18"/>
                <w:lang w:eastAsia="sk-SK"/>
              </w:rPr>
              <w:t>1 009 861</w:t>
            </w:r>
          </w:p>
        </w:tc>
        <w:tc>
          <w:tcPr>
            <w:tcW w:w="1072" w:type="dxa"/>
            <w:tcBorders>
              <w:top w:val="nil"/>
              <w:left w:val="nil"/>
              <w:bottom w:val="nil"/>
              <w:right w:val="nil"/>
            </w:tcBorders>
            <w:shd w:val="clear" w:color="auto" w:fill="auto"/>
            <w:noWrap/>
            <w:vAlign w:val="bottom"/>
            <w:hideMark/>
          </w:tcPr>
          <w:p w14:paraId="5C344EFB" w14:textId="77777777" w:rsidR="00151939" w:rsidRPr="00C00FE2" w:rsidRDefault="00151939" w:rsidP="0051395F">
            <w:pPr>
              <w:spacing w:after="0" w:line="240" w:lineRule="auto"/>
              <w:jc w:val="right"/>
              <w:rPr>
                <w:i/>
                <w:color w:val="000000"/>
                <w:sz w:val="18"/>
                <w:szCs w:val="18"/>
                <w:lang w:eastAsia="sk-SK"/>
              </w:rPr>
            </w:pPr>
            <w:r w:rsidRPr="00C00FE2">
              <w:rPr>
                <w:i/>
                <w:color w:val="000000"/>
                <w:sz w:val="18"/>
                <w:szCs w:val="18"/>
                <w:lang w:eastAsia="sk-SK"/>
              </w:rPr>
              <w:t>944 756</w:t>
            </w:r>
          </w:p>
        </w:tc>
        <w:tc>
          <w:tcPr>
            <w:tcW w:w="1072" w:type="dxa"/>
            <w:tcBorders>
              <w:top w:val="nil"/>
              <w:left w:val="nil"/>
              <w:bottom w:val="nil"/>
              <w:right w:val="nil"/>
            </w:tcBorders>
            <w:shd w:val="clear" w:color="000000" w:fill="BFBFBF"/>
            <w:noWrap/>
            <w:vAlign w:val="bottom"/>
            <w:hideMark/>
          </w:tcPr>
          <w:p w14:paraId="5DC6E54C" w14:textId="77777777" w:rsidR="00151939" w:rsidRPr="00C00FE2" w:rsidRDefault="00151939" w:rsidP="0051395F">
            <w:pPr>
              <w:spacing w:after="0" w:line="240" w:lineRule="auto"/>
              <w:jc w:val="right"/>
              <w:rPr>
                <w:i/>
                <w:color w:val="000000"/>
                <w:sz w:val="18"/>
                <w:szCs w:val="18"/>
                <w:lang w:eastAsia="sk-SK"/>
              </w:rPr>
            </w:pPr>
            <w:r w:rsidRPr="00C00FE2">
              <w:rPr>
                <w:i/>
                <w:color w:val="000000"/>
                <w:sz w:val="18"/>
                <w:szCs w:val="18"/>
                <w:lang w:eastAsia="sk-SK"/>
              </w:rPr>
              <w:t>1 027 793</w:t>
            </w:r>
          </w:p>
        </w:tc>
        <w:tc>
          <w:tcPr>
            <w:tcW w:w="1072" w:type="dxa"/>
            <w:tcBorders>
              <w:top w:val="nil"/>
              <w:left w:val="nil"/>
              <w:bottom w:val="nil"/>
              <w:right w:val="nil"/>
            </w:tcBorders>
            <w:shd w:val="clear" w:color="auto" w:fill="auto"/>
            <w:noWrap/>
            <w:vAlign w:val="center"/>
            <w:hideMark/>
          </w:tcPr>
          <w:p w14:paraId="325786F3" w14:textId="77777777" w:rsidR="00151939" w:rsidRPr="00C00FE2" w:rsidRDefault="00151939" w:rsidP="0051395F">
            <w:pPr>
              <w:spacing w:after="0" w:line="240" w:lineRule="auto"/>
              <w:jc w:val="right"/>
              <w:rPr>
                <w:i/>
                <w:color w:val="000000"/>
                <w:sz w:val="18"/>
                <w:szCs w:val="18"/>
                <w:lang w:eastAsia="sk-SK"/>
              </w:rPr>
            </w:pPr>
            <w:r w:rsidRPr="00C00FE2">
              <w:rPr>
                <w:i/>
                <w:color w:val="000000"/>
                <w:sz w:val="18"/>
                <w:szCs w:val="18"/>
                <w:lang w:eastAsia="sk-SK"/>
              </w:rPr>
              <w:t>1 075 954</w:t>
            </w:r>
          </w:p>
        </w:tc>
        <w:tc>
          <w:tcPr>
            <w:tcW w:w="911" w:type="dxa"/>
            <w:tcBorders>
              <w:top w:val="nil"/>
              <w:left w:val="nil"/>
              <w:bottom w:val="nil"/>
              <w:right w:val="nil"/>
            </w:tcBorders>
            <w:shd w:val="clear" w:color="auto" w:fill="auto"/>
            <w:noWrap/>
            <w:vAlign w:val="center"/>
            <w:hideMark/>
          </w:tcPr>
          <w:p w14:paraId="62E0F928" w14:textId="77777777" w:rsidR="00151939" w:rsidRPr="00C00FE2" w:rsidRDefault="00151939" w:rsidP="0051395F">
            <w:pPr>
              <w:tabs>
                <w:tab w:val="decimal" w:pos="319"/>
              </w:tabs>
              <w:spacing w:after="0" w:line="240" w:lineRule="auto"/>
              <w:jc w:val="center"/>
              <w:rPr>
                <w:i/>
                <w:color w:val="000000"/>
                <w:sz w:val="18"/>
                <w:szCs w:val="18"/>
                <w:lang w:eastAsia="sk-SK"/>
              </w:rPr>
            </w:pPr>
            <w:r w:rsidRPr="00C00FE2">
              <w:rPr>
                <w:i/>
                <w:color w:val="000000"/>
                <w:sz w:val="18"/>
                <w:szCs w:val="18"/>
                <w:lang w:eastAsia="sk-SK"/>
              </w:rPr>
              <w:t>8,8</w:t>
            </w:r>
          </w:p>
        </w:tc>
      </w:tr>
      <w:tr w:rsidR="00151939" w:rsidRPr="00E4226A" w14:paraId="61036715" w14:textId="77777777" w:rsidTr="0051395F">
        <w:trPr>
          <w:trHeight w:val="249"/>
        </w:trPr>
        <w:tc>
          <w:tcPr>
            <w:tcW w:w="3827" w:type="dxa"/>
            <w:tcBorders>
              <w:top w:val="nil"/>
              <w:left w:val="nil"/>
              <w:bottom w:val="nil"/>
              <w:right w:val="nil"/>
            </w:tcBorders>
            <w:shd w:val="clear" w:color="auto" w:fill="auto"/>
            <w:noWrap/>
            <w:vAlign w:val="center"/>
            <w:hideMark/>
          </w:tcPr>
          <w:p w14:paraId="436FAE27" w14:textId="77777777" w:rsidR="00151939" w:rsidRPr="00E4226A" w:rsidRDefault="00151939" w:rsidP="0051395F">
            <w:pPr>
              <w:spacing w:after="0" w:line="240" w:lineRule="auto"/>
              <w:ind w:firstLineChars="100" w:firstLine="180"/>
              <w:rPr>
                <w:color w:val="000000"/>
                <w:sz w:val="18"/>
                <w:szCs w:val="18"/>
                <w:lang w:eastAsia="sk-SK"/>
              </w:rPr>
            </w:pPr>
            <w:r w:rsidRPr="00E4226A">
              <w:rPr>
                <w:color w:val="000000"/>
                <w:sz w:val="18"/>
                <w:szCs w:val="18"/>
                <w:lang w:eastAsia="sk-SK"/>
              </w:rPr>
              <w:t>Ostatné bežné transfery</w:t>
            </w:r>
          </w:p>
        </w:tc>
        <w:tc>
          <w:tcPr>
            <w:tcW w:w="1072" w:type="dxa"/>
            <w:tcBorders>
              <w:top w:val="nil"/>
              <w:left w:val="nil"/>
              <w:bottom w:val="nil"/>
              <w:right w:val="nil"/>
            </w:tcBorders>
            <w:shd w:val="clear" w:color="auto" w:fill="auto"/>
            <w:noWrap/>
            <w:vAlign w:val="bottom"/>
            <w:hideMark/>
          </w:tcPr>
          <w:p w14:paraId="2E78D953"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492 486</w:t>
            </w:r>
          </w:p>
        </w:tc>
        <w:tc>
          <w:tcPr>
            <w:tcW w:w="1072" w:type="dxa"/>
            <w:tcBorders>
              <w:top w:val="nil"/>
              <w:left w:val="nil"/>
              <w:bottom w:val="nil"/>
              <w:right w:val="nil"/>
            </w:tcBorders>
            <w:shd w:val="clear" w:color="auto" w:fill="auto"/>
            <w:noWrap/>
            <w:vAlign w:val="bottom"/>
            <w:hideMark/>
          </w:tcPr>
          <w:p w14:paraId="6D35FFBE"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933 826</w:t>
            </w:r>
          </w:p>
        </w:tc>
        <w:tc>
          <w:tcPr>
            <w:tcW w:w="1072" w:type="dxa"/>
            <w:tcBorders>
              <w:top w:val="nil"/>
              <w:left w:val="nil"/>
              <w:bottom w:val="nil"/>
              <w:right w:val="nil"/>
            </w:tcBorders>
            <w:shd w:val="clear" w:color="000000" w:fill="BFBFBF"/>
            <w:noWrap/>
            <w:vAlign w:val="bottom"/>
            <w:hideMark/>
          </w:tcPr>
          <w:p w14:paraId="4BA11DE0"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1 118 173</w:t>
            </w:r>
          </w:p>
        </w:tc>
        <w:tc>
          <w:tcPr>
            <w:tcW w:w="1072" w:type="dxa"/>
            <w:tcBorders>
              <w:top w:val="nil"/>
              <w:left w:val="nil"/>
              <w:bottom w:val="nil"/>
              <w:right w:val="nil"/>
            </w:tcBorders>
            <w:shd w:val="clear" w:color="auto" w:fill="auto"/>
            <w:noWrap/>
            <w:vAlign w:val="center"/>
            <w:hideMark/>
          </w:tcPr>
          <w:p w14:paraId="7F03EBF8"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1 866 520</w:t>
            </w:r>
          </w:p>
        </w:tc>
        <w:tc>
          <w:tcPr>
            <w:tcW w:w="911" w:type="dxa"/>
            <w:tcBorders>
              <w:top w:val="nil"/>
              <w:left w:val="nil"/>
              <w:bottom w:val="nil"/>
              <w:right w:val="nil"/>
            </w:tcBorders>
            <w:shd w:val="clear" w:color="auto" w:fill="auto"/>
            <w:noWrap/>
            <w:vAlign w:val="center"/>
            <w:hideMark/>
          </w:tcPr>
          <w:p w14:paraId="548081E1"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19,7</w:t>
            </w:r>
          </w:p>
        </w:tc>
      </w:tr>
      <w:tr w:rsidR="00151939" w:rsidRPr="00E4226A" w14:paraId="0A385F3D" w14:textId="77777777" w:rsidTr="0051395F">
        <w:trPr>
          <w:trHeight w:val="249"/>
        </w:trPr>
        <w:tc>
          <w:tcPr>
            <w:tcW w:w="3827" w:type="dxa"/>
            <w:tcBorders>
              <w:top w:val="nil"/>
              <w:left w:val="nil"/>
              <w:bottom w:val="single" w:sz="4" w:space="0" w:color="auto"/>
              <w:right w:val="nil"/>
            </w:tcBorders>
            <w:shd w:val="clear" w:color="auto" w:fill="auto"/>
            <w:noWrap/>
            <w:vAlign w:val="center"/>
            <w:hideMark/>
          </w:tcPr>
          <w:p w14:paraId="5A96825E" w14:textId="77777777" w:rsidR="00151939" w:rsidRPr="00E4226A" w:rsidRDefault="00151939" w:rsidP="0051395F">
            <w:pPr>
              <w:spacing w:after="0" w:line="240" w:lineRule="auto"/>
              <w:ind w:firstLineChars="100" w:firstLine="180"/>
              <w:rPr>
                <w:color w:val="000000"/>
                <w:sz w:val="18"/>
                <w:szCs w:val="18"/>
                <w:lang w:eastAsia="sk-SK"/>
              </w:rPr>
            </w:pPr>
            <w:r w:rsidRPr="00E4226A">
              <w:rPr>
                <w:color w:val="000000"/>
                <w:sz w:val="18"/>
                <w:szCs w:val="18"/>
                <w:lang w:eastAsia="sk-SK"/>
              </w:rPr>
              <w:t>Kapitálové transfery</w:t>
            </w:r>
          </w:p>
        </w:tc>
        <w:tc>
          <w:tcPr>
            <w:tcW w:w="1072" w:type="dxa"/>
            <w:tcBorders>
              <w:top w:val="nil"/>
              <w:left w:val="nil"/>
              <w:bottom w:val="nil"/>
              <w:right w:val="nil"/>
            </w:tcBorders>
            <w:shd w:val="clear" w:color="auto" w:fill="auto"/>
            <w:noWrap/>
            <w:vAlign w:val="bottom"/>
            <w:hideMark/>
          </w:tcPr>
          <w:p w14:paraId="5B144602"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675 605</w:t>
            </w:r>
          </w:p>
        </w:tc>
        <w:tc>
          <w:tcPr>
            <w:tcW w:w="1072" w:type="dxa"/>
            <w:tcBorders>
              <w:top w:val="nil"/>
              <w:left w:val="nil"/>
              <w:bottom w:val="nil"/>
              <w:right w:val="nil"/>
            </w:tcBorders>
            <w:shd w:val="clear" w:color="auto" w:fill="auto"/>
            <w:noWrap/>
            <w:vAlign w:val="bottom"/>
            <w:hideMark/>
          </w:tcPr>
          <w:p w14:paraId="33CEB037"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591 904</w:t>
            </w:r>
          </w:p>
        </w:tc>
        <w:tc>
          <w:tcPr>
            <w:tcW w:w="1072" w:type="dxa"/>
            <w:tcBorders>
              <w:top w:val="nil"/>
              <w:left w:val="nil"/>
              <w:bottom w:val="nil"/>
              <w:right w:val="nil"/>
            </w:tcBorders>
            <w:shd w:val="clear" w:color="000000" w:fill="BFBFBF"/>
            <w:noWrap/>
            <w:vAlign w:val="bottom"/>
            <w:hideMark/>
          </w:tcPr>
          <w:p w14:paraId="1B4B00A1"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608 477</w:t>
            </w:r>
          </w:p>
        </w:tc>
        <w:tc>
          <w:tcPr>
            <w:tcW w:w="1072" w:type="dxa"/>
            <w:tcBorders>
              <w:top w:val="nil"/>
              <w:left w:val="nil"/>
              <w:bottom w:val="single" w:sz="4" w:space="0" w:color="auto"/>
              <w:right w:val="nil"/>
            </w:tcBorders>
            <w:shd w:val="clear" w:color="auto" w:fill="auto"/>
            <w:noWrap/>
            <w:vAlign w:val="center"/>
            <w:hideMark/>
          </w:tcPr>
          <w:p w14:paraId="2763E161" w14:textId="77777777" w:rsidR="00151939" w:rsidRPr="00E4226A" w:rsidRDefault="00151939" w:rsidP="0051395F">
            <w:pPr>
              <w:spacing w:after="0" w:line="240" w:lineRule="auto"/>
              <w:jc w:val="right"/>
              <w:rPr>
                <w:color w:val="000000"/>
                <w:sz w:val="18"/>
                <w:szCs w:val="18"/>
                <w:lang w:eastAsia="sk-SK"/>
              </w:rPr>
            </w:pPr>
            <w:r w:rsidRPr="00E4226A">
              <w:rPr>
                <w:color w:val="000000"/>
                <w:sz w:val="18"/>
                <w:szCs w:val="18"/>
                <w:lang w:eastAsia="sk-SK"/>
              </w:rPr>
              <w:t>30 546</w:t>
            </w:r>
          </w:p>
        </w:tc>
        <w:tc>
          <w:tcPr>
            <w:tcW w:w="911" w:type="dxa"/>
            <w:tcBorders>
              <w:top w:val="nil"/>
              <w:left w:val="nil"/>
              <w:bottom w:val="nil"/>
              <w:right w:val="nil"/>
            </w:tcBorders>
            <w:shd w:val="clear" w:color="auto" w:fill="auto"/>
            <w:noWrap/>
            <w:vAlign w:val="center"/>
            <w:hideMark/>
          </w:tcPr>
          <w:p w14:paraId="3DCA0541" w14:textId="77777777" w:rsidR="00151939" w:rsidRPr="00E4226A" w:rsidRDefault="00151939" w:rsidP="0051395F">
            <w:pPr>
              <w:tabs>
                <w:tab w:val="decimal" w:pos="319"/>
              </w:tabs>
              <w:spacing w:after="0" w:line="240" w:lineRule="auto"/>
              <w:jc w:val="center"/>
              <w:rPr>
                <w:color w:val="000000"/>
                <w:sz w:val="18"/>
                <w:szCs w:val="18"/>
                <w:lang w:eastAsia="sk-SK"/>
              </w:rPr>
            </w:pPr>
            <w:r w:rsidRPr="00E4226A">
              <w:rPr>
                <w:color w:val="000000"/>
                <w:sz w:val="18"/>
                <w:szCs w:val="18"/>
                <w:lang w:eastAsia="sk-SK"/>
              </w:rPr>
              <w:t>2,8</w:t>
            </w:r>
          </w:p>
        </w:tc>
      </w:tr>
      <w:tr w:rsidR="00151939" w:rsidRPr="00E4226A" w14:paraId="56447561" w14:textId="77777777" w:rsidTr="0051395F">
        <w:trPr>
          <w:trHeight w:val="249"/>
        </w:trPr>
        <w:tc>
          <w:tcPr>
            <w:tcW w:w="3827" w:type="dxa"/>
            <w:tcBorders>
              <w:top w:val="single" w:sz="4" w:space="0" w:color="auto"/>
              <w:left w:val="nil"/>
              <w:bottom w:val="nil"/>
              <w:right w:val="nil"/>
            </w:tcBorders>
            <w:shd w:val="clear" w:color="000000" w:fill="BFBFBF"/>
            <w:vAlign w:val="center"/>
            <w:hideMark/>
          </w:tcPr>
          <w:p w14:paraId="2FAA6BB9" w14:textId="77777777" w:rsidR="00151939" w:rsidRPr="00E4226A" w:rsidRDefault="00151939" w:rsidP="0051395F">
            <w:pPr>
              <w:spacing w:after="0" w:line="240" w:lineRule="auto"/>
              <w:jc w:val="both"/>
              <w:rPr>
                <w:b/>
                <w:bCs/>
                <w:sz w:val="18"/>
                <w:szCs w:val="18"/>
                <w:lang w:eastAsia="sk-SK"/>
              </w:rPr>
            </w:pPr>
            <w:r w:rsidRPr="00E4226A">
              <w:rPr>
                <w:b/>
                <w:bCs/>
                <w:sz w:val="18"/>
                <w:szCs w:val="18"/>
                <w:lang w:eastAsia="sk-SK"/>
              </w:rPr>
              <w:t>Príjmy spolu</w:t>
            </w:r>
          </w:p>
        </w:tc>
        <w:tc>
          <w:tcPr>
            <w:tcW w:w="1072" w:type="dxa"/>
            <w:tcBorders>
              <w:top w:val="single" w:sz="4" w:space="0" w:color="auto"/>
              <w:left w:val="nil"/>
              <w:bottom w:val="nil"/>
              <w:right w:val="nil"/>
            </w:tcBorders>
            <w:shd w:val="clear" w:color="000000" w:fill="BFBFBF"/>
            <w:noWrap/>
            <w:vAlign w:val="bottom"/>
            <w:hideMark/>
          </w:tcPr>
          <w:p w14:paraId="37F35367" w14:textId="77777777" w:rsidR="00151939" w:rsidRPr="00E4226A" w:rsidRDefault="00151939" w:rsidP="0051395F">
            <w:pPr>
              <w:spacing w:after="0" w:line="240" w:lineRule="auto"/>
              <w:jc w:val="right"/>
              <w:rPr>
                <w:b/>
                <w:bCs/>
                <w:color w:val="000000"/>
                <w:sz w:val="18"/>
                <w:szCs w:val="18"/>
                <w:lang w:eastAsia="sk-SK"/>
              </w:rPr>
            </w:pPr>
            <w:r w:rsidRPr="00E4226A">
              <w:rPr>
                <w:b/>
                <w:bCs/>
                <w:color w:val="000000"/>
                <w:sz w:val="18"/>
                <w:szCs w:val="18"/>
                <w:lang w:eastAsia="sk-SK"/>
              </w:rPr>
              <w:t>34 710 091</w:t>
            </w:r>
          </w:p>
        </w:tc>
        <w:tc>
          <w:tcPr>
            <w:tcW w:w="1072" w:type="dxa"/>
            <w:tcBorders>
              <w:top w:val="single" w:sz="4" w:space="0" w:color="auto"/>
              <w:left w:val="nil"/>
              <w:bottom w:val="nil"/>
              <w:right w:val="nil"/>
            </w:tcBorders>
            <w:shd w:val="clear" w:color="000000" w:fill="BFBFBF"/>
            <w:noWrap/>
            <w:vAlign w:val="bottom"/>
            <w:hideMark/>
          </w:tcPr>
          <w:p w14:paraId="0CD35CEE" w14:textId="77777777" w:rsidR="00151939" w:rsidRPr="00E4226A" w:rsidRDefault="00151939" w:rsidP="0051395F">
            <w:pPr>
              <w:spacing w:after="0" w:line="240" w:lineRule="auto"/>
              <w:jc w:val="right"/>
              <w:rPr>
                <w:b/>
                <w:bCs/>
                <w:color w:val="000000"/>
                <w:sz w:val="18"/>
                <w:szCs w:val="18"/>
                <w:lang w:eastAsia="sk-SK"/>
              </w:rPr>
            </w:pPr>
            <w:r w:rsidRPr="00E4226A">
              <w:rPr>
                <w:b/>
                <w:bCs/>
                <w:color w:val="000000"/>
                <w:sz w:val="18"/>
                <w:szCs w:val="18"/>
                <w:lang w:eastAsia="sk-SK"/>
              </w:rPr>
              <w:t>36 988 303</w:t>
            </w:r>
          </w:p>
        </w:tc>
        <w:tc>
          <w:tcPr>
            <w:tcW w:w="1072" w:type="dxa"/>
            <w:tcBorders>
              <w:top w:val="single" w:sz="4" w:space="0" w:color="auto"/>
              <w:left w:val="nil"/>
              <w:bottom w:val="nil"/>
              <w:right w:val="nil"/>
            </w:tcBorders>
            <w:shd w:val="clear" w:color="000000" w:fill="BFBFBF"/>
            <w:noWrap/>
            <w:vAlign w:val="bottom"/>
            <w:hideMark/>
          </w:tcPr>
          <w:p w14:paraId="23A0C704" w14:textId="77777777" w:rsidR="00151939" w:rsidRPr="00E4226A" w:rsidRDefault="00151939" w:rsidP="0051395F">
            <w:pPr>
              <w:spacing w:after="0" w:line="240" w:lineRule="auto"/>
              <w:jc w:val="right"/>
              <w:rPr>
                <w:b/>
                <w:bCs/>
                <w:color w:val="000000"/>
                <w:sz w:val="18"/>
                <w:szCs w:val="18"/>
                <w:lang w:eastAsia="sk-SK"/>
              </w:rPr>
            </w:pPr>
            <w:r w:rsidRPr="00E4226A">
              <w:rPr>
                <w:b/>
                <w:bCs/>
                <w:color w:val="000000"/>
                <w:sz w:val="18"/>
                <w:szCs w:val="18"/>
                <w:lang w:eastAsia="sk-SK"/>
              </w:rPr>
              <w:t>36 882 067</w:t>
            </w:r>
          </w:p>
        </w:tc>
        <w:tc>
          <w:tcPr>
            <w:tcW w:w="1072" w:type="dxa"/>
            <w:tcBorders>
              <w:top w:val="nil"/>
              <w:left w:val="nil"/>
              <w:bottom w:val="nil"/>
              <w:right w:val="nil"/>
            </w:tcBorders>
            <w:shd w:val="clear" w:color="000000" w:fill="BFBFBF"/>
            <w:noWrap/>
            <w:vAlign w:val="bottom"/>
            <w:hideMark/>
          </w:tcPr>
          <w:p w14:paraId="69FFB2E7" w14:textId="77777777" w:rsidR="00151939" w:rsidRPr="00E4226A" w:rsidRDefault="00151939" w:rsidP="0051395F">
            <w:pPr>
              <w:spacing w:after="0" w:line="240" w:lineRule="auto"/>
              <w:jc w:val="right"/>
              <w:rPr>
                <w:b/>
                <w:bCs/>
                <w:color w:val="000000"/>
                <w:sz w:val="18"/>
                <w:szCs w:val="18"/>
                <w:lang w:eastAsia="sk-SK"/>
              </w:rPr>
            </w:pPr>
            <w:r w:rsidRPr="00E4226A">
              <w:rPr>
                <w:b/>
                <w:bCs/>
                <w:color w:val="000000"/>
                <w:sz w:val="18"/>
                <w:szCs w:val="18"/>
                <w:lang w:eastAsia="sk-SK"/>
              </w:rPr>
              <w:t>37 441 722</w:t>
            </w:r>
          </w:p>
        </w:tc>
        <w:tc>
          <w:tcPr>
            <w:tcW w:w="911" w:type="dxa"/>
            <w:tcBorders>
              <w:top w:val="single" w:sz="4" w:space="0" w:color="auto"/>
              <w:left w:val="nil"/>
              <w:bottom w:val="nil"/>
              <w:right w:val="nil"/>
            </w:tcBorders>
            <w:shd w:val="clear" w:color="000000" w:fill="BFBFBF"/>
            <w:noWrap/>
            <w:vAlign w:val="center"/>
            <w:hideMark/>
          </w:tcPr>
          <w:p w14:paraId="117F2894" w14:textId="77777777" w:rsidR="00151939" w:rsidRPr="00E4226A" w:rsidRDefault="00151939" w:rsidP="0051395F">
            <w:pPr>
              <w:tabs>
                <w:tab w:val="decimal" w:pos="319"/>
              </w:tabs>
              <w:spacing w:after="0" w:line="240" w:lineRule="auto"/>
              <w:jc w:val="center"/>
              <w:rPr>
                <w:b/>
                <w:bCs/>
                <w:color w:val="000000"/>
                <w:sz w:val="18"/>
                <w:szCs w:val="18"/>
                <w:lang w:eastAsia="sk-SK"/>
              </w:rPr>
            </w:pPr>
            <w:r w:rsidRPr="00E4226A">
              <w:rPr>
                <w:b/>
                <w:bCs/>
                <w:color w:val="000000"/>
                <w:sz w:val="18"/>
                <w:szCs w:val="18"/>
                <w:lang w:eastAsia="sk-SK"/>
              </w:rPr>
              <w:t>-0,3</w:t>
            </w:r>
          </w:p>
        </w:tc>
      </w:tr>
      <w:tr w:rsidR="00151939" w:rsidRPr="00E4226A" w14:paraId="16F25F0A" w14:textId="77777777" w:rsidTr="0051395F">
        <w:trPr>
          <w:trHeight w:val="249"/>
        </w:trPr>
        <w:tc>
          <w:tcPr>
            <w:tcW w:w="3827" w:type="dxa"/>
            <w:tcBorders>
              <w:top w:val="nil"/>
              <w:left w:val="nil"/>
              <w:bottom w:val="single" w:sz="4" w:space="0" w:color="auto"/>
              <w:right w:val="nil"/>
            </w:tcBorders>
            <w:shd w:val="clear" w:color="000000" w:fill="BFBFBF"/>
            <w:noWrap/>
            <w:vAlign w:val="center"/>
            <w:hideMark/>
          </w:tcPr>
          <w:p w14:paraId="1B57EC3F" w14:textId="77777777" w:rsidR="00151939" w:rsidRPr="00E4226A" w:rsidRDefault="00151939" w:rsidP="0051395F">
            <w:pPr>
              <w:spacing w:after="0" w:line="240" w:lineRule="auto"/>
              <w:rPr>
                <w:b/>
                <w:bCs/>
                <w:sz w:val="18"/>
                <w:szCs w:val="18"/>
                <w:lang w:eastAsia="sk-SK"/>
              </w:rPr>
            </w:pPr>
            <w:r w:rsidRPr="00E4226A">
              <w:rPr>
                <w:b/>
                <w:bCs/>
                <w:sz w:val="18"/>
                <w:szCs w:val="18"/>
                <w:lang w:eastAsia="sk-SK"/>
              </w:rPr>
              <w:t xml:space="preserve">     % z HDP</w:t>
            </w:r>
          </w:p>
        </w:tc>
        <w:tc>
          <w:tcPr>
            <w:tcW w:w="1072" w:type="dxa"/>
            <w:tcBorders>
              <w:top w:val="nil"/>
              <w:left w:val="nil"/>
              <w:bottom w:val="single" w:sz="4" w:space="0" w:color="auto"/>
              <w:right w:val="nil"/>
            </w:tcBorders>
            <w:shd w:val="clear" w:color="000000" w:fill="BFBFBF"/>
            <w:noWrap/>
            <w:vAlign w:val="bottom"/>
            <w:hideMark/>
          </w:tcPr>
          <w:p w14:paraId="170EF6D8" w14:textId="77777777" w:rsidR="00151939" w:rsidRPr="00E4226A" w:rsidRDefault="00151939" w:rsidP="0051395F">
            <w:pPr>
              <w:spacing w:after="0" w:line="240" w:lineRule="auto"/>
              <w:jc w:val="right"/>
              <w:rPr>
                <w:b/>
                <w:bCs/>
                <w:color w:val="000000"/>
                <w:sz w:val="18"/>
                <w:szCs w:val="18"/>
                <w:lang w:eastAsia="sk-SK"/>
              </w:rPr>
            </w:pPr>
            <w:r w:rsidRPr="00E4226A">
              <w:rPr>
                <w:b/>
                <w:bCs/>
                <w:color w:val="000000"/>
                <w:sz w:val="18"/>
                <w:szCs w:val="18"/>
                <w:lang w:eastAsia="sk-SK"/>
              </w:rPr>
              <w:t>38,8</w:t>
            </w:r>
          </w:p>
        </w:tc>
        <w:tc>
          <w:tcPr>
            <w:tcW w:w="1072" w:type="dxa"/>
            <w:tcBorders>
              <w:top w:val="nil"/>
              <w:left w:val="nil"/>
              <w:bottom w:val="single" w:sz="4" w:space="0" w:color="auto"/>
              <w:right w:val="nil"/>
            </w:tcBorders>
            <w:shd w:val="clear" w:color="000000" w:fill="BFBFBF"/>
            <w:noWrap/>
            <w:vAlign w:val="bottom"/>
            <w:hideMark/>
          </w:tcPr>
          <w:p w14:paraId="34207AA9" w14:textId="77777777" w:rsidR="00151939" w:rsidRPr="00E4226A" w:rsidRDefault="00151939" w:rsidP="0051395F">
            <w:pPr>
              <w:spacing w:after="0" w:line="240" w:lineRule="auto"/>
              <w:jc w:val="right"/>
              <w:rPr>
                <w:b/>
                <w:bCs/>
                <w:color w:val="000000"/>
                <w:sz w:val="18"/>
                <w:szCs w:val="18"/>
                <w:lang w:eastAsia="sk-SK"/>
              </w:rPr>
            </w:pPr>
            <w:r w:rsidRPr="00E4226A">
              <w:rPr>
                <w:b/>
                <w:bCs/>
                <w:color w:val="000000"/>
                <w:sz w:val="18"/>
                <w:szCs w:val="18"/>
                <w:lang w:eastAsia="sk-SK"/>
              </w:rPr>
              <w:t>39,3</w:t>
            </w:r>
          </w:p>
        </w:tc>
        <w:tc>
          <w:tcPr>
            <w:tcW w:w="1072" w:type="dxa"/>
            <w:tcBorders>
              <w:top w:val="nil"/>
              <w:left w:val="nil"/>
              <w:bottom w:val="single" w:sz="4" w:space="0" w:color="auto"/>
              <w:right w:val="nil"/>
            </w:tcBorders>
            <w:shd w:val="clear" w:color="000000" w:fill="BFBFBF"/>
            <w:noWrap/>
            <w:vAlign w:val="bottom"/>
            <w:hideMark/>
          </w:tcPr>
          <w:p w14:paraId="5D0E7617" w14:textId="77777777" w:rsidR="00151939" w:rsidRPr="00E4226A" w:rsidRDefault="00151939" w:rsidP="0051395F">
            <w:pPr>
              <w:spacing w:after="0" w:line="240" w:lineRule="auto"/>
              <w:jc w:val="right"/>
              <w:rPr>
                <w:b/>
                <w:bCs/>
                <w:color w:val="000000"/>
                <w:sz w:val="18"/>
                <w:szCs w:val="18"/>
                <w:lang w:eastAsia="sk-SK"/>
              </w:rPr>
            </w:pPr>
            <w:r w:rsidRPr="00E4226A">
              <w:rPr>
                <w:b/>
                <w:bCs/>
                <w:color w:val="000000"/>
                <w:sz w:val="18"/>
                <w:szCs w:val="18"/>
                <w:lang w:eastAsia="sk-SK"/>
              </w:rPr>
              <w:t>40,1</w:t>
            </w:r>
          </w:p>
        </w:tc>
        <w:tc>
          <w:tcPr>
            <w:tcW w:w="1072" w:type="dxa"/>
            <w:tcBorders>
              <w:top w:val="nil"/>
              <w:left w:val="nil"/>
              <w:bottom w:val="single" w:sz="4" w:space="0" w:color="auto"/>
              <w:right w:val="nil"/>
            </w:tcBorders>
            <w:shd w:val="clear" w:color="000000" w:fill="BFBFBF"/>
            <w:noWrap/>
            <w:vAlign w:val="bottom"/>
            <w:hideMark/>
          </w:tcPr>
          <w:p w14:paraId="0ED54240" w14:textId="77777777" w:rsidR="00151939" w:rsidRPr="00E4226A" w:rsidRDefault="00151939" w:rsidP="0051395F">
            <w:pPr>
              <w:spacing w:after="0" w:line="240" w:lineRule="auto"/>
              <w:jc w:val="right"/>
              <w:rPr>
                <w:b/>
                <w:bCs/>
                <w:color w:val="000000"/>
                <w:sz w:val="18"/>
                <w:szCs w:val="18"/>
                <w:lang w:eastAsia="sk-SK"/>
              </w:rPr>
            </w:pPr>
            <w:r w:rsidRPr="00E4226A">
              <w:rPr>
                <w:b/>
                <w:bCs/>
                <w:color w:val="000000"/>
                <w:sz w:val="18"/>
                <w:szCs w:val="18"/>
                <w:lang w:eastAsia="sk-SK"/>
              </w:rPr>
              <w:t>43,3</w:t>
            </w:r>
          </w:p>
        </w:tc>
        <w:tc>
          <w:tcPr>
            <w:tcW w:w="911" w:type="dxa"/>
            <w:tcBorders>
              <w:top w:val="nil"/>
              <w:left w:val="nil"/>
              <w:bottom w:val="single" w:sz="4" w:space="0" w:color="auto"/>
              <w:right w:val="nil"/>
            </w:tcBorders>
            <w:shd w:val="clear" w:color="000000" w:fill="BFBFBF"/>
            <w:noWrap/>
            <w:vAlign w:val="center"/>
            <w:hideMark/>
          </w:tcPr>
          <w:p w14:paraId="265B4853" w14:textId="77777777" w:rsidR="00151939" w:rsidRPr="00E4226A" w:rsidRDefault="00151939" w:rsidP="0051395F">
            <w:pPr>
              <w:tabs>
                <w:tab w:val="decimal" w:pos="319"/>
              </w:tabs>
              <w:spacing w:after="0" w:line="240" w:lineRule="auto"/>
              <w:jc w:val="center"/>
              <w:rPr>
                <w:b/>
                <w:bCs/>
                <w:color w:val="000000"/>
                <w:sz w:val="18"/>
                <w:szCs w:val="18"/>
                <w:lang w:eastAsia="sk-SK"/>
              </w:rPr>
            </w:pPr>
            <w:r w:rsidRPr="00E4226A">
              <w:rPr>
                <w:b/>
                <w:bCs/>
                <w:color w:val="000000"/>
                <w:sz w:val="18"/>
                <w:szCs w:val="18"/>
                <w:lang w:eastAsia="sk-SK"/>
              </w:rPr>
              <w:t>0,7</w:t>
            </w:r>
          </w:p>
        </w:tc>
      </w:tr>
    </w:tbl>
    <w:p w14:paraId="6B34AFAA" w14:textId="77777777" w:rsidR="00151939" w:rsidRPr="00E8605B" w:rsidRDefault="00151939" w:rsidP="00151939">
      <w:pPr>
        <w:spacing w:after="0" w:line="240" w:lineRule="auto"/>
        <w:jc w:val="both"/>
        <w:rPr>
          <w:sz w:val="16"/>
          <w:szCs w:val="16"/>
        </w:rPr>
      </w:pPr>
      <w:r w:rsidRPr="00E8605B">
        <w:rPr>
          <w:bCs/>
          <w:color w:val="000000"/>
          <w:sz w:val="16"/>
          <w:szCs w:val="16"/>
          <w:lang w:eastAsia="sk-SK"/>
        </w:rPr>
        <w:t>* Položky vyznačené kurzívou sú vykázané na hotovostnej báze z analytických dôvodov.</w:t>
      </w:r>
      <w:r w:rsidRPr="00E8605B">
        <w:rPr>
          <w:bCs/>
          <w:color w:val="000000"/>
          <w:sz w:val="16"/>
          <w:szCs w:val="16"/>
          <w:lang w:eastAsia="sk-SK"/>
        </w:rPr>
        <w:tab/>
      </w:r>
      <w:r w:rsidRPr="00E8605B">
        <w:rPr>
          <w:bCs/>
          <w:color w:val="000000"/>
          <w:sz w:val="16"/>
          <w:szCs w:val="16"/>
          <w:lang w:eastAsia="sk-SK"/>
        </w:rPr>
        <w:tab/>
        <w:t xml:space="preserve">            </w:t>
      </w:r>
      <w:r w:rsidRPr="00E8605B">
        <w:rPr>
          <w:sz w:val="16"/>
          <w:szCs w:val="16"/>
          <w:lang w:eastAsia="sk-SK"/>
        </w:rPr>
        <w:t>Zdroj: ŠÚSR, MF SR</w:t>
      </w:r>
    </w:p>
    <w:p w14:paraId="006245E1" w14:textId="77777777" w:rsidR="00151939" w:rsidRDefault="00151939">
      <w:pPr>
        <w:rPr>
          <w:b/>
          <w:color w:val="0070C0"/>
          <w:sz w:val="24"/>
          <w:szCs w:val="24"/>
        </w:rPr>
      </w:pPr>
      <w:r>
        <w:rPr>
          <w:b/>
          <w:color w:val="0070C0"/>
          <w:sz w:val="24"/>
          <w:szCs w:val="24"/>
        </w:rPr>
        <w:br w:type="page"/>
      </w:r>
    </w:p>
    <w:p w14:paraId="5F43ECF7" w14:textId="3AD10965" w:rsidR="00151939" w:rsidRPr="00DA654B" w:rsidRDefault="00151939" w:rsidP="00151939">
      <w:pPr>
        <w:spacing w:before="120" w:after="120" w:line="240" w:lineRule="auto"/>
        <w:jc w:val="both"/>
        <w:rPr>
          <w:b/>
          <w:color w:val="0070C0"/>
          <w:sz w:val="24"/>
          <w:szCs w:val="24"/>
        </w:rPr>
      </w:pPr>
      <w:r w:rsidRPr="00DA654B">
        <w:rPr>
          <w:b/>
          <w:color w:val="0070C0"/>
          <w:sz w:val="24"/>
          <w:szCs w:val="24"/>
        </w:rPr>
        <w:lastRenderedPageBreak/>
        <w:t>Daňové a odvodové príjmy</w:t>
      </w:r>
    </w:p>
    <w:p w14:paraId="7BB08240" w14:textId="77777777" w:rsidR="00151939" w:rsidRDefault="00151939" w:rsidP="00151939">
      <w:pPr>
        <w:spacing w:after="120" w:line="240" w:lineRule="auto"/>
        <w:jc w:val="both"/>
      </w:pPr>
      <w:r w:rsidRPr="00A76DB2">
        <w:t>Daňové</w:t>
      </w:r>
      <w:r>
        <w:t xml:space="preserve"> a odvodové príjmy v roku 2020</w:t>
      </w:r>
      <w:r w:rsidRPr="00A56733">
        <w:t xml:space="preserve"> </w:t>
      </w:r>
      <w:r w:rsidRPr="00623337">
        <w:t xml:space="preserve">tvorili </w:t>
      </w:r>
      <w:r>
        <w:t>88 </w:t>
      </w:r>
      <w:r w:rsidRPr="00623337">
        <w:t>%</w:t>
      </w:r>
      <w:r w:rsidRPr="00A56733">
        <w:t xml:space="preserve"> všetkých </w:t>
      </w:r>
      <w:r w:rsidRPr="003055E0">
        <w:t xml:space="preserve">príjmov verejnej správy a zaznamenali medziročný </w:t>
      </w:r>
      <w:r>
        <w:t>pokles</w:t>
      </w:r>
      <w:r w:rsidRPr="003055E0">
        <w:t xml:space="preserve"> o</w:t>
      </w:r>
      <w:r>
        <w:t> 0,2 </w:t>
      </w:r>
      <w:r w:rsidRPr="003055E0">
        <w:t xml:space="preserve">%. </w:t>
      </w:r>
      <w:r>
        <w:t xml:space="preserve">Medziročný pokles spôsobila pandémia Covid-19 a s ňou spojené </w:t>
      </w:r>
      <w:proofErr w:type="spellStart"/>
      <w:r>
        <w:t>protipandemické</w:t>
      </w:r>
      <w:proofErr w:type="spellEnd"/>
      <w:r>
        <w:t xml:space="preserve"> opatrenia obmedzujúce ekonomickú aktivitu, ktoré zmenili pôvodné očakávania o raste nominálneho hrubého domáceho produktu viac ako 4 % na medziročný pokles o viac ako 2 %. Nižší pokles daní než ekonomiky pramení z vývoja na trhu práce podporeného vládnymi opatreniami, ktorý napriek pandémii medziročne vzrástol o necelé 2 %.</w:t>
      </w:r>
    </w:p>
    <w:p w14:paraId="4BE6A243" w14:textId="54EBF8B1" w:rsidR="00151939" w:rsidRDefault="00151939" w:rsidP="00151939">
      <w:pPr>
        <w:spacing w:after="120" w:line="240" w:lineRule="auto"/>
        <w:jc w:val="both"/>
      </w:pPr>
      <w:r>
        <w:t xml:space="preserve">Mierny pokles zamestnanosti vykompenzoval rast miezd vďaka ktorým sa udržala stabilná spotreba domácností. Silná spotreba spolu s pokračujúcou úspešnosťou výberu udržali daň z pridanej hodnoty na úrovniach roka 2019. K minimálnemu poklesu daní a odvodov významne prispela zvyčajne </w:t>
      </w:r>
      <w:proofErr w:type="spellStart"/>
      <w:r>
        <w:t>procyklická</w:t>
      </w:r>
      <w:proofErr w:type="spellEnd"/>
      <w:r>
        <w:t xml:space="preserve"> daň z príjmov právnických osôb. Tá počas pandémie poklesla len minimálne vďaka stabilným príjmom zo sektorov (obchod, energetika, financie), ktoré tvoria gro pridanej hodnoty v ekonomike a nájdeme v nich najväčších platcov dane.</w:t>
      </w:r>
    </w:p>
    <w:tbl>
      <w:tblPr>
        <w:tblW w:w="9071" w:type="dxa"/>
        <w:tblLayout w:type="fixed"/>
        <w:tblCellMar>
          <w:left w:w="70" w:type="dxa"/>
          <w:right w:w="70" w:type="dxa"/>
        </w:tblCellMar>
        <w:tblLook w:val="04A0" w:firstRow="1" w:lastRow="0" w:firstColumn="1" w:lastColumn="0" w:noHBand="0" w:noVBand="1"/>
      </w:tblPr>
      <w:tblGrid>
        <w:gridCol w:w="3969"/>
        <w:gridCol w:w="160"/>
        <w:gridCol w:w="388"/>
        <w:gridCol w:w="1130"/>
        <w:gridCol w:w="1130"/>
        <w:gridCol w:w="1130"/>
        <w:gridCol w:w="1164"/>
      </w:tblGrid>
      <w:tr w:rsidR="00151939" w:rsidRPr="00884879" w14:paraId="1319E5D4" w14:textId="77777777" w:rsidTr="0051395F">
        <w:trPr>
          <w:trHeight w:val="258"/>
          <w:tblHeader/>
        </w:trPr>
        <w:tc>
          <w:tcPr>
            <w:tcW w:w="9071" w:type="dxa"/>
            <w:gridSpan w:val="7"/>
            <w:tcBorders>
              <w:top w:val="nil"/>
              <w:left w:val="nil"/>
              <w:bottom w:val="single" w:sz="4" w:space="0" w:color="auto"/>
              <w:right w:val="nil"/>
            </w:tcBorders>
            <w:shd w:val="clear" w:color="000000" w:fill="000000"/>
            <w:noWrap/>
            <w:vAlign w:val="center"/>
            <w:hideMark/>
          </w:tcPr>
          <w:p w14:paraId="69EBB8B5" w14:textId="2847D4E8" w:rsidR="00151939" w:rsidRPr="00884879" w:rsidRDefault="00156C9E" w:rsidP="00156C9E">
            <w:pPr>
              <w:pStyle w:val="popistabuliek"/>
              <w:rPr>
                <w:szCs w:val="20"/>
              </w:rPr>
            </w:pPr>
            <w:r w:rsidRPr="00884682">
              <w:t>Tab.</w:t>
            </w:r>
            <w:r>
              <w:t xml:space="preserve"> 10</w:t>
            </w:r>
            <w:r w:rsidRPr="00884682">
              <w:t xml:space="preserve"> - </w:t>
            </w:r>
            <w:r w:rsidR="00151939" w:rsidRPr="00884879">
              <w:t>Daňové a odvodové príjmy (ESA2010, tis. eur)</w:t>
            </w:r>
          </w:p>
        </w:tc>
      </w:tr>
      <w:tr w:rsidR="00151939" w:rsidRPr="00884879" w14:paraId="585FB96B" w14:textId="77777777" w:rsidTr="0051395F">
        <w:trPr>
          <w:trHeight w:val="258"/>
          <w:tblHeader/>
        </w:trPr>
        <w:tc>
          <w:tcPr>
            <w:tcW w:w="4517" w:type="dxa"/>
            <w:gridSpan w:val="3"/>
            <w:vMerge w:val="restart"/>
            <w:tcBorders>
              <w:top w:val="nil"/>
              <w:left w:val="nil"/>
              <w:bottom w:val="single" w:sz="4" w:space="0" w:color="000000"/>
              <w:right w:val="nil"/>
            </w:tcBorders>
            <w:shd w:val="clear" w:color="000000" w:fill="BFBFBF"/>
            <w:noWrap/>
            <w:vAlign w:val="center"/>
            <w:hideMark/>
          </w:tcPr>
          <w:p w14:paraId="6392A2F9" w14:textId="77777777" w:rsidR="00151939" w:rsidRPr="00884879" w:rsidRDefault="00151939" w:rsidP="0051395F">
            <w:pPr>
              <w:spacing w:after="0" w:line="240" w:lineRule="auto"/>
              <w:rPr>
                <w:color w:val="000000"/>
                <w:sz w:val="20"/>
                <w:szCs w:val="20"/>
                <w:lang w:eastAsia="sk-SK"/>
              </w:rPr>
            </w:pPr>
            <w:r w:rsidRPr="00884879">
              <w:rPr>
                <w:color w:val="000000"/>
                <w:sz w:val="20"/>
                <w:szCs w:val="20"/>
                <w:lang w:eastAsia="sk-SK"/>
              </w:rPr>
              <w:t> </w:t>
            </w:r>
          </w:p>
        </w:tc>
        <w:tc>
          <w:tcPr>
            <w:tcW w:w="3390" w:type="dxa"/>
            <w:gridSpan w:val="3"/>
            <w:tcBorders>
              <w:top w:val="single" w:sz="4" w:space="0" w:color="auto"/>
              <w:left w:val="nil"/>
              <w:bottom w:val="nil"/>
              <w:right w:val="nil"/>
            </w:tcBorders>
            <w:shd w:val="clear" w:color="000000" w:fill="BFBFBF"/>
            <w:noWrap/>
            <w:vAlign w:val="center"/>
            <w:hideMark/>
          </w:tcPr>
          <w:p w14:paraId="0B8303B3" w14:textId="77777777" w:rsidR="00151939" w:rsidRPr="00884879" w:rsidRDefault="00151939" w:rsidP="0051395F">
            <w:pPr>
              <w:spacing w:after="0" w:line="240" w:lineRule="auto"/>
              <w:jc w:val="center"/>
              <w:rPr>
                <w:b/>
                <w:bCs/>
                <w:color w:val="000000"/>
                <w:sz w:val="20"/>
                <w:szCs w:val="20"/>
                <w:lang w:eastAsia="sk-SK"/>
              </w:rPr>
            </w:pPr>
            <w:r w:rsidRPr="00884879">
              <w:rPr>
                <w:b/>
                <w:bCs/>
                <w:color w:val="000000"/>
                <w:sz w:val="20"/>
                <w:szCs w:val="20"/>
                <w:lang w:eastAsia="sk-SK"/>
              </w:rPr>
              <w:t>Skutočnosť</w:t>
            </w:r>
          </w:p>
        </w:tc>
        <w:tc>
          <w:tcPr>
            <w:tcW w:w="1164" w:type="dxa"/>
            <w:tcBorders>
              <w:top w:val="nil"/>
              <w:left w:val="nil"/>
              <w:bottom w:val="nil"/>
              <w:right w:val="nil"/>
            </w:tcBorders>
            <w:shd w:val="clear" w:color="000000" w:fill="BFBFBF"/>
            <w:noWrap/>
            <w:vAlign w:val="center"/>
            <w:hideMark/>
          </w:tcPr>
          <w:p w14:paraId="3C31AA51" w14:textId="77777777" w:rsidR="00151939" w:rsidRPr="00884879" w:rsidRDefault="00151939" w:rsidP="0051395F">
            <w:pPr>
              <w:spacing w:after="0" w:line="240" w:lineRule="auto"/>
              <w:jc w:val="center"/>
              <w:rPr>
                <w:b/>
                <w:bCs/>
                <w:color w:val="000000"/>
                <w:sz w:val="20"/>
                <w:szCs w:val="20"/>
                <w:lang w:eastAsia="sk-SK"/>
              </w:rPr>
            </w:pPr>
            <w:r w:rsidRPr="00884879">
              <w:rPr>
                <w:b/>
                <w:bCs/>
                <w:color w:val="000000"/>
                <w:sz w:val="20"/>
                <w:szCs w:val="20"/>
                <w:lang w:eastAsia="sk-SK"/>
              </w:rPr>
              <w:t>2020/2019</w:t>
            </w:r>
          </w:p>
        </w:tc>
      </w:tr>
      <w:tr w:rsidR="00151939" w:rsidRPr="00884879" w14:paraId="29E1BA0B" w14:textId="77777777" w:rsidTr="0051395F">
        <w:trPr>
          <w:trHeight w:val="258"/>
        </w:trPr>
        <w:tc>
          <w:tcPr>
            <w:tcW w:w="4517" w:type="dxa"/>
            <w:gridSpan w:val="3"/>
            <w:vMerge/>
            <w:tcBorders>
              <w:top w:val="nil"/>
              <w:left w:val="nil"/>
              <w:bottom w:val="single" w:sz="4" w:space="0" w:color="000000"/>
              <w:right w:val="nil"/>
            </w:tcBorders>
            <w:vAlign w:val="center"/>
            <w:hideMark/>
          </w:tcPr>
          <w:p w14:paraId="6B592F76" w14:textId="77777777" w:rsidR="00151939" w:rsidRPr="00884879" w:rsidRDefault="00151939" w:rsidP="0051395F">
            <w:pPr>
              <w:spacing w:after="0" w:line="240" w:lineRule="auto"/>
              <w:rPr>
                <w:color w:val="000000"/>
                <w:sz w:val="20"/>
                <w:szCs w:val="20"/>
                <w:lang w:eastAsia="sk-SK"/>
              </w:rPr>
            </w:pPr>
          </w:p>
        </w:tc>
        <w:tc>
          <w:tcPr>
            <w:tcW w:w="1130" w:type="dxa"/>
            <w:tcBorders>
              <w:top w:val="nil"/>
              <w:left w:val="nil"/>
              <w:bottom w:val="single" w:sz="4" w:space="0" w:color="auto"/>
              <w:right w:val="nil"/>
            </w:tcBorders>
            <w:shd w:val="clear" w:color="000000" w:fill="BFBFBF"/>
            <w:noWrap/>
            <w:vAlign w:val="center"/>
            <w:hideMark/>
          </w:tcPr>
          <w:p w14:paraId="577EA9CB" w14:textId="77777777" w:rsidR="00151939" w:rsidRPr="00884879" w:rsidRDefault="00151939" w:rsidP="0051395F">
            <w:pPr>
              <w:spacing w:after="0" w:line="240" w:lineRule="auto"/>
              <w:jc w:val="right"/>
              <w:rPr>
                <w:b/>
                <w:bCs/>
                <w:color w:val="000000"/>
                <w:sz w:val="20"/>
                <w:szCs w:val="20"/>
                <w:lang w:eastAsia="sk-SK"/>
              </w:rPr>
            </w:pPr>
            <w:r w:rsidRPr="00884879">
              <w:rPr>
                <w:b/>
                <w:bCs/>
                <w:color w:val="000000"/>
                <w:sz w:val="20"/>
                <w:szCs w:val="20"/>
                <w:lang w:eastAsia="sk-SK"/>
              </w:rPr>
              <w:t>2018</w:t>
            </w:r>
          </w:p>
        </w:tc>
        <w:tc>
          <w:tcPr>
            <w:tcW w:w="1130" w:type="dxa"/>
            <w:tcBorders>
              <w:top w:val="nil"/>
              <w:left w:val="nil"/>
              <w:bottom w:val="single" w:sz="4" w:space="0" w:color="auto"/>
              <w:right w:val="nil"/>
            </w:tcBorders>
            <w:shd w:val="clear" w:color="000000" w:fill="BFBFBF"/>
            <w:noWrap/>
            <w:vAlign w:val="center"/>
            <w:hideMark/>
          </w:tcPr>
          <w:p w14:paraId="3144A830" w14:textId="77777777" w:rsidR="00151939" w:rsidRPr="00884879" w:rsidRDefault="00151939" w:rsidP="0051395F">
            <w:pPr>
              <w:spacing w:after="0" w:line="240" w:lineRule="auto"/>
              <w:jc w:val="right"/>
              <w:rPr>
                <w:b/>
                <w:bCs/>
                <w:color w:val="000000"/>
                <w:sz w:val="20"/>
                <w:szCs w:val="20"/>
                <w:lang w:eastAsia="sk-SK"/>
              </w:rPr>
            </w:pPr>
            <w:r w:rsidRPr="00884879">
              <w:rPr>
                <w:b/>
                <w:bCs/>
                <w:color w:val="000000"/>
                <w:sz w:val="20"/>
                <w:szCs w:val="20"/>
                <w:lang w:eastAsia="sk-SK"/>
              </w:rPr>
              <w:t>2019</w:t>
            </w:r>
          </w:p>
        </w:tc>
        <w:tc>
          <w:tcPr>
            <w:tcW w:w="1130" w:type="dxa"/>
            <w:tcBorders>
              <w:top w:val="nil"/>
              <w:left w:val="nil"/>
              <w:bottom w:val="single" w:sz="4" w:space="0" w:color="auto"/>
              <w:right w:val="nil"/>
            </w:tcBorders>
            <w:shd w:val="clear" w:color="000000" w:fill="BFBFBF"/>
            <w:noWrap/>
            <w:vAlign w:val="center"/>
            <w:hideMark/>
          </w:tcPr>
          <w:p w14:paraId="31F5124E" w14:textId="77777777" w:rsidR="00151939" w:rsidRPr="00884879" w:rsidRDefault="00151939" w:rsidP="0051395F">
            <w:pPr>
              <w:spacing w:after="0" w:line="240" w:lineRule="auto"/>
              <w:jc w:val="right"/>
              <w:rPr>
                <w:b/>
                <w:bCs/>
                <w:color w:val="000000"/>
                <w:sz w:val="20"/>
                <w:szCs w:val="20"/>
                <w:lang w:eastAsia="sk-SK"/>
              </w:rPr>
            </w:pPr>
            <w:r w:rsidRPr="00884879">
              <w:rPr>
                <w:b/>
                <w:bCs/>
                <w:color w:val="000000"/>
                <w:sz w:val="20"/>
                <w:szCs w:val="20"/>
                <w:lang w:eastAsia="sk-SK"/>
              </w:rPr>
              <w:t>2020</w:t>
            </w:r>
          </w:p>
        </w:tc>
        <w:tc>
          <w:tcPr>
            <w:tcW w:w="1164" w:type="dxa"/>
            <w:tcBorders>
              <w:top w:val="nil"/>
              <w:left w:val="nil"/>
              <w:bottom w:val="single" w:sz="4" w:space="0" w:color="auto"/>
              <w:right w:val="nil"/>
            </w:tcBorders>
            <w:shd w:val="clear" w:color="000000" w:fill="BFBFBF"/>
            <w:noWrap/>
            <w:vAlign w:val="center"/>
            <w:hideMark/>
          </w:tcPr>
          <w:p w14:paraId="21CBFE26" w14:textId="77777777" w:rsidR="00151939" w:rsidRPr="00884879" w:rsidRDefault="00151939" w:rsidP="0051395F">
            <w:pPr>
              <w:spacing w:after="0" w:line="240" w:lineRule="auto"/>
              <w:jc w:val="center"/>
              <w:rPr>
                <w:b/>
                <w:bCs/>
                <w:color w:val="000000"/>
                <w:sz w:val="20"/>
                <w:szCs w:val="20"/>
                <w:lang w:eastAsia="sk-SK"/>
              </w:rPr>
            </w:pPr>
            <w:r w:rsidRPr="00884879">
              <w:rPr>
                <w:b/>
                <w:bCs/>
                <w:color w:val="000000"/>
                <w:sz w:val="20"/>
                <w:szCs w:val="20"/>
                <w:lang w:eastAsia="sk-SK"/>
              </w:rPr>
              <w:t>(v %)</w:t>
            </w:r>
          </w:p>
        </w:tc>
      </w:tr>
      <w:tr w:rsidR="00151939" w:rsidRPr="00884879" w14:paraId="316720B5" w14:textId="77777777" w:rsidTr="0051395F">
        <w:trPr>
          <w:trHeight w:val="258"/>
        </w:trPr>
        <w:tc>
          <w:tcPr>
            <w:tcW w:w="4517" w:type="dxa"/>
            <w:gridSpan w:val="3"/>
            <w:tcBorders>
              <w:top w:val="nil"/>
              <w:left w:val="nil"/>
              <w:bottom w:val="nil"/>
              <w:right w:val="nil"/>
            </w:tcBorders>
            <w:shd w:val="clear" w:color="auto" w:fill="auto"/>
            <w:noWrap/>
            <w:vAlign w:val="center"/>
            <w:hideMark/>
          </w:tcPr>
          <w:p w14:paraId="53AB015A" w14:textId="77777777" w:rsidR="00151939" w:rsidRPr="00884879" w:rsidRDefault="00151939" w:rsidP="0051395F">
            <w:pPr>
              <w:spacing w:after="0" w:line="240" w:lineRule="auto"/>
              <w:rPr>
                <w:b/>
                <w:bCs/>
                <w:color w:val="000000"/>
                <w:sz w:val="20"/>
                <w:szCs w:val="20"/>
                <w:lang w:eastAsia="sk-SK"/>
              </w:rPr>
            </w:pPr>
            <w:r w:rsidRPr="00884879">
              <w:rPr>
                <w:b/>
                <w:bCs/>
                <w:color w:val="000000"/>
                <w:sz w:val="20"/>
                <w:szCs w:val="20"/>
                <w:lang w:eastAsia="sk-SK"/>
              </w:rPr>
              <w:t>Daňové a odvodové príjmy VS</w:t>
            </w:r>
          </w:p>
        </w:tc>
        <w:tc>
          <w:tcPr>
            <w:tcW w:w="1130" w:type="dxa"/>
            <w:tcBorders>
              <w:top w:val="nil"/>
              <w:left w:val="nil"/>
              <w:bottom w:val="nil"/>
              <w:right w:val="nil"/>
            </w:tcBorders>
            <w:shd w:val="clear" w:color="auto" w:fill="auto"/>
            <w:noWrap/>
            <w:vAlign w:val="center"/>
            <w:hideMark/>
          </w:tcPr>
          <w:p w14:paraId="625FACDD" w14:textId="77777777" w:rsidR="00151939" w:rsidRPr="00884879" w:rsidRDefault="00151939" w:rsidP="0051395F">
            <w:pPr>
              <w:spacing w:after="0" w:line="240" w:lineRule="auto"/>
              <w:jc w:val="right"/>
              <w:rPr>
                <w:b/>
                <w:bCs/>
                <w:color w:val="000000"/>
                <w:sz w:val="20"/>
                <w:szCs w:val="20"/>
                <w:lang w:eastAsia="sk-SK"/>
              </w:rPr>
            </w:pPr>
            <w:r w:rsidRPr="00884879">
              <w:rPr>
                <w:b/>
                <w:bCs/>
                <w:color w:val="000000"/>
                <w:sz w:val="20"/>
                <w:szCs w:val="20"/>
                <w:lang w:eastAsia="sk-SK"/>
              </w:rPr>
              <w:t>30 446 036</w:t>
            </w:r>
          </w:p>
        </w:tc>
        <w:tc>
          <w:tcPr>
            <w:tcW w:w="1130" w:type="dxa"/>
            <w:tcBorders>
              <w:top w:val="nil"/>
              <w:left w:val="nil"/>
              <w:bottom w:val="nil"/>
              <w:right w:val="nil"/>
            </w:tcBorders>
            <w:shd w:val="clear" w:color="auto" w:fill="auto"/>
            <w:noWrap/>
            <w:vAlign w:val="center"/>
            <w:hideMark/>
          </w:tcPr>
          <w:p w14:paraId="0B778BF4" w14:textId="77777777" w:rsidR="00151939" w:rsidRPr="00884879" w:rsidRDefault="00151939" w:rsidP="0051395F">
            <w:pPr>
              <w:spacing w:after="0" w:line="240" w:lineRule="auto"/>
              <w:jc w:val="right"/>
              <w:rPr>
                <w:b/>
                <w:bCs/>
                <w:color w:val="000000"/>
                <w:sz w:val="20"/>
                <w:szCs w:val="20"/>
                <w:lang w:eastAsia="sk-SK"/>
              </w:rPr>
            </w:pPr>
            <w:r w:rsidRPr="00884879">
              <w:rPr>
                <w:b/>
                <w:bCs/>
                <w:color w:val="000000"/>
                <w:sz w:val="20"/>
                <w:szCs w:val="20"/>
                <w:lang w:eastAsia="sk-SK"/>
              </w:rPr>
              <w:t>32 372 546</w:t>
            </w:r>
          </w:p>
        </w:tc>
        <w:tc>
          <w:tcPr>
            <w:tcW w:w="1130" w:type="dxa"/>
            <w:tcBorders>
              <w:top w:val="nil"/>
              <w:left w:val="nil"/>
              <w:bottom w:val="nil"/>
              <w:right w:val="nil"/>
            </w:tcBorders>
            <w:shd w:val="clear" w:color="auto" w:fill="auto"/>
            <w:noWrap/>
            <w:vAlign w:val="center"/>
            <w:hideMark/>
          </w:tcPr>
          <w:p w14:paraId="0440D82D" w14:textId="77777777" w:rsidR="00151939" w:rsidRPr="00884879" w:rsidRDefault="00151939" w:rsidP="0051395F">
            <w:pPr>
              <w:spacing w:after="0" w:line="240" w:lineRule="auto"/>
              <w:jc w:val="right"/>
              <w:rPr>
                <w:b/>
                <w:bCs/>
                <w:color w:val="000000"/>
                <w:sz w:val="20"/>
                <w:szCs w:val="20"/>
                <w:lang w:eastAsia="sk-SK"/>
              </w:rPr>
            </w:pPr>
            <w:r w:rsidRPr="00884879">
              <w:rPr>
                <w:b/>
                <w:bCs/>
                <w:color w:val="000000"/>
                <w:sz w:val="20"/>
                <w:szCs w:val="20"/>
                <w:lang w:eastAsia="sk-SK"/>
              </w:rPr>
              <w:t>32 303 406</w:t>
            </w:r>
          </w:p>
        </w:tc>
        <w:tc>
          <w:tcPr>
            <w:tcW w:w="1164" w:type="dxa"/>
            <w:tcBorders>
              <w:top w:val="nil"/>
              <w:left w:val="nil"/>
              <w:bottom w:val="nil"/>
              <w:right w:val="nil"/>
            </w:tcBorders>
            <w:shd w:val="clear" w:color="auto" w:fill="auto"/>
            <w:noWrap/>
            <w:vAlign w:val="center"/>
            <w:hideMark/>
          </w:tcPr>
          <w:p w14:paraId="46B1E33B" w14:textId="77777777" w:rsidR="00151939" w:rsidRPr="00884879" w:rsidRDefault="00151939" w:rsidP="0051395F">
            <w:pPr>
              <w:spacing w:after="0" w:line="240" w:lineRule="auto"/>
              <w:ind w:right="-71"/>
              <w:jc w:val="center"/>
              <w:rPr>
                <w:b/>
                <w:bCs/>
                <w:color w:val="000000"/>
                <w:sz w:val="20"/>
                <w:szCs w:val="20"/>
                <w:lang w:eastAsia="sk-SK"/>
              </w:rPr>
            </w:pPr>
            <w:r w:rsidRPr="00884879">
              <w:rPr>
                <w:b/>
                <w:bCs/>
                <w:color w:val="000000"/>
                <w:sz w:val="20"/>
                <w:szCs w:val="20"/>
                <w:lang w:eastAsia="sk-SK"/>
              </w:rPr>
              <w:t>-0,2</w:t>
            </w:r>
          </w:p>
        </w:tc>
      </w:tr>
      <w:tr w:rsidR="00151939" w:rsidRPr="00884879" w14:paraId="74CD077A" w14:textId="77777777" w:rsidTr="0051395F">
        <w:trPr>
          <w:trHeight w:val="258"/>
        </w:trPr>
        <w:tc>
          <w:tcPr>
            <w:tcW w:w="4517" w:type="dxa"/>
            <w:gridSpan w:val="3"/>
            <w:tcBorders>
              <w:top w:val="nil"/>
              <w:left w:val="nil"/>
              <w:bottom w:val="single" w:sz="4" w:space="0" w:color="auto"/>
              <w:right w:val="nil"/>
            </w:tcBorders>
            <w:shd w:val="clear" w:color="auto" w:fill="auto"/>
            <w:noWrap/>
            <w:vAlign w:val="center"/>
            <w:hideMark/>
          </w:tcPr>
          <w:p w14:paraId="5C5E8429" w14:textId="77777777" w:rsidR="00151939" w:rsidRPr="00884879" w:rsidRDefault="00151939" w:rsidP="0051395F">
            <w:pPr>
              <w:spacing w:after="0" w:line="240" w:lineRule="auto"/>
              <w:ind w:firstLineChars="100" w:firstLine="200"/>
              <w:rPr>
                <w:color w:val="000000"/>
                <w:sz w:val="20"/>
                <w:szCs w:val="20"/>
                <w:lang w:eastAsia="sk-SK"/>
              </w:rPr>
            </w:pPr>
            <w:r w:rsidRPr="00884879">
              <w:rPr>
                <w:color w:val="000000"/>
                <w:sz w:val="20"/>
                <w:szCs w:val="20"/>
                <w:lang w:eastAsia="sk-SK"/>
              </w:rPr>
              <w:t xml:space="preserve">v % HDP </w:t>
            </w:r>
          </w:p>
        </w:tc>
        <w:tc>
          <w:tcPr>
            <w:tcW w:w="1130" w:type="dxa"/>
            <w:tcBorders>
              <w:top w:val="nil"/>
              <w:left w:val="nil"/>
              <w:bottom w:val="single" w:sz="4" w:space="0" w:color="auto"/>
              <w:right w:val="nil"/>
            </w:tcBorders>
            <w:shd w:val="clear" w:color="auto" w:fill="auto"/>
            <w:noWrap/>
            <w:vAlign w:val="center"/>
            <w:hideMark/>
          </w:tcPr>
          <w:p w14:paraId="310112E1" w14:textId="77777777" w:rsidR="00151939" w:rsidRPr="00ED3A9C" w:rsidRDefault="00151939" w:rsidP="0051395F">
            <w:pPr>
              <w:spacing w:after="0" w:line="240" w:lineRule="auto"/>
              <w:jc w:val="right"/>
              <w:rPr>
                <w:color w:val="000000"/>
                <w:sz w:val="20"/>
                <w:szCs w:val="20"/>
                <w:lang w:eastAsia="sk-SK"/>
              </w:rPr>
            </w:pPr>
            <w:r w:rsidRPr="00ED3A9C">
              <w:rPr>
                <w:color w:val="000000"/>
                <w:sz w:val="20"/>
                <w:szCs w:val="20"/>
                <w:lang w:eastAsia="sk-SK"/>
              </w:rPr>
              <w:t>34,04</w:t>
            </w:r>
          </w:p>
        </w:tc>
        <w:tc>
          <w:tcPr>
            <w:tcW w:w="1130" w:type="dxa"/>
            <w:tcBorders>
              <w:top w:val="nil"/>
              <w:left w:val="nil"/>
              <w:bottom w:val="single" w:sz="4" w:space="0" w:color="auto"/>
              <w:right w:val="nil"/>
            </w:tcBorders>
            <w:shd w:val="clear" w:color="auto" w:fill="auto"/>
            <w:noWrap/>
            <w:vAlign w:val="center"/>
            <w:hideMark/>
          </w:tcPr>
          <w:p w14:paraId="113E107E" w14:textId="77777777" w:rsidR="00151939" w:rsidRPr="00ED3A9C" w:rsidRDefault="00151939" w:rsidP="0051395F">
            <w:pPr>
              <w:spacing w:after="0" w:line="240" w:lineRule="auto"/>
              <w:jc w:val="right"/>
              <w:rPr>
                <w:color w:val="000000"/>
                <w:sz w:val="20"/>
                <w:szCs w:val="20"/>
                <w:lang w:eastAsia="sk-SK"/>
              </w:rPr>
            </w:pPr>
            <w:r w:rsidRPr="00ED3A9C">
              <w:rPr>
                <w:color w:val="000000"/>
                <w:sz w:val="20"/>
                <w:szCs w:val="20"/>
                <w:lang w:eastAsia="sk-SK"/>
              </w:rPr>
              <w:t>34,42</w:t>
            </w:r>
          </w:p>
        </w:tc>
        <w:tc>
          <w:tcPr>
            <w:tcW w:w="1130" w:type="dxa"/>
            <w:tcBorders>
              <w:top w:val="nil"/>
              <w:left w:val="nil"/>
              <w:bottom w:val="single" w:sz="4" w:space="0" w:color="auto"/>
              <w:right w:val="nil"/>
            </w:tcBorders>
            <w:shd w:val="clear" w:color="auto" w:fill="auto"/>
            <w:noWrap/>
            <w:vAlign w:val="center"/>
            <w:hideMark/>
          </w:tcPr>
          <w:p w14:paraId="150B6195" w14:textId="77777777" w:rsidR="00151939" w:rsidRPr="00ED3A9C" w:rsidRDefault="00151939" w:rsidP="0051395F">
            <w:pPr>
              <w:spacing w:after="0" w:line="240" w:lineRule="auto"/>
              <w:jc w:val="right"/>
              <w:rPr>
                <w:color w:val="000000"/>
                <w:sz w:val="20"/>
                <w:szCs w:val="20"/>
                <w:lang w:eastAsia="sk-SK"/>
              </w:rPr>
            </w:pPr>
            <w:r w:rsidRPr="00ED3A9C">
              <w:rPr>
                <w:color w:val="000000"/>
                <w:sz w:val="20"/>
                <w:szCs w:val="20"/>
                <w:lang w:eastAsia="sk-SK"/>
              </w:rPr>
              <w:t>35,08</w:t>
            </w:r>
          </w:p>
        </w:tc>
        <w:tc>
          <w:tcPr>
            <w:tcW w:w="1164" w:type="dxa"/>
            <w:tcBorders>
              <w:top w:val="nil"/>
              <w:left w:val="nil"/>
              <w:bottom w:val="single" w:sz="4" w:space="0" w:color="auto"/>
              <w:right w:val="nil"/>
            </w:tcBorders>
            <w:shd w:val="clear" w:color="auto" w:fill="auto"/>
            <w:noWrap/>
            <w:vAlign w:val="center"/>
            <w:hideMark/>
          </w:tcPr>
          <w:p w14:paraId="70AB4042" w14:textId="77777777" w:rsidR="00151939" w:rsidRPr="00884879" w:rsidRDefault="00151939" w:rsidP="0051395F">
            <w:pPr>
              <w:spacing w:after="0" w:line="240" w:lineRule="auto"/>
              <w:ind w:right="-71"/>
              <w:jc w:val="center"/>
              <w:rPr>
                <w:color w:val="000000"/>
                <w:sz w:val="20"/>
                <w:szCs w:val="20"/>
                <w:lang w:eastAsia="sk-SK"/>
              </w:rPr>
            </w:pPr>
          </w:p>
        </w:tc>
      </w:tr>
      <w:tr w:rsidR="00151939" w:rsidRPr="00884879" w14:paraId="1B0E5CF9" w14:textId="77777777" w:rsidTr="0051395F">
        <w:trPr>
          <w:trHeight w:val="258"/>
        </w:trPr>
        <w:tc>
          <w:tcPr>
            <w:tcW w:w="4517" w:type="dxa"/>
            <w:gridSpan w:val="3"/>
            <w:tcBorders>
              <w:top w:val="nil"/>
              <w:left w:val="nil"/>
              <w:bottom w:val="nil"/>
              <w:right w:val="nil"/>
            </w:tcBorders>
            <w:shd w:val="clear" w:color="auto" w:fill="auto"/>
            <w:noWrap/>
            <w:vAlign w:val="center"/>
            <w:hideMark/>
          </w:tcPr>
          <w:p w14:paraId="78A4DBE9" w14:textId="77777777" w:rsidR="00151939" w:rsidRPr="00884879" w:rsidRDefault="00151939" w:rsidP="0051395F">
            <w:pPr>
              <w:spacing w:after="0" w:line="240" w:lineRule="auto"/>
              <w:rPr>
                <w:b/>
                <w:bCs/>
                <w:color w:val="000000"/>
                <w:sz w:val="20"/>
                <w:szCs w:val="20"/>
                <w:lang w:eastAsia="sk-SK"/>
              </w:rPr>
            </w:pPr>
            <w:r w:rsidRPr="00884879">
              <w:rPr>
                <w:b/>
                <w:bCs/>
                <w:color w:val="000000"/>
                <w:sz w:val="20"/>
                <w:szCs w:val="20"/>
                <w:lang w:eastAsia="sk-SK"/>
              </w:rPr>
              <w:t>Dane z produkcie a dovozu</w:t>
            </w:r>
          </w:p>
        </w:tc>
        <w:tc>
          <w:tcPr>
            <w:tcW w:w="1130" w:type="dxa"/>
            <w:tcBorders>
              <w:top w:val="nil"/>
              <w:left w:val="nil"/>
              <w:bottom w:val="nil"/>
              <w:right w:val="nil"/>
            </w:tcBorders>
            <w:shd w:val="clear" w:color="auto" w:fill="auto"/>
            <w:noWrap/>
            <w:vAlign w:val="center"/>
            <w:hideMark/>
          </w:tcPr>
          <w:p w14:paraId="67957EF1" w14:textId="77777777" w:rsidR="00151939" w:rsidRPr="00884879" w:rsidRDefault="00151939" w:rsidP="0051395F">
            <w:pPr>
              <w:spacing w:after="0" w:line="240" w:lineRule="auto"/>
              <w:jc w:val="right"/>
              <w:rPr>
                <w:b/>
                <w:bCs/>
                <w:color w:val="000000"/>
                <w:sz w:val="20"/>
                <w:szCs w:val="20"/>
                <w:lang w:eastAsia="sk-SK"/>
              </w:rPr>
            </w:pPr>
            <w:r w:rsidRPr="00884879">
              <w:rPr>
                <w:b/>
                <w:bCs/>
                <w:color w:val="000000"/>
                <w:sz w:val="20"/>
                <w:szCs w:val="20"/>
                <w:lang w:eastAsia="sk-SK"/>
              </w:rPr>
              <w:t>10 570 256</w:t>
            </w:r>
          </w:p>
        </w:tc>
        <w:tc>
          <w:tcPr>
            <w:tcW w:w="1130" w:type="dxa"/>
            <w:tcBorders>
              <w:top w:val="nil"/>
              <w:left w:val="nil"/>
              <w:bottom w:val="nil"/>
              <w:right w:val="nil"/>
            </w:tcBorders>
            <w:shd w:val="clear" w:color="auto" w:fill="auto"/>
            <w:noWrap/>
            <w:vAlign w:val="center"/>
            <w:hideMark/>
          </w:tcPr>
          <w:p w14:paraId="6D33C2C8" w14:textId="77777777" w:rsidR="00151939" w:rsidRPr="00884879" w:rsidRDefault="00151939" w:rsidP="0051395F">
            <w:pPr>
              <w:spacing w:after="0" w:line="240" w:lineRule="auto"/>
              <w:jc w:val="right"/>
              <w:rPr>
                <w:b/>
                <w:bCs/>
                <w:color w:val="000000"/>
                <w:sz w:val="20"/>
                <w:szCs w:val="20"/>
                <w:lang w:eastAsia="sk-SK"/>
              </w:rPr>
            </w:pPr>
            <w:r w:rsidRPr="00884879">
              <w:rPr>
                <w:b/>
                <w:bCs/>
                <w:color w:val="000000"/>
                <w:sz w:val="20"/>
                <w:szCs w:val="20"/>
                <w:lang w:eastAsia="sk-SK"/>
              </w:rPr>
              <w:t>11 264 493</w:t>
            </w:r>
          </w:p>
        </w:tc>
        <w:tc>
          <w:tcPr>
            <w:tcW w:w="1130" w:type="dxa"/>
            <w:tcBorders>
              <w:top w:val="nil"/>
              <w:left w:val="nil"/>
              <w:bottom w:val="nil"/>
              <w:right w:val="nil"/>
            </w:tcBorders>
            <w:shd w:val="clear" w:color="auto" w:fill="auto"/>
            <w:noWrap/>
            <w:vAlign w:val="center"/>
            <w:hideMark/>
          </w:tcPr>
          <w:p w14:paraId="75C46DB0" w14:textId="77777777" w:rsidR="00151939" w:rsidRPr="00884879" w:rsidRDefault="00151939" w:rsidP="0051395F">
            <w:pPr>
              <w:spacing w:after="0" w:line="240" w:lineRule="auto"/>
              <w:jc w:val="right"/>
              <w:rPr>
                <w:b/>
                <w:bCs/>
                <w:color w:val="000000"/>
                <w:sz w:val="20"/>
                <w:szCs w:val="20"/>
                <w:lang w:eastAsia="sk-SK"/>
              </w:rPr>
            </w:pPr>
            <w:r w:rsidRPr="00884879">
              <w:rPr>
                <w:b/>
                <w:bCs/>
                <w:color w:val="000000"/>
                <w:sz w:val="20"/>
                <w:szCs w:val="20"/>
                <w:lang w:eastAsia="sk-SK"/>
              </w:rPr>
              <w:t>11 142 462</w:t>
            </w:r>
          </w:p>
        </w:tc>
        <w:tc>
          <w:tcPr>
            <w:tcW w:w="1164" w:type="dxa"/>
            <w:tcBorders>
              <w:top w:val="nil"/>
              <w:left w:val="nil"/>
              <w:bottom w:val="nil"/>
              <w:right w:val="nil"/>
            </w:tcBorders>
            <w:shd w:val="clear" w:color="auto" w:fill="auto"/>
            <w:noWrap/>
            <w:vAlign w:val="center"/>
            <w:hideMark/>
          </w:tcPr>
          <w:p w14:paraId="0BB0DCAC" w14:textId="77777777" w:rsidR="00151939" w:rsidRPr="00884879" w:rsidRDefault="00151939" w:rsidP="0051395F">
            <w:pPr>
              <w:spacing w:after="0" w:line="240" w:lineRule="auto"/>
              <w:ind w:right="-71"/>
              <w:jc w:val="center"/>
              <w:rPr>
                <w:b/>
                <w:bCs/>
                <w:color w:val="000000"/>
                <w:sz w:val="20"/>
                <w:szCs w:val="20"/>
                <w:lang w:eastAsia="sk-SK"/>
              </w:rPr>
            </w:pPr>
            <w:r w:rsidRPr="00884879">
              <w:rPr>
                <w:b/>
                <w:bCs/>
                <w:color w:val="000000"/>
                <w:sz w:val="20"/>
                <w:szCs w:val="20"/>
                <w:lang w:eastAsia="sk-SK"/>
              </w:rPr>
              <w:t>-1,1</w:t>
            </w:r>
          </w:p>
        </w:tc>
      </w:tr>
      <w:tr w:rsidR="00151939" w:rsidRPr="00884879" w14:paraId="5226CABC" w14:textId="77777777" w:rsidTr="0051395F">
        <w:trPr>
          <w:trHeight w:val="258"/>
        </w:trPr>
        <w:tc>
          <w:tcPr>
            <w:tcW w:w="4517" w:type="dxa"/>
            <w:gridSpan w:val="3"/>
            <w:tcBorders>
              <w:top w:val="nil"/>
              <w:left w:val="nil"/>
              <w:bottom w:val="nil"/>
              <w:right w:val="nil"/>
            </w:tcBorders>
            <w:shd w:val="clear" w:color="auto" w:fill="auto"/>
            <w:vAlign w:val="center"/>
            <w:hideMark/>
          </w:tcPr>
          <w:p w14:paraId="11116F90" w14:textId="77777777" w:rsidR="00151939" w:rsidRPr="00884879" w:rsidRDefault="00151939" w:rsidP="0051395F">
            <w:pPr>
              <w:spacing w:after="0" w:line="240" w:lineRule="auto"/>
              <w:ind w:firstLineChars="100" w:firstLine="200"/>
              <w:rPr>
                <w:color w:val="000000"/>
                <w:sz w:val="20"/>
                <w:szCs w:val="20"/>
                <w:lang w:eastAsia="sk-SK"/>
              </w:rPr>
            </w:pPr>
            <w:r w:rsidRPr="00884879">
              <w:rPr>
                <w:color w:val="000000"/>
                <w:sz w:val="20"/>
                <w:szCs w:val="20"/>
                <w:lang w:eastAsia="sk-SK"/>
              </w:rPr>
              <w:t xml:space="preserve"> - Daň z pridanej hodnoty</w:t>
            </w:r>
          </w:p>
        </w:tc>
        <w:tc>
          <w:tcPr>
            <w:tcW w:w="1130" w:type="dxa"/>
            <w:tcBorders>
              <w:top w:val="nil"/>
              <w:left w:val="nil"/>
              <w:bottom w:val="nil"/>
              <w:right w:val="nil"/>
            </w:tcBorders>
            <w:shd w:val="clear" w:color="auto" w:fill="auto"/>
            <w:noWrap/>
            <w:vAlign w:val="center"/>
            <w:hideMark/>
          </w:tcPr>
          <w:p w14:paraId="64F19624" w14:textId="77777777" w:rsidR="00151939" w:rsidRPr="00884879" w:rsidRDefault="00151939" w:rsidP="0051395F">
            <w:pPr>
              <w:spacing w:after="0" w:line="240" w:lineRule="auto"/>
              <w:jc w:val="right"/>
              <w:rPr>
                <w:color w:val="000000"/>
                <w:sz w:val="20"/>
                <w:szCs w:val="20"/>
                <w:lang w:eastAsia="sk-SK"/>
              </w:rPr>
            </w:pPr>
            <w:r w:rsidRPr="00884879">
              <w:rPr>
                <w:color w:val="000000"/>
                <w:sz w:val="20"/>
                <w:szCs w:val="20"/>
                <w:lang w:eastAsia="sk-SK"/>
              </w:rPr>
              <w:t>6 319 301</w:t>
            </w:r>
          </w:p>
        </w:tc>
        <w:tc>
          <w:tcPr>
            <w:tcW w:w="1130" w:type="dxa"/>
            <w:tcBorders>
              <w:top w:val="nil"/>
              <w:left w:val="nil"/>
              <w:bottom w:val="nil"/>
              <w:right w:val="nil"/>
            </w:tcBorders>
            <w:shd w:val="clear" w:color="auto" w:fill="auto"/>
            <w:noWrap/>
            <w:vAlign w:val="center"/>
            <w:hideMark/>
          </w:tcPr>
          <w:p w14:paraId="2319D113" w14:textId="77777777" w:rsidR="00151939" w:rsidRPr="00884879" w:rsidRDefault="00151939" w:rsidP="0051395F">
            <w:pPr>
              <w:spacing w:after="0" w:line="240" w:lineRule="auto"/>
              <w:jc w:val="right"/>
              <w:rPr>
                <w:color w:val="000000"/>
                <w:sz w:val="20"/>
                <w:szCs w:val="20"/>
                <w:lang w:eastAsia="sk-SK"/>
              </w:rPr>
            </w:pPr>
            <w:r w:rsidRPr="00884879">
              <w:rPr>
                <w:color w:val="000000"/>
                <w:sz w:val="20"/>
                <w:szCs w:val="20"/>
                <w:lang w:eastAsia="sk-SK"/>
              </w:rPr>
              <w:t>6 830 155</w:t>
            </w:r>
          </w:p>
        </w:tc>
        <w:tc>
          <w:tcPr>
            <w:tcW w:w="1130" w:type="dxa"/>
            <w:tcBorders>
              <w:top w:val="nil"/>
              <w:left w:val="nil"/>
              <w:bottom w:val="nil"/>
              <w:right w:val="nil"/>
            </w:tcBorders>
            <w:shd w:val="clear" w:color="auto" w:fill="auto"/>
            <w:noWrap/>
            <w:vAlign w:val="center"/>
            <w:hideMark/>
          </w:tcPr>
          <w:p w14:paraId="30769241" w14:textId="77777777" w:rsidR="00151939" w:rsidRPr="00884879" w:rsidRDefault="00151939" w:rsidP="0051395F">
            <w:pPr>
              <w:spacing w:after="0" w:line="240" w:lineRule="auto"/>
              <w:jc w:val="right"/>
              <w:rPr>
                <w:color w:val="000000"/>
                <w:sz w:val="20"/>
                <w:szCs w:val="20"/>
                <w:lang w:eastAsia="sk-SK"/>
              </w:rPr>
            </w:pPr>
            <w:r w:rsidRPr="00884879">
              <w:rPr>
                <w:color w:val="000000"/>
                <w:sz w:val="20"/>
                <w:szCs w:val="20"/>
                <w:lang w:eastAsia="sk-SK"/>
              </w:rPr>
              <w:t>6 820 217</w:t>
            </w:r>
          </w:p>
        </w:tc>
        <w:tc>
          <w:tcPr>
            <w:tcW w:w="1164" w:type="dxa"/>
            <w:tcBorders>
              <w:top w:val="nil"/>
              <w:left w:val="nil"/>
              <w:bottom w:val="nil"/>
              <w:right w:val="nil"/>
            </w:tcBorders>
            <w:shd w:val="clear" w:color="auto" w:fill="auto"/>
            <w:noWrap/>
            <w:vAlign w:val="center"/>
            <w:hideMark/>
          </w:tcPr>
          <w:p w14:paraId="4FD5A4F9" w14:textId="77777777" w:rsidR="00151939" w:rsidRPr="00884879" w:rsidRDefault="00151939" w:rsidP="0051395F">
            <w:pPr>
              <w:spacing w:after="0" w:line="240" w:lineRule="auto"/>
              <w:ind w:right="-71"/>
              <w:jc w:val="center"/>
              <w:rPr>
                <w:color w:val="000000"/>
                <w:sz w:val="20"/>
                <w:szCs w:val="20"/>
                <w:lang w:eastAsia="sk-SK"/>
              </w:rPr>
            </w:pPr>
            <w:r w:rsidRPr="00884879">
              <w:rPr>
                <w:color w:val="000000"/>
                <w:sz w:val="20"/>
                <w:szCs w:val="20"/>
                <w:lang w:eastAsia="sk-SK"/>
              </w:rPr>
              <w:t>-0,1</w:t>
            </w:r>
          </w:p>
        </w:tc>
      </w:tr>
      <w:tr w:rsidR="00151939" w:rsidRPr="00884879" w14:paraId="6929F74E" w14:textId="77777777" w:rsidTr="0051395F">
        <w:trPr>
          <w:trHeight w:val="258"/>
        </w:trPr>
        <w:tc>
          <w:tcPr>
            <w:tcW w:w="4517" w:type="dxa"/>
            <w:gridSpan w:val="3"/>
            <w:tcBorders>
              <w:top w:val="nil"/>
              <w:left w:val="nil"/>
              <w:bottom w:val="nil"/>
              <w:right w:val="nil"/>
            </w:tcBorders>
            <w:shd w:val="clear" w:color="auto" w:fill="auto"/>
            <w:vAlign w:val="center"/>
            <w:hideMark/>
          </w:tcPr>
          <w:p w14:paraId="353C65D0" w14:textId="77777777" w:rsidR="00151939" w:rsidRPr="00884879" w:rsidRDefault="00151939" w:rsidP="0051395F">
            <w:pPr>
              <w:spacing w:after="0" w:line="240" w:lineRule="auto"/>
              <w:ind w:firstLineChars="100" w:firstLine="200"/>
              <w:rPr>
                <w:color w:val="000000"/>
                <w:sz w:val="20"/>
                <w:szCs w:val="20"/>
                <w:lang w:eastAsia="sk-SK"/>
              </w:rPr>
            </w:pPr>
            <w:r w:rsidRPr="00884879">
              <w:rPr>
                <w:color w:val="000000"/>
                <w:sz w:val="20"/>
                <w:szCs w:val="20"/>
                <w:lang w:eastAsia="sk-SK"/>
              </w:rPr>
              <w:t xml:space="preserve"> - Spotrebné dane</w:t>
            </w:r>
          </w:p>
        </w:tc>
        <w:tc>
          <w:tcPr>
            <w:tcW w:w="1130" w:type="dxa"/>
            <w:tcBorders>
              <w:top w:val="nil"/>
              <w:left w:val="nil"/>
              <w:bottom w:val="nil"/>
              <w:right w:val="nil"/>
            </w:tcBorders>
            <w:shd w:val="clear" w:color="auto" w:fill="auto"/>
            <w:noWrap/>
            <w:vAlign w:val="center"/>
            <w:hideMark/>
          </w:tcPr>
          <w:p w14:paraId="691ABC65" w14:textId="77777777" w:rsidR="00151939" w:rsidRPr="00884879" w:rsidRDefault="00151939" w:rsidP="0051395F">
            <w:pPr>
              <w:spacing w:after="0" w:line="240" w:lineRule="auto"/>
              <w:jc w:val="right"/>
              <w:rPr>
                <w:color w:val="000000"/>
                <w:sz w:val="20"/>
                <w:szCs w:val="20"/>
                <w:lang w:eastAsia="sk-SK"/>
              </w:rPr>
            </w:pPr>
            <w:r w:rsidRPr="00884879">
              <w:rPr>
                <w:color w:val="000000"/>
                <w:sz w:val="20"/>
                <w:szCs w:val="20"/>
                <w:lang w:eastAsia="sk-SK"/>
              </w:rPr>
              <w:t>2 809 959</w:t>
            </w:r>
          </w:p>
        </w:tc>
        <w:tc>
          <w:tcPr>
            <w:tcW w:w="1130" w:type="dxa"/>
            <w:tcBorders>
              <w:top w:val="nil"/>
              <w:left w:val="nil"/>
              <w:bottom w:val="nil"/>
              <w:right w:val="nil"/>
            </w:tcBorders>
            <w:shd w:val="clear" w:color="auto" w:fill="auto"/>
            <w:noWrap/>
            <w:vAlign w:val="center"/>
            <w:hideMark/>
          </w:tcPr>
          <w:p w14:paraId="41BA54BE" w14:textId="77777777" w:rsidR="00151939" w:rsidRPr="00884879" w:rsidRDefault="00151939" w:rsidP="0051395F">
            <w:pPr>
              <w:spacing w:after="0" w:line="240" w:lineRule="auto"/>
              <w:jc w:val="right"/>
              <w:rPr>
                <w:color w:val="000000"/>
                <w:sz w:val="20"/>
                <w:szCs w:val="20"/>
                <w:lang w:eastAsia="sk-SK"/>
              </w:rPr>
            </w:pPr>
            <w:r w:rsidRPr="00884879">
              <w:rPr>
                <w:color w:val="000000"/>
                <w:sz w:val="20"/>
                <w:szCs w:val="20"/>
                <w:lang w:eastAsia="sk-SK"/>
              </w:rPr>
              <w:t>2 839 178</w:t>
            </w:r>
          </w:p>
        </w:tc>
        <w:tc>
          <w:tcPr>
            <w:tcW w:w="1130" w:type="dxa"/>
            <w:tcBorders>
              <w:top w:val="nil"/>
              <w:left w:val="nil"/>
              <w:bottom w:val="nil"/>
              <w:right w:val="nil"/>
            </w:tcBorders>
            <w:shd w:val="clear" w:color="auto" w:fill="auto"/>
            <w:noWrap/>
            <w:vAlign w:val="center"/>
            <w:hideMark/>
          </w:tcPr>
          <w:p w14:paraId="2451E600" w14:textId="77777777" w:rsidR="00151939" w:rsidRPr="00884879" w:rsidRDefault="00151939" w:rsidP="0051395F">
            <w:pPr>
              <w:spacing w:after="0" w:line="240" w:lineRule="auto"/>
              <w:jc w:val="right"/>
              <w:rPr>
                <w:color w:val="000000"/>
                <w:sz w:val="20"/>
                <w:szCs w:val="20"/>
                <w:lang w:eastAsia="sk-SK"/>
              </w:rPr>
            </w:pPr>
            <w:r w:rsidRPr="0051021A">
              <w:rPr>
                <w:color w:val="000000"/>
                <w:sz w:val="20"/>
                <w:szCs w:val="20"/>
                <w:lang w:eastAsia="sk-SK"/>
              </w:rPr>
              <w:t>2 752 268</w:t>
            </w:r>
          </w:p>
        </w:tc>
        <w:tc>
          <w:tcPr>
            <w:tcW w:w="1164" w:type="dxa"/>
            <w:tcBorders>
              <w:top w:val="nil"/>
              <w:left w:val="nil"/>
              <w:bottom w:val="nil"/>
              <w:right w:val="nil"/>
            </w:tcBorders>
            <w:shd w:val="clear" w:color="auto" w:fill="auto"/>
            <w:noWrap/>
            <w:vAlign w:val="center"/>
            <w:hideMark/>
          </w:tcPr>
          <w:p w14:paraId="74F153D5" w14:textId="77777777" w:rsidR="00151939" w:rsidRPr="00884879" w:rsidRDefault="00151939" w:rsidP="0051395F">
            <w:pPr>
              <w:spacing w:after="0" w:line="240" w:lineRule="auto"/>
              <w:ind w:right="-71"/>
              <w:jc w:val="center"/>
              <w:rPr>
                <w:color w:val="000000"/>
                <w:sz w:val="20"/>
                <w:szCs w:val="20"/>
                <w:lang w:eastAsia="sk-SK"/>
              </w:rPr>
            </w:pPr>
            <w:r w:rsidRPr="00884879">
              <w:rPr>
                <w:color w:val="000000"/>
                <w:sz w:val="20"/>
                <w:szCs w:val="20"/>
                <w:lang w:eastAsia="sk-SK"/>
              </w:rPr>
              <w:t>-3,1</w:t>
            </w:r>
          </w:p>
        </w:tc>
      </w:tr>
      <w:tr w:rsidR="00151939" w:rsidRPr="00884879" w14:paraId="389C5D5F" w14:textId="77777777" w:rsidTr="0051395F">
        <w:trPr>
          <w:trHeight w:val="258"/>
        </w:trPr>
        <w:tc>
          <w:tcPr>
            <w:tcW w:w="4517" w:type="dxa"/>
            <w:gridSpan w:val="3"/>
            <w:tcBorders>
              <w:top w:val="nil"/>
              <w:left w:val="nil"/>
              <w:bottom w:val="nil"/>
              <w:right w:val="nil"/>
            </w:tcBorders>
            <w:shd w:val="clear" w:color="auto" w:fill="auto"/>
            <w:vAlign w:val="center"/>
            <w:hideMark/>
          </w:tcPr>
          <w:p w14:paraId="0A015EF4" w14:textId="77777777" w:rsidR="00151939" w:rsidRPr="00884879" w:rsidRDefault="00151939" w:rsidP="0051395F">
            <w:pPr>
              <w:spacing w:after="0" w:line="240" w:lineRule="auto"/>
              <w:ind w:firstLineChars="100" w:firstLine="200"/>
              <w:rPr>
                <w:color w:val="000000"/>
                <w:sz w:val="20"/>
                <w:szCs w:val="20"/>
                <w:lang w:eastAsia="sk-SK"/>
              </w:rPr>
            </w:pPr>
            <w:r w:rsidRPr="00884879">
              <w:rPr>
                <w:color w:val="000000"/>
                <w:sz w:val="20"/>
                <w:szCs w:val="20"/>
                <w:lang w:eastAsia="sk-SK"/>
              </w:rPr>
              <w:t xml:space="preserve"> - </w:t>
            </w:r>
            <w:r w:rsidRPr="00ED3A9C">
              <w:rPr>
                <w:color w:val="000000"/>
                <w:sz w:val="20"/>
                <w:szCs w:val="20"/>
                <w:lang w:eastAsia="sk-SK"/>
              </w:rPr>
              <w:t>Daň z nehnuteľnosti a iné</w:t>
            </w:r>
          </w:p>
        </w:tc>
        <w:tc>
          <w:tcPr>
            <w:tcW w:w="1130" w:type="dxa"/>
            <w:tcBorders>
              <w:top w:val="nil"/>
              <w:left w:val="nil"/>
              <w:bottom w:val="nil"/>
              <w:right w:val="nil"/>
            </w:tcBorders>
            <w:shd w:val="clear" w:color="auto" w:fill="auto"/>
            <w:noWrap/>
            <w:vAlign w:val="center"/>
            <w:hideMark/>
          </w:tcPr>
          <w:p w14:paraId="71A47487" w14:textId="77777777" w:rsidR="00151939" w:rsidRPr="00884879" w:rsidRDefault="00151939" w:rsidP="0051395F">
            <w:pPr>
              <w:spacing w:after="0" w:line="240" w:lineRule="auto"/>
              <w:jc w:val="right"/>
              <w:rPr>
                <w:color w:val="000000"/>
                <w:sz w:val="20"/>
                <w:szCs w:val="20"/>
                <w:lang w:eastAsia="sk-SK"/>
              </w:rPr>
            </w:pPr>
            <w:r w:rsidRPr="00884879">
              <w:rPr>
                <w:color w:val="000000"/>
                <w:sz w:val="20"/>
                <w:szCs w:val="20"/>
                <w:lang w:eastAsia="sk-SK"/>
              </w:rPr>
              <w:t>337 928</w:t>
            </w:r>
          </w:p>
        </w:tc>
        <w:tc>
          <w:tcPr>
            <w:tcW w:w="1130" w:type="dxa"/>
            <w:tcBorders>
              <w:top w:val="nil"/>
              <w:left w:val="nil"/>
              <w:bottom w:val="nil"/>
              <w:right w:val="nil"/>
            </w:tcBorders>
            <w:shd w:val="clear" w:color="auto" w:fill="auto"/>
            <w:noWrap/>
            <w:vAlign w:val="center"/>
            <w:hideMark/>
          </w:tcPr>
          <w:p w14:paraId="4D176098" w14:textId="77777777" w:rsidR="00151939" w:rsidRPr="00884879" w:rsidRDefault="00151939" w:rsidP="0051395F">
            <w:pPr>
              <w:spacing w:after="0" w:line="240" w:lineRule="auto"/>
              <w:jc w:val="right"/>
              <w:rPr>
                <w:color w:val="000000"/>
                <w:sz w:val="20"/>
                <w:szCs w:val="20"/>
                <w:lang w:eastAsia="sk-SK"/>
              </w:rPr>
            </w:pPr>
            <w:r w:rsidRPr="0051021A">
              <w:rPr>
                <w:color w:val="000000"/>
                <w:sz w:val="20"/>
                <w:szCs w:val="20"/>
                <w:lang w:eastAsia="sk-SK"/>
              </w:rPr>
              <w:t>342 894</w:t>
            </w:r>
          </w:p>
        </w:tc>
        <w:tc>
          <w:tcPr>
            <w:tcW w:w="1130" w:type="dxa"/>
            <w:tcBorders>
              <w:top w:val="nil"/>
              <w:left w:val="nil"/>
              <w:bottom w:val="nil"/>
              <w:right w:val="nil"/>
            </w:tcBorders>
            <w:shd w:val="clear" w:color="auto" w:fill="auto"/>
            <w:noWrap/>
            <w:vAlign w:val="center"/>
            <w:hideMark/>
          </w:tcPr>
          <w:p w14:paraId="14E1834F" w14:textId="77777777" w:rsidR="00151939" w:rsidRPr="00884879" w:rsidRDefault="00151939" w:rsidP="0051395F">
            <w:pPr>
              <w:spacing w:after="0" w:line="240" w:lineRule="auto"/>
              <w:jc w:val="right"/>
              <w:rPr>
                <w:color w:val="000000"/>
                <w:sz w:val="20"/>
                <w:szCs w:val="20"/>
                <w:lang w:eastAsia="sk-SK"/>
              </w:rPr>
            </w:pPr>
            <w:r w:rsidRPr="00884879">
              <w:rPr>
                <w:color w:val="000000"/>
                <w:sz w:val="20"/>
                <w:szCs w:val="20"/>
                <w:lang w:eastAsia="sk-SK"/>
              </w:rPr>
              <w:t>402 211</w:t>
            </w:r>
          </w:p>
        </w:tc>
        <w:tc>
          <w:tcPr>
            <w:tcW w:w="1164" w:type="dxa"/>
            <w:tcBorders>
              <w:top w:val="nil"/>
              <w:left w:val="nil"/>
              <w:bottom w:val="nil"/>
              <w:right w:val="nil"/>
            </w:tcBorders>
            <w:shd w:val="clear" w:color="auto" w:fill="auto"/>
            <w:noWrap/>
            <w:vAlign w:val="center"/>
            <w:hideMark/>
          </w:tcPr>
          <w:p w14:paraId="2A772A3E" w14:textId="77777777" w:rsidR="00151939" w:rsidRPr="00884879" w:rsidRDefault="00151939" w:rsidP="0051395F">
            <w:pPr>
              <w:spacing w:after="0" w:line="240" w:lineRule="auto"/>
              <w:ind w:right="-71"/>
              <w:rPr>
                <w:color w:val="000000"/>
                <w:sz w:val="20"/>
                <w:szCs w:val="20"/>
                <w:lang w:eastAsia="sk-SK"/>
              </w:rPr>
            </w:pPr>
            <w:r>
              <w:rPr>
                <w:color w:val="000000"/>
                <w:sz w:val="20"/>
                <w:szCs w:val="20"/>
                <w:lang w:eastAsia="sk-SK"/>
              </w:rPr>
              <w:t xml:space="preserve">       </w:t>
            </w:r>
            <w:r w:rsidRPr="00884879">
              <w:rPr>
                <w:color w:val="000000"/>
                <w:sz w:val="20"/>
                <w:szCs w:val="20"/>
                <w:lang w:eastAsia="sk-SK"/>
              </w:rPr>
              <w:t>17,3</w:t>
            </w:r>
          </w:p>
        </w:tc>
      </w:tr>
      <w:tr w:rsidR="00151939" w:rsidRPr="00884879" w14:paraId="5EDB84CB" w14:textId="77777777" w:rsidTr="0051395F">
        <w:trPr>
          <w:trHeight w:val="258"/>
        </w:trPr>
        <w:tc>
          <w:tcPr>
            <w:tcW w:w="4517" w:type="dxa"/>
            <w:gridSpan w:val="3"/>
            <w:tcBorders>
              <w:top w:val="nil"/>
              <w:left w:val="nil"/>
              <w:bottom w:val="nil"/>
              <w:right w:val="nil"/>
            </w:tcBorders>
            <w:shd w:val="clear" w:color="auto" w:fill="auto"/>
            <w:vAlign w:val="center"/>
            <w:hideMark/>
          </w:tcPr>
          <w:p w14:paraId="61B6DEF9" w14:textId="77777777" w:rsidR="00151939" w:rsidRPr="00884879" w:rsidRDefault="00151939" w:rsidP="0051395F">
            <w:pPr>
              <w:spacing w:after="0" w:line="240" w:lineRule="auto"/>
              <w:rPr>
                <w:b/>
                <w:bCs/>
                <w:color w:val="000000"/>
                <w:sz w:val="20"/>
                <w:szCs w:val="20"/>
                <w:lang w:eastAsia="sk-SK"/>
              </w:rPr>
            </w:pPr>
            <w:r w:rsidRPr="00884879">
              <w:rPr>
                <w:b/>
                <w:bCs/>
                <w:color w:val="000000"/>
                <w:sz w:val="20"/>
                <w:szCs w:val="20"/>
                <w:lang w:eastAsia="sk-SK"/>
              </w:rPr>
              <w:t>Bežné dane z dôchodkov, majetku</w:t>
            </w:r>
          </w:p>
        </w:tc>
        <w:tc>
          <w:tcPr>
            <w:tcW w:w="1130" w:type="dxa"/>
            <w:tcBorders>
              <w:top w:val="nil"/>
              <w:left w:val="nil"/>
              <w:bottom w:val="nil"/>
              <w:right w:val="nil"/>
            </w:tcBorders>
            <w:shd w:val="clear" w:color="auto" w:fill="auto"/>
            <w:noWrap/>
            <w:vAlign w:val="center"/>
            <w:hideMark/>
          </w:tcPr>
          <w:p w14:paraId="3F94F204" w14:textId="77777777" w:rsidR="00151939" w:rsidRPr="00884879" w:rsidRDefault="00151939" w:rsidP="0051395F">
            <w:pPr>
              <w:spacing w:after="0" w:line="240" w:lineRule="auto"/>
              <w:jc w:val="right"/>
              <w:rPr>
                <w:b/>
                <w:bCs/>
                <w:color w:val="000000"/>
                <w:sz w:val="20"/>
                <w:szCs w:val="20"/>
                <w:lang w:eastAsia="sk-SK"/>
              </w:rPr>
            </w:pPr>
            <w:r w:rsidRPr="00884879">
              <w:rPr>
                <w:b/>
                <w:bCs/>
                <w:color w:val="000000"/>
                <w:sz w:val="20"/>
                <w:szCs w:val="20"/>
                <w:lang w:eastAsia="sk-SK"/>
              </w:rPr>
              <w:t>6 529 237</w:t>
            </w:r>
          </w:p>
        </w:tc>
        <w:tc>
          <w:tcPr>
            <w:tcW w:w="1130" w:type="dxa"/>
            <w:tcBorders>
              <w:top w:val="nil"/>
              <w:left w:val="nil"/>
              <w:bottom w:val="nil"/>
              <w:right w:val="nil"/>
            </w:tcBorders>
            <w:shd w:val="clear" w:color="auto" w:fill="auto"/>
            <w:noWrap/>
            <w:vAlign w:val="center"/>
            <w:hideMark/>
          </w:tcPr>
          <w:p w14:paraId="50154B15" w14:textId="77777777" w:rsidR="00151939" w:rsidRPr="00884879" w:rsidRDefault="00151939" w:rsidP="0051395F">
            <w:pPr>
              <w:spacing w:after="0" w:line="240" w:lineRule="auto"/>
              <w:jc w:val="right"/>
              <w:rPr>
                <w:b/>
                <w:bCs/>
                <w:color w:val="000000"/>
                <w:sz w:val="20"/>
                <w:szCs w:val="20"/>
                <w:lang w:eastAsia="sk-SK"/>
              </w:rPr>
            </w:pPr>
            <w:r w:rsidRPr="00884879">
              <w:rPr>
                <w:b/>
                <w:bCs/>
                <w:color w:val="000000"/>
                <w:sz w:val="20"/>
                <w:szCs w:val="20"/>
                <w:lang w:eastAsia="sk-SK"/>
              </w:rPr>
              <w:t>6 793 282</w:t>
            </w:r>
          </w:p>
        </w:tc>
        <w:tc>
          <w:tcPr>
            <w:tcW w:w="1130" w:type="dxa"/>
            <w:tcBorders>
              <w:top w:val="nil"/>
              <w:left w:val="nil"/>
              <w:bottom w:val="nil"/>
              <w:right w:val="nil"/>
            </w:tcBorders>
            <w:shd w:val="clear" w:color="auto" w:fill="auto"/>
            <w:noWrap/>
            <w:vAlign w:val="center"/>
            <w:hideMark/>
          </w:tcPr>
          <w:p w14:paraId="5BEE5758" w14:textId="77777777" w:rsidR="00151939" w:rsidRPr="00884879" w:rsidRDefault="00151939" w:rsidP="0051395F">
            <w:pPr>
              <w:spacing w:after="0" w:line="240" w:lineRule="auto"/>
              <w:jc w:val="right"/>
              <w:rPr>
                <w:b/>
                <w:bCs/>
                <w:color w:val="000000"/>
                <w:sz w:val="20"/>
                <w:szCs w:val="20"/>
                <w:lang w:eastAsia="sk-SK"/>
              </w:rPr>
            </w:pPr>
            <w:r w:rsidRPr="00884879">
              <w:rPr>
                <w:b/>
                <w:bCs/>
                <w:color w:val="000000"/>
                <w:sz w:val="20"/>
                <w:szCs w:val="20"/>
                <w:lang w:eastAsia="sk-SK"/>
              </w:rPr>
              <w:t>6 661 200</w:t>
            </w:r>
          </w:p>
        </w:tc>
        <w:tc>
          <w:tcPr>
            <w:tcW w:w="1164" w:type="dxa"/>
            <w:tcBorders>
              <w:top w:val="nil"/>
              <w:left w:val="nil"/>
              <w:bottom w:val="nil"/>
              <w:right w:val="nil"/>
            </w:tcBorders>
            <w:shd w:val="clear" w:color="auto" w:fill="auto"/>
            <w:noWrap/>
            <w:vAlign w:val="center"/>
            <w:hideMark/>
          </w:tcPr>
          <w:p w14:paraId="6199A854" w14:textId="77777777" w:rsidR="00151939" w:rsidRPr="00884879" w:rsidRDefault="00151939" w:rsidP="0051395F">
            <w:pPr>
              <w:spacing w:after="0" w:line="240" w:lineRule="auto"/>
              <w:ind w:right="-71"/>
              <w:jc w:val="center"/>
              <w:rPr>
                <w:b/>
                <w:bCs/>
                <w:color w:val="000000"/>
                <w:sz w:val="20"/>
                <w:szCs w:val="20"/>
                <w:lang w:eastAsia="sk-SK"/>
              </w:rPr>
            </w:pPr>
            <w:r w:rsidRPr="00884879">
              <w:rPr>
                <w:b/>
                <w:bCs/>
                <w:color w:val="000000"/>
                <w:sz w:val="20"/>
                <w:szCs w:val="20"/>
                <w:lang w:eastAsia="sk-SK"/>
              </w:rPr>
              <w:t>-1,9</w:t>
            </w:r>
          </w:p>
        </w:tc>
      </w:tr>
      <w:tr w:rsidR="00151939" w:rsidRPr="00884879" w14:paraId="785426B3" w14:textId="77777777" w:rsidTr="0051395F">
        <w:trPr>
          <w:trHeight w:val="258"/>
        </w:trPr>
        <w:tc>
          <w:tcPr>
            <w:tcW w:w="4517" w:type="dxa"/>
            <w:gridSpan w:val="3"/>
            <w:tcBorders>
              <w:top w:val="nil"/>
              <w:left w:val="nil"/>
              <w:bottom w:val="nil"/>
              <w:right w:val="nil"/>
            </w:tcBorders>
            <w:shd w:val="clear" w:color="auto" w:fill="auto"/>
            <w:vAlign w:val="center"/>
            <w:hideMark/>
          </w:tcPr>
          <w:p w14:paraId="26823744" w14:textId="77777777" w:rsidR="00151939" w:rsidRPr="00884879" w:rsidRDefault="00151939" w:rsidP="0051395F">
            <w:pPr>
              <w:spacing w:after="0" w:line="240" w:lineRule="auto"/>
              <w:ind w:right="-921" w:firstLineChars="100" w:firstLine="200"/>
              <w:rPr>
                <w:color w:val="000000"/>
                <w:sz w:val="20"/>
                <w:szCs w:val="20"/>
                <w:lang w:eastAsia="sk-SK"/>
              </w:rPr>
            </w:pPr>
            <w:r w:rsidRPr="00884879">
              <w:rPr>
                <w:color w:val="000000"/>
                <w:sz w:val="20"/>
                <w:szCs w:val="20"/>
                <w:lang w:eastAsia="sk-SK"/>
              </w:rPr>
              <w:t xml:space="preserve"> - Daň z príjmov fyzických osôb</w:t>
            </w:r>
          </w:p>
        </w:tc>
        <w:tc>
          <w:tcPr>
            <w:tcW w:w="1130" w:type="dxa"/>
            <w:tcBorders>
              <w:top w:val="nil"/>
              <w:left w:val="nil"/>
              <w:bottom w:val="nil"/>
              <w:right w:val="nil"/>
            </w:tcBorders>
            <w:shd w:val="clear" w:color="auto" w:fill="auto"/>
            <w:noWrap/>
            <w:vAlign w:val="center"/>
            <w:hideMark/>
          </w:tcPr>
          <w:p w14:paraId="6C8EE52C" w14:textId="77777777" w:rsidR="00151939" w:rsidRPr="00884879" w:rsidRDefault="00151939" w:rsidP="0051395F">
            <w:pPr>
              <w:spacing w:after="0" w:line="240" w:lineRule="auto"/>
              <w:jc w:val="right"/>
              <w:rPr>
                <w:color w:val="000000"/>
                <w:sz w:val="20"/>
                <w:szCs w:val="20"/>
                <w:lang w:eastAsia="sk-SK"/>
              </w:rPr>
            </w:pPr>
            <w:r w:rsidRPr="00884879">
              <w:rPr>
                <w:color w:val="000000"/>
                <w:sz w:val="20"/>
                <w:szCs w:val="20"/>
                <w:lang w:eastAsia="sk-SK"/>
              </w:rPr>
              <w:t>3 217 997</w:t>
            </w:r>
          </w:p>
        </w:tc>
        <w:tc>
          <w:tcPr>
            <w:tcW w:w="1130" w:type="dxa"/>
            <w:tcBorders>
              <w:top w:val="nil"/>
              <w:left w:val="nil"/>
              <w:bottom w:val="nil"/>
              <w:right w:val="nil"/>
            </w:tcBorders>
            <w:shd w:val="clear" w:color="auto" w:fill="auto"/>
            <w:noWrap/>
            <w:vAlign w:val="center"/>
            <w:hideMark/>
          </w:tcPr>
          <w:p w14:paraId="40FAAF09" w14:textId="77777777" w:rsidR="00151939" w:rsidRPr="00884879" w:rsidRDefault="00151939" w:rsidP="0051395F">
            <w:pPr>
              <w:spacing w:after="0" w:line="240" w:lineRule="auto"/>
              <w:ind w:left="-183"/>
              <w:jc w:val="right"/>
              <w:rPr>
                <w:color w:val="000000"/>
                <w:sz w:val="20"/>
                <w:szCs w:val="20"/>
                <w:lang w:eastAsia="sk-SK"/>
              </w:rPr>
            </w:pPr>
            <w:r w:rsidRPr="0051021A">
              <w:rPr>
                <w:color w:val="000000"/>
                <w:sz w:val="20"/>
                <w:szCs w:val="20"/>
                <w:lang w:eastAsia="sk-SK"/>
              </w:rPr>
              <w:t>3 534 7</w:t>
            </w:r>
            <w:r>
              <w:rPr>
                <w:color w:val="000000"/>
                <w:sz w:val="20"/>
                <w:szCs w:val="20"/>
                <w:lang w:eastAsia="sk-SK"/>
              </w:rPr>
              <w:t>30</w:t>
            </w:r>
          </w:p>
        </w:tc>
        <w:tc>
          <w:tcPr>
            <w:tcW w:w="1130" w:type="dxa"/>
            <w:tcBorders>
              <w:top w:val="nil"/>
              <w:left w:val="nil"/>
              <w:bottom w:val="nil"/>
              <w:right w:val="nil"/>
            </w:tcBorders>
            <w:shd w:val="clear" w:color="auto" w:fill="auto"/>
            <w:noWrap/>
            <w:vAlign w:val="center"/>
            <w:hideMark/>
          </w:tcPr>
          <w:p w14:paraId="6C19D564" w14:textId="77777777" w:rsidR="00151939" w:rsidRPr="00884879" w:rsidRDefault="00151939" w:rsidP="0051395F">
            <w:pPr>
              <w:spacing w:after="0" w:line="240" w:lineRule="auto"/>
              <w:jc w:val="right"/>
              <w:rPr>
                <w:color w:val="000000"/>
                <w:sz w:val="20"/>
                <w:szCs w:val="20"/>
                <w:lang w:eastAsia="sk-SK"/>
              </w:rPr>
            </w:pPr>
            <w:r w:rsidRPr="0051021A">
              <w:rPr>
                <w:color w:val="000000"/>
                <w:sz w:val="20"/>
                <w:szCs w:val="20"/>
                <w:lang w:eastAsia="sk-SK"/>
              </w:rPr>
              <w:t xml:space="preserve">3 491 </w:t>
            </w:r>
            <w:r>
              <w:rPr>
                <w:color w:val="000000"/>
                <w:sz w:val="20"/>
                <w:szCs w:val="20"/>
                <w:lang w:eastAsia="sk-SK"/>
              </w:rPr>
              <w:t>759</w:t>
            </w:r>
          </w:p>
        </w:tc>
        <w:tc>
          <w:tcPr>
            <w:tcW w:w="1164" w:type="dxa"/>
            <w:tcBorders>
              <w:top w:val="nil"/>
              <w:left w:val="nil"/>
              <w:bottom w:val="nil"/>
              <w:right w:val="nil"/>
            </w:tcBorders>
            <w:shd w:val="clear" w:color="auto" w:fill="auto"/>
            <w:noWrap/>
            <w:vAlign w:val="center"/>
            <w:hideMark/>
          </w:tcPr>
          <w:p w14:paraId="361C5776" w14:textId="77777777" w:rsidR="00151939" w:rsidRPr="00884879" w:rsidRDefault="00151939" w:rsidP="0051395F">
            <w:pPr>
              <w:spacing w:after="0" w:line="240" w:lineRule="auto"/>
              <w:ind w:right="-71"/>
              <w:jc w:val="center"/>
              <w:rPr>
                <w:color w:val="000000"/>
                <w:sz w:val="20"/>
                <w:szCs w:val="20"/>
                <w:lang w:eastAsia="sk-SK"/>
              </w:rPr>
            </w:pPr>
            <w:r w:rsidRPr="00884879">
              <w:rPr>
                <w:color w:val="000000"/>
                <w:sz w:val="20"/>
                <w:szCs w:val="20"/>
                <w:lang w:eastAsia="sk-SK"/>
              </w:rPr>
              <w:t>-1,2</w:t>
            </w:r>
          </w:p>
        </w:tc>
      </w:tr>
      <w:tr w:rsidR="00151939" w:rsidRPr="00884879" w14:paraId="5A9649D6" w14:textId="77777777" w:rsidTr="0051395F">
        <w:trPr>
          <w:trHeight w:val="258"/>
        </w:trPr>
        <w:tc>
          <w:tcPr>
            <w:tcW w:w="4517" w:type="dxa"/>
            <w:gridSpan w:val="3"/>
            <w:tcBorders>
              <w:top w:val="nil"/>
              <w:left w:val="nil"/>
              <w:bottom w:val="nil"/>
              <w:right w:val="nil"/>
            </w:tcBorders>
            <w:shd w:val="clear" w:color="auto" w:fill="auto"/>
            <w:noWrap/>
            <w:vAlign w:val="center"/>
            <w:hideMark/>
          </w:tcPr>
          <w:p w14:paraId="4F5DA341" w14:textId="77777777" w:rsidR="00151939" w:rsidRPr="00884879" w:rsidRDefault="00151939" w:rsidP="0051395F">
            <w:pPr>
              <w:spacing w:after="0" w:line="240" w:lineRule="auto"/>
              <w:rPr>
                <w:color w:val="000000"/>
                <w:sz w:val="20"/>
                <w:szCs w:val="20"/>
                <w:lang w:eastAsia="sk-SK"/>
              </w:rPr>
            </w:pPr>
            <w:r>
              <w:rPr>
                <w:color w:val="000000"/>
                <w:sz w:val="20"/>
                <w:szCs w:val="20"/>
                <w:lang w:eastAsia="sk-SK"/>
              </w:rPr>
              <w:t xml:space="preserve">         </w:t>
            </w:r>
            <w:r w:rsidRPr="00884879">
              <w:rPr>
                <w:color w:val="000000"/>
                <w:sz w:val="20"/>
                <w:szCs w:val="20"/>
                <w:lang w:eastAsia="sk-SK"/>
              </w:rPr>
              <w:t>- zo závislej činnosti</w:t>
            </w:r>
          </w:p>
        </w:tc>
        <w:tc>
          <w:tcPr>
            <w:tcW w:w="1130" w:type="dxa"/>
            <w:tcBorders>
              <w:top w:val="nil"/>
              <w:left w:val="nil"/>
              <w:bottom w:val="nil"/>
              <w:right w:val="nil"/>
            </w:tcBorders>
            <w:shd w:val="clear" w:color="auto" w:fill="auto"/>
            <w:noWrap/>
            <w:vAlign w:val="center"/>
            <w:hideMark/>
          </w:tcPr>
          <w:p w14:paraId="564CC2C3" w14:textId="77777777" w:rsidR="00151939" w:rsidRPr="00884879" w:rsidRDefault="00151939" w:rsidP="0051395F">
            <w:pPr>
              <w:spacing w:after="0" w:line="240" w:lineRule="auto"/>
              <w:jc w:val="right"/>
              <w:rPr>
                <w:color w:val="000000"/>
                <w:sz w:val="20"/>
                <w:szCs w:val="20"/>
                <w:lang w:eastAsia="sk-SK"/>
              </w:rPr>
            </w:pPr>
            <w:r w:rsidRPr="00884879">
              <w:rPr>
                <w:color w:val="000000"/>
                <w:sz w:val="20"/>
                <w:szCs w:val="20"/>
                <w:lang w:eastAsia="sk-SK"/>
              </w:rPr>
              <w:t>3 094 282</w:t>
            </w:r>
          </w:p>
        </w:tc>
        <w:tc>
          <w:tcPr>
            <w:tcW w:w="1130" w:type="dxa"/>
            <w:tcBorders>
              <w:top w:val="nil"/>
              <w:left w:val="nil"/>
              <w:bottom w:val="nil"/>
              <w:right w:val="nil"/>
            </w:tcBorders>
            <w:shd w:val="clear" w:color="auto" w:fill="auto"/>
            <w:noWrap/>
            <w:vAlign w:val="center"/>
            <w:hideMark/>
          </w:tcPr>
          <w:p w14:paraId="59D89DFC" w14:textId="77777777" w:rsidR="00151939" w:rsidRPr="00884879" w:rsidRDefault="00151939" w:rsidP="0051395F">
            <w:pPr>
              <w:spacing w:after="0" w:line="240" w:lineRule="auto"/>
              <w:jc w:val="right"/>
              <w:rPr>
                <w:color w:val="000000"/>
                <w:sz w:val="20"/>
                <w:szCs w:val="20"/>
                <w:lang w:eastAsia="sk-SK"/>
              </w:rPr>
            </w:pPr>
            <w:r w:rsidRPr="00884879">
              <w:rPr>
                <w:color w:val="000000"/>
                <w:sz w:val="20"/>
                <w:szCs w:val="20"/>
                <w:lang w:eastAsia="sk-SK"/>
              </w:rPr>
              <w:t>3 410 112</w:t>
            </w:r>
          </w:p>
        </w:tc>
        <w:tc>
          <w:tcPr>
            <w:tcW w:w="1130" w:type="dxa"/>
            <w:tcBorders>
              <w:top w:val="nil"/>
              <w:left w:val="nil"/>
              <w:bottom w:val="nil"/>
              <w:right w:val="nil"/>
            </w:tcBorders>
            <w:shd w:val="clear" w:color="auto" w:fill="auto"/>
            <w:noWrap/>
            <w:vAlign w:val="center"/>
            <w:hideMark/>
          </w:tcPr>
          <w:p w14:paraId="6631C302" w14:textId="77777777" w:rsidR="00151939" w:rsidRPr="00884879" w:rsidRDefault="00151939" w:rsidP="0051395F">
            <w:pPr>
              <w:spacing w:after="0" w:line="240" w:lineRule="auto"/>
              <w:jc w:val="right"/>
              <w:rPr>
                <w:color w:val="000000"/>
                <w:sz w:val="20"/>
                <w:szCs w:val="20"/>
                <w:lang w:eastAsia="sk-SK"/>
              </w:rPr>
            </w:pPr>
            <w:r w:rsidRPr="0051021A">
              <w:rPr>
                <w:color w:val="000000"/>
                <w:sz w:val="20"/>
                <w:szCs w:val="20"/>
                <w:lang w:eastAsia="sk-SK"/>
              </w:rPr>
              <w:t xml:space="preserve">3 405 </w:t>
            </w:r>
            <w:r>
              <w:rPr>
                <w:color w:val="000000"/>
                <w:sz w:val="20"/>
                <w:szCs w:val="20"/>
                <w:lang w:eastAsia="sk-SK"/>
              </w:rPr>
              <w:t>679</w:t>
            </w:r>
          </w:p>
        </w:tc>
        <w:tc>
          <w:tcPr>
            <w:tcW w:w="1164" w:type="dxa"/>
            <w:tcBorders>
              <w:top w:val="nil"/>
              <w:left w:val="nil"/>
              <w:bottom w:val="nil"/>
              <w:right w:val="nil"/>
            </w:tcBorders>
            <w:shd w:val="clear" w:color="auto" w:fill="auto"/>
            <w:noWrap/>
            <w:vAlign w:val="center"/>
            <w:hideMark/>
          </w:tcPr>
          <w:p w14:paraId="1E13043D" w14:textId="77777777" w:rsidR="00151939" w:rsidRPr="00884879" w:rsidRDefault="00151939" w:rsidP="0051395F">
            <w:pPr>
              <w:spacing w:after="0" w:line="240" w:lineRule="auto"/>
              <w:ind w:right="-71"/>
              <w:jc w:val="center"/>
              <w:rPr>
                <w:color w:val="000000"/>
                <w:sz w:val="20"/>
                <w:szCs w:val="20"/>
                <w:lang w:eastAsia="sk-SK"/>
              </w:rPr>
            </w:pPr>
            <w:r w:rsidRPr="00884879">
              <w:rPr>
                <w:color w:val="000000"/>
                <w:sz w:val="20"/>
                <w:szCs w:val="20"/>
                <w:lang w:eastAsia="sk-SK"/>
              </w:rPr>
              <w:t>-0,1</w:t>
            </w:r>
          </w:p>
        </w:tc>
      </w:tr>
      <w:tr w:rsidR="00151939" w:rsidRPr="00884879" w14:paraId="0CA9385E" w14:textId="77777777" w:rsidTr="0051395F">
        <w:trPr>
          <w:trHeight w:val="258"/>
        </w:trPr>
        <w:tc>
          <w:tcPr>
            <w:tcW w:w="3969" w:type="dxa"/>
            <w:tcBorders>
              <w:top w:val="nil"/>
              <w:left w:val="nil"/>
              <w:bottom w:val="nil"/>
              <w:right w:val="nil"/>
            </w:tcBorders>
            <w:shd w:val="clear" w:color="auto" w:fill="auto"/>
            <w:noWrap/>
            <w:vAlign w:val="center"/>
            <w:hideMark/>
          </w:tcPr>
          <w:p w14:paraId="529B80FD" w14:textId="77777777" w:rsidR="00151939" w:rsidRPr="00FD4507" w:rsidRDefault="00151939" w:rsidP="0051395F">
            <w:pPr>
              <w:spacing w:after="0" w:line="240" w:lineRule="auto"/>
              <w:ind w:left="639" w:hanging="639"/>
              <w:rPr>
                <w:color w:val="000000"/>
                <w:sz w:val="20"/>
                <w:szCs w:val="20"/>
              </w:rPr>
            </w:pPr>
            <w:r>
              <w:rPr>
                <w:color w:val="000000"/>
                <w:sz w:val="20"/>
                <w:szCs w:val="20"/>
                <w:lang w:eastAsia="sk-SK"/>
              </w:rPr>
              <w:t xml:space="preserve">         - </w:t>
            </w:r>
            <w:r w:rsidRPr="00FD4507">
              <w:rPr>
                <w:color w:val="000000"/>
                <w:sz w:val="20"/>
                <w:szCs w:val="20"/>
                <w:lang w:eastAsia="sk-SK"/>
              </w:rPr>
              <w:t>z podnikania a inej sam</w:t>
            </w:r>
            <w:r>
              <w:rPr>
                <w:color w:val="000000"/>
                <w:sz w:val="20"/>
                <w:szCs w:val="20"/>
                <w:lang w:eastAsia="sk-SK"/>
              </w:rPr>
              <w:t xml:space="preserve">ostatnej                                    </w:t>
            </w:r>
            <w:r w:rsidRPr="00FD4507">
              <w:rPr>
                <w:color w:val="000000"/>
                <w:sz w:val="20"/>
                <w:szCs w:val="20"/>
                <w:lang w:eastAsia="sk-SK"/>
              </w:rPr>
              <w:t>zár</w:t>
            </w:r>
            <w:r>
              <w:rPr>
                <w:color w:val="000000"/>
                <w:sz w:val="20"/>
                <w:szCs w:val="20"/>
                <w:lang w:eastAsia="sk-SK"/>
              </w:rPr>
              <w:t>obkovej</w:t>
            </w:r>
            <w:r w:rsidRPr="00FD4507">
              <w:rPr>
                <w:color w:val="000000"/>
                <w:sz w:val="20"/>
                <w:szCs w:val="20"/>
                <w:lang w:eastAsia="sk-SK"/>
              </w:rPr>
              <w:t xml:space="preserve"> činnosti</w:t>
            </w:r>
          </w:p>
        </w:tc>
        <w:tc>
          <w:tcPr>
            <w:tcW w:w="160" w:type="dxa"/>
            <w:tcBorders>
              <w:top w:val="nil"/>
              <w:left w:val="nil"/>
              <w:bottom w:val="nil"/>
              <w:right w:val="nil"/>
            </w:tcBorders>
            <w:shd w:val="clear" w:color="auto" w:fill="auto"/>
            <w:vAlign w:val="center"/>
          </w:tcPr>
          <w:p w14:paraId="32B0597B" w14:textId="77777777" w:rsidR="00151939" w:rsidRPr="00FD4507" w:rsidRDefault="00151939" w:rsidP="0051395F">
            <w:pPr>
              <w:ind w:right="-498"/>
              <w:rPr>
                <w:color w:val="000000"/>
                <w:sz w:val="20"/>
                <w:szCs w:val="20"/>
              </w:rPr>
            </w:pPr>
          </w:p>
        </w:tc>
        <w:tc>
          <w:tcPr>
            <w:tcW w:w="1518" w:type="dxa"/>
            <w:gridSpan w:val="2"/>
            <w:tcBorders>
              <w:top w:val="nil"/>
              <w:left w:val="nil"/>
              <w:bottom w:val="nil"/>
              <w:right w:val="nil"/>
            </w:tcBorders>
            <w:shd w:val="clear" w:color="auto" w:fill="auto"/>
            <w:noWrap/>
            <w:vAlign w:val="center"/>
            <w:hideMark/>
          </w:tcPr>
          <w:p w14:paraId="326588EB" w14:textId="77777777" w:rsidR="00151939" w:rsidRPr="00884879" w:rsidRDefault="00151939" w:rsidP="0051395F">
            <w:pPr>
              <w:spacing w:after="0" w:line="240" w:lineRule="auto"/>
              <w:ind w:left="783" w:hanging="783"/>
              <w:jc w:val="right"/>
              <w:rPr>
                <w:color w:val="000000"/>
                <w:sz w:val="20"/>
                <w:szCs w:val="20"/>
                <w:lang w:eastAsia="sk-SK"/>
              </w:rPr>
            </w:pPr>
            <w:r w:rsidRPr="00884879">
              <w:rPr>
                <w:color w:val="000000"/>
                <w:sz w:val="20"/>
                <w:szCs w:val="20"/>
                <w:lang w:eastAsia="sk-SK"/>
              </w:rPr>
              <w:t>123</w:t>
            </w:r>
            <w:r>
              <w:rPr>
                <w:color w:val="000000"/>
                <w:sz w:val="20"/>
                <w:szCs w:val="20"/>
                <w:lang w:eastAsia="sk-SK"/>
              </w:rPr>
              <w:t> </w:t>
            </w:r>
            <w:r w:rsidRPr="00884879">
              <w:rPr>
                <w:color w:val="000000"/>
                <w:sz w:val="20"/>
                <w:szCs w:val="20"/>
                <w:lang w:eastAsia="sk-SK"/>
              </w:rPr>
              <w:t>715</w:t>
            </w:r>
          </w:p>
        </w:tc>
        <w:tc>
          <w:tcPr>
            <w:tcW w:w="1130" w:type="dxa"/>
            <w:tcBorders>
              <w:top w:val="nil"/>
              <w:left w:val="nil"/>
              <w:bottom w:val="nil"/>
              <w:right w:val="nil"/>
            </w:tcBorders>
            <w:shd w:val="clear" w:color="auto" w:fill="auto"/>
            <w:noWrap/>
            <w:vAlign w:val="center"/>
            <w:hideMark/>
          </w:tcPr>
          <w:p w14:paraId="7C4272EA" w14:textId="77777777" w:rsidR="00151939" w:rsidRPr="0051021A" w:rsidRDefault="00151939" w:rsidP="0051395F">
            <w:pPr>
              <w:spacing w:after="0" w:line="240" w:lineRule="auto"/>
              <w:jc w:val="right"/>
              <w:rPr>
                <w:color w:val="000000"/>
                <w:sz w:val="20"/>
                <w:szCs w:val="20"/>
                <w:lang w:eastAsia="sk-SK"/>
              </w:rPr>
            </w:pPr>
            <w:r w:rsidRPr="0051021A">
              <w:rPr>
                <w:color w:val="000000"/>
                <w:sz w:val="20"/>
                <w:szCs w:val="20"/>
                <w:lang w:eastAsia="sk-SK"/>
              </w:rPr>
              <w:t>124 617</w:t>
            </w:r>
          </w:p>
        </w:tc>
        <w:tc>
          <w:tcPr>
            <w:tcW w:w="1130" w:type="dxa"/>
            <w:tcBorders>
              <w:top w:val="nil"/>
              <w:left w:val="nil"/>
              <w:bottom w:val="nil"/>
              <w:right w:val="nil"/>
            </w:tcBorders>
            <w:shd w:val="clear" w:color="auto" w:fill="auto"/>
            <w:noWrap/>
            <w:vAlign w:val="center"/>
            <w:hideMark/>
          </w:tcPr>
          <w:p w14:paraId="1C3F6928" w14:textId="77777777" w:rsidR="00151939" w:rsidRPr="0051021A" w:rsidRDefault="00151939" w:rsidP="0051395F">
            <w:pPr>
              <w:spacing w:after="0" w:line="240" w:lineRule="auto"/>
              <w:jc w:val="right"/>
              <w:rPr>
                <w:color w:val="000000"/>
                <w:sz w:val="20"/>
                <w:szCs w:val="20"/>
                <w:lang w:eastAsia="sk-SK"/>
              </w:rPr>
            </w:pPr>
            <w:r w:rsidRPr="0051021A">
              <w:rPr>
                <w:color w:val="000000"/>
                <w:sz w:val="20"/>
                <w:szCs w:val="20"/>
                <w:lang w:eastAsia="sk-SK"/>
              </w:rPr>
              <w:t>86 079</w:t>
            </w:r>
          </w:p>
        </w:tc>
        <w:tc>
          <w:tcPr>
            <w:tcW w:w="1164" w:type="dxa"/>
            <w:tcBorders>
              <w:top w:val="nil"/>
              <w:left w:val="nil"/>
              <w:bottom w:val="nil"/>
              <w:right w:val="nil"/>
            </w:tcBorders>
            <w:shd w:val="clear" w:color="auto" w:fill="auto"/>
            <w:noWrap/>
            <w:vAlign w:val="center"/>
            <w:hideMark/>
          </w:tcPr>
          <w:p w14:paraId="47B1D79B" w14:textId="77777777" w:rsidR="00151939" w:rsidRPr="00884879" w:rsidRDefault="00151939" w:rsidP="0051395F">
            <w:pPr>
              <w:spacing w:after="0" w:line="240" w:lineRule="auto"/>
              <w:ind w:right="-71"/>
              <w:rPr>
                <w:color w:val="000000"/>
                <w:sz w:val="20"/>
                <w:szCs w:val="20"/>
                <w:lang w:eastAsia="sk-SK"/>
              </w:rPr>
            </w:pPr>
            <w:r>
              <w:rPr>
                <w:color w:val="000000"/>
                <w:sz w:val="20"/>
                <w:szCs w:val="20"/>
                <w:lang w:eastAsia="sk-SK"/>
              </w:rPr>
              <w:t xml:space="preserve">      </w:t>
            </w:r>
            <w:r w:rsidRPr="0051021A">
              <w:rPr>
                <w:color w:val="000000"/>
                <w:sz w:val="20"/>
                <w:szCs w:val="20"/>
                <w:lang w:eastAsia="sk-SK"/>
              </w:rPr>
              <w:t>-30,9</w:t>
            </w:r>
          </w:p>
        </w:tc>
      </w:tr>
      <w:tr w:rsidR="00151939" w:rsidRPr="00884879" w14:paraId="2F72AED9" w14:textId="77777777" w:rsidTr="0051395F">
        <w:trPr>
          <w:trHeight w:val="258"/>
        </w:trPr>
        <w:tc>
          <w:tcPr>
            <w:tcW w:w="4517" w:type="dxa"/>
            <w:gridSpan w:val="3"/>
            <w:tcBorders>
              <w:top w:val="nil"/>
              <w:left w:val="nil"/>
              <w:bottom w:val="nil"/>
              <w:right w:val="nil"/>
            </w:tcBorders>
            <w:shd w:val="clear" w:color="auto" w:fill="auto"/>
            <w:noWrap/>
            <w:vAlign w:val="center"/>
            <w:hideMark/>
          </w:tcPr>
          <w:p w14:paraId="52E42692" w14:textId="77777777" w:rsidR="00151939" w:rsidRDefault="00151939" w:rsidP="0051395F">
            <w:pPr>
              <w:spacing w:after="0" w:line="240" w:lineRule="auto"/>
              <w:ind w:right="-1631" w:firstLineChars="100" w:firstLine="200"/>
              <w:rPr>
                <w:color w:val="000000"/>
                <w:sz w:val="20"/>
                <w:szCs w:val="20"/>
                <w:lang w:eastAsia="sk-SK"/>
              </w:rPr>
            </w:pPr>
            <w:r w:rsidRPr="00884879">
              <w:rPr>
                <w:color w:val="000000"/>
                <w:sz w:val="20"/>
                <w:szCs w:val="20"/>
                <w:lang w:eastAsia="sk-SK"/>
              </w:rPr>
              <w:t xml:space="preserve"> - Daň z príjmov právnických </w:t>
            </w:r>
            <w:r>
              <w:rPr>
                <w:color w:val="000000"/>
                <w:sz w:val="20"/>
                <w:szCs w:val="20"/>
                <w:lang w:eastAsia="sk-SK"/>
              </w:rPr>
              <w:t xml:space="preserve">osôb (vrátane </w:t>
            </w:r>
          </w:p>
          <w:p w14:paraId="15A88044" w14:textId="77777777" w:rsidR="00151939" w:rsidRPr="00884879" w:rsidRDefault="00151939" w:rsidP="0051395F">
            <w:pPr>
              <w:spacing w:after="0" w:line="240" w:lineRule="auto"/>
              <w:ind w:right="-1631" w:firstLineChars="100" w:firstLine="200"/>
              <w:rPr>
                <w:color w:val="000000"/>
                <w:sz w:val="20"/>
                <w:szCs w:val="20"/>
                <w:lang w:eastAsia="sk-SK"/>
              </w:rPr>
            </w:pPr>
            <w:r>
              <w:rPr>
                <w:color w:val="000000"/>
                <w:sz w:val="20"/>
                <w:szCs w:val="20"/>
                <w:lang w:eastAsia="sk-SK"/>
              </w:rPr>
              <w:t xml:space="preserve">    odvodu z regulovaných odvetví</w:t>
            </w:r>
          </w:p>
        </w:tc>
        <w:tc>
          <w:tcPr>
            <w:tcW w:w="1130" w:type="dxa"/>
            <w:tcBorders>
              <w:top w:val="nil"/>
              <w:left w:val="nil"/>
              <w:bottom w:val="nil"/>
              <w:right w:val="nil"/>
            </w:tcBorders>
            <w:shd w:val="clear" w:color="auto" w:fill="auto"/>
            <w:noWrap/>
            <w:vAlign w:val="center"/>
            <w:hideMark/>
          </w:tcPr>
          <w:p w14:paraId="7C4D6047" w14:textId="77777777" w:rsidR="00151939" w:rsidRPr="00884879" w:rsidRDefault="00151939" w:rsidP="0051395F">
            <w:pPr>
              <w:spacing w:after="0" w:line="240" w:lineRule="auto"/>
              <w:jc w:val="right"/>
              <w:rPr>
                <w:color w:val="000000"/>
                <w:sz w:val="20"/>
                <w:szCs w:val="20"/>
                <w:lang w:eastAsia="sk-SK"/>
              </w:rPr>
            </w:pPr>
            <w:r w:rsidRPr="00884879">
              <w:rPr>
                <w:color w:val="000000"/>
                <w:sz w:val="20"/>
                <w:szCs w:val="20"/>
                <w:lang w:eastAsia="sk-SK"/>
              </w:rPr>
              <w:t>2 942</w:t>
            </w:r>
            <w:r>
              <w:rPr>
                <w:color w:val="000000"/>
                <w:sz w:val="20"/>
                <w:szCs w:val="20"/>
                <w:lang w:eastAsia="sk-SK"/>
              </w:rPr>
              <w:t> </w:t>
            </w:r>
            <w:r w:rsidRPr="00884879">
              <w:rPr>
                <w:color w:val="000000"/>
                <w:sz w:val="20"/>
                <w:szCs w:val="20"/>
                <w:lang w:eastAsia="sk-SK"/>
              </w:rPr>
              <w:t>902</w:t>
            </w:r>
          </w:p>
        </w:tc>
        <w:tc>
          <w:tcPr>
            <w:tcW w:w="1130" w:type="dxa"/>
            <w:tcBorders>
              <w:top w:val="nil"/>
              <w:left w:val="nil"/>
              <w:bottom w:val="nil"/>
              <w:right w:val="nil"/>
            </w:tcBorders>
            <w:shd w:val="clear" w:color="auto" w:fill="auto"/>
            <w:noWrap/>
            <w:vAlign w:val="center"/>
            <w:hideMark/>
          </w:tcPr>
          <w:p w14:paraId="3F73911C" w14:textId="77777777" w:rsidR="00151939" w:rsidRPr="00884879" w:rsidRDefault="00151939" w:rsidP="0051395F">
            <w:pPr>
              <w:spacing w:after="0" w:line="240" w:lineRule="auto"/>
              <w:jc w:val="right"/>
              <w:rPr>
                <w:color w:val="000000"/>
                <w:sz w:val="20"/>
                <w:szCs w:val="20"/>
                <w:lang w:eastAsia="sk-SK"/>
              </w:rPr>
            </w:pPr>
            <w:r w:rsidRPr="0051021A">
              <w:rPr>
                <w:color w:val="000000"/>
                <w:sz w:val="20"/>
                <w:szCs w:val="20"/>
                <w:lang w:eastAsia="sk-SK"/>
              </w:rPr>
              <w:t xml:space="preserve">2 848 </w:t>
            </w:r>
            <w:r>
              <w:rPr>
                <w:color w:val="000000"/>
                <w:sz w:val="20"/>
                <w:szCs w:val="20"/>
                <w:lang w:eastAsia="sk-SK"/>
              </w:rPr>
              <w:t>085</w:t>
            </w:r>
          </w:p>
        </w:tc>
        <w:tc>
          <w:tcPr>
            <w:tcW w:w="1130" w:type="dxa"/>
            <w:tcBorders>
              <w:top w:val="nil"/>
              <w:left w:val="nil"/>
              <w:bottom w:val="nil"/>
              <w:right w:val="nil"/>
            </w:tcBorders>
            <w:shd w:val="clear" w:color="auto" w:fill="auto"/>
            <w:noWrap/>
            <w:vAlign w:val="center"/>
            <w:hideMark/>
          </w:tcPr>
          <w:p w14:paraId="4F92A8D3" w14:textId="77777777" w:rsidR="00151939" w:rsidRPr="00884879" w:rsidRDefault="00151939" w:rsidP="0051395F">
            <w:pPr>
              <w:spacing w:after="0" w:line="240" w:lineRule="auto"/>
              <w:jc w:val="right"/>
              <w:rPr>
                <w:color w:val="000000"/>
                <w:sz w:val="20"/>
                <w:szCs w:val="20"/>
                <w:lang w:eastAsia="sk-SK"/>
              </w:rPr>
            </w:pPr>
            <w:r w:rsidRPr="0051021A">
              <w:rPr>
                <w:color w:val="000000"/>
                <w:sz w:val="20"/>
                <w:szCs w:val="20"/>
                <w:lang w:eastAsia="sk-SK"/>
              </w:rPr>
              <w:t>2 786 85</w:t>
            </w:r>
            <w:r>
              <w:rPr>
                <w:color w:val="000000"/>
                <w:sz w:val="20"/>
                <w:szCs w:val="20"/>
                <w:lang w:eastAsia="sk-SK"/>
              </w:rPr>
              <w:t>3</w:t>
            </w:r>
          </w:p>
        </w:tc>
        <w:tc>
          <w:tcPr>
            <w:tcW w:w="1164" w:type="dxa"/>
            <w:tcBorders>
              <w:top w:val="nil"/>
              <w:left w:val="nil"/>
              <w:bottom w:val="nil"/>
              <w:right w:val="nil"/>
            </w:tcBorders>
            <w:shd w:val="clear" w:color="auto" w:fill="auto"/>
            <w:noWrap/>
            <w:vAlign w:val="center"/>
            <w:hideMark/>
          </w:tcPr>
          <w:p w14:paraId="486395B2" w14:textId="77777777" w:rsidR="00151939" w:rsidRPr="00884879" w:rsidRDefault="00151939" w:rsidP="0051395F">
            <w:pPr>
              <w:spacing w:after="0" w:line="240" w:lineRule="auto"/>
              <w:ind w:right="-71"/>
              <w:jc w:val="center"/>
              <w:rPr>
                <w:color w:val="000000"/>
                <w:sz w:val="20"/>
                <w:szCs w:val="20"/>
                <w:lang w:eastAsia="sk-SK"/>
              </w:rPr>
            </w:pPr>
            <w:r w:rsidRPr="0051021A">
              <w:rPr>
                <w:color w:val="000000"/>
                <w:sz w:val="20"/>
                <w:szCs w:val="20"/>
                <w:lang w:eastAsia="sk-SK"/>
              </w:rPr>
              <w:t>-2,1</w:t>
            </w:r>
          </w:p>
        </w:tc>
      </w:tr>
      <w:tr w:rsidR="00151939" w:rsidRPr="00884879" w14:paraId="42A196C3" w14:textId="77777777" w:rsidTr="0051395F">
        <w:trPr>
          <w:trHeight w:val="243"/>
        </w:trPr>
        <w:tc>
          <w:tcPr>
            <w:tcW w:w="4517" w:type="dxa"/>
            <w:gridSpan w:val="3"/>
            <w:tcBorders>
              <w:top w:val="nil"/>
              <w:left w:val="nil"/>
              <w:bottom w:val="nil"/>
              <w:right w:val="nil"/>
            </w:tcBorders>
            <w:shd w:val="clear" w:color="auto" w:fill="auto"/>
            <w:noWrap/>
            <w:vAlign w:val="center"/>
            <w:hideMark/>
          </w:tcPr>
          <w:p w14:paraId="5DAA84DC" w14:textId="77777777" w:rsidR="00151939" w:rsidRPr="00884879" w:rsidRDefault="00151939" w:rsidP="0051395F">
            <w:pPr>
              <w:spacing w:after="0" w:line="240" w:lineRule="auto"/>
              <w:ind w:right="-355" w:firstLineChars="100" w:firstLine="200"/>
              <w:rPr>
                <w:color w:val="000000"/>
                <w:sz w:val="20"/>
                <w:szCs w:val="20"/>
                <w:lang w:eastAsia="sk-SK"/>
              </w:rPr>
            </w:pPr>
            <w:r w:rsidRPr="00884879">
              <w:rPr>
                <w:color w:val="000000"/>
                <w:sz w:val="20"/>
                <w:szCs w:val="20"/>
                <w:lang w:eastAsia="sk-SK"/>
              </w:rPr>
              <w:t xml:space="preserve"> - Daň z príjmov vyberaná zrážkou</w:t>
            </w:r>
          </w:p>
        </w:tc>
        <w:tc>
          <w:tcPr>
            <w:tcW w:w="1130" w:type="dxa"/>
            <w:tcBorders>
              <w:top w:val="nil"/>
              <w:left w:val="nil"/>
              <w:bottom w:val="nil"/>
              <w:right w:val="nil"/>
            </w:tcBorders>
            <w:shd w:val="clear" w:color="auto" w:fill="auto"/>
            <w:noWrap/>
            <w:vAlign w:val="center"/>
            <w:hideMark/>
          </w:tcPr>
          <w:p w14:paraId="71B7D771" w14:textId="77777777" w:rsidR="00151939" w:rsidRPr="00884879" w:rsidRDefault="00151939" w:rsidP="0051395F">
            <w:pPr>
              <w:spacing w:after="0" w:line="240" w:lineRule="auto"/>
              <w:jc w:val="right"/>
              <w:rPr>
                <w:color w:val="000000"/>
                <w:sz w:val="20"/>
                <w:szCs w:val="20"/>
                <w:lang w:eastAsia="sk-SK"/>
              </w:rPr>
            </w:pPr>
            <w:r w:rsidRPr="00884879">
              <w:rPr>
                <w:color w:val="000000"/>
                <w:sz w:val="20"/>
                <w:szCs w:val="20"/>
                <w:lang w:eastAsia="sk-SK"/>
              </w:rPr>
              <w:t>209 169</w:t>
            </w:r>
          </w:p>
        </w:tc>
        <w:tc>
          <w:tcPr>
            <w:tcW w:w="1130" w:type="dxa"/>
            <w:tcBorders>
              <w:top w:val="nil"/>
              <w:left w:val="nil"/>
              <w:bottom w:val="nil"/>
              <w:right w:val="nil"/>
            </w:tcBorders>
            <w:shd w:val="clear" w:color="auto" w:fill="auto"/>
            <w:noWrap/>
            <w:vAlign w:val="center"/>
            <w:hideMark/>
          </w:tcPr>
          <w:p w14:paraId="34D0FCFE" w14:textId="77777777" w:rsidR="00151939" w:rsidRPr="00884879" w:rsidRDefault="00151939" w:rsidP="0051395F">
            <w:pPr>
              <w:spacing w:after="0" w:line="240" w:lineRule="auto"/>
              <w:jc w:val="right"/>
              <w:rPr>
                <w:color w:val="000000"/>
                <w:sz w:val="20"/>
                <w:szCs w:val="20"/>
                <w:lang w:eastAsia="sk-SK"/>
              </w:rPr>
            </w:pPr>
            <w:r w:rsidRPr="00884879">
              <w:rPr>
                <w:color w:val="000000"/>
                <w:sz w:val="20"/>
                <w:szCs w:val="20"/>
                <w:lang w:eastAsia="sk-SK"/>
              </w:rPr>
              <w:t>245 615</w:t>
            </w:r>
          </w:p>
        </w:tc>
        <w:tc>
          <w:tcPr>
            <w:tcW w:w="1130" w:type="dxa"/>
            <w:tcBorders>
              <w:top w:val="nil"/>
              <w:left w:val="nil"/>
              <w:bottom w:val="nil"/>
              <w:right w:val="nil"/>
            </w:tcBorders>
            <w:shd w:val="clear" w:color="auto" w:fill="auto"/>
            <w:noWrap/>
            <w:vAlign w:val="center"/>
            <w:hideMark/>
          </w:tcPr>
          <w:p w14:paraId="50866853" w14:textId="77777777" w:rsidR="00151939" w:rsidRPr="00884879" w:rsidRDefault="00151939" w:rsidP="0051395F">
            <w:pPr>
              <w:spacing w:after="0" w:line="240" w:lineRule="auto"/>
              <w:jc w:val="right"/>
              <w:rPr>
                <w:color w:val="000000"/>
                <w:sz w:val="20"/>
                <w:szCs w:val="20"/>
                <w:lang w:eastAsia="sk-SK"/>
              </w:rPr>
            </w:pPr>
            <w:r w:rsidRPr="0051021A">
              <w:rPr>
                <w:color w:val="000000"/>
                <w:sz w:val="20"/>
                <w:szCs w:val="20"/>
                <w:lang w:eastAsia="sk-SK"/>
              </w:rPr>
              <w:t>235 080</w:t>
            </w:r>
          </w:p>
        </w:tc>
        <w:tc>
          <w:tcPr>
            <w:tcW w:w="1164" w:type="dxa"/>
            <w:tcBorders>
              <w:top w:val="nil"/>
              <w:left w:val="nil"/>
              <w:bottom w:val="nil"/>
              <w:right w:val="nil"/>
            </w:tcBorders>
            <w:shd w:val="clear" w:color="auto" w:fill="auto"/>
            <w:noWrap/>
            <w:vAlign w:val="center"/>
            <w:hideMark/>
          </w:tcPr>
          <w:p w14:paraId="4F5D2001" w14:textId="77777777" w:rsidR="00151939" w:rsidRPr="00884879" w:rsidRDefault="00151939" w:rsidP="0051395F">
            <w:pPr>
              <w:spacing w:after="0" w:line="240" w:lineRule="auto"/>
              <w:ind w:right="-71"/>
              <w:jc w:val="center"/>
              <w:rPr>
                <w:color w:val="000000"/>
                <w:sz w:val="20"/>
                <w:szCs w:val="20"/>
                <w:lang w:eastAsia="sk-SK"/>
              </w:rPr>
            </w:pPr>
            <w:r w:rsidRPr="00884879">
              <w:rPr>
                <w:color w:val="000000"/>
                <w:sz w:val="20"/>
                <w:szCs w:val="20"/>
                <w:lang w:eastAsia="sk-SK"/>
              </w:rPr>
              <w:t>-4,3</w:t>
            </w:r>
          </w:p>
        </w:tc>
      </w:tr>
      <w:tr w:rsidR="00151939" w:rsidRPr="00884879" w14:paraId="169359DD" w14:textId="77777777" w:rsidTr="0051395F">
        <w:trPr>
          <w:trHeight w:val="258"/>
        </w:trPr>
        <w:tc>
          <w:tcPr>
            <w:tcW w:w="4517" w:type="dxa"/>
            <w:gridSpan w:val="3"/>
            <w:tcBorders>
              <w:top w:val="nil"/>
              <w:left w:val="nil"/>
              <w:bottom w:val="nil"/>
              <w:right w:val="nil"/>
            </w:tcBorders>
            <w:shd w:val="clear" w:color="auto" w:fill="auto"/>
            <w:noWrap/>
            <w:vAlign w:val="center"/>
            <w:hideMark/>
          </w:tcPr>
          <w:p w14:paraId="4C218CDB" w14:textId="77777777" w:rsidR="00151939" w:rsidRPr="00884879" w:rsidRDefault="00151939" w:rsidP="0051395F">
            <w:pPr>
              <w:spacing w:after="0" w:line="240" w:lineRule="auto"/>
              <w:ind w:firstLineChars="100" w:firstLine="200"/>
              <w:rPr>
                <w:color w:val="000000"/>
                <w:sz w:val="20"/>
                <w:szCs w:val="20"/>
                <w:lang w:eastAsia="sk-SK"/>
              </w:rPr>
            </w:pPr>
            <w:r w:rsidRPr="00884879">
              <w:rPr>
                <w:color w:val="000000"/>
                <w:sz w:val="20"/>
                <w:szCs w:val="20"/>
                <w:lang w:eastAsia="sk-SK"/>
              </w:rPr>
              <w:t xml:space="preserve"> - Dane z majetku a iné</w:t>
            </w:r>
          </w:p>
        </w:tc>
        <w:tc>
          <w:tcPr>
            <w:tcW w:w="1130" w:type="dxa"/>
            <w:tcBorders>
              <w:top w:val="nil"/>
              <w:left w:val="nil"/>
              <w:bottom w:val="nil"/>
              <w:right w:val="nil"/>
            </w:tcBorders>
            <w:shd w:val="clear" w:color="auto" w:fill="auto"/>
            <w:noWrap/>
            <w:vAlign w:val="center"/>
            <w:hideMark/>
          </w:tcPr>
          <w:p w14:paraId="3E259B7B" w14:textId="77777777" w:rsidR="00151939" w:rsidRPr="00884879" w:rsidRDefault="00151939" w:rsidP="0051395F">
            <w:pPr>
              <w:spacing w:after="0" w:line="240" w:lineRule="auto"/>
              <w:jc w:val="right"/>
              <w:rPr>
                <w:color w:val="000000"/>
                <w:sz w:val="20"/>
                <w:szCs w:val="20"/>
                <w:lang w:eastAsia="sk-SK"/>
              </w:rPr>
            </w:pPr>
            <w:r w:rsidRPr="00884879">
              <w:rPr>
                <w:color w:val="000000"/>
                <w:sz w:val="20"/>
                <w:szCs w:val="20"/>
                <w:lang w:eastAsia="sk-SK"/>
              </w:rPr>
              <w:t>31 239</w:t>
            </w:r>
          </w:p>
        </w:tc>
        <w:tc>
          <w:tcPr>
            <w:tcW w:w="1130" w:type="dxa"/>
            <w:tcBorders>
              <w:top w:val="nil"/>
              <w:left w:val="nil"/>
              <w:bottom w:val="nil"/>
              <w:right w:val="nil"/>
            </w:tcBorders>
            <w:shd w:val="clear" w:color="auto" w:fill="auto"/>
            <w:noWrap/>
            <w:vAlign w:val="center"/>
            <w:hideMark/>
          </w:tcPr>
          <w:p w14:paraId="43CA8311" w14:textId="77777777" w:rsidR="00151939" w:rsidRPr="00884879" w:rsidRDefault="00151939" w:rsidP="0051395F">
            <w:pPr>
              <w:spacing w:after="0" w:line="240" w:lineRule="auto"/>
              <w:jc w:val="right"/>
              <w:rPr>
                <w:color w:val="000000"/>
                <w:sz w:val="20"/>
                <w:szCs w:val="20"/>
                <w:lang w:eastAsia="sk-SK"/>
              </w:rPr>
            </w:pPr>
            <w:r w:rsidRPr="00884879">
              <w:rPr>
                <w:color w:val="000000"/>
                <w:sz w:val="20"/>
                <w:szCs w:val="20"/>
                <w:lang w:eastAsia="sk-SK"/>
              </w:rPr>
              <w:t>34 669</w:t>
            </w:r>
          </w:p>
        </w:tc>
        <w:tc>
          <w:tcPr>
            <w:tcW w:w="1130" w:type="dxa"/>
            <w:tcBorders>
              <w:top w:val="nil"/>
              <w:left w:val="nil"/>
              <w:bottom w:val="nil"/>
              <w:right w:val="nil"/>
            </w:tcBorders>
            <w:shd w:val="clear" w:color="auto" w:fill="auto"/>
            <w:noWrap/>
            <w:vAlign w:val="center"/>
            <w:hideMark/>
          </w:tcPr>
          <w:p w14:paraId="4B1304A8" w14:textId="77777777" w:rsidR="00151939" w:rsidRPr="00884879" w:rsidRDefault="00151939" w:rsidP="0051395F">
            <w:pPr>
              <w:spacing w:after="0" w:line="240" w:lineRule="auto"/>
              <w:jc w:val="right"/>
              <w:rPr>
                <w:color w:val="000000"/>
                <w:sz w:val="20"/>
                <w:szCs w:val="20"/>
                <w:lang w:eastAsia="sk-SK"/>
              </w:rPr>
            </w:pPr>
            <w:r w:rsidRPr="00884879">
              <w:rPr>
                <w:color w:val="000000"/>
                <w:sz w:val="20"/>
                <w:szCs w:val="20"/>
                <w:lang w:eastAsia="sk-SK"/>
              </w:rPr>
              <w:t>35 596</w:t>
            </w:r>
          </w:p>
        </w:tc>
        <w:tc>
          <w:tcPr>
            <w:tcW w:w="1164" w:type="dxa"/>
            <w:tcBorders>
              <w:top w:val="nil"/>
              <w:left w:val="nil"/>
              <w:bottom w:val="nil"/>
              <w:right w:val="nil"/>
            </w:tcBorders>
            <w:shd w:val="clear" w:color="auto" w:fill="auto"/>
            <w:noWrap/>
            <w:vAlign w:val="center"/>
            <w:hideMark/>
          </w:tcPr>
          <w:p w14:paraId="33A686EF" w14:textId="77777777" w:rsidR="00151939" w:rsidRPr="00884879" w:rsidRDefault="00151939" w:rsidP="0051395F">
            <w:pPr>
              <w:spacing w:after="0" w:line="240" w:lineRule="auto"/>
              <w:ind w:right="-71"/>
              <w:jc w:val="center"/>
              <w:rPr>
                <w:color w:val="000000"/>
                <w:sz w:val="20"/>
                <w:szCs w:val="20"/>
                <w:lang w:eastAsia="sk-SK"/>
              </w:rPr>
            </w:pPr>
            <w:r>
              <w:rPr>
                <w:color w:val="000000"/>
                <w:sz w:val="20"/>
                <w:szCs w:val="20"/>
                <w:lang w:eastAsia="sk-SK"/>
              </w:rPr>
              <w:t xml:space="preserve"> </w:t>
            </w:r>
            <w:r w:rsidRPr="00884879">
              <w:rPr>
                <w:color w:val="000000"/>
                <w:sz w:val="20"/>
                <w:szCs w:val="20"/>
                <w:lang w:eastAsia="sk-SK"/>
              </w:rPr>
              <w:t>2,7</w:t>
            </w:r>
          </w:p>
        </w:tc>
      </w:tr>
      <w:tr w:rsidR="00151939" w:rsidRPr="00884879" w14:paraId="51DED351" w14:textId="77777777" w:rsidTr="0051395F">
        <w:trPr>
          <w:trHeight w:val="258"/>
        </w:trPr>
        <w:tc>
          <w:tcPr>
            <w:tcW w:w="4517" w:type="dxa"/>
            <w:gridSpan w:val="3"/>
            <w:tcBorders>
              <w:top w:val="nil"/>
              <w:left w:val="nil"/>
              <w:bottom w:val="nil"/>
              <w:right w:val="nil"/>
            </w:tcBorders>
            <w:shd w:val="clear" w:color="auto" w:fill="auto"/>
            <w:noWrap/>
            <w:vAlign w:val="center"/>
            <w:hideMark/>
          </w:tcPr>
          <w:p w14:paraId="2DEB415D" w14:textId="77777777" w:rsidR="00151939" w:rsidRPr="00884879" w:rsidRDefault="00151939" w:rsidP="0051395F">
            <w:pPr>
              <w:spacing w:after="0" w:line="240" w:lineRule="auto"/>
              <w:rPr>
                <w:b/>
                <w:bCs/>
                <w:color w:val="000000"/>
                <w:sz w:val="20"/>
                <w:szCs w:val="20"/>
                <w:lang w:eastAsia="sk-SK"/>
              </w:rPr>
            </w:pPr>
            <w:r w:rsidRPr="00884879">
              <w:rPr>
                <w:b/>
                <w:bCs/>
                <w:color w:val="000000"/>
                <w:sz w:val="20"/>
                <w:szCs w:val="20"/>
                <w:lang w:eastAsia="sk-SK"/>
              </w:rPr>
              <w:t>Dane z kapitálu</w:t>
            </w:r>
          </w:p>
        </w:tc>
        <w:tc>
          <w:tcPr>
            <w:tcW w:w="1130" w:type="dxa"/>
            <w:tcBorders>
              <w:top w:val="nil"/>
              <w:left w:val="nil"/>
              <w:bottom w:val="nil"/>
              <w:right w:val="nil"/>
            </w:tcBorders>
            <w:shd w:val="clear" w:color="auto" w:fill="auto"/>
            <w:noWrap/>
            <w:vAlign w:val="center"/>
            <w:hideMark/>
          </w:tcPr>
          <w:p w14:paraId="35374A9A" w14:textId="77777777" w:rsidR="00151939" w:rsidRPr="00884879" w:rsidRDefault="00151939" w:rsidP="0051395F">
            <w:pPr>
              <w:spacing w:after="0" w:line="240" w:lineRule="auto"/>
              <w:jc w:val="right"/>
              <w:rPr>
                <w:b/>
                <w:bCs/>
                <w:color w:val="000000"/>
                <w:sz w:val="20"/>
                <w:szCs w:val="20"/>
                <w:lang w:eastAsia="sk-SK"/>
              </w:rPr>
            </w:pPr>
            <w:r w:rsidRPr="00884879">
              <w:rPr>
                <w:b/>
                <w:bCs/>
                <w:color w:val="000000"/>
                <w:sz w:val="20"/>
                <w:szCs w:val="20"/>
                <w:lang w:eastAsia="sk-SK"/>
              </w:rPr>
              <w:t>0</w:t>
            </w:r>
          </w:p>
        </w:tc>
        <w:tc>
          <w:tcPr>
            <w:tcW w:w="1130" w:type="dxa"/>
            <w:tcBorders>
              <w:top w:val="nil"/>
              <w:left w:val="nil"/>
              <w:bottom w:val="nil"/>
              <w:right w:val="nil"/>
            </w:tcBorders>
            <w:shd w:val="clear" w:color="auto" w:fill="auto"/>
            <w:noWrap/>
            <w:vAlign w:val="center"/>
            <w:hideMark/>
          </w:tcPr>
          <w:p w14:paraId="2535CA2B" w14:textId="77777777" w:rsidR="00151939" w:rsidRPr="00884879" w:rsidRDefault="00151939" w:rsidP="0051395F">
            <w:pPr>
              <w:spacing w:after="0" w:line="240" w:lineRule="auto"/>
              <w:jc w:val="right"/>
              <w:rPr>
                <w:b/>
                <w:bCs/>
                <w:color w:val="000000"/>
                <w:sz w:val="20"/>
                <w:szCs w:val="20"/>
                <w:lang w:eastAsia="sk-SK"/>
              </w:rPr>
            </w:pPr>
            <w:r w:rsidRPr="00884879">
              <w:rPr>
                <w:b/>
                <w:bCs/>
                <w:color w:val="000000"/>
                <w:sz w:val="20"/>
                <w:szCs w:val="20"/>
                <w:lang w:eastAsia="sk-SK"/>
              </w:rPr>
              <w:t>0</w:t>
            </w:r>
          </w:p>
        </w:tc>
        <w:tc>
          <w:tcPr>
            <w:tcW w:w="1130" w:type="dxa"/>
            <w:tcBorders>
              <w:top w:val="nil"/>
              <w:left w:val="nil"/>
              <w:bottom w:val="nil"/>
              <w:right w:val="nil"/>
            </w:tcBorders>
            <w:shd w:val="clear" w:color="auto" w:fill="auto"/>
            <w:noWrap/>
            <w:vAlign w:val="center"/>
            <w:hideMark/>
          </w:tcPr>
          <w:p w14:paraId="1B998D65" w14:textId="77777777" w:rsidR="00151939" w:rsidRPr="00884879" w:rsidRDefault="00151939" w:rsidP="0051395F">
            <w:pPr>
              <w:spacing w:after="0" w:line="240" w:lineRule="auto"/>
              <w:jc w:val="right"/>
              <w:rPr>
                <w:b/>
                <w:bCs/>
                <w:color w:val="000000"/>
                <w:sz w:val="20"/>
                <w:szCs w:val="20"/>
                <w:lang w:eastAsia="sk-SK"/>
              </w:rPr>
            </w:pPr>
            <w:r w:rsidRPr="00884879">
              <w:rPr>
                <w:b/>
                <w:bCs/>
                <w:color w:val="000000"/>
                <w:sz w:val="20"/>
                <w:szCs w:val="20"/>
                <w:lang w:eastAsia="sk-SK"/>
              </w:rPr>
              <w:t>0</w:t>
            </w:r>
          </w:p>
        </w:tc>
        <w:tc>
          <w:tcPr>
            <w:tcW w:w="1164" w:type="dxa"/>
            <w:tcBorders>
              <w:top w:val="nil"/>
              <w:left w:val="nil"/>
              <w:bottom w:val="nil"/>
              <w:right w:val="nil"/>
            </w:tcBorders>
            <w:shd w:val="clear" w:color="auto" w:fill="auto"/>
            <w:noWrap/>
            <w:vAlign w:val="center"/>
            <w:hideMark/>
          </w:tcPr>
          <w:p w14:paraId="6CD210E3" w14:textId="77777777" w:rsidR="00151939" w:rsidRPr="00884879" w:rsidRDefault="00151939" w:rsidP="0051395F">
            <w:pPr>
              <w:spacing w:after="0" w:line="240" w:lineRule="auto"/>
              <w:ind w:right="-71"/>
              <w:jc w:val="center"/>
              <w:rPr>
                <w:b/>
                <w:bCs/>
                <w:color w:val="000000"/>
                <w:sz w:val="20"/>
                <w:szCs w:val="20"/>
                <w:lang w:eastAsia="sk-SK"/>
              </w:rPr>
            </w:pPr>
          </w:p>
        </w:tc>
      </w:tr>
      <w:tr w:rsidR="00151939" w:rsidRPr="00884879" w14:paraId="19287D13" w14:textId="77777777" w:rsidTr="0051395F">
        <w:trPr>
          <w:trHeight w:val="258"/>
        </w:trPr>
        <w:tc>
          <w:tcPr>
            <w:tcW w:w="4517" w:type="dxa"/>
            <w:gridSpan w:val="3"/>
            <w:tcBorders>
              <w:top w:val="nil"/>
              <w:left w:val="nil"/>
              <w:bottom w:val="nil"/>
              <w:right w:val="nil"/>
            </w:tcBorders>
            <w:shd w:val="clear" w:color="auto" w:fill="auto"/>
            <w:noWrap/>
            <w:vAlign w:val="center"/>
            <w:hideMark/>
          </w:tcPr>
          <w:p w14:paraId="6C5DB831" w14:textId="77777777" w:rsidR="00151939" w:rsidRPr="00884879" w:rsidRDefault="00151939" w:rsidP="0051395F">
            <w:pPr>
              <w:spacing w:after="0" w:line="240" w:lineRule="auto"/>
              <w:rPr>
                <w:b/>
                <w:bCs/>
                <w:color w:val="000000"/>
                <w:sz w:val="20"/>
                <w:szCs w:val="20"/>
                <w:lang w:eastAsia="sk-SK"/>
              </w:rPr>
            </w:pPr>
            <w:r w:rsidRPr="00884879">
              <w:rPr>
                <w:b/>
                <w:bCs/>
                <w:color w:val="000000"/>
                <w:sz w:val="20"/>
                <w:szCs w:val="20"/>
                <w:lang w:eastAsia="sk-SK"/>
              </w:rPr>
              <w:t>Príspevky na sociálne zabezpečenie</w:t>
            </w:r>
          </w:p>
        </w:tc>
        <w:tc>
          <w:tcPr>
            <w:tcW w:w="1130" w:type="dxa"/>
            <w:tcBorders>
              <w:top w:val="nil"/>
              <w:left w:val="nil"/>
              <w:bottom w:val="nil"/>
              <w:right w:val="nil"/>
            </w:tcBorders>
            <w:shd w:val="clear" w:color="auto" w:fill="auto"/>
            <w:noWrap/>
            <w:vAlign w:val="center"/>
            <w:hideMark/>
          </w:tcPr>
          <w:p w14:paraId="627033F9" w14:textId="77777777" w:rsidR="00151939" w:rsidRPr="005E5D69" w:rsidRDefault="00151939" w:rsidP="0051395F">
            <w:pPr>
              <w:spacing w:after="0" w:line="240" w:lineRule="auto"/>
              <w:jc w:val="right"/>
              <w:rPr>
                <w:b/>
                <w:bCs/>
                <w:color w:val="000000"/>
                <w:sz w:val="20"/>
                <w:szCs w:val="20"/>
                <w:lang w:eastAsia="sk-SK"/>
              </w:rPr>
            </w:pPr>
            <w:r w:rsidRPr="005E5D69">
              <w:rPr>
                <w:b/>
                <w:bCs/>
                <w:color w:val="000000"/>
                <w:sz w:val="20"/>
                <w:szCs w:val="20"/>
                <w:lang w:eastAsia="sk-SK"/>
              </w:rPr>
              <w:t>13 346 543</w:t>
            </w:r>
          </w:p>
        </w:tc>
        <w:tc>
          <w:tcPr>
            <w:tcW w:w="1130" w:type="dxa"/>
            <w:tcBorders>
              <w:top w:val="nil"/>
              <w:left w:val="nil"/>
              <w:bottom w:val="nil"/>
              <w:right w:val="nil"/>
            </w:tcBorders>
            <w:shd w:val="clear" w:color="auto" w:fill="auto"/>
            <w:noWrap/>
            <w:vAlign w:val="center"/>
            <w:hideMark/>
          </w:tcPr>
          <w:p w14:paraId="0586C12F" w14:textId="77777777" w:rsidR="00151939" w:rsidRPr="005E5D69" w:rsidRDefault="00151939" w:rsidP="0051395F">
            <w:pPr>
              <w:spacing w:after="0" w:line="240" w:lineRule="auto"/>
              <w:jc w:val="right"/>
              <w:rPr>
                <w:b/>
                <w:bCs/>
                <w:color w:val="000000"/>
                <w:sz w:val="20"/>
                <w:szCs w:val="20"/>
                <w:lang w:eastAsia="sk-SK"/>
              </w:rPr>
            </w:pPr>
            <w:r w:rsidRPr="005E5D69">
              <w:rPr>
                <w:b/>
                <w:bCs/>
                <w:color w:val="000000"/>
                <w:sz w:val="20"/>
                <w:szCs w:val="20"/>
                <w:lang w:eastAsia="sk-SK"/>
              </w:rPr>
              <w:t>14 314 771</w:t>
            </w:r>
          </w:p>
        </w:tc>
        <w:tc>
          <w:tcPr>
            <w:tcW w:w="1130" w:type="dxa"/>
            <w:tcBorders>
              <w:top w:val="nil"/>
              <w:left w:val="nil"/>
              <w:bottom w:val="nil"/>
              <w:right w:val="nil"/>
            </w:tcBorders>
            <w:shd w:val="clear" w:color="auto" w:fill="auto"/>
            <w:noWrap/>
            <w:vAlign w:val="center"/>
            <w:hideMark/>
          </w:tcPr>
          <w:p w14:paraId="1DADE6DE" w14:textId="77777777" w:rsidR="00151939" w:rsidRPr="005E5D69" w:rsidRDefault="00151939" w:rsidP="0051395F">
            <w:pPr>
              <w:spacing w:after="0" w:line="240" w:lineRule="auto"/>
              <w:jc w:val="right"/>
              <w:rPr>
                <w:b/>
                <w:bCs/>
                <w:color w:val="000000"/>
                <w:sz w:val="20"/>
                <w:szCs w:val="20"/>
                <w:lang w:eastAsia="sk-SK"/>
              </w:rPr>
            </w:pPr>
            <w:r w:rsidRPr="005E5D69">
              <w:rPr>
                <w:b/>
                <w:bCs/>
                <w:color w:val="000000"/>
                <w:sz w:val="20"/>
                <w:szCs w:val="20"/>
                <w:lang w:eastAsia="sk-SK"/>
              </w:rPr>
              <w:t>14 499 744</w:t>
            </w:r>
          </w:p>
        </w:tc>
        <w:tc>
          <w:tcPr>
            <w:tcW w:w="1164" w:type="dxa"/>
            <w:tcBorders>
              <w:top w:val="nil"/>
              <w:left w:val="nil"/>
              <w:bottom w:val="nil"/>
              <w:right w:val="nil"/>
            </w:tcBorders>
            <w:shd w:val="clear" w:color="auto" w:fill="auto"/>
            <w:noWrap/>
            <w:vAlign w:val="center"/>
            <w:hideMark/>
          </w:tcPr>
          <w:p w14:paraId="337E8E5E" w14:textId="77777777" w:rsidR="00151939" w:rsidRPr="00884879" w:rsidRDefault="00151939" w:rsidP="0051395F">
            <w:pPr>
              <w:spacing w:after="0" w:line="240" w:lineRule="auto"/>
              <w:ind w:right="-71"/>
              <w:jc w:val="center"/>
              <w:rPr>
                <w:b/>
                <w:bCs/>
                <w:color w:val="000000"/>
                <w:sz w:val="20"/>
                <w:szCs w:val="20"/>
                <w:lang w:eastAsia="sk-SK"/>
              </w:rPr>
            </w:pPr>
            <w:r>
              <w:rPr>
                <w:b/>
                <w:bCs/>
                <w:color w:val="000000"/>
                <w:sz w:val="20"/>
                <w:szCs w:val="20"/>
                <w:lang w:eastAsia="sk-SK"/>
              </w:rPr>
              <w:t xml:space="preserve"> </w:t>
            </w:r>
            <w:r w:rsidRPr="00884879">
              <w:rPr>
                <w:b/>
                <w:bCs/>
                <w:color w:val="000000"/>
                <w:sz w:val="20"/>
                <w:szCs w:val="20"/>
                <w:lang w:eastAsia="sk-SK"/>
              </w:rPr>
              <w:t>1,3</w:t>
            </w:r>
          </w:p>
        </w:tc>
      </w:tr>
      <w:tr w:rsidR="00151939" w:rsidRPr="00884879" w14:paraId="0F715B93" w14:textId="77777777" w:rsidTr="0051395F">
        <w:trPr>
          <w:trHeight w:val="258"/>
        </w:trPr>
        <w:tc>
          <w:tcPr>
            <w:tcW w:w="4517" w:type="dxa"/>
            <w:gridSpan w:val="3"/>
            <w:tcBorders>
              <w:top w:val="nil"/>
              <w:left w:val="nil"/>
              <w:bottom w:val="nil"/>
              <w:right w:val="nil"/>
            </w:tcBorders>
            <w:shd w:val="clear" w:color="auto" w:fill="auto"/>
            <w:noWrap/>
            <w:vAlign w:val="center"/>
            <w:hideMark/>
          </w:tcPr>
          <w:p w14:paraId="4152FBF9" w14:textId="77777777" w:rsidR="00151939" w:rsidRPr="00884879" w:rsidRDefault="00151939" w:rsidP="0051395F">
            <w:pPr>
              <w:spacing w:after="0" w:line="240" w:lineRule="auto"/>
              <w:ind w:firstLineChars="100" w:firstLine="200"/>
              <w:rPr>
                <w:color w:val="000000"/>
                <w:sz w:val="20"/>
                <w:szCs w:val="20"/>
                <w:lang w:eastAsia="sk-SK"/>
              </w:rPr>
            </w:pPr>
            <w:r>
              <w:rPr>
                <w:color w:val="000000"/>
                <w:sz w:val="20"/>
                <w:szCs w:val="20"/>
                <w:lang w:eastAsia="sk-SK"/>
              </w:rPr>
              <w:t xml:space="preserve"> - </w:t>
            </w:r>
            <w:r w:rsidRPr="00884879">
              <w:rPr>
                <w:color w:val="000000"/>
                <w:sz w:val="20"/>
                <w:szCs w:val="20"/>
                <w:lang w:eastAsia="sk-SK"/>
              </w:rPr>
              <w:t>Skutočné príspevky na sociálne zabezpečenie</w:t>
            </w:r>
          </w:p>
        </w:tc>
        <w:tc>
          <w:tcPr>
            <w:tcW w:w="1130" w:type="dxa"/>
            <w:tcBorders>
              <w:top w:val="nil"/>
              <w:left w:val="nil"/>
              <w:bottom w:val="nil"/>
              <w:right w:val="nil"/>
            </w:tcBorders>
            <w:shd w:val="clear" w:color="auto" w:fill="auto"/>
            <w:noWrap/>
            <w:vAlign w:val="center"/>
            <w:hideMark/>
          </w:tcPr>
          <w:p w14:paraId="27995088" w14:textId="77777777" w:rsidR="00151939" w:rsidRPr="005E5D69" w:rsidRDefault="00151939" w:rsidP="0051395F">
            <w:pPr>
              <w:spacing w:after="0" w:line="240" w:lineRule="auto"/>
              <w:jc w:val="right"/>
              <w:rPr>
                <w:color w:val="000000"/>
                <w:sz w:val="20"/>
                <w:szCs w:val="20"/>
                <w:lang w:eastAsia="sk-SK"/>
              </w:rPr>
            </w:pPr>
            <w:r w:rsidRPr="005E5D69">
              <w:rPr>
                <w:color w:val="000000"/>
                <w:sz w:val="20"/>
                <w:szCs w:val="20"/>
                <w:lang w:eastAsia="sk-SK"/>
              </w:rPr>
              <w:t>13 158 088</w:t>
            </w:r>
          </w:p>
        </w:tc>
        <w:tc>
          <w:tcPr>
            <w:tcW w:w="1130" w:type="dxa"/>
            <w:tcBorders>
              <w:top w:val="nil"/>
              <w:left w:val="nil"/>
              <w:bottom w:val="nil"/>
              <w:right w:val="nil"/>
            </w:tcBorders>
            <w:shd w:val="clear" w:color="auto" w:fill="auto"/>
            <w:noWrap/>
            <w:vAlign w:val="center"/>
            <w:hideMark/>
          </w:tcPr>
          <w:p w14:paraId="3FB3396A" w14:textId="77777777" w:rsidR="00151939" w:rsidRPr="005E5D69" w:rsidRDefault="00151939" w:rsidP="0051395F">
            <w:pPr>
              <w:spacing w:after="0" w:line="240" w:lineRule="auto"/>
              <w:jc w:val="right"/>
              <w:rPr>
                <w:color w:val="000000"/>
                <w:sz w:val="20"/>
                <w:szCs w:val="20"/>
                <w:lang w:eastAsia="sk-SK"/>
              </w:rPr>
            </w:pPr>
            <w:r w:rsidRPr="005E5D69">
              <w:rPr>
                <w:color w:val="000000"/>
                <w:sz w:val="20"/>
                <w:szCs w:val="20"/>
                <w:lang w:eastAsia="sk-SK"/>
              </w:rPr>
              <w:t>14 096 022</w:t>
            </w:r>
          </w:p>
        </w:tc>
        <w:tc>
          <w:tcPr>
            <w:tcW w:w="1130" w:type="dxa"/>
            <w:tcBorders>
              <w:top w:val="nil"/>
              <w:left w:val="nil"/>
              <w:bottom w:val="nil"/>
              <w:right w:val="nil"/>
            </w:tcBorders>
            <w:shd w:val="clear" w:color="auto" w:fill="auto"/>
            <w:noWrap/>
            <w:vAlign w:val="center"/>
            <w:hideMark/>
          </w:tcPr>
          <w:p w14:paraId="59AE6056" w14:textId="77777777" w:rsidR="00151939" w:rsidRPr="005E5D69" w:rsidRDefault="00151939" w:rsidP="0051395F">
            <w:pPr>
              <w:spacing w:after="0" w:line="240" w:lineRule="auto"/>
              <w:jc w:val="right"/>
              <w:rPr>
                <w:color w:val="000000"/>
                <w:sz w:val="20"/>
                <w:szCs w:val="20"/>
                <w:lang w:eastAsia="sk-SK"/>
              </w:rPr>
            </w:pPr>
            <w:r w:rsidRPr="005E5D69">
              <w:rPr>
                <w:color w:val="000000"/>
                <w:sz w:val="20"/>
                <w:szCs w:val="20"/>
                <w:lang w:eastAsia="sk-SK"/>
              </w:rPr>
              <w:t>14 245 671</w:t>
            </w:r>
          </w:p>
        </w:tc>
        <w:tc>
          <w:tcPr>
            <w:tcW w:w="1164" w:type="dxa"/>
            <w:tcBorders>
              <w:top w:val="nil"/>
              <w:left w:val="nil"/>
              <w:bottom w:val="nil"/>
              <w:right w:val="nil"/>
            </w:tcBorders>
            <w:shd w:val="clear" w:color="auto" w:fill="auto"/>
            <w:noWrap/>
            <w:vAlign w:val="center"/>
            <w:hideMark/>
          </w:tcPr>
          <w:p w14:paraId="11B2B25D" w14:textId="77777777" w:rsidR="00151939" w:rsidRPr="00884879" w:rsidRDefault="00151939" w:rsidP="0051395F">
            <w:pPr>
              <w:spacing w:after="0" w:line="240" w:lineRule="auto"/>
              <w:ind w:right="-71"/>
              <w:jc w:val="center"/>
              <w:rPr>
                <w:color w:val="000000"/>
                <w:sz w:val="20"/>
                <w:szCs w:val="20"/>
                <w:lang w:eastAsia="sk-SK"/>
              </w:rPr>
            </w:pPr>
            <w:r>
              <w:rPr>
                <w:color w:val="000000"/>
                <w:sz w:val="20"/>
                <w:szCs w:val="20"/>
                <w:lang w:eastAsia="sk-SK"/>
              </w:rPr>
              <w:t xml:space="preserve"> </w:t>
            </w:r>
            <w:r w:rsidRPr="00884879">
              <w:rPr>
                <w:color w:val="000000"/>
                <w:sz w:val="20"/>
                <w:szCs w:val="20"/>
                <w:lang w:eastAsia="sk-SK"/>
              </w:rPr>
              <w:t>1,1</w:t>
            </w:r>
          </w:p>
        </w:tc>
      </w:tr>
      <w:tr w:rsidR="00151939" w:rsidRPr="00884879" w14:paraId="18FA2109" w14:textId="77777777" w:rsidTr="0051395F">
        <w:trPr>
          <w:trHeight w:val="258"/>
        </w:trPr>
        <w:tc>
          <w:tcPr>
            <w:tcW w:w="4517" w:type="dxa"/>
            <w:gridSpan w:val="3"/>
            <w:tcBorders>
              <w:top w:val="nil"/>
              <w:left w:val="nil"/>
              <w:bottom w:val="nil"/>
              <w:right w:val="nil"/>
            </w:tcBorders>
            <w:shd w:val="clear" w:color="auto" w:fill="auto"/>
            <w:noWrap/>
            <w:vAlign w:val="center"/>
            <w:hideMark/>
          </w:tcPr>
          <w:p w14:paraId="0AD2DC50" w14:textId="77777777" w:rsidR="00151939" w:rsidRPr="00884879" w:rsidRDefault="00151939" w:rsidP="0051395F">
            <w:pPr>
              <w:spacing w:after="0" w:line="240" w:lineRule="auto"/>
              <w:ind w:firstLineChars="200" w:firstLine="400"/>
              <w:rPr>
                <w:color w:val="000000"/>
                <w:sz w:val="20"/>
                <w:szCs w:val="20"/>
                <w:lang w:eastAsia="sk-SK"/>
              </w:rPr>
            </w:pPr>
            <w:r w:rsidRPr="00884879">
              <w:rPr>
                <w:color w:val="000000"/>
                <w:sz w:val="20"/>
                <w:szCs w:val="20"/>
                <w:lang w:eastAsia="sk-SK"/>
              </w:rPr>
              <w:t xml:space="preserve"> - z toho EAO + dlžné</w:t>
            </w:r>
          </w:p>
        </w:tc>
        <w:tc>
          <w:tcPr>
            <w:tcW w:w="1130" w:type="dxa"/>
            <w:tcBorders>
              <w:top w:val="nil"/>
              <w:left w:val="nil"/>
              <w:bottom w:val="nil"/>
              <w:right w:val="nil"/>
            </w:tcBorders>
            <w:shd w:val="clear" w:color="auto" w:fill="auto"/>
            <w:noWrap/>
            <w:vAlign w:val="center"/>
            <w:hideMark/>
          </w:tcPr>
          <w:p w14:paraId="565AAE98" w14:textId="77777777" w:rsidR="00151939" w:rsidRPr="005E5D69" w:rsidRDefault="00151939" w:rsidP="0051395F">
            <w:pPr>
              <w:spacing w:after="0" w:line="240" w:lineRule="auto"/>
              <w:jc w:val="right"/>
              <w:rPr>
                <w:sz w:val="20"/>
                <w:szCs w:val="20"/>
                <w:lang w:eastAsia="sk-SK"/>
              </w:rPr>
            </w:pPr>
            <w:r w:rsidRPr="005E5D69">
              <w:rPr>
                <w:sz w:val="20"/>
                <w:lang w:eastAsia="sk-SK"/>
              </w:rPr>
              <w:t>11 490 684</w:t>
            </w:r>
          </w:p>
        </w:tc>
        <w:tc>
          <w:tcPr>
            <w:tcW w:w="1130" w:type="dxa"/>
            <w:tcBorders>
              <w:top w:val="nil"/>
              <w:left w:val="nil"/>
              <w:bottom w:val="nil"/>
              <w:right w:val="nil"/>
            </w:tcBorders>
            <w:shd w:val="clear" w:color="auto" w:fill="auto"/>
            <w:noWrap/>
            <w:vAlign w:val="center"/>
            <w:hideMark/>
          </w:tcPr>
          <w:p w14:paraId="6FE8ECA2" w14:textId="77777777" w:rsidR="00151939" w:rsidRPr="005E5D69" w:rsidRDefault="00151939" w:rsidP="0051395F">
            <w:pPr>
              <w:spacing w:after="0" w:line="240" w:lineRule="auto"/>
              <w:jc w:val="right"/>
              <w:rPr>
                <w:sz w:val="20"/>
                <w:szCs w:val="20"/>
                <w:lang w:eastAsia="sk-SK"/>
              </w:rPr>
            </w:pPr>
            <w:r w:rsidRPr="005E5D69">
              <w:rPr>
                <w:sz w:val="20"/>
                <w:lang w:eastAsia="sk-SK"/>
              </w:rPr>
              <w:t>12 165 485</w:t>
            </w:r>
          </w:p>
        </w:tc>
        <w:tc>
          <w:tcPr>
            <w:tcW w:w="1130" w:type="dxa"/>
            <w:tcBorders>
              <w:top w:val="nil"/>
              <w:left w:val="nil"/>
              <w:bottom w:val="nil"/>
              <w:right w:val="nil"/>
            </w:tcBorders>
            <w:shd w:val="clear" w:color="auto" w:fill="auto"/>
            <w:noWrap/>
            <w:vAlign w:val="center"/>
            <w:hideMark/>
          </w:tcPr>
          <w:p w14:paraId="55CB06E0" w14:textId="77777777" w:rsidR="00151939" w:rsidRPr="005E5D69" w:rsidRDefault="00151939" w:rsidP="0051395F">
            <w:pPr>
              <w:spacing w:after="0" w:line="240" w:lineRule="auto"/>
              <w:jc w:val="right"/>
              <w:rPr>
                <w:sz w:val="20"/>
                <w:szCs w:val="20"/>
                <w:lang w:eastAsia="sk-SK"/>
              </w:rPr>
            </w:pPr>
            <w:r w:rsidRPr="005E5D69">
              <w:rPr>
                <w:sz w:val="20"/>
                <w:lang w:eastAsia="sk-SK"/>
              </w:rPr>
              <w:t>12 355 886</w:t>
            </w:r>
          </w:p>
        </w:tc>
        <w:tc>
          <w:tcPr>
            <w:tcW w:w="1164" w:type="dxa"/>
            <w:tcBorders>
              <w:top w:val="nil"/>
              <w:left w:val="nil"/>
              <w:bottom w:val="nil"/>
              <w:right w:val="nil"/>
            </w:tcBorders>
            <w:shd w:val="clear" w:color="auto" w:fill="auto"/>
            <w:noWrap/>
            <w:vAlign w:val="center"/>
            <w:hideMark/>
          </w:tcPr>
          <w:p w14:paraId="68D39B4F" w14:textId="77777777" w:rsidR="00151939" w:rsidRPr="00884879" w:rsidRDefault="00151939" w:rsidP="0051395F">
            <w:pPr>
              <w:spacing w:after="0" w:line="240" w:lineRule="auto"/>
              <w:ind w:right="-71"/>
              <w:jc w:val="center"/>
              <w:rPr>
                <w:sz w:val="20"/>
                <w:szCs w:val="20"/>
                <w:lang w:eastAsia="sk-SK"/>
              </w:rPr>
            </w:pPr>
            <w:r>
              <w:rPr>
                <w:sz w:val="20"/>
                <w:lang w:eastAsia="sk-SK"/>
              </w:rPr>
              <w:t xml:space="preserve"> </w:t>
            </w:r>
            <w:r w:rsidRPr="00884879">
              <w:rPr>
                <w:sz w:val="20"/>
                <w:lang w:eastAsia="sk-SK"/>
              </w:rPr>
              <w:t>1,6</w:t>
            </w:r>
          </w:p>
        </w:tc>
      </w:tr>
      <w:tr w:rsidR="00151939" w:rsidRPr="00884879" w14:paraId="5FD06181" w14:textId="77777777" w:rsidTr="0051395F">
        <w:trPr>
          <w:trHeight w:val="258"/>
        </w:trPr>
        <w:tc>
          <w:tcPr>
            <w:tcW w:w="4517" w:type="dxa"/>
            <w:gridSpan w:val="3"/>
            <w:tcBorders>
              <w:top w:val="nil"/>
              <w:left w:val="nil"/>
              <w:bottom w:val="nil"/>
              <w:right w:val="nil"/>
            </w:tcBorders>
            <w:shd w:val="clear" w:color="auto" w:fill="auto"/>
            <w:noWrap/>
            <w:vAlign w:val="center"/>
            <w:hideMark/>
          </w:tcPr>
          <w:p w14:paraId="4ED208FF" w14:textId="77777777" w:rsidR="00151939" w:rsidRPr="00884879" w:rsidRDefault="00151939" w:rsidP="0051395F">
            <w:pPr>
              <w:spacing w:after="0" w:line="240" w:lineRule="auto"/>
              <w:ind w:firstLineChars="200" w:firstLine="400"/>
              <w:rPr>
                <w:color w:val="000000"/>
                <w:sz w:val="20"/>
                <w:szCs w:val="20"/>
                <w:lang w:eastAsia="sk-SK"/>
              </w:rPr>
            </w:pPr>
            <w:r w:rsidRPr="00884879">
              <w:rPr>
                <w:color w:val="000000"/>
                <w:sz w:val="20"/>
                <w:szCs w:val="20"/>
                <w:lang w:eastAsia="sk-SK"/>
              </w:rPr>
              <w:t xml:space="preserve"> - z toho ostatné*</w:t>
            </w:r>
          </w:p>
        </w:tc>
        <w:tc>
          <w:tcPr>
            <w:tcW w:w="1130" w:type="dxa"/>
            <w:tcBorders>
              <w:top w:val="nil"/>
              <w:left w:val="nil"/>
              <w:bottom w:val="nil"/>
              <w:right w:val="nil"/>
            </w:tcBorders>
            <w:shd w:val="clear" w:color="auto" w:fill="auto"/>
            <w:noWrap/>
            <w:vAlign w:val="center"/>
            <w:hideMark/>
          </w:tcPr>
          <w:p w14:paraId="6AAFF759" w14:textId="77777777" w:rsidR="00151939" w:rsidRPr="005E5D69" w:rsidRDefault="00151939" w:rsidP="0051395F">
            <w:pPr>
              <w:spacing w:after="0" w:line="240" w:lineRule="auto"/>
              <w:jc w:val="right"/>
              <w:rPr>
                <w:sz w:val="20"/>
                <w:szCs w:val="20"/>
                <w:lang w:eastAsia="sk-SK"/>
              </w:rPr>
            </w:pPr>
            <w:r w:rsidRPr="005E5D69">
              <w:rPr>
                <w:sz w:val="20"/>
                <w:lang w:eastAsia="sk-SK"/>
              </w:rPr>
              <w:t>1 667 404</w:t>
            </w:r>
          </w:p>
        </w:tc>
        <w:tc>
          <w:tcPr>
            <w:tcW w:w="1130" w:type="dxa"/>
            <w:tcBorders>
              <w:top w:val="nil"/>
              <w:left w:val="nil"/>
              <w:bottom w:val="nil"/>
              <w:right w:val="nil"/>
            </w:tcBorders>
            <w:shd w:val="clear" w:color="auto" w:fill="auto"/>
            <w:noWrap/>
            <w:vAlign w:val="center"/>
            <w:hideMark/>
          </w:tcPr>
          <w:p w14:paraId="7BB113EE" w14:textId="77777777" w:rsidR="00151939" w:rsidRPr="005E5D69" w:rsidRDefault="00151939" w:rsidP="0051395F">
            <w:pPr>
              <w:spacing w:after="0" w:line="240" w:lineRule="auto"/>
              <w:jc w:val="right"/>
              <w:rPr>
                <w:sz w:val="20"/>
                <w:szCs w:val="20"/>
                <w:lang w:eastAsia="sk-SK"/>
              </w:rPr>
            </w:pPr>
            <w:r w:rsidRPr="005E5D69">
              <w:rPr>
                <w:sz w:val="20"/>
                <w:lang w:eastAsia="sk-SK"/>
              </w:rPr>
              <w:t>1 930 537</w:t>
            </w:r>
          </w:p>
        </w:tc>
        <w:tc>
          <w:tcPr>
            <w:tcW w:w="1130" w:type="dxa"/>
            <w:tcBorders>
              <w:top w:val="nil"/>
              <w:left w:val="nil"/>
              <w:bottom w:val="nil"/>
              <w:right w:val="nil"/>
            </w:tcBorders>
            <w:shd w:val="clear" w:color="auto" w:fill="auto"/>
            <w:noWrap/>
            <w:vAlign w:val="center"/>
            <w:hideMark/>
          </w:tcPr>
          <w:p w14:paraId="5356824D" w14:textId="77777777" w:rsidR="00151939" w:rsidRPr="005E5D69" w:rsidRDefault="00151939" w:rsidP="0051395F">
            <w:pPr>
              <w:spacing w:after="0" w:line="240" w:lineRule="auto"/>
              <w:jc w:val="right"/>
              <w:rPr>
                <w:sz w:val="20"/>
                <w:szCs w:val="20"/>
                <w:lang w:eastAsia="sk-SK"/>
              </w:rPr>
            </w:pPr>
            <w:r w:rsidRPr="005E5D69">
              <w:rPr>
                <w:sz w:val="20"/>
                <w:lang w:eastAsia="sk-SK"/>
              </w:rPr>
              <w:t>1 889 785</w:t>
            </w:r>
          </w:p>
        </w:tc>
        <w:tc>
          <w:tcPr>
            <w:tcW w:w="1164" w:type="dxa"/>
            <w:tcBorders>
              <w:top w:val="nil"/>
              <w:left w:val="nil"/>
              <w:bottom w:val="nil"/>
              <w:right w:val="nil"/>
            </w:tcBorders>
            <w:shd w:val="clear" w:color="auto" w:fill="auto"/>
            <w:noWrap/>
            <w:vAlign w:val="center"/>
            <w:hideMark/>
          </w:tcPr>
          <w:p w14:paraId="38D1B318" w14:textId="77777777" w:rsidR="00151939" w:rsidRPr="00884879" w:rsidRDefault="00151939" w:rsidP="0051395F">
            <w:pPr>
              <w:spacing w:after="0" w:line="240" w:lineRule="auto"/>
              <w:ind w:right="-71"/>
              <w:jc w:val="center"/>
              <w:rPr>
                <w:sz w:val="20"/>
                <w:szCs w:val="20"/>
                <w:lang w:eastAsia="sk-SK"/>
              </w:rPr>
            </w:pPr>
            <w:r w:rsidRPr="00884879">
              <w:rPr>
                <w:sz w:val="20"/>
                <w:lang w:eastAsia="sk-SK"/>
              </w:rPr>
              <w:t>-2,1</w:t>
            </w:r>
          </w:p>
        </w:tc>
      </w:tr>
      <w:tr w:rsidR="00151939" w:rsidRPr="00884879" w14:paraId="303925A2" w14:textId="77777777" w:rsidTr="0051395F">
        <w:trPr>
          <w:trHeight w:val="258"/>
        </w:trPr>
        <w:tc>
          <w:tcPr>
            <w:tcW w:w="4517" w:type="dxa"/>
            <w:gridSpan w:val="3"/>
            <w:tcBorders>
              <w:top w:val="nil"/>
              <w:left w:val="nil"/>
              <w:bottom w:val="single" w:sz="4" w:space="0" w:color="auto"/>
              <w:right w:val="nil"/>
            </w:tcBorders>
            <w:shd w:val="clear" w:color="auto" w:fill="auto"/>
            <w:noWrap/>
            <w:vAlign w:val="center"/>
            <w:hideMark/>
          </w:tcPr>
          <w:p w14:paraId="58397E22" w14:textId="77777777" w:rsidR="00151939" w:rsidRPr="00884879" w:rsidRDefault="00151939" w:rsidP="0051395F">
            <w:pPr>
              <w:spacing w:after="0" w:line="240" w:lineRule="auto"/>
              <w:rPr>
                <w:color w:val="000000"/>
                <w:sz w:val="20"/>
                <w:szCs w:val="20"/>
                <w:lang w:eastAsia="sk-SK"/>
              </w:rPr>
            </w:pPr>
            <w:r>
              <w:rPr>
                <w:color w:val="000000"/>
                <w:sz w:val="20"/>
                <w:szCs w:val="20"/>
                <w:lang w:eastAsia="sk-SK"/>
              </w:rPr>
              <w:t xml:space="preserve">     - </w:t>
            </w:r>
            <w:r w:rsidRPr="00884879">
              <w:rPr>
                <w:color w:val="000000"/>
                <w:sz w:val="20"/>
                <w:szCs w:val="20"/>
                <w:lang w:eastAsia="sk-SK"/>
              </w:rPr>
              <w:t>Imputované príspevky na sociálne zabezpečenie</w:t>
            </w:r>
          </w:p>
        </w:tc>
        <w:tc>
          <w:tcPr>
            <w:tcW w:w="1130" w:type="dxa"/>
            <w:tcBorders>
              <w:top w:val="nil"/>
              <w:left w:val="nil"/>
              <w:bottom w:val="single" w:sz="4" w:space="0" w:color="auto"/>
              <w:right w:val="nil"/>
            </w:tcBorders>
            <w:shd w:val="clear" w:color="auto" w:fill="auto"/>
            <w:noWrap/>
            <w:vAlign w:val="center"/>
            <w:hideMark/>
          </w:tcPr>
          <w:p w14:paraId="30A8CA40" w14:textId="77777777" w:rsidR="00151939" w:rsidRPr="005E5D69" w:rsidRDefault="00151939" w:rsidP="0051395F">
            <w:pPr>
              <w:spacing w:after="0" w:line="240" w:lineRule="auto"/>
              <w:jc w:val="right"/>
              <w:rPr>
                <w:color w:val="000000"/>
                <w:sz w:val="20"/>
                <w:szCs w:val="20"/>
                <w:lang w:eastAsia="sk-SK"/>
              </w:rPr>
            </w:pPr>
            <w:r w:rsidRPr="005E5D69">
              <w:rPr>
                <w:color w:val="000000"/>
                <w:sz w:val="20"/>
                <w:szCs w:val="20"/>
                <w:lang w:eastAsia="sk-SK"/>
              </w:rPr>
              <w:t>188 455</w:t>
            </w:r>
          </w:p>
        </w:tc>
        <w:tc>
          <w:tcPr>
            <w:tcW w:w="1130" w:type="dxa"/>
            <w:tcBorders>
              <w:top w:val="nil"/>
              <w:left w:val="nil"/>
              <w:bottom w:val="single" w:sz="4" w:space="0" w:color="auto"/>
              <w:right w:val="nil"/>
            </w:tcBorders>
            <w:shd w:val="clear" w:color="auto" w:fill="auto"/>
            <w:noWrap/>
            <w:vAlign w:val="center"/>
            <w:hideMark/>
          </w:tcPr>
          <w:p w14:paraId="5663C24E" w14:textId="77777777" w:rsidR="00151939" w:rsidRPr="005E5D69" w:rsidRDefault="00151939" w:rsidP="0051395F">
            <w:pPr>
              <w:spacing w:after="0" w:line="240" w:lineRule="auto"/>
              <w:jc w:val="right"/>
              <w:rPr>
                <w:color w:val="000000"/>
                <w:sz w:val="20"/>
                <w:szCs w:val="20"/>
                <w:lang w:eastAsia="sk-SK"/>
              </w:rPr>
            </w:pPr>
            <w:r w:rsidRPr="005E5D69">
              <w:rPr>
                <w:color w:val="000000"/>
                <w:sz w:val="20"/>
                <w:szCs w:val="20"/>
                <w:lang w:eastAsia="sk-SK"/>
              </w:rPr>
              <w:t>218 749</w:t>
            </w:r>
          </w:p>
        </w:tc>
        <w:tc>
          <w:tcPr>
            <w:tcW w:w="1130" w:type="dxa"/>
            <w:tcBorders>
              <w:top w:val="nil"/>
              <w:left w:val="nil"/>
              <w:bottom w:val="single" w:sz="4" w:space="0" w:color="auto"/>
              <w:right w:val="nil"/>
            </w:tcBorders>
            <w:shd w:val="clear" w:color="auto" w:fill="auto"/>
            <w:noWrap/>
            <w:vAlign w:val="center"/>
            <w:hideMark/>
          </w:tcPr>
          <w:p w14:paraId="4C2207FF" w14:textId="77777777" w:rsidR="00151939" w:rsidRPr="005E5D69" w:rsidRDefault="00151939" w:rsidP="0051395F">
            <w:pPr>
              <w:spacing w:after="0" w:line="240" w:lineRule="auto"/>
              <w:jc w:val="right"/>
              <w:rPr>
                <w:color w:val="000000"/>
                <w:sz w:val="20"/>
                <w:szCs w:val="20"/>
                <w:lang w:eastAsia="sk-SK"/>
              </w:rPr>
            </w:pPr>
            <w:r w:rsidRPr="005E5D69">
              <w:rPr>
                <w:color w:val="000000"/>
                <w:sz w:val="20"/>
                <w:szCs w:val="20"/>
                <w:lang w:eastAsia="sk-SK"/>
              </w:rPr>
              <w:t>254 073</w:t>
            </w:r>
          </w:p>
        </w:tc>
        <w:tc>
          <w:tcPr>
            <w:tcW w:w="1164" w:type="dxa"/>
            <w:tcBorders>
              <w:top w:val="nil"/>
              <w:left w:val="nil"/>
              <w:bottom w:val="single" w:sz="4" w:space="0" w:color="auto"/>
              <w:right w:val="nil"/>
            </w:tcBorders>
            <w:shd w:val="clear" w:color="auto" w:fill="auto"/>
            <w:noWrap/>
            <w:vAlign w:val="center"/>
            <w:hideMark/>
          </w:tcPr>
          <w:p w14:paraId="50999D6C" w14:textId="77777777" w:rsidR="00151939" w:rsidRPr="00884879" w:rsidRDefault="00151939" w:rsidP="0051395F">
            <w:pPr>
              <w:spacing w:after="0" w:line="240" w:lineRule="auto"/>
              <w:ind w:right="-71"/>
              <w:jc w:val="center"/>
              <w:rPr>
                <w:color w:val="000000"/>
                <w:sz w:val="20"/>
                <w:szCs w:val="20"/>
                <w:lang w:eastAsia="sk-SK"/>
              </w:rPr>
            </w:pPr>
            <w:r w:rsidRPr="00884879">
              <w:rPr>
                <w:color w:val="000000"/>
                <w:sz w:val="20"/>
                <w:szCs w:val="20"/>
                <w:lang w:eastAsia="sk-SK"/>
              </w:rPr>
              <w:t>16,1</w:t>
            </w:r>
          </w:p>
        </w:tc>
      </w:tr>
      <w:tr w:rsidR="00151939" w:rsidRPr="00884879" w14:paraId="441C246A" w14:textId="77777777" w:rsidTr="0051395F">
        <w:trPr>
          <w:trHeight w:val="540"/>
        </w:trPr>
        <w:tc>
          <w:tcPr>
            <w:tcW w:w="4517" w:type="dxa"/>
            <w:gridSpan w:val="3"/>
            <w:tcBorders>
              <w:top w:val="nil"/>
              <w:left w:val="nil"/>
              <w:bottom w:val="single" w:sz="4" w:space="0" w:color="auto"/>
              <w:right w:val="nil"/>
            </w:tcBorders>
            <w:shd w:val="clear" w:color="auto" w:fill="auto"/>
            <w:noWrap/>
            <w:vAlign w:val="center"/>
            <w:hideMark/>
          </w:tcPr>
          <w:p w14:paraId="1B6572D3" w14:textId="77777777" w:rsidR="00151939" w:rsidRPr="00884879" w:rsidRDefault="00151939" w:rsidP="0051395F">
            <w:pPr>
              <w:spacing w:after="0" w:line="240" w:lineRule="auto"/>
              <w:jc w:val="both"/>
              <w:rPr>
                <w:b/>
                <w:bCs/>
                <w:i/>
                <w:iCs/>
                <w:color w:val="000000"/>
                <w:sz w:val="20"/>
                <w:szCs w:val="20"/>
                <w:lang w:eastAsia="sk-SK"/>
              </w:rPr>
            </w:pPr>
            <w:r w:rsidRPr="00884879">
              <w:rPr>
                <w:b/>
                <w:bCs/>
                <w:i/>
                <w:iCs/>
                <w:color w:val="000000"/>
                <w:sz w:val="20"/>
                <w:szCs w:val="20"/>
                <w:lang w:eastAsia="sk-SK"/>
              </w:rPr>
              <w:t>Daňové a odvodové príjmy VS prognózované IFP podľa EKRK</w:t>
            </w:r>
          </w:p>
        </w:tc>
        <w:tc>
          <w:tcPr>
            <w:tcW w:w="1130" w:type="dxa"/>
            <w:tcBorders>
              <w:top w:val="nil"/>
              <w:left w:val="nil"/>
              <w:bottom w:val="single" w:sz="4" w:space="0" w:color="auto"/>
              <w:right w:val="nil"/>
            </w:tcBorders>
            <w:shd w:val="clear" w:color="auto" w:fill="auto"/>
            <w:noWrap/>
            <w:vAlign w:val="center"/>
            <w:hideMark/>
          </w:tcPr>
          <w:p w14:paraId="1DF2BA42" w14:textId="77777777" w:rsidR="00151939" w:rsidRPr="00884879" w:rsidRDefault="00151939" w:rsidP="0051395F">
            <w:pPr>
              <w:spacing w:after="0" w:line="240" w:lineRule="auto"/>
              <w:jc w:val="right"/>
              <w:rPr>
                <w:b/>
                <w:bCs/>
                <w:i/>
                <w:iCs/>
                <w:color w:val="000000"/>
                <w:sz w:val="20"/>
                <w:szCs w:val="20"/>
                <w:lang w:eastAsia="sk-SK"/>
              </w:rPr>
            </w:pPr>
            <w:r w:rsidRPr="00884879">
              <w:rPr>
                <w:b/>
                <w:bCs/>
                <w:i/>
                <w:iCs/>
                <w:color w:val="000000"/>
                <w:sz w:val="20"/>
                <w:szCs w:val="20"/>
                <w:lang w:eastAsia="sk-SK"/>
              </w:rPr>
              <w:t>27 511 748</w:t>
            </w:r>
          </w:p>
        </w:tc>
        <w:tc>
          <w:tcPr>
            <w:tcW w:w="1130" w:type="dxa"/>
            <w:tcBorders>
              <w:top w:val="nil"/>
              <w:left w:val="nil"/>
              <w:bottom w:val="single" w:sz="4" w:space="0" w:color="auto"/>
              <w:right w:val="nil"/>
            </w:tcBorders>
            <w:shd w:val="clear" w:color="auto" w:fill="auto"/>
            <w:noWrap/>
            <w:vAlign w:val="center"/>
            <w:hideMark/>
          </w:tcPr>
          <w:p w14:paraId="03E032E6" w14:textId="77777777" w:rsidR="00151939" w:rsidRPr="00884879" w:rsidRDefault="00151939" w:rsidP="0051395F">
            <w:pPr>
              <w:spacing w:after="0" w:line="240" w:lineRule="auto"/>
              <w:jc w:val="right"/>
              <w:rPr>
                <w:b/>
                <w:bCs/>
                <w:i/>
                <w:iCs/>
                <w:color w:val="000000"/>
                <w:sz w:val="20"/>
                <w:szCs w:val="20"/>
                <w:lang w:eastAsia="sk-SK"/>
              </w:rPr>
            </w:pPr>
            <w:r w:rsidRPr="00884879">
              <w:rPr>
                <w:b/>
                <w:bCs/>
                <w:i/>
                <w:iCs/>
                <w:color w:val="000000"/>
                <w:sz w:val="20"/>
                <w:szCs w:val="20"/>
                <w:lang w:eastAsia="sk-SK"/>
              </w:rPr>
              <w:t>29 120 160</w:t>
            </w:r>
          </w:p>
        </w:tc>
        <w:tc>
          <w:tcPr>
            <w:tcW w:w="1130" w:type="dxa"/>
            <w:tcBorders>
              <w:top w:val="nil"/>
              <w:left w:val="nil"/>
              <w:bottom w:val="single" w:sz="4" w:space="0" w:color="auto"/>
              <w:right w:val="nil"/>
            </w:tcBorders>
            <w:shd w:val="clear" w:color="auto" w:fill="auto"/>
            <w:noWrap/>
            <w:vAlign w:val="center"/>
            <w:hideMark/>
          </w:tcPr>
          <w:p w14:paraId="4B0D4884" w14:textId="77777777" w:rsidR="00151939" w:rsidRPr="00884879" w:rsidRDefault="00151939" w:rsidP="0051395F">
            <w:pPr>
              <w:spacing w:after="0" w:line="240" w:lineRule="auto"/>
              <w:jc w:val="right"/>
              <w:rPr>
                <w:b/>
                <w:bCs/>
                <w:i/>
                <w:iCs/>
                <w:color w:val="000000"/>
                <w:sz w:val="20"/>
                <w:szCs w:val="20"/>
                <w:lang w:eastAsia="sk-SK"/>
              </w:rPr>
            </w:pPr>
            <w:r w:rsidRPr="00884879">
              <w:rPr>
                <w:b/>
                <w:bCs/>
                <w:i/>
                <w:iCs/>
                <w:color w:val="000000"/>
                <w:sz w:val="20"/>
                <w:szCs w:val="20"/>
                <w:lang w:eastAsia="sk-SK"/>
              </w:rPr>
              <w:t>29 078 210</w:t>
            </w:r>
          </w:p>
        </w:tc>
        <w:tc>
          <w:tcPr>
            <w:tcW w:w="1164" w:type="dxa"/>
            <w:tcBorders>
              <w:top w:val="nil"/>
              <w:left w:val="nil"/>
              <w:bottom w:val="single" w:sz="4" w:space="0" w:color="auto"/>
              <w:right w:val="nil"/>
            </w:tcBorders>
            <w:shd w:val="clear" w:color="auto" w:fill="auto"/>
            <w:noWrap/>
            <w:vAlign w:val="center"/>
            <w:hideMark/>
          </w:tcPr>
          <w:p w14:paraId="57A3DB2D" w14:textId="77777777" w:rsidR="00151939" w:rsidRPr="00884879" w:rsidRDefault="00151939" w:rsidP="0051395F">
            <w:pPr>
              <w:spacing w:after="0" w:line="240" w:lineRule="auto"/>
              <w:ind w:right="-71"/>
              <w:jc w:val="center"/>
              <w:rPr>
                <w:b/>
                <w:bCs/>
                <w:i/>
                <w:iCs/>
                <w:color w:val="000000"/>
                <w:sz w:val="20"/>
                <w:szCs w:val="20"/>
                <w:lang w:eastAsia="sk-SK"/>
              </w:rPr>
            </w:pPr>
            <w:r>
              <w:rPr>
                <w:b/>
                <w:bCs/>
                <w:i/>
                <w:iCs/>
                <w:color w:val="000000"/>
                <w:sz w:val="20"/>
                <w:szCs w:val="20"/>
                <w:lang w:eastAsia="sk-SK"/>
              </w:rPr>
              <w:t xml:space="preserve"> </w:t>
            </w:r>
            <w:r w:rsidRPr="00884879">
              <w:rPr>
                <w:b/>
                <w:bCs/>
                <w:i/>
                <w:iCs/>
                <w:color w:val="000000"/>
                <w:sz w:val="20"/>
                <w:szCs w:val="20"/>
                <w:lang w:eastAsia="sk-SK"/>
              </w:rPr>
              <w:t>5,7</w:t>
            </w:r>
          </w:p>
        </w:tc>
      </w:tr>
    </w:tbl>
    <w:p w14:paraId="06ADD2E6" w14:textId="77777777" w:rsidR="00151939" w:rsidRPr="00FD4507" w:rsidRDefault="00151939" w:rsidP="00151939">
      <w:pPr>
        <w:spacing w:after="0" w:line="240" w:lineRule="auto"/>
        <w:jc w:val="both"/>
        <w:rPr>
          <w:sz w:val="16"/>
          <w:szCs w:val="16"/>
        </w:rPr>
      </w:pPr>
      <w:r w:rsidRPr="00FD4507">
        <w:rPr>
          <w:i/>
          <w:color w:val="000000"/>
          <w:sz w:val="16"/>
          <w:szCs w:val="16"/>
          <w:lang w:eastAsia="sk-SK"/>
        </w:rPr>
        <w:t>*ostatné obsahuje štátom platené poistné a poistné za ozbrojené zložky</w:t>
      </w:r>
      <w:r w:rsidRPr="00FD4507">
        <w:rPr>
          <w:i/>
          <w:color w:val="000000"/>
          <w:sz w:val="16"/>
          <w:szCs w:val="16"/>
          <w:lang w:eastAsia="sk-SK"/>
        </w:rPr>
        <w:tab/>
      </w:r>
      <w:r w:rsidRPr="00FD4507">
        <w:rPr>
          <w:i/>
          <w:color w:val="000000"/>
          <w:sz w:val="16"/>
          <w:szCs w:val="16"/>
          <w:lang w:eastAsia="sk-SK"/>
        </w:rPr>
        <w:tab/>
      </w:r>
      <w:r w:rsidRPr="00FD4507">
        <w:rPr>
          <w:i/>
          <w:color w:val="000000"/>
          <w:sz w:val="16"/>
          <w:szCs w:val="16"/>
          <w:lang w:eastAsia="sk-SK"/>
        </w:rPr>
        <w:tab/>
      </w:r>
      <w:r>
        <w:rPr>
          <w:i/>
          <w:color w:val="000000"/>
          <w:sz w:val="16"/>
          <w:szCs w:val="16"/>
          <w:lang w:eastAsia="sk-SK"/>
        </w:rPr>
        <w:t xml:space="preserve">                       </w:t>
      </w:r>
      <w:r w:rsidRPr="00FD4507">
        <w:rPr>
          <w:i/>
          <w:color w:val="000000"/>
          <w:sz w:val="16"/>
          <w:szCs w:val="16"/>
          <w:lang w:eastAsia="sk-SK"/>
        </w:rPr>
        <w:t xml:space="preserve">              </w:t>
      </w:r>
      <w:r w:rsidRPr="00FD4507">
        <w:rPr>
          <w:i/>
          <w:iCs/>
          <w:color w:val="000000"/>
          <w:sz w:val="16"/>
          <w:szCs w:val="16"/>
          <w:lang w:eastAsia="sk-SK"/>
        </w:rPr>
        <w:t>Zdroj: ŠÚSR, IFP</w:t>
      </w:r>
    </w:p>
    <w:p w14:paraId="5580739B" w14:textId="561DB7EB" w:rsidR="00151939" w:rsidRDefault="00151939" w:rsidP="00151939">
      <w:pPr>
        <w:spacing w:line="240" w:lineRule="auto"/>
        <w:jc w:val="both"/>
        <w:rPr>
          <w:i/>
          <w:noProof/>
          <w:sz w:val="16"/>
          <w:szCs w:val="16"/>
        </w:rPr>
      </w:pPr>
      <w:r w:rsidRPr="00E945F6">
        <w:rPr>
          <w:i/>
          <w:noProof/>
          <w:sz w:val="16"/>
          <w:szCs w:val="16"/>
        </w:rPr>
        <w:t>Pozn.: Daňové a odvodové príjmy VS prognózované IFP podľa EKRK tvoria cca. 90 % celkových vykazovaných daňovo-odvodových príjmov (posledný riadok v</w:t>
      </w:r>
      <w:r>
        <w:rPr>
          <w:i/>
          <w:noProof/>
          <w:sz w:val="16"/>
          <w:szCs w:val="16"/>
        </w:rPr>
        <w:t> </w:t>
      </w:r>
      <w:r w:rsidRPr="00E945F6">
        <w:rPr>
          <w:i/>
          <w:noProof/>
          <w:sz w:val="16"/>
          <w:szCs w:val="16"/>
        </w:rPr>
        <w:t>tabubuľke</w:t>
      </w:r>
      <w:r>
        <w:rPr>
          <w:i/>
          <w:noProof/>
          <w:sz w:val="16"/>
          <w:szCs w:val="16"/>
        </w:rPr>
        <w:t>)</w:t>
      </w:r>
    </w:p>
    <w:p w14:paraId="4D259F77" w14:textId="77777777" w:rsidR="00151939" w:rsidRDefault="00151939">
      <w:pPr>
        <w:rPr>
          <w:i/>
          <w:noProof/>
          <w:sz w:val="16"/>
          <w:szCs w:val="16"/>
        </w:rPr>
      </w:pPr>
      <w:r>
        <w:rPr>
          <w:i/>
          <w:noProof/>
          <w:sz w:val="16"/>
          <w:szCs w:val="16"/>
        </w:rPr>
        <w:br w:type="page"/>
      </w:r>
    </w:p>
    <w:tbl>
      <w:tblPr>
        <w:tblStyle w:val="Mriekatabuky"/>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64"/>
      </w:tblGrid>
      <w:tr w:rsidR="00151939" w:rsidRPr="00471BD1" w14:paraId="045A1639" w14:textId="77777777" w:rsidTr="00EC6C1E">
        <w:trPr>
          <w:trHeight w:val="592"/>
          <w:jc w:val="center"/>
        </w:trPr>
        <w:tc>
          <w:tcPr>
            <w:tcW w:w="4508" w:type="dxa"/>
            <w:tcBorders>
              <w:bottom w:val="single" w:sz="4" w:space="0" w:color="auto"/>
            </w:tcBorders>
            <w:shd w:val="clear" w:color="auto" w:fill="000000" w:themeFill="text1"/>
          </w:tcPr>
          <w:p w14:paraId="3BDFE809" w14:textId="563FD0C7" w:rsidR="00151939" w:rsidRPr="00EC6C1E" w:rsidRDefault="00EC6C1E" w:rsidP="00EC6C1E">
            <w:pPr>
              <w:rPr>
                <w:b/>
                <w:bCs/>
                <w:color w:val="FFFFFF" w:themeColor="background1"/>
                <w:szCs w:val="22"/>
              </w:rPr>
            </w:pPr>
            <w:r>
              <w:rPr>
                <w:b/>
                <w:bCs/>
                <w:color w:val="FFFFFF" w:themeColor="background1"/>
                <w:szCs w:val="22"/>
              </w:rPr>
              <w:lastRenderedPageBreak/>
              <w:t xml:space="preserve">Graf 5: </w:t>
            </w:r>
            <w:r w:rsidR="00151939" w:rsidRPr="00EC6C1E">
              <w:rPr>
                <w:b/>
                <w:bCs/>
                <w:color w:val="FFFFFF" w:themeColor="background1"/>
                <w:szCs w:val="22"/>
              </w:rPr>
              <w:t>Medziročný vývoj daňových a odvodových príjmov VS podľa jednotlivých faktorov (ESA2010, v mil. eur)</w:t>
            </w:r>
          </w:p>
        </w:tc>
        <w:tc>
          <w:tcPr>
            <w:tcW w:w="4564" w:type="dxa"/>
            <w:tcBorders>
              <w:bottom w:val="single" w:sz="4" w:space="0" w:color="auto"/>
            </w:tcBorders>
            <w:shd w:val="clear" w:color="auto" w:fill="000000" w:themeFill="text1"/>
          </w:tcPr>
          <w:p w14:paraId="17D57C3C" w14:textId="3E657FA2" w:rsidR="00151939" w:rsidRPr="00EC6C1E" w:rsidRDefault="00EC6C1E" w:rsidP="0051395F">
            <w:pPr>
              <w:rPr>
                <w:b/>
                <w:bCs/>
                <w:color w:val="FFFFFF" w:themeColor="background1"/>
                <w:szCs w:val="22"/>
              </w:rPr>
            </w:pPr>
            <w:r>
              <w:rPr>
                <w:b/>
                <w:bCs/>
                <w:color w:val="FFFFFF" w:themeColor="background1"/>
                <w:szCs w:val="22"/>
              </w:rPr>
              <w:t xml:space="preserve">Graf 6: </w:t>
            </w:r>
            <w:r w:rsidR="00151939" w:rsidRPr="00EC6C1E">
              <w:rPr>
                <w:b/>
                <w:bCs/>
                <w:color w:val="FFFFFF" w:themeColor="background1"/>
                <w:szCs w:val="22"/>
              </w:rPr>
              <w:t>Medziročný vývoj daňových a odvodových príjmov VS podľa daní a odvodov</w:t>
            </w:r>
          </w:p>
          <w:p w14:paraId="740BD0E7" w14:textId="77777777" w:rsidR="00151939" w:rsidRPr="00EC6C1E" w:rsidRDefault="00151939" w:rsidP="0051395F">
            <w:pPr>
              <w:rPr>
                <w:b/>
                <w:bCs/>
                <w:color w:val="FFFFFF" w:themeColor="background1"/>
                <w:szCs w:val="22"/>
              </w:rPr>
            </w:pPr>
            <w:r w:rsidRPr="00EC6C1E">
              <w:rPr>
                <w:b/>
                <w:bCs/>
                <w:color w:val="FFFFFF" w:themeColor="background1"/>
                <w:szCs w:val="22"/>
              </w:rPr>
              <w:t>(ESA2010, v mil. eur)</w:t>
            </w:r>
          </w:p>
        </w:tc>
      </w:tr>
      <w:tr w:rsidR="00151939" w:rsidRPr="00471BD1" w14:paraId="3B6D6986" w14:textId="77777777" w:rsidTr="0051395F">
        <w:tblPrEx>
          <w:tblCellMar>
            <w:left w:w="70" w:type="dxa"/>
            <w:right w:w="70" w:type="dxa"/>
          </w:tblCellMar>
        </w:tblPrEx>
        <w:trPr>
          <w:trHeight w:val="2829"/>
          <w:jc w:val="center"/>
        </w:trPr>
        <w:tc>
          <w:tcPr>
            <w:tcW w:w="4508" w:type="dxa"/>
            <w:tcBorders>
              <w:top w:val="single" w:sz="4" w:space="0" w:color="auto"/>
              <w:bottom w:val="single" w:sz="4" w:space="0" w:color="auto"/>
            </w:tcBorders>
          </w:tcPr>
          <w:p w14:paraId="0F133631" w14:textId="77777777" w:rsidR="00151939" w:rsidRPr="00471BD1" w:rsidRDefault="00151939" w:rsidP="0051395F">
            <w:pPr>
              <w:jc w:val="center"/>
              <w:rPr>
                <w:color w:val="FF0000"/>
              </w:rPr>
            </w:pPr>
            <w:r>
              <w:rPr>
                <w:noProof/>
                <w:color w:val="FF0000"/>
              </w:rPr>
              <w:drawing>
                <wp:inline distT="0" distB="0" distL="0" distR="0" wp14:anchorId="78B9FF05" wp14:editId="1279639F">
                  <wp:extent cx="2714237" cy="1628316"/>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2230" cy="1669106"/>
                          </a:xfrm>
                          <a:prstGeom prst="rect">
                            <a:avLst/>
                          </a:prstGeom>
                          <a:noFill/>
                        </pic:spPr>
                      </pic:pic>
                    </a:graphicData>
                  </a:graphic>
                </wp:inline>
              </w:drawing>
            </w:r>
          </w:p>
        </w:tc>
        <w:tc>
          <w:tcPr>
            <w:tcW w:w="4564" w:type="dxa"/>
            <w:tcBorders>
              <w:top w:val="single" w:sz="4" w:space="0" w:color="auto"/>
              <w:bottom w:val="single" w:sz="4" w:space="0" w:color="auto"/>
            </w:tcBorders>
          </w:tcPr>
          <w:p w14:paraId="6F12B317" w14:textId="77777777" w:rsidR="00151939" w:rsidRPr="00471BD1" w:rsidRDefault="00151939" w:rsidP="0051395F">
            <w:pPr>
              <w:jc w:val="center"/>
              <w:rPr>
                <w:color w:val="FF0000"/>
              </w:rPr>
            </w:pPr>
            <w:r>
              <w:rPr>
                <w:noProof/>
                <w:color w:val="FF0000"/>
              </w:rPr>
              <w:drawing>
                <wp:inline distT="0" distB="0" distL="0" distR="0" wp14:anchorId="55EF8787" wp14:editId="612F2BCB">
                  <wp:extent cx="2729448" cy="1644280"/>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6103" cy="1660338"/>
                          </a:xfrm>
                          <a:prstGeom prst="rect">
                            <a:avLst/>
                          </a:prstGeom>
                          <a:noFill/>
                        </pic:spPr>
                      </pic:pic>
                    </a:graphicData>
                  </a:graphic>
                </wp:inline>
              </w:drawing>
            </w:r>
          </w:p>
        </w:tc>
      </w:tr>
    </w:tbl>
    <w:p w14:paraId="6F76105F" w14:textId="77777777" w:rsidR="00151939" w:rsidRPr="007B470D" w:rsidRDefault="00151939" w:rsidP="00151939">
      <w:pPr>
        <w:autoSpaceDE w:val="0"/>
        <w:autoSpaceDN w:val="0"/>
        <w:adjustRightInd w:val="0"/>
        <w:spacing w:before="120" w:after="120" w:line="240" w:lineRule="auto"/>
        <w:jc w:val="both"/>
      </w:pPr>
      <w:r w:rsidRPr="007B470D">
        <w:rPr>
          <w:b/>
        </w:rPr>
        <w:t>Daň z pridanej hodnoty</w:t>
      </w:r>
      <w:r>
        <w:rPr>
          <w:b/>
        </w:rPr>
        <w:t xml:space="preserve"> </w:t>
      </w:r>
      <w:r w:rsidRPr="007B470D">
        <w:t>nap</w:t>
      </w:r>
      <w:r>
        <w:t>r</w:t>
      </w:r>
      <w:r w:rsidRPr="007B470D">
        <w:t>iek pandémii, klesla medziročne le</w:t>
      </w:r>
      <w:r>
        <w:t>n minimálne, o 9 938 tis. eur (pokles o </w:t>
      </w:r>
      <w:r w:rsidRPr="007B470D">
        <w:t xml:space="preserve">0,1 %). </w:t>
      </w:r>
      <w:r>
        <w:t xml:space="preserve">Za udržaním výber dane je silná spotreba domácností, ktorá </w:t>
      </w:r>
      <w:r w:rsidRPr="007B470D">
        <w:t>prevýšila úroveň roku 2019</w:t>
      </w:r>
      <w:r>
        <w:t xml:space="preserve"> na rozdiel od situácie v susedných krajinách či EÚ, kde spotreba poklesla</w:t>
      </w:r>
      <w:r w:rsidRPr="007B470D">
        <w:t xml:space="preserve">.  Legislatívne </w:t>
      </w:r>
      <w:r w:rsidRPr="00BF5B7C">
        <w:t>zmeny (najmä znížená sadzba na vybrané potraviny) naopak</w:t>
      </w:r>
      <w:r w:rsidRPr="007B470D">
        <w:t xml:space="preserve"> na výnose medziročne ubrali. Efektivita výberu dane bola </w:t>
      </w:r>
      <w:r>
        <w:t xml:space="preserve">iba </w:t>
      </w:r>
      <w:r w:rsidRPr="007B470D">
        <w:t xml:space="preserve">mierne </w:t>
      </w:r>
      <w:r>
        <w:t>nižšia v porovnaní s rokom 2019, čím sa nezopakoval scenár z krízy v roku 2009 keď úspešnosť výberu dane výrazne poklesla.</w:t>
      </w:r>
    </w:p>
    <w:p w14:paraId="1F5EEC6C" w14:textId="77777777" w:rsidR="00151939" w:rsidRPr="00F93D71" w:rsidRDefault="00151939" w:rsidP="00151939">
      <w:pPr>
        <w:spacing w:after="120" w:line="240" w:lineRule="auto"/>
        <w:jc w:val="both"/>
      </w:pPr>
      <w:r w:rsidRPr="007B470D">
        <w:rPr>
          <w:b/>
        </w:rPr>
        <w:t>Spotrebné dane</w:t>
      </w:r>
      <w:r w:rsidRPr="007B470D">
        <w:t xml:space="preserve"> (SD) v roku 2020 poklesli o 3,1</w:t>
      </w:r>
      <w:r>
        <w:t> </w:t>
      </w:r>
      <w:r w:rsidRPr="007B470D">
        <w:t>% (</w:t>
      </w:r>
      <w:r>
        <w:t xml:space="preserve">pokles o </w:t>
      </w:r>
      <w:r w:rsidRPr="007B470D">
        <w:t>86</w:t>
      </w:r>
      <w:r>
        <w:t> </w:t>
      </w:r>
      <w:r w:rsidRPr="0051021A">
        <w:t>910 ti</w:t>
      </w:r>
      <w:r w:rsidRPr="007B470D">
        <w:t>s.</w:t>
      </w:r>
      <w:r>
        <w:t> </w:t>
      </w:r>
      <w:r w:rsidRPr="007B470D">
        <w:t>eur) (bez vplyvu SD za zelenú energiu by bol pokles o 5,9</w:t>
      </w:r>
      <w:r>
        <w:t> </w:t>
      </w:r>
      <w:r w:rsidRPr="007B470D">
        <w:t>%)</w:t>
      </w:r>
      <w:r w:rsidRPr="007B470D">
        <w:rPr>
          <w:rStyle w:val="Odkaznapoznmkupodiarou"/>
        </w:rPr>
        <w:footnoteReference w:id="17"/>
      </w:r>
      <w:r w:rsidRPr="007B470D">
        <w:t xml:space="preserve">. Výnos spotrebných daní je tvorený najmä SD z minerálnych olejov a SD z tabakových </w:t>
      </w:r>
      <w:r w:rsidRPr="005462A3">
        <w:t xml:space="preserve">výrobkov. Výnos spotrebnej dane z minerálnych olejov medziročne poklesol o 7,2 %, čo bolo spôsobené najmä pandémiou a s tým súvisiacou nižšou výkonnosťou ekonomiky. </w:t>
      </w:r>
      <w:r>
        <w:t xml:space="preserve">Zvyšnú </w:t>
      </w:r>
      <w:r w:rsidRPr="005462A3">
        <w:t xml:space="preserve">1/3 poklesu výnosu možno vysvetliť nižšou efektivitou </w:t>
      </w:r>
      <w:r w:rsidRPr="00F93D71">
        <w:t xml:space="preserve">výberu dane. Medziročný pokles výnosu spotrebnej dane </w:t>
      </w:r>
      <w:r>
        <w:t xml:space="preserve">z tabakových výrobkov o 4,5 % (pokles o </w:t>
      </w:r>
      <w:r w:rsidRPr="00F93D71">
        <w:t>34 551 tis. eur) je z veľkej časti spôsobený oneskoreným zaplatením dane (20</w:t>
      </w:r>
      <w:r>
        <w:t> </w:t>
      </w:r>
      <w:r w:rsidRPr="00F93D71">
        <w:t>000</w:t>
      </w:r>
      <w:r>
        <w:t> </w:t>
      </w:r>
      <w:r w:rsidRPr="00F93D71">
        <w:t>tis.</w:t>
      </w:r>
      <w:r>
        <w:t> </w:t>
      </w:r>
      <w:r w:rsidRPr="00F93D71">
        <w:t>eur), pričom táto suma pozitívne ovplyvní výnos v roku 2021. Zvyšok poklesu je ťahaný približne rovnako nižšou spotrebou domácností a poklesom efektivity výberu dane.</w:t>
      </w:r>
    </w:p>
    <w:p w14:paraId="17A0B1E5" w14:textId="77777777" w:rsidR="00151939" w:rsidRDefault="00151939" w:rsidP="00151939">
      <w:pPr>
        <w:spacing w:after="120" w:line="240" w:lineRule="auto"/>
        <w:jc w:val="both"/>
      </w:pPr>
      <w:r w:rsidRPr="00487233">
        <w:rPr>
          <w:b/>
        </w:rPr>
        <w:t xml:space="preserve">Daň z príjmov fyzických osôb </w:t>
      </w:r>
      <w:r w:rsidRPr="00487233">
        <w:t>klesla v roku 2020 o 1,2</w:t>
      </w:r>
      <w:r>
        <w:t> </w:t>
      </w:r>
      <w:r w:rsidRPr="00487233">
        <w:t>% (</w:t>
      </w:r>
      <w:r>
        <w:t xml:space="preserve">pokles o </w:t>
      </w:r>
      <w:r w:rsidRPr="00487233">
        <w:t>42 </w:t>
      </w:r>
      <w:r>
        <w:t>9</w:t>
      </w:r>
      <w:r w:rsidRPr="004D672F">
        <w:t>71</w:t>
      </w:r>
      <w:r w:rsidRPr="00487233">
        <w:t xml:space="preserve"> tis. eur).</w:t>
      </w:r>
      <w:r w:rsidRPr="00487233">
        <w:rPr>
          <w:b/>
        </w:rPr>
        <w:t xml:space="preserve"> </w:t>
      </w:r>
      <w:r w:rsidRPr="00487233">
        <w:t xml:space="preserve">Za poklesom je najmä pokles DPFO z podnikania </w:t>
      </w:r>
      <w:r>
        <w:t xml:space="preserve">(pokles o </w:t>
      </w:r>
      <w:r w:rsidRPr="00707432">
        <w:t>38 538 tis. eur) a v menšej mi</w:t>
      </w:r>
      <w:r>
        <w:t xml:space="preserve">ere DPFO zo závislej činnosti (pokles o </w:t>
      </w:r>
      <w:r w:rsidRPr="00707432">
        <w:t>4 433 tis. eur). Pozitívne vplyv</w:t>
      </w:r>
      <w:r>
        <w:t xml:space="preserve">y trhu práce aj vyššej efektivity výberu dane pri </w:t>
      </w:r>
      <w:r w:rsidRPr="00487233">
        <w:rPr>
          <w:b/>
        </w:rPr>
        <w:t>DPFO zo závislej činnosti</w:t>
      </w:r>
      <w:r>
        <w:t xml:space="preserve"> boli negované </w:t>
      </w:r>
      <w:r w:rsidRPr="00522DEE">
        <w:t>legislatívnymi vplyvmi (najmä zvýšenie nezdaniteľnej časti základu dane a opatrenia na podporu mobility práce)</w:t>
      </w:r>
      <w:r>
        <w:t>. Medziročný pokles výnosu DPFO z podnikania bol taktiež najmä vplyvom legislatívnych zmien (zvýšenie nezdaniteľnej časti základu dane, zavedenie zníženej 15 %-nej sadzby dane pre SZČO s obratom do 100 tis. eur).</w:t>
      </w:r>
    </w:p>
    <w:p w14:paraId="0AD55CAF" w14:textId="269F3AD8" w:rsidR="00151939" w:rsidRDefault="00151939" w:rsidP="00151939">
      <w:pPr>
        <w:spacing w:after="120" w:line="240" w:lineRule="auto"/>
        <w:jc w:val="both"/>
      </w:pPr>
      <w:r>
        <w:t xml:space="preserve">Výnos </w:t>
      </w:r>
      <w:r w:rsidRPr="00707432">
        <w:rPr>
          <w:b/>
        </w:rPr>
        <w:t>dane z príjmu právnických osôb</w:t>
      </w:r>
      <w:r>
        <w:t xml:space="preserve"> medziročne poklesol o 2,9 % (pokles o 61 232 tis. eur). V tomto výnose podľa metodiky ESA 2010 je okrem dane z príjmu právnických osôb (DPPO) zahrnutý aj osobitný odvod  z podnikania v regulovaných odvetviach. Výnos DPPO klesol oproti roku 2019 o 75 414 tis. eur. Negatívny vplyv </w:t>
      </w:r>
      <w:proofErr w:type="spellStart"/>
      <w:r>
        <w:t>makrobázy</w:t>
      </w:r>
      <w:proofErr w:type="spellEnd"/>
      <w:r>
        <w:t xml:space="preserve"> bol plne kompenzovaný vyššou efektivitou výberu dane, ktorá sčasti kompenzuje nedokonalú </w:t>
      </w:r>
      <w:proofErr w:type="spellStart"/>
      <w:r>
        <w:t>makrobázu</w:t>
      </w:r>
      <w:proofErr w:type="spellEnd"/>
      <w:r>
        <w:t xml:space="preserve"> na tejto dani . K poklesu prispeli legislatívne opatrenia (najmä zmeny v sadzbách dane) a úprava zaznamenania legislatívneho vplyvu z jednorazového odpisu strát za obdobie rokov 2015 až 2018</w:t>
      </w:r>
      <w:r w:rsidR="00DC1EB4">
        <w:rPr>
          <w:rStyle w:val="Odkaznapoznmkupodiarou"/>
        </w:rPr>
        <w:footnoteReference w:id="18"/>
      </w:r>
      <w:r>
        <w:t xml:space="preserve">. </w:t>
      </w:r>
    </w:p>
    <w:p w14:paraId="36516BC8" w14:textId="77777777" w:rsidR="00151939" w:rsidRDefault="00151939" w:rsidP="00151939">
      <w:pPr>
        <w:spacing w:after="120" w:line="240" w:lineRule="auto"/>
        <w:jc w:val="both"/>
      </w:pPr>
      <w:r>
        <w:t xml:space="preserve">Pri dani z príjmov právnických osôb došlo k výraznejšej zmene v rámci roka. Prvé odhady výnosu na rok 2020 predpokladali výrazný prepad dane, ako tomu bolo počas krízového roka 2009. Postupne podávané </w:t>
      </w:r>
      <w:r>
        <w:lastRenderedPageBreak/>
        <w:t xml:space="preserve">daňové priznania v priebehu roka 2021 ukázali, že medziročný pokles dane je minimálny čo viedlo k výraznej revízii odhadu na rok 2020 nahor. </w:t>
      </w:r>
    </w:p>
    <w:p w14:paraId="6CA0B910" w14:textId="77777777" w:rsidR="00151939" w:rsidRPr="00A24F81" w:rsidRDefault="00151939" w:rsidP="00151939">
      <w:pPr>
        <w:spacing w:after="120" w:line="240" w:lineRule="auto"/>
        <w:jc w:val="both"/>
      </w:pPr>
      <w:r w:rsidRPr="00A24F81">
        <w:t xml:space="preserve">Výnos </w:t>
      </w:r>
      <w:r w:rsidRPr="00A24F81">
        <w:rPr>
          <w:b/>
        </w:rPr>
        <w:t>dane z príjmu vyberanej zrážkou</w:t>
      </w:r>
      <w:r w:rsidRPr="00A24F81">
        <w:t xml:space="preserve"> medziročne poklesol o 4,3</w:t>
      </w:r>
      <w:r>
        <w:t> </w:t>
      </w:r>
      <w:r w:rsidRPr="00A24F81">
        <w:t>% (</w:t>
      </w:r>
      <w:r>
        <w:t xml:space="preserve">pokles o </w:t>
      </w:r>
      <w:r w:rsidRPr="00A24F81">
        <w:t>10</w:t>
      </w:r>
      <w:r>
        <w:t> </w:t>
      </w:r>
      <w:r w:rsidRPr="00A24F81">
        <w:t>5</w:t>
      </w:r>
      <w:r w:rsidRPr="00707432">
        <w:t>35</w:t>
      </w:r>
      <w:r>
        <w:t> </w:t>
      </w:r>
      <w:r w:rsidRPr="00A24F81">
        <w:t>tis.</w:t>
      </w:r>
      <w:r>
        <w:t> </w:t>
      </w:r>
      <w:r w:rsidRPr="00A24F81">
        <w:t>e</w:t>
      </w:r>
      <w:r>
        <w:t>ur). Za </w:t>
      </w:r>
      <w:r w:rsidRPr="00A24F81">
        <w:t xml:space="preserve">poklesom je najmä pokles priemernej úrokovej miery, ktorá znížila výnosy z úrokov z vkladov. K poklesu prispel aj pokles HDP a vrátenie dane jednému subjektu. </w:t>
      </w:r>
    </w:p>
    <w:p w14:paraId="6CE879BF" w14:textId="77777777" w:rsidR="00151939" w:rsidRPr="00EB5B1C" w:rsidRDefault="00151939" w:rsidP="00151939">
      <w:pPr>
        <w:spacing w:after="120" w:line="240" w:lineRule="auto"/>
        <w:jc w:val="both"/>
      </w:pPr>
      <w:r w:rsidRPr="00EB5B1C">
        <w:rPr>
          <w:b/>
        </w:rPr>
        <w:t>Príspevky na sociálne zabezpečenie</w:t>
      </w:r>
      <w:r w:rsidRPr="00EB5B1C">
        <w:t xml:space="preserve"> (sociálne aj zdravotné odvody) medziročne vzrástli o 1,3 %. Ak sa</w:t>
      </w:r>
      <w:r>
        <w:t xml:space="preserve"> zoberú do úvahy</w:t>
      </w:r>
      <w:r w:rsidRPr="00EB5B1C">
        <w:t xml:space="preserve"> len odvody ekonomicky aktívnych osôb (najmä bez vplyvu štátom plateného poistného), tak rástli medziročne o 0,7 %. K nárastu prispel najmä rastúci trh práce. Legislatívne opatrenia (napr. postupné zvyšovanie sadzieb do 2.</w:t>
      </w:r>
      <w:r>
        <w:t xml:space="preserve"> </w:t>
      </w:r>
      <w:r w:rsidRPr="00EB5B1C">
        <w:t xml:space="preserve">piliera, odpustenie odvodov pre zatvorené prevádzky v roku 2020) znížili medziročne príjmy zo sociálnych odvodov. </w:t>
      </w:r>
    </w:p>
    <w:p w14:paraId="2D93739F" w14:textId="77777777" w:rsidR="00151939" w:rsidRPr="00DA654B" w:rsidRDefault="00151939" w:rsidP="00151939">
      <w:pPr>
        <w:spacing w:after="120" w:line="240" w:lineRule="auto"/>
        <w:jc w:val="both"/>
        <w:rPr>
          <w:b/>
          <w:color w:val="0070C0"/>
          <w:sz w:val="24"/>
          <w:szCs w:val="24"/>
        </w:rPr>
      </w:pPr>
      <w:r w:rsidRPr="00DA654B">
        <w:rPr>
          <w:b/>
          <w:color w:val="0070C0"/>
          <w:sz w:val="24"/>
          <w:szCs w:val="24"/>
        </w:rPr>
        <w:t>Nedaňové príjmy</w:t>
      </w:r>
    </w:p>
    <w:p w14:paraId="733C076B" w14:textId="56A4DAD5" w:rsidR="0051395F" w:rsidRDefault="00151939" w:rsidP="00711001">
      <w:pPr>
        <w:spacing w:after="0" w:line="240" w:lineRule="auto"/>
        <w:jc w:val="both"/>
        <w:rPr>
          <w:szCs w:val="22"/>
        </w:rPr>
      </w:pPr>
      <w:r w:rsidRPr="00247DC3">
        <w:rPr>
          <w:szCs w:val="22"/>
        </w:rPr>
        <w:t>V rámci nedaňových príjmov</w:t>
      </w:r>
      <w:r w:rsidRPr="00465AE1">
        <w:rPr>
          <w:szCs w:val="22"/>
        </w:rPr>
        <w:t xml:space="preserve"> v roku 2020 </w:t>
      </w:r>
      <w:r>
        <w:rPr>
          <w:szCs w:val="22"/>
        </w:rPr>
        <w:t xml:space="preserve">poklesli </w:t>
      </w:r>
      <w:r w:rsidRPr="00465AE1">
        <w:rPr>
          <w:b/>
          <w:szCs w:val="22"/>
        </w:rPr>
        <w:t>výnosy z tržieb</w:t>
      </w:r>
      <w:r w:rsidRPr="00465AE1">
        <w:rPr>
          <w:szCs w:val="22"/>
        </w:rPr>
        <w:t xml:space="preserve"> za produkciu verejnej správy o 7,</w:t>
      </w:r>
      <w:r>
        <w:rPr>
          <w:szCs w:val="22"/>
        </w:rPr>
        <w:t>3 % (pokles o 184 194 tis. eur). N</w:t>
      </w:r>
      <w:r w:rsidRPr="00465AE1">
        <w:rPr>
          <w:szCs w:val="22"/>
        </w:rPr>
        <w:t xml:space="preserve">ajvýraznejšie poklesli platby </w:t>
      </w:r>
      <w:r w:rsidRPr="00C97C93">
        <w:rPr>
          <w:szCs w:val="22"/>
          <w:u w:val="single"/>
        </w:rPr>
        <w:t>za ostatnú netrhovú produkciu</w:t>
      </w:r>
      <w:r>
        <w:rPr>
          <w:szCs w:val="22"/>
        </w:rPr>
        <w:t xml:space="preserve"> o 24,7 %, išlo najmä o pokles príjmov </w:t>
      </w:r>
      <w:r w:rsidRPr="00BC44BF">
        <w:rPr>
          <w:szCs w:val="22"/>
        </w:rPr>
        <w:t xml:space="preserve">z poplatkov za školy, školské zariadenia a materské školy z dôvodu </w:t>
      </w:r>
      <w:proofErr w:type="spellStart"/>
      <w:r w:rsidRPr="00BC44BF">
        <w:rPr>
          <w:szCs w:val="22"/>
        </w:rPr>
        <w:t>protipandemických</w:t>
      </w:r>
      <w:proofErr w:type="spellEnd"/>
      <w:r w:rsidRPr="00BC44BF">
        <w:rPr>
          <w:szCs w:val="22"/>
        </w:rPr>
        <w:t xml:space="preserve"> opatrení, kde väčšina školských zariadení bola zatvorená a prebiehala</w:t>
      </w:r>
      <w:r>
        <w:rPr>
          <w:szCs w:val="22"/>
        </w:rPr>
        <w:t xml:space="preserve"> dištančná forma štúdia. Rovnako poklesli príjmy zo stravovacích služieb v školských zariadeniach.</w:t>
      </w:r>
      <w:r w:rsidRPr="00465AE1">
        <w:rPr>
          <w:szCs w:val="22"/>
        </w:rPr>
        <w:t xml:space="preserve"> </w:t>
      </w:r>
      <w:r w:rsidRPr="00A55B0C">
        <w:rPr>
          <w:szCs w:val="22"/>
        </w:rPr>
        <w:t>Nižšie príjmy na zdravotnú starostlivosť zaznamenali aj zdravotnícke zariadenia od zdravotných poisťovní, nakoľko sa poskytovala najmä neodkladná zdravotná starostlivosť a štandardné realizované plánované výkony boli pozastavené.</w:t>
      </w:r>
    </w:p>
    <w:p w14:paraId="55B6AB39" w14:textId="204431ED" w:rsidR="00151939" w:rsidRDefault="00151939" w:rsidP="00CE74FA">
      <w:pPr>
        <w:spacing w:after="120" w:line="240" w:lineRule="auto"/>
        <w:jc w:val="both"/>
        <w:rPr>
          <w:szCs w:val="22"/>
        </w:rPr>
      </w:pPr>
      <w:r w:rsidRPr="00247361">
        <w:rPr>
          <w:szCs w:val="22"/>
          <w:u w:val="single"/>
        </w:rPr>
        <w:t>Trhová produkcia</w:t>
      </w:r>
      <w:r w:rsidRPr="00247361">
        <w:rPr>
          <w:szCs w:val="22"/>
        </w:rPr>
        <w:t xml:space="preserve"> </w:t>
      </w:r>
      <w:r w:rsidRPr="003F65C0">
        <w:rPr>
          <w:szCs w:val="22"/>
        </w:rPr>
        <w:t>poklesla</w:t>
      </w:r>
      <w:r>
        <w:rPr>
          <w:szCs w:val="22"/>
        </w:rPr>
        <w:t xml:space="preserve"> oproti roku 2019</w:t>
      </w:r>
      <w:r w:rsidRPr="003F65C0">
        <w:rPr>
          <w:szCs w:val="22"/>
        </w:rPr>
        <w:t xml:space="preserve"> o 5,2</w:t>
      </w:r>
      <w:r>
        <w:rPr>
          <w:szCs w:val="22"/>
        </w:rPr>
        <w:t> % (pokles o 117 879 tis. eur). Najväčší pokles bol zaznamenaný na príjmoch za predaj výrobkov, tovarov a služieb o 137 399 tis. eur, najmä u Železníc Slovenskej republiky,  dopravných podnikov, Národnej diaľničnej spoločnosti, príspevkových organizácií štátu a verejných vysokých škôl. Ďalej sa znížili príjmy z poplatkov za stravné o 54 857 tis. eur, a to najmä u obcí, ako zriaďovateľov školských jedálni. Tie mali v roku 2020 z </w:t>
      </w:r>
      <w:proofErr w:type="spellStart"/>
      <w:r>
        <w:rPr>
          <w:szCs w:val="22"/>
        </w:rPr>
        <w:t>pandemických</w:t>
      </w:r>
      <w:proofErr w:type="spellEnd"/>
      <w:r>
        <w:rPr>
          <w:szCs w:val="22"/>
        </w:rPr>
        <w:t xml:space="preserve"> dôvodov prerušenú prevádzku a teda sa znížili ich príjmy za stravovacie služby. Celkový pokles trhovej produkcie bol čiastočne eliminovaný nárastom príjmov obcí a Environmentálneho fondu za komunálne odpady a drobný stavebný odpad o 23 591 tis. eur.</w:t>
      </w:r>
    </w:p>
    <w:p w14:paraId="5BD384D2" w14:textId="77777777" w:rsidR="00151939" w:rsidRDefault="00151939" w:rsidP="00151939">
      <w:pPr>
        <w:spacing w:after="0" w:line="240" w:lineRule="auto"/>
        <w:jc w:val="both"/>
      </w:pPr>
      <w:r w:rsidRPr="009C4216">
        <w:rPr>
          <w:b/>
          <w:bCs/>
        </w:rPr>
        <w:t>Príjmy verejnej správy z dividend a odvodov zo zisku</w:t>
      </w:r>
      <w:r w:rsidRPr="00CE74FA">
        <w:rPr>
          <w:b/>
          <w:bCs/>
        </w:rPr>
        <w:t xml:space="preserve"> </w:t>
      </w:r>
      <w:r>
        <w:t>medziročne klesli o 17,0 % (pokles o 55 085 tis. eur).  Najväčšou mierou sa na medziročnej zmene objemu prijatých ESA dividend podieľali štátny rozpočet spolu s MH Manažmentom, a. s., v menšej miere vykázali zníženie príjmov z dividend aj subjekty územnej samosprávy, verejné vysoké školy a ostatné ústredné podniky.</w:t>
      </w:r>
    </w:p>
    <w:p w14:paraId="5C9B4155" w14:textId="77777777" w:rsidR="00151939" w:rsidRDefault="00151939" w:rsidP="0051395F">
      <w:pPr>
        <w:spacing w:after="120" w:line="240" w:lineRule="auto"/>
        <w:jc w:val="both"/>
        <w:rPr>
          <w:szCs w:val="22"/>
        </w:rPr>
      </w:pPr>
      <w:r>
        <w:t xml:space="preserve">Medziročná zmena objemu prijatých dividend štátom a MH Manažmentom (pokles o 86 913 tis. eur) pozostávala z poklesu ESA dividend o 15,6 % (46 625 tis. eur) a zároveň z poklesu hodnoty </w:t>
      </w:r>
      <w:proofErr w:type="spellStart"/>
      <w:r>
        <w:t>superdividend</w:t>
      </w:r>
      <w:proofErr w:type="spellEnd"/>
      <w:r>
        <w:t xml:space="preserve"> o 19,0 % (40 288 tis. eur).  Negatívna medziročná zmena v objeme prijatých ESA dividend v roku 2020, vo výške 50 000 tis. eur, bola výsledkom spoločnosti Slovenská elektrizačná a prenosová sústava, a.s., ktorá v roku 2020 dividendy nevyplatila na základe rozhodnutia jediného akcionára MF SR. Nižší objem ESA dividend (o 10 007 tis. eur) bol prijatý aj od spoločnosti Východoslovenská energetika holding, a.s. Z dôvodu nižšieho zisku dosiahnutého za rok 2019 (pokles dividend vyplatených v rámci Skupiny o 51,7 %) sa využil ako zdroj pre vyplatenie dividend aj nerozdelený zisk minulých rokov.  Celkový negatívny trend medziročného vývoja ESA dividend čiastočne zmiernila ESA dividenda prijatá od Stredoslovenskej energetiky Holding, a.s. (vyššia takmer štvornásobne vplyvom reorganizácie skupiny SSE a prerozdeľovaním aj prevádzkových ziskov dosiahnutých dcérskymi spoločnosťami). </w:t>
      </w:r>
    </w:p>
    <w:p w14:paraId="4B2639F0" w14:textId="77777777" w:rsidR="00151939" w:rsidRDefault="00151939" w:rsidP="00151939">
      <w:pPr>
        <w:spacing w:after="120" w:line="240" w:lineRule="auto"/>
        <w:jc w:val="both"/>
      </w:pPr>
      <w:r>
        <w:t xml:space="preserve">Medziročný pokles zaznamenaný na položke </w:t>
      </w:r>
      <w:proofErr w:type="spellStart"/>
      <w:r>
        <w:t>superdividend</w:t>
      </w:r>
      <w:proofErr w:type="spellEnd"/>
      <w:r>
        <w:t xml:space="preserve"> bol vyšší ako na ESA dividendách, čím sa aj podiel </w:t>
      </w:r>
      <w:proofErr w:type="spellStart"/>
      <w:r>
        <w:t>superdividend</w:t>
      </w:r>
      <w:proofErr w:type="spellEnd"/>
      <w:r>
        <w:t xml:space="preserve"> na celkovom objeme prijatých dividend mierne znížil (zo  41,5 % na 40,5 %).  Medziročne nižší objem prijatých </w:t>
      </w:r>
      <w:proofErr w:type="spellStart"/>
      <w:r>
        <w:t>superdividend</w:t>
      </w:r>
      <w:proofErr w:type="spellEnd"/>
      <w:r>
        <w:t xml:space="preserve"> bol zaznamenaný pri spoločnosti Slovenský plynárenský priemysel, a.s., ktorá znížila objem vyplatenej dividendy o 33,7 %. Pokles vyplatených dividend znamenal aj nižší objem  </w:t>
      </w:r>
      <w:proofErr w:type="spellStart"/>
      <w:r>
        <w:t>superdividend</w:t>
      </w:r>
      <w:proofErr w:type="spellEnd"/>
      <w:r>
        <w:t xml:space="preserve"> (z pôvodných 55,5 % zastúpenia </w:t>
      </w:r>
      <w:proofErr w:type="spellStart"/>
      <w:r>
        <w:t>superdividend</w:t>
      </w:r>
      <w:proofErr w:type="spellEnd"/>
      <w:r>
        <w:t xml:space="preserve"> vo vyplatených dividendách na 32,9 %). Pokles </w:t>
      </w:r>
      <w:proofErr w:type="spellStart"/>
      <w:r>
        <w:t>superdividend</w:t>
      </w:r>
      <w:proofErr w:type="spellEnd"/>
      <w:r>
        <w:t xml:space="preserve"> bol ovplyvnený absenciou výplaty dodatočných dividend nad rámec finančného roka (12 mesiacov) spoločnosťou </w:t>
      </w:r>
      <w:proofErr w:type="spellStart"/>
      <w:r>
        <w:t>Eustream</w:t>
      </w:r>
      <w:proofErr w:type="spellEnd"/>
      <w:r>
        <w:t>, </w:t>
      </w:r>
      <w:proofErr w:type="spellStart"/>
      <w:r>
        <w:t>a.s</w:t>
      </w:r>
      <w:proofErr w:type="spellEnd"/>
      <w:r>
        <w:t xml:space="preserve">. a SPP – distribúcia, a.s. (dividenda za skrátené obdobie 7 mesiacov v dôsledku prechodu na hospodársky rok).  Pozitívny trend poklesu </w:t>
      </w:r>
      <w:proofErr w:type="spellStart"/>
      <w:r>
        <w:t>superdividend</w:t>
      </w:r>
      <w:proofErr w:type="spellEnd"/>
      <w:r>
        <w:t xml:space="preserve"> vygenerovaný spoločnosťou Slovenský plynárenský priemysel, a.s. čiastočne eliminovali (o 69,7 %) vyššie </w:t>
      </w:r>
      <w:proofErr w:type="spellStart"/>
      <w:r>
        <w:t>superdividendy</w:t>
      </w:r>
      <w:proofErr w:type="spellEnd"/>
      <w:r>
        <w:t xml:space="preserve"> poukázané spoločnosťami Stredoslovenská </w:t>
      </w:r>
      <w:r>
        <w:lastRenderedPageBreak/>
        <w:t xml:space="preserve">a Východoslovenská energetika Holding, a.s. Stredoslovenská energetika Holding, a.s. v rámci reorganizácie na holdingové zoskupenie vyplatila akcionárom aj dividendy kryté nerozdeleným ziskom minulých rokov dcérskej spoločností a zároveň ziskom z vkladu časti majetku Stredoslovenskej energetiky Holding, a.s. do dcérskej spoločnosti v rámci reorganizácie. Východoslovenská energetika Holding, a.s. z dôvodu nižšieho zisku z prevádzkovej činnosti pristúpila ku krytiu vyplatených dividend z nerozdeleného zisku minulých rokov (nižší objem prijatých dividend v rámci zoskupenia z dôvodu krytia dividend podnikov skupiny iba z prevádzkových výsledkov za príslušné obdobie).  </w:t>
      </w:r>
    </w:p>
    <w:p w14:paraId="148980C9" w14:textId="77777777" w:rsidR="00151939" w:rsidRPr="00DA654B" w:rsidRDefault="00151939" w:rsidP="00151939">
      <w:pPr>
        <w:spacing w:after="120" w:line="240" w:lineRule="auto"/>
        <w:jc w:val="both"/>
        <w:rPr>
          <w:b/>
          <w:color w:val="0070C0"/>
          <w:sz w:val="24"/>
          <w:szCs w:val="24"/>
        </w:rPr>
      </w:pPr>
      <w:r w:rsidRPr="00DA654B">
        <w:rPr>
          <w:b/>
          <w:color w:val="0070C0"/>
          <w:sz w:val="24"/>
          <w:szCs w:val="24"/>
        </w:rPr>
        <w:t>Granty a transfery</w:t>
      </w:r>
    </w:p>
    <w:p w14:paraId="657FE305" w14:textId="6375BF8A" w:rsidR="00813A84" w:rsidRDefault="00151939" w:rsidP="002F1D21">
      <w:pPr>
        <w:spacing w:after="120" w:line="240" w:lineRule="auto"/>
        <w:rPr>
          <w:bCs/>
        </w:rPr>
      </w:pPr>
      <w:r w:rsidRPr="00465AE1">
        <w:t xml:space="preserve">Nárast o 13,2 % zaznamenali </w:t>
      </w:r>
      <w:r w:rsidRPr="00465AE1">
        <w:rPr>
          <w:b/>
          <w:bCs/>
        </w:rPr>
        <w:t xml:space="preserve">granty a transfery </w:t>
      </w:r>
      <w:r w:rsidRPr="00465AE1">
        <w:rPr>
          <w:bCs/>
        </w:rPr>
        <w:t>(nárast o 200 920 tis. </w:t>
      </w:r>
      <w:r w:rsidRPr="00BC44BF">
        <w:rPr>
          <w:bCs/>
        </w:rPr>
        <w:t>eur). Najvýznamnejší nárast predstavovali bežné transfery o 19,7 % (nárast o 184 347 tis. eur)</w:t>
      </w:r>
      <w:r>
        <w:rPr>
          <w:bCs/>
        </w:rPr>
        <w:t>,</w:t>
      </w:r>
      <w:r w:rsidRPr="00BC44BF">
        <w:rPr>
          <w:bCs/>
        </w:rPr>
        <w:t>  kapitálové transfery vzrástli len o 2,8</w:t>
      </w:r>
      <w:r>
        <w:rPr>
          <w:bCs/>
        </w:rPr>
        <w:t> </w:t>
      </w:r>
      <w:r w:rsidRPr="00BC44BF">
        <w:rPr>
          <w:bCs/>
        </w:rPr>
        <w:t xml:space="preserve">% (nárast o 16 573 tis. eur). Mierny nárast zaznamenalo aj čerpania </w:t>
      </w:r>
      <w:r>
        <w:rPr>
          <w:bCs/>
        </w:rPr>
        <w:t>eurofondov</w:t>
      </w:r>
      <w:r w:rsidRPr="00BC44BF">
        <w:rPr>
          <w:bCs/>
        </w:rPr>
        <w:t xml:space="preserve"> o 8,8 % (nárast o 83 037 tis. eur).</w:t>
      </w:r>
    </w:p>
    <w:p w14:paraId="3741F204" w14:textId="77777777" w:rsidR="002F1D21" w:rsidRPr="001D77FC" w:rsidRDefault="002F1D21" w:rsidP="002F1D21">
      <w:pPr>
        <w:spacing w:after="120" w:line="240" w:lineRule="auto"/>
        <w:rPr>
          <w:rFonts w:eastAsia="Calibri"/>
          <w:b/>
          <w:szCs w:val="22"/>
          <w:highlight w:val="yellow"/>
        </w:rPr>
      </w:pPr>
    </w:p>
    <w:p w14:paraId="1EBC668A" w14:textId="63350406" w:rsidR="00500BD0" w:rsidRPr="002F1D21" w:rsidRDefault="00500BD0" w:rsidP="00500BD0">
      <w:pPr>
        <w:pStyle w:val="Nadpis3"/>
        <w:numPr>
          <w:ilvl w:val="0"/>
          <w:numId w:val="0"/>
        </w:numPr>
        <w:spacing w:before="120" w:after="0"/>
        <w:ind w:left="1800" w:hanging="720"/>
      </w:pPr>
      <w:bookmarkStart w:id="37" w:name="_Toc85718901"/>
      <w:r w:rsidRPr="002F1D21">
        <w:t xml:space="preserve">2.1.2. </w:t>
      </w:r>
      <w:r w:rsidRPr="002F1D21">
        <w:tab/>
        <w:t>Výdavky verejnej správy</w:t>
      </w:r>
      <w:bookmarkEnd w:id="37"/>
    </w:p>
    <w:p w14:paraId="1A23BF60" w14:textId="77777777" w:rsidR="002F1D21" w:rsidRDefault="002F1D21" w:rsidP="002F1D21">
      <w:pPr>
        <w:spacing w:after="120" w:line="240" w:lineRule="auto"/>
        <w:jc w:val="both"/>
        <w:rPr>
          <w:szCs w:val="22"/>
        </w:rPr>
      </w:pPr>
      <w:r w:rsidRPr="0039640B">
        <w:rPr>
          <w:b/>
          <w:color w:val="0070C0"/>
          <w:szCs w:val="22"/>
        </w:rPr>
        <w:t xml:space="preserve">Celkové výdavky verejnej správy v roku 2020 v metodike ESA2010 dosiahli </w:t>
      </w:r>
      <w:r w:rsidRPr="0039640B">
        <w:rPr>
          <w:b/>
          <w:bCs/>
          <w:color w:val="0070C0"/>
          <w:szCs w:val="22"/>
        </w:rPr>
        <w:t>41 943 908 </w:t>
      </w:r>
      <w:r w:rsidRPr="0039640B">
        <w:rPr>
          <w:b/>
          <w:color w:val="0070C0"/>
          <w:szCs w:val="22"/>
        </w:rPr>
        <w:t>tis. eur (45,6 % HDP).</w:t>
      </w:r>
      <w:r w:rsidRPr="002F1D21">
        <w:rPr>
          <w:color w:val="4F81BD" w:themeColor="accent1"/>
          <w:szCs w:val="22"/>
        </w:rPr>
        <w:t xml:space="preserve"> </w:t>
      </w:r>
      <w:r w:rsidRPr="00E415FE">
        <w:rPr>
          <w:szCs w:val="22"/>
        </w:rPr>
        <w:t>Medziročne sa celkové výdavky zvýšili o </w:t>
      </w:r>
      <w:r>
        <w:rPr>
          <w:szCs w:val="22"/>
        </w:rPr>
        <w:t>9</w:t>
      </w:r>
      <w:r w:rsidRPr="00E415FE">
        <w:rPr>
          <w:szCs w:val="22"/>
        </w:rPr>
        <w:t>,</w:t>
      </w:r>
      <w:r>
        <w:rPr>
          <w:szCs w:val="22"/>
        </w:rPr>
        <w:t>7</w:t>
      </w:r>
      <w:r w:rsidRPr="00E415FE">
        <w:rPr>
          <w:szCs w:val="22"/>
        </w:rPr>
        <w:t> %, resp. o 3 703 3205 tis. eur.</w:t>
      </w:r>
    </w:p>
    <w:tbl>
      <w:tblPr>
        <w:tblW w:w="9044" w:type="dxa"/>
        <w:tblCellMar>
          <w:left w:w="70" w:type="dxa"/>
          <w:right w:w="70" w:type="dxa"/>
        </w:tblCellMar>
        <w:tblLook w:val="04A0" w:firstRow="1" w:lastRow="0" w:firstColumn="1" w:lastColumn="0" w:noHBand="0" w:noVBand="1"/>
      </w:tblPr>
      <w:tblGrid>
        <w:gridCol w:w="3874"/>
        <w:gridCol w:w="1050"/>
        <w:gridCol w:w="1025"/>
        <w:gridCol w:w="1147"/>
        <w:gridCol w:w="999"/>
        <w:gridCol w:w="949"/>
      </w:tblGrid>
      <w:tr w:rsidR="002F1D21" w:rsidRPr="001D03F0" w14:paraId="60B63DF6" w14:textId="77777777" w:rsidTr="00FD0E0D">
        <w:trPr>
          <w:trHeight w:val="292"/>
          <w:tblHeader/>
        </w:trPr>
        <w:tc>
          <w:tcPr>
            <w:tcW w:w="3874" w:type="dxa"/>
            <w:tcBorders>
              <w:top w:val="nil"/>
              <w:left w:val="nil"/>
              <w:bottom w:val="nil"/>
              <w:right w:val="nil"/>
            </w:tcBorders>
            <w:shd w:val="clear" w:color="000000" w:fill="000000"/>
            <w:noWrap/>
            <w:vAlign w:val="center"/>
            <w:hideMark/>
          </w:tcPr>
          <w:p w14:paraId="6871966C" w14:textId="48020C5A" w:rsidR="002F1D21" w:rsidRPr="001D03F0" w:rsidRDefault="00156C9E" w:rsidP="00E409C5">
            <w:pPr>
              <w:pStyle w:val="popistabuliek"/>
            </w:pPr>
            <w:r w:rsidRPr="00884682">
              <w:t>Tab.</w:t>
            </w:r>
            <w:r>
              <w:t xml:space="preserve"> 11</w:t>
            </w:r>
            <w:r w:rsidRPr="00884682">
              <w:t xml:space="preserve"> - </w:t>
            </w:r>
            <w:r w:rsidR="002F1D21" w:rsidRPr="001D03F0">
              <w:t>Výdavky verejnej správy (ESA2010)</w:t>
            </w:r>
          </w:p>
        </w:tc>
        <w:tc>
          <w:tcPr>
            <w:tcW w:w="1050" w:type="dxa"/>
            <w:tcBorders>
              <w:top w:val="nil"/>
              <w:left w:val="nil"/>
              <w:bottom w:val="nil"/>
              <w:right w:val="nil"/>
            </w:tcBorders>
            <w:shd w:val="clear" w:color="000000" w:fill="000000"/>
            <w:noWrap/>
            <w:vAlign w:val="center"/>
            <w:hideMark/>
          </w:tcPr>
          <w:p w14:paraId="68A49130" w14:textId="77777777" w:rsidR="002F1D21" w:rsidRPr="001D03F0" w:rsidRDefault="002F1D21" w:rsidP="00E409C5">
            <w:pPr>
              <w:pStyle w:val="popistabuliek"/>
            </w:pPr>
            <w:r w:rsidRPr="001D03F0">
              <w:t> </w:t>
            </w:r>
          </w:p>
        </w:tc>
        <w:tc>
          <w:tcPr>
            <w:tcW w:w="1025" w:type="dxa"/>
            <w:tcBorders>
              <w:top w:val="nil"/>
              <w:left w:val="nil"/>
              <w:bottom w:val="nil"/>
              <w:right w:val="nil"/>
            </w:tcBorders>
            <w:shd w:val="clear" w:color="000000" w:fill="000000"/>
            <w:noWrap/>
            <w:vAlign w:val="center"/>
            <w:hideMark/>
          </w:tcPr>
          <w:p w14:paraId="0C62C41E" w14:textId="77777777" w:rsidR="002F1D21" w:rsidRPr="001D03F0" w:rsidRDefault="002F1D21" w:rsidP="00E409C5">
            <w:pPr>
              <w:pStyle w:val="popistabuliek"/>
            </w:pPr>
            <w:r w:rsidRPr="001D03F0">
              <w:t> </w:t>
            </w:r>
          </w:p>
        </w:tc>
        <w:tc>
          <w:tcPr>
            <w:tcW w:w="1147" w:type="dxa"/>
            <w:tcBorders>
              <w:top w:val="nil"/>
              <w:left w:val="nil"/>
              <w:bottom w:val="nil"/>
              <w:right w:val="nil"/>
            </w:tcBorders>
            <w:shd w:val="clear" w:color="000000" w:fill="000000"/>
            <w:noWrap/>
            <w:vAlign w:val="center"/>
            <w:hideMark/>
          </w:tcPr>
          <w:p w14:paraId="440A7908" w14:textId="77777777" w:rsidR="002F1D21" w:rsidRPr="001D03F0" w:rsidRDefault="002F1D21" w:rsidP="00E409C5">
            <w:pPr>
              <w:pStyle w:val="popistabuliek"/>
            </w:pPr>
            <w:r w:rsidRPr="001D03F0">
              <w:t> </w:t>
            </w:r>
          </w:p>
        </w:tc>
        <w:tc>
          <w:tcPr>
            <w:tcW w:w="999" w:type="dxa"/>
            <w:tcBorders>
              <w:top w:val="nil"/>
              <w:left w:val="nil"/>
              <w:bottom w:val="nil"/>
              <w:right w:val="nil"/>
            </w:tcBorders>
            <w:shd w:val="clear" w:color="000000" w:fill="000000"/>
            <w:noWrap/>
            <w:vAlign w:val="center"/>
            <w:hideMark/>
          </w:tcPr>
          <w:p w14:paraId="60D20258" w14:textId="77777777" w:rsidR="002F1D21" w:rsidRPr="001D03F0" w:rsidRDefault="002F1D21" w:rsidP="00E409C5">
            <w:pPr>
              <w:pStyle w:val="popistabuliek"/>
            </w:pPr>
            <w:r w:rsidRPr="001D03F0">
              <w:t> </w:t>
            </w:r>
          </w:p>
        </w:tc>
        <w:tc>
          <w:tcPr>
            <w:tcW w:w="949" w:type="dxa"/>
            <w:tcBorders>
              <w:top w:val="nil"/>
              <w:left w:val="nil"/>
              <w:bottom w:val="nil"/>
              <w:right w:val="nil"/>
            </w:tcBorders>
            <w:shd w:val="clear" w:color="000000" w:fill="000000"/>
            <w:noWrap/>
            <w:vAlign w:val="center"/>
            <w:hideMark/>
          </w:tcPr>
          <w:p w14:paraId="73B0CD05" w14:textId="77777777" w:rsidR="002F1D21" w:rsidRPr="001D03F0" w:rsidRDefault="002F1D21" w:rsidP="00E409C5">
            <w:pPr>
              <w:pStyle w:val="popistabuliek"/>
            </w:pPr>
            <w:r w:rsidRPr="001D03F0">
              <w:t xml:space="preserve"> v tis. eur</w:t>
            </w:r>
          </w:p>
        </w:tc>
      </w:tr>
      <w:tr w:rsidR="002F1D21" w:rsidRPr="001D03F0" w14:paraId="291ABAE6" w14:textId="77777777" w:rsidTr="00FD0E0D">
        <w:trPr>
          <w:trHeight w:val="468"/>
          <w:tblHeader/>
        </w:trPr>
        <w:tc>
          <w:tcPr>
            <w:tcW w:w="3874" w:type="dxa"/>
            <w:tcBorders>
              <w:top w:val="single" w:sz="4" w:space="0" w:color="auto"/>
              <w:left w:val="nil"/>
              <w:bottom w:val="nil"/>
              <w:right w:val="nil"/>
            </w:tcBorders>
            <w:shd w:val="clear" w:color="000000" w:fill="BFBFBF"/>
            <w:noWrap/>
            <w:vAlign w:val="center"/>
            <w:hideMark/>
          </w:tcPr>
          <w:p w14:paraId="4A73FE07" w14:textId="77777777" w:rsidR="002F1D21" w:rsidRPr="001D03F0" w:rsidRDefault="002F1D21" w:rsidP="00FD0E0D">
            <w:pPr>
              <w:spacing w:after="0" w:line="240" w:lineRule="auto"/>
              <w:rPr>
                <w:b/>
                <w:bCs/>
                <w:sz w:val="18"/>
                <w:szCs w:val="18"/>
                <w:lang w:eastAsia="sk-SK"/>
              </w:rPr>
            </w:pPr>
            <w:r w:rsidRPr="001D03F0">
              <w:rPr>
                <w:b/>
                <w:bCs/>
                <w:sz w:val="18"/>
                <w:szCs w:val="18"/>
                <w:lang w:eastAsia="sk-SK"/>
              </w:rPr>
              <w:t> </w:t>
            </w:r>
          </w:p>
        </w:tc>
        <w:tc>
          <w:tcPr>
            <w:tcW w:w="1050" w:type="dxa"/>
            <w:tcBorders>
              <w:top w:val="single" w:sz="4" w:space="0" w:color="auto"/>
              <w:left w:val="nil"/>
              <w:bottom w:val="nil"/>
              <w:right w:val="nil"/>
            </w:tcBorders>
            <w:shd w:val="clear" w:color="000000" w:fill="BFBFBF"/>
            <w:vAlign w:val="center"/>
            <w:hideMark/>
          </w:tcPr>
          <w:p w14:paraId="5EE52F74" w14:textId="77777777" w:rsidR="002F1D21" w:rsidRPr="001D03F0" w:rsidRDefault="002F1D21" w:rsidP="00FD0E0D">
            <w:pPr>
              <w:spacing w:after="0" w:line="240" w:lineRule="auto"/>
              <w:jc w:val="center"/>
              <w:rPr>
                <w:b/>
                <w:bCs/>
                <w:sz w:val="18"/>
                <w:szCs w:val="18"/>
                <w:lang w:eastAsia="sk-SK"/>
              </w:rPr>
            </w:pPr>
            <w:r w:rsidRPr="001D03F0">
              <w:rPr>
                <w:b/>
                <w:bCs/>
                <w:sz w:val="18"/>
                <w:szCs w:val="18"/>
                <w:lang w:eastAsia="sk-SK"/>
              </w:rPr>
              <w:t>Skutočnosť</w:t>
            </w:r>
            <w:r w:rsidRPr="001D03F0">
              <w:rPr>
                <w:b/>
                <w:bCs/>
                <w:sz w:val="18"/>
                <w:szCs w:val="18"/>
                <w:lang w:eastAsia="sk-SK"/>
              </w:rPr>
              <w:br/>
              <w:t>2018</w:t>
            </w:r>
          </w:p>
        </w:tc>
        <w:tc>
          <w:tcPr>
            <w:tcW w:w="1025" w:type="dxa"/>
            <w:tcBorders>
              <w:top w:val="single" w:sz="4" w:space="0" w:color="auto"/>
              <w:left w:val="nil"/>
              <w:bottom w:val="nil"/>
              <w:right w:val="nil"/>
            </w:tcBorders>
            <w:shd w:val="clear" w:color="000000" w:fill="BFBFBF"/>
            <w:vAlign w:val="center"/>
            <w:hideMark/>
          </w:tcPr>
          <w:p w14:paraId="195A57F9" w14:textId="77777777" w:rsidR="002F1D21" w:rsidRPr="001D03F0" w:rsidRDefault="002F1D21" w:rsidP="00FD0E0D">
            <w:pPr>
              <w:spacing w:after="0" w:line="240" w:lineRule="auto"/>
              <w:jc w:val="center"/>
              <w:rPr>
                <w:b/>
                <w:bCs/>
                <w:sz w:val="18"/>
                <w:szCs w:val="18"/>
                <w:lang w:eastAsia="sk-SK"/>
              </w:rPr>
            </w:pPr>
            <w:r w:rsidRPr="001D03F0">
              <w:rPr>
                <w:b/>
                <w:bCs/>
                <w:sz w:val="18"/>
                <w:szCs w:val="18"/>
                <w:lang w:eastAsia="sk-SK"/>
              </w:rPr>
              <w:t>Skutočnosť</w:t>
            </w:r>
            <w:r w:rsidRPr="001D03F0">
              <w:rPr>
                <w:b/>
                <w:bCs/>
                <w:sz w:val="18"/>
                <w:szCs w:val="18"/>
                <w:lang w:eastAsia="sk-SK"/>
              </w:rPr>
              <w:br/>
              <w:t>2019</w:t>
            </w:r>
          </w:p>
        </w:tc>
        <w:tc>
          <w:tcPr>
            <w:tcW w:w="1147" w:type="dxa"/>
            <w:tcBorders>
              <w:top w:val="single" w:sz="4" w:space="0" w:color="auto"/>
              <w:left w:val="nil"/>
              <w:bottom w:val="nil"/>
              <w:right w:val="nil"/>
            </w:tcBorders>
            <w:shd w:val="clear" w:color="000000" w:fill="BFBFBF"/>
            <w:vAlign w:val="center"/>
            <w:hideMark/>
          </w:tcPr>
          <w:p w14:paraId="39EDB556" w14:textId="77777777" w:rsidR="002F1D21" w:rsidRPr="001D03F0" w:rsidRDefault="002F1D21" w:rsidP="00FD0E0D">
            <w:pPr>
              <w:spacing w:after="0" w:line="240" w:lineRule="auto"/>
              <w:jc w:val="center"/>
              <w:rPr>
                <w:b/>
                <w:bCs/>
                <w:sz w:val="18"/>
                <w:szCs w:val="18"/>
                <w:lang w:eastAsia="sk-SK"/>
              </w:rPr>
            </w:pPr>
            <w:r w:rsidRPr="001D03F0">
              <w:rPr>
                <w:b/>
                <w:bCs/>
                <w:sz w:val="18"/>
                <w:szCs w:val="18"/>
                <w:lang w:eastAsia="sk-SK"/>
              </w:rPr>
              <w:t>Skutočnosť</w:t>
            </w:r>
            <w:r w:rsidRPr="001D03F0">
              <w:rPr>
                <w:b/>
                <w:bCs/>
                <w:sz w:val="18"/>
                <w:szCs w:val="18"/>
                <w:lang w:eastAsia="sk-SK"/>
              </w:rPr>
              <w:br/>
              <w:t>2020</w:t>
            </w:r>
          </w:p>
        </w:tc>
        <w:tc>
          <w:tcPr>
            <w:tcW w:w="999" w:type="dxa"/>
            <w:tcBorders>
              <w:top w:val="single" w:sz="4" w:space="0" w:color="auto"/>
              <w:left w:val="nil"/>
              <w:bottom w:val="nil"/>
              <w:right w:val="nil"/>
            </w:tcBorders>
            <w:shd w:val="clear" w:color="000000" w:fill="BFBFBF"/>
            <w:vAlign w:val="center"/>
            <w:hideMark/>
          </w:tcPr>
          <w:p w14:paraId="6F5281D3" w14:textId="77777777" w:rsidR="002F1D21" w:rsidRPr="001D03F0" w:rsidRDefault="002F1D21" w:rsidP="00FD0E0D">
            <w:pPr>
              <w:spacing w:after="0" w:line="240" w:lineRule="auto"/>
              <w:jc w:val="center"/>
              <w:rPr>
                <w:b/>
                <w:bCs/>
                <w:sz w:val="18"/>
                <w:szCs w:val="18"/>
                <w:lang w:eastAsia="sk-SK"/>
              </w:rPr>
            </w:pPr>
            <w:r w:rsidRPr="001D03F0">
              <w:rPr>
                <w:b/>
                <w:bCs/>
                <w:sz w:val="18"/>
                <w:szCs w:val="18"/>
                <w:lang w:eastAsia="sk-SK"/>
              </w:rPr>
              <w:t xml:space="preserve">Rozpočet </w:t>
            </w:r>
            <w:r w:rsidRPr="001D03F0">
              <w:rPr>
                <w:b/>
                <w:bCs/>
                <w:sz w:val="18"/>
                <w:szCs w:val="18"/>
                <w:lang w:eastAsia="sk-SK"/>
              </w:rPr>
              <w:br/>
              <w:t>2020</w:t>
            </w:r>
          </w:p>
        </w:tc>
        <w:tc>
          <w:tcPr>
            <w:tcW w:w="949" w:type="dxa"/>
            <w:tcBorders>
              <w:top w:val="single" w:sz="4" w:space="0" w:color="auto"/>
              <w:left w:val="nil"/>
              <w:bottom w:val="nil"/>
              <w:right w:val="nil"/>
            </w:tcBorders>
            <w:shd w:val="clear" w:color="000000" w:fill="BFBFBF"/>
            <w:vAlign w:val="center"/>
            <w:hideMark/>
          </w:tcPr>
          <w:p w14:paraId="4B4B76D6" w14:textId="77777777" w:rsidR="002F1D21" w:rsidRPr="001D03F0" w:rsidRDefault="002F1D21" w:rsidP="00FD0E0D">
            <w:pPr>
              <w:spacing w:after="0" w:line="240" w:lineRule="auto"/>
              <w:jc w:val="center"/>
              <w:rPr>
                <w:b/>
                <w:bCs/>
                <w:sz w:val="18"/>
                <w:szCs w:val="18"/>
                <w:lang w:eastAsia="sk-SK"/>
              </w:rPr>
            </w:pPr>
            <w:r w:rsidRPr="001D03F0">
              <w:rPr>
                <w:b/>
                <w:bCs/>
                <w:sz w:val="18"/>
                <w:szCs w:val="18"/>
                <w:lang w:eastAsia="sk-SK"/>
              </w:rPr>
              <w:t>2020/2019</w:t>
            </w:r>
            <w:r w:rsidRPr="001D03F0">
              <w:rPr>
                <w:b/>
                <w:bCs/>
                <w:sz w:val="18"/>
                <w:szCs w:val="18"/>
                <w:lang w:eastAsia="sk-SK"/>
              </w:rPr>
              <w:br/>
              <w:t>v %</w:t>
            </w:r>
          </w:p>
        </w:tc>
      </w:tr>
      <w:tr w:rsidR="002F1D21" w:rsidRPr="001D03F0" w14:paraId="25733BBA" w14:textId="77777777" w:rsidTr="00FD0E0D">
        <w:trPr>
          <w:trHeight w:val="292"/>
        </w:trPr>
        <w:tc>
          <w:tcPr>
            <w:tcW w:w="3874" w:type="dxa"/>
            <w:tcBorders>
              <w:top w:val="nil"/>
              <w:left w:val="nil"/>
              <w:bottom w:val="nil"/>
              <w:right w:val="nil"/>
            </w:tcBorders>
            <w:shd w:val="clear" w:color="auto" w:fill="auto"/>
            <w:noWrap/>
            <w:vAlign w:val="center"/>
            <w:hideMark/>
          </w:tcPr>
          <w:p w14:paraId="0180C427" w14:textId="77777777" w:rsidR="002F1D21" w:rsidRPr="001D03F0" w:rsidRDefault="002F1D21" w:rsidP="00FD0E0D">
            <w:pPr>
              <w:spacing w:after="0" w:line="240" w:lineRule="auto"/>
              <w:rPr>
                <w:b/>
                <w:bCs/>
                <w:color w:val="000000"/>
                <w:sz w:val="18"/>
                <w:szCs w:val="18"/>
                <w:lang w:eastAsia="sk-SK"/>
              </w:rPr>
            </w:pPr>
            <w:r w:rsidRPr="001D03F0">
              <w:rPr>
                <w:b/>
                <w:bCs/>
                <w:color w:val="000000"/>
                <w:sz w:val="18"/>
                <w:szCs w:val="18"/>
                <w:lang w:eastAsia="sk-SK"/>
              </w:rPr>
              <w:t>Bežné výdavky</w:t>
            </w:r>
          </w:p>
        </w:tc>
        <w:tc>
          <w:tcPr>
            <w:tcW w:w="1050" w:type="dxa"/>
            <w:tcBorders>
              <w:top w:val="nil"/>
              <w:left w:val="nil"/>
              <w:bottom w:val="nil"/>
              <w:right w:val="nil"/>
            </w:tcBorders>
            <w:shd w:val="clear" w:color="auto" w:fill="auto"/>
            <w:noWrap/>
            <w:vAlign w:val="center"/>
            <w:hideMark/>
          </w:tcPr>
          <w:p w14:paraId="43F1C14B"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31 917 030</w:t>
            </w:r>
          </w:p>
        </w:tc>
        <w:tc>
          <w:tcPr>
            <w:tcW w:w="1025" w:type="dxa"/>
            <w:tcBorders>
              <w:top w:val="nil"/>
              <w:left w:val="nil"/>
              <w:bottom w:val="nil"/>
              <w:right w:val="nil"/>
            </w:tcBorders>
            <w:shd w:val="clear" w:color="auto" w:fill="auto"/>
            <w:noWrap/>
            <w:vAlign w:val="center"/>
            <w:hideMark/>
          </w:tcPr>
          <w:p w14:paraId="2C912BC5"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34 449 584</w:t>
            </w:r>
          </w:p>
        </w:tc>
        <w:tc>
          <w:tcPr>
            <w:tcW w:w="1147" w:type="dxa"/>
            <w:tcBorders>
              <w:top w:val="nil"/>
              <w:left w:val="nil"/>
              <w:bottom w:val="nil"/>
              <w:right w:val="nil"/>
            </w:tcBorders>
            <w:shd w:val="clear" w:color="000000" w:fill="BFBFBF"/>
            <w:noWrap/>
            <w:vAlign w:val="center"/>
            <w:hideMark/>
          </w:tcPr>
          <w:p w14:paraId="5848FB7B"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38 033 946</w:t>
            </w:r>
          </w:p>
        </w:tc>
        <w:tc>
          <w:tcPr>
            <w:tcW w:w="999" w:type="dxa"/>
            <w:tcBorders>
              <w:top w:val="nil"/>
              <w:left w:val="nil"/>
              <w:bottom w:val="nil"/>
              <w:right w:val="nil"/>
            </w:tcBorders>
            <w:shd w:val="clear" w:color="auto" w:fill="auto"/>
            <w:noWrap/>
            <w:vAlign w:val="center"/>
            <w:hideMark/>
          </w:tcPr>
          <w:p w14:paraId="02E49280"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42 863 095</w:t>
            </w:r>
          </w:p>
        </w:tc>
        <w:tc>
          <w:tcPr>
            <w:tcW w:w="949" w:type="dxa"/>
            <w:tcBorders>
              <w:top w:val="nil"/>
              <w:left w:val="nil"/>
              <w:bottom w:val="nil"/>
              <w:right w:val="nil"/>
            </w:tcBorders>
            <w:shd w:val="clear" w:color="auto" w:fill="auto"/>
            <w:noWrap/>
            <w:vAlign w:val="center"/>
            <w:hideMark/>
          </w:tcPr>
          <w:p w14:paraId="15D4F2CC" w14:textId="77777777" w:rsidR="002F1D21" w:rsidRPr="001D03F0" w:rsidRDefault="002F1D21" w:rsidP="00FD0E0D">
            <w:pPr>
              <w:tabs>
                <w:tab w:val="decimal" w:pos="345"/>
              </w:tabs>
              <w:spacing w:after="0" w:line="240" w:lineRule="auto"/>
              <w:jc w:val="center"/>
              <w:rPr>
                <w:b/>
                <w:bCs/>
                <w:sz w:val="18"/>
                <w:szCs w:val="18"/>
                <w:lang w:eastAsia="sk-SK"/>
              </w:rPr>
            </w:pPr>
            <w:r w:rsidRPr="001D03F0">
              <w:rPr>
                <w:b/>
                <w:bCs/>
                <w:sz w:val="18"/>
                <w:szCs w:val="18"/>
                <w:lang w:eastAsia="sk-SK"/>
              </w:rPr>
              <w:t>10,4</w:t>
            </w:r>
          </w:p>
        </w:tc>
      </w:tr>
      <w:tr w:rsidR="002F1D21" w:rsidRPr="001D03F0" w14:paraId="2156F7D9" w14:textId="77777777" w:rsidTr="00FD0E0D">
        <w:trPr>
          <w:trHeight w:val="292"/>
        </w:trPr>
        <w:tc>
          <w:tcPr>
            <w:tcW w:w="3874" w:type="dxa"/>
            <w:tcBorders>
              <w:top w:val="nil"/>
              <w:left w:val="nil"/>
              <w:bottom w:val="nil"/>
              <w:right w:val="nil"/>
            </w:tcBorders>
            <w:shd w:val="clear" w:color="auto" w:fill="auto"/>
            <w:noWrap/>
            <w:vAlign w:val="center"/>
            <w:hideMark/>
          </w:tcPr>
          <w:p w14:paraId="50C72137" w14:textId="77777777" w:rsidR="002F1D21" w:rsidRPr="001D03F0" w:rsidRDefault="002F1D21" w:rsidP="00FD0E0D">
            <w:pPr>
              <w:spacing w:after="0" w:line="240" w:lineRule="auto"/>
              <w:ind w:firstLineChars="100" w:firstLine="180"/>
              <w:rPr>
                <w:b/>
                <w:bCs/>
                <w:color w:val="000000"/>
                <w:sz w:val="18"/>
                <w:szCs w:val="18"/>
                <w:lang w:eastAsia="sk-SK"/>
              </w:rPr>
            </w:pPr>
            <w:r w:rsidRPr="001D03F0">
              <w:rPr>
                <w:b/>
                <w:bCs/>
                <w:color w:val="000000"/>
                <w:sz w:val="18"/>
                <w:szCs w:val="18"/>
                <w:lang w:eastAsia="sk-SK"/>
              </w:rPr>
              <w:t>Kompenzácie zamestnancov</w:t>
            </w:r>
          </w:p>
        </w:tc>
        <w:tc>
          <w:tcPr>
            <w:tcW w:w="1050" w:type="dxa"/>
            <w:tcBorders>
              <w:top w:val="nil"/>
              <w:left w:val="nil"/>
              <w:bottom w:val="nil"/>
              <w:right w:val="nil"/>
            </w:tcBorders>
            <w:shd w:val="clear" w:color="auto" w:fill="auto"/>
            <w:noWrap/>
            <w:vAlign w:val="bottom"/>
            <w:hideMark/>
          </w:tcPr>
          <w:p w14:paraId="0252223C" w14:textId="77777777" w:rsidR="002F1D21" w:rsidRPr="001D03F0" w:rsidRDefault="002F1D21" w:rsidP="00FD0E0D">
            <w:pPr>
              <w:spacing w:after="0" w:line="240" w:lineRule="auto"/>
              <w:jc w:val="right"/>
              <w:rPr>
                <w:b/>
                <w:bCs/>
                <w:color w:val="000000"/>
                <w:sz w:val="18"/>
                <w:szCs w:val="18"/>
                <w:lang w:eastAsia="sk-SK"/>
              </w:rPr>
            </w:pPr>
            <w:r w:rsidRPr="001D03F0">
              <w:rPr>
                <w:b/>
                <w:bCs/>
                <w:color w:val="000000"/>
                <w:sz w:val="18"/>
                <w:szCs w:val="18"/>
                <w:lang w:eastAsia="sk-SK"/>
              </w:rPr>
              <w:t>8 368 382</w:t>
            </w:r>
          </w:p>
        </w:tc>
        <w:tc>
          <w:tcPr>
            <w:tcW w:w="1025" w:type="dxa"/>
            <w:tcBorders>
              <w:top w:val="nil"/>
              <w:left w:val="nil"/>
              <w:bottom w:val="nil"/>
              <w:right w:val="nil"/>
            </w:tcBorders>
            <w:shd w:val="clear" w:color="auto" w:fill="auto"/>
            <w:noWrap/>
            <w:vAlign w:val="bottom"/>
            <w:hideMark/>
          </w:tcPr>
          <w:p w14:paraId="23F816D0" w14:textId="77777777" w:rsidR="002F1D21" w:rsidRPr="001D03F0" w:rsidRDefault="002F1D21" w:rsidP="00FD0E0D">
            <w:pPr>
              <w:spacing w:after="0" w:line="240" w:lineRule="auto"/>
              <w:jc w:val="right"/>
              <w:rPr>
                <w:b/>
                <w:bCs/>
                <w:color w:val="000000"/>
                <w:sz w:val="18"/>
                <w:szCs w:val="18"/>
                <w:lang w:eastAsia="sk-SK"/>
              </w:rPr>
            </w:pPr>
            <w:r w:rsidRPr="001D03F0">
              <w:rPr>
                <w:b/>
                <w:bCs/>
                <w:color w:val="000000"/>
                <w:sz w:val="18"/>
                <w:szCs w:val="18"/>
                <w:lang w:eastAsia="sk-SK"/>
              </w:rPr>
              <w:t>9 609 434</w:t>
            </w:r>
          </w:p>
        </w:tc>
        <w:tc>
          <w:tcPr>
            <w:tcW w:w="1147" w:type="dxa"/>
            <w:tcBorders>
              <w:top w:val="nil"/>
              <w:left w:val="nil"/>
              <w:bottom w:val="nil"/>
              <w:right w:val="nil"/>
            </w:tcBorders>
            <w:shd w:val="clear" w:color="000000" w:fill="BFBFBF"/>
            <w:noWrap/>
            <w:vAlign w:val="bottom"/>
            <w:hideMark/>
          </w:tcPr>
          <w:p w14:paraId="7F8FFA2F"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10 485 817</w:t>
            </w:r>
          </w:p>
        </w:tc>
        <w:tc>
          <w:tcPr>
            <w:tcW w:w="999" w:type="dxa"/>
            <w:tcBorders>
              <w:top w:val="nil"/>
              <w:left w:val="nil"/>
              <w:bottom w:val="nil"/>
              <w:right w:val="nil"/>
            </w:tcBorders>
            <w:shd w:val="clear" w:color="auto" w:fill="auto"/>
            <w:noWrap/>
            <w:vAlign w:val="bottom"/>
            <w:hideMark/>
          </w:tcPr>
          <w:p w14:paraId="517DDF00" w14:textId="77777777" w:rsidR="002F1D21" w:rsidRPr="001D03F0" w:rsidRDefault="002F1D21" w:rsidP="00FD0E0D">
            <w:pPr>
              <w:spacing w:after="0" w:line="240" w:lineRule="auto"/>
              <w:jc w:val="right"/>
              <w:rPr>
                <w:b/>
                <w:bCs/>
                <w:color w:val="000000"/>
                <w:sz w:val="18"/>
                <w:szCs w:val="18"/>
                <w:lang w:eastAsia="sk-SK"/>
              </w:rPr>
            </w:pPr>
            <w:r w:rsidRPr="001D03F0">
              <w:rPr>
                <w:b/>
                <w:bCs/>
                <w:color w:val="000000"/>
                <w:sz w:val="18"/>
                <w:szCs w:val="18"/>
                <w:lang w:eastAsia="sk-SK"/>
              </w:rPr>
              <w:t>9 931 188</w:t>
            </w:r>
          </w:p>
        </w:tc>
        <w:tc>
          <w:tcPr>
            <w:tcW w:w="949" w:type="dxa"/>
            <w:tcBorders>
              <w:top w:val="nil"/>
              <w:left w:val="nil"/>
              <w:bottom w:val="nil"/>
              <w:right w:val="nil"/>
            </w:tcBorders>
            <w:shd w:val="clear" w:color="auto" w:fill="auto"/>
            <w:noWrap/>
            <w:vAlign w:val="bottom"/>
            <w:hideMark/>
          </w:tcPr>
          <w:p w14:paraId="64E0DBA3" w14:textId="77777777" w:rsidR="002F1D21" w:rsidRPr="001D03F0" w:rsidRDefault="002F1D21" w:rsidP="00FD0E0D">
            <w:pPr>
              <w:tabs>
                <w:tab w:val="decimal" w:pos="345"/>
              </w:tabs>
              <w:spacing w:after="0" w:line="240" w:lineRule="auto"/>
              <w:jc w:val="center"/>
              <w:rPr>
                <w:b/>
                <w:bCs/>
                <w:color w:val="000000"/>
                <w:sz w:val="18"/>
                <w:szCs w:val="18"/>
                <w:lang w:eastAsia="sk-SK"/>
              </w:rPr>
            </w:pPr>
            <w:r w:rsidRPr="001D03F0">
              <w:rPr>
                <w:b/>
                <w:bCs/>
                <w:color w:val="000000"/>
                <w:sz w:val="18"/>
                <w:szCs w:val="18"/>
                <w:lang w:eastAsia="sk-SK"/>
              </w:rPr>
              <w:t>9,1</w:t>
            </w:r>
          </w:p>
        </w:tc>
      </w:tr>
      <w:tr w:rsidR="002F1D21" w:rsidRPr="001D03F0" w14:paraId="63BBB2DF" w14:textId="77777777" w:rsidTr="00FD0E0D">
        <w:trPr>
          <w:trHeight w:val="292"/>
        </w:trPr>
        <w:tc>
          <w:tcPr>
            <w:tcW w:w="3874" w:type="dxa"/>
            <w:tcBorders>
              <w:top w:val="nil"/>
              <w:left w:val="nil"/>
              <w:bottom w:val="nil"/>
              <w:right w:val="nil"/>
            </w:tcBorders>
            <w:shd w:val="clear" w:color="auto" w:fill="auto"/>
            <w:noWrap/>
            <w:vAlign w:val="center"/>
            <w:hideMark/>
          </w:tcPr>
          <w:p w14:paraId="206F0E6F" w14:textId="77777777" w:rsidR="002F1D21" w:rsidRPr="001D03F0" w:rsidRDefault="002F1D21" w:rsidP="00FD0E0D">
            <w:pPr>
              <w:spacing w:after="0" w:line="240" w:lineRule="auto"/>
              <w:ind w:firstLineChars="100" w:firstLine="180"/>
              <w:rPr>
                <w:color w:val="000000"/>
                <w:sz w:val="18"/>
                <w:szCs w:val="18"/>
                <w:lang w:eastAsia="sk-SK"/>
              </w:rPr>
            </w:pPr>
            <w:r w:rsidRPr="001D03F0">
              <w:rPr>
                <w:color w:val="000000"/>
                <w:sz w:val="18"/>
                <w:szCs w:val="18"/>
                <w:lang w:eastAsia="sk-SK"/>
              </w:rPr>
              <w:t xml:space="preserve"> - Mzdy a platy</w:t>
            </w:r>
          </w:p>
        </w:tc>
        <w:tc>
          <w:tcPr>
            <w:tcW w:w="1050" w:type="dxa"/>
            <w:tcBorders>
              <w:top w:val="nil"/>
              <w:left w:val="nil"/>
              <w:bottom w:val="nil"/>
              <w:right w:val="nil"/>
            </w:tcBorders>
            <w:shd w:val="clear" w:color="auto" w:fill="auto"/>
            <w:noWrap/>
            <w:vAlign w:val="bottom"/>
            <w:hideMark/>
          </w:tcPr>
          <w:p w14:paraId="5F89808E" w14:textId="77777777" w:rsidR="002F1D21" w:rsidRPr="001D03F0" w:rsidRDefault="002F1D21" w:rsidP="00FD0E0D">
            <w:pPr>
              <w:spacing w:after="0" w:line="240" w:lineRule="auto"/>
              <w:jc w:val="right"/>
              <w:rPr>
                <w:sz w:val="18"/>
                <w:szCs w:val="18"/>
                <w:lang w:eastAsia="sk-SK"/>
              </w:rPr>
            </w:pPr>
            <w:r w:rsidRPr="001D03F0">
              <w:rPr>
                <w:sz w:val="18"/>
                <w:szCs w:val="18"/>
                <w:lang w:eastAsia="sk-SK"/>
              </w:rPr>
              <w:t>6 230 788</w:t>
            </w:r>
          </w:p>
        </w:tc>
        <w:tc>
          <w:tcPr>
            <w:tcW w:w="1025" w:type="dxa"/>
            <w:tcBorders>
              <w:top w:val="nil"/>
              <w:left w:val="nil"/>
              <w:bottom w:val="nil"/>
              <w:right w:val="nil"/>
            </w:tcBorders>
            <w:shd w:val="clear" w:color="auto" w:fill="auto"/>
            <w:noWrap/>
            <w:vAlign w:val="bottom"/>
            <w:hideMark/>
          </w:tcPr>
          <w:p w14:paraId="3915A552" w14:textId="77777777" w:rsidR="002F1D21" w:rsidRPr="001D03F0" w:rsidRDefault="002F1D21" w:rsidP="00FD0E0D">
            <w:pPr>
              <w:spacing w:after="0" w:line="240" w:lineRule="auto"/>
              <w:jc w:val="right"/>
              <w:rPr>
                <w:sz w:val="18"/>
                <w:szCs w:val="18"/>
                <w:lang w:eastAsia="sk-SK"/>
              </w:rPr>
            </w:pPr>
            <w:r w:rsidRPr="001D03F0">
              <w:rPr>
                <w:sz w:val="18"/>
                <w:szCs w:val="18"/>
                <w:lang w:eastAsia="sk-SK"/>
              </w:rPr>
              <w:t>7 003 978</w:t>
            </w:r>
          </w:p>
        </w:tc>
        <w:tc>
          <w:tcPr>
            <w:tcW w:w="1147" w:type="dxa"/>
            <w:tcBorders>
              <w:top w:val="nil"/>
              <w:left w:val="nil"/>
              <w:bottom w:val="nil"/>
              <w:right w:val="nil"/>
            </w:tcBorders>
            <w:shd w:val="clear" w:color="000000" w:fill="BFBFBF"/>
            <w:noWrap/>
            <w:vAlign w:val="bottom"/>
            <w:hideMark/>
          </w:tcPr>
          <w:p w14:paraId="0E741D8C" w14:textId="77777777" w:rsidR="002F1D21" w:rsidRPr="001D03F0" w:rsidRDefault="002F1D21" w:rsidP="00FD0E0D">
            <w:pPr>
              <w:spacing w:after="0" w:line="240" w:lineRule="auto"/>
              <w:jc w:val="right"/>
              <w:rPr>
                <w:sz w:val="18"/>
                <w:szCs w:val="18"/>
                <w:lang w:eastAsia="sk-SK"/>
              </w:rPr>
            </w:pPr>
            <w:r w:rsidRPr="001D03F0">
              <w:rPr>
                <w:sz w:val="18"/>
                <w:szCs w:val="18"/>
                <w:lang w:eastAsia="sk-SK"/>
              </w:rPr>
              <w:t>7 681 364</w:t>
            </w:r>
          </w:p>
        </w:tc>
        <w:tc>
          <w:tcPr>
            <w:tcW w:w="999" w:type="dxa"/>
            <w:tcBorders>
              <w:top w:val="nil"/>
              <w:left w:val="nil"/>
              <w:bottom w:val="nil"/>
              <w:right w:val="nil"/>
            </w:tcBorders>
            <w:shd w:val="clear" w:color="auto" w:fill="auto"/>
            <w:noWrap/>
            <w:vAlign w:val="center"/>
            <w:hideMark/>
          </w:tcPr>
          <w:p w14:paraId="179E46C6"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7 247 989</w:t>
            </w:r>
          </w:p>
        </w:tc>
        <w:tc>
          <w:tcPr>
            <w:tcW w:w="949" w:type="dxa"/>
            <w:tcBorders>
              <w:top w:val="nil"/>
              <w:left w:val="nil"/>
              <w:bottom w:val="nil"/>
              <w:right w:val="nil"/>
            </w:tcBorders>
            <w:shd w:val="clear" w:color="auto" w:fill="auto"/>
            <w:noWrap/>
            <w:vAlign w:val="bottom"/>
            <w:hideMark/>
          </w:tcPr>
          <w:p w14:paraId="2E0DD546" w14:textId="77777777" w:rsidR="002F1D21" w:rsidRPr="001D03F0" w:rsidRDefault="002F1D21" w:rsidP="00FD0E0D">
            <w:pPr>
              <w:tabs>
                <w:tab w:val="decimal" w:pos="345"/>
              </w:tabs>
              <w:spacing w:after="0" w:line="240" w:lineRule="auto"/>
              <w:jc w:val="center"/>
              <w:rPr>
                <w:color w:val="000000"/>
                <w:sz w:val="18"/>
                <w:szCs w:val="18"/>
                <w:lang w:eastAsia="sk-SK"/>
              </w:rPr>
            </w:pPr>
            <w:r w:rsidRPr="001D03F0">
              <w:rPr>
                <w:color w:val="000000"/>
                <w:sz w:val="18"/>
                <w:szCs w:val="18"/>
                <w:lang w:eastAsia="sk-SK"/>
              </w:rPr>
              <w:t>9,7</w:t>
            </w:r>
          </w:p>
        </w:tc>
      </w:tr>
      <w:tr w:rsidR="002F1D21" w:rsidRPr="001D03F0" w14:paraId="094AF3AE" w14:textId="77777777" w:rsidTr="00FD0E0D">
        <w:trPr>
          <w:trHeight w:val="292"/>
        </w:trPr>
        <w:tc>
          <w:tcPr>
            <w:tcW w:w="3874" w:type="dxa"/>
            <w:tcBorders>
              <w:top w:val="nil"/>
              <w:left w:val="nil"/>
              <w:bottom w:val="nil"/>
              <w:right w:val="nil"/>
            </w:tcBorders>
            <w:shd w:val="clear" w:color="auto" w:fill="auto"/>
            <w:noWrap/>
            <w:vAlign w:val="center"/>
            <w:hideMark/>
          </w:tcPr>
          <w:p w14:paraId="32CA0A0D" w14:textId="77777777" w:rsidR="002F1D21" w:rsidRPr="001D03F0" w:rsidRDefault="002F1D21" w:rsidP="00FD0E0D">
            <w:pPr>
              <w:spacing w:after="0" w:line="240" w:lineRule="auto"/>
              <w:ind w:firstLineChars="100" w:firstLine="180"/>
              <w:rPr>
                <w:color w:val="000000"/>
                <w:sz w:val="18"/>
                <w:szCs w:val="18"/>
                <w:lang w:eastAsia="sk-SK"/>
              </w:rPr>
            </w:pPr>
            <w:r w:rsidRPr="001D03F0">
              <w:rPr>
                <w:color w:val="000000"/>
                <w:sz w:val="18"/>
                <w:szCs w:val="18"/>
                <w:lang w:eastAsia="sk-SK"/>
              </w:rPr>
              <w:t xml:space="preserve"> - Sociálne príspevky zamestnávateľov</w:t>
            </w:r>
          </w:p>
        </w:tc>
        <w:tc>
          <w:tcPr>
            <w:tcW w:w="1050" w:type="dxa"/>
            <w:tcBorders>
              <w:top w:val="nil"/>
              <w:left w:val="nil"/>
              <w:bottom w:val="nil"/>
              <w:right w:val="nil"/>
            </w:tcBorders>
            <w:shd w:val="clear" w:color="auto" w:fill="auto"/>
            <w:noWrap/>
            <w:vAlign w:val="bottom"/>
            <w:hideMark/>
          </w:tcPr>
          <w:p w14:paraId="0BF063ED" w14:textId="77777777" w:rsidR="002F1D21" w:rsidRPr="001D03F0" w:rsidRDefault="002F1D21" w:rsidP="00FD0E0D">
            <w:pPr>
              <w:spacing w:after="0" w:line="240" w:lineRule="auto"/>
              <w:jc w:val="right"/>
              <w:rPr>
                <w:sz w:val="18"/>
                <w:szCs w:val="18"/>
                <w:lang w:eastAsia="sk-SK"/>
              </w:rPr>
            </w:pPr>
            <w:r w:rsidRPr="001D03F0">
              <w:rPr>
                <w:sz w:val="18"/>
                <w:szCs w:val="18"/>
                <w:lang w:eastAsia="sk-SK"/>
              </w:rPr>
              <w:t>2 137 594</w:t>
            </w:r>
          </w:p>
        </w:tc>
        <w:tc>
          <w:tcPr>
            <w:tcW w:w="1025" w:type="dxa"/>
            <w:tcBorders>
              <w:top w:val="nil"/>
              <w:left w:val="nil"/>
              <w:bottom w:val="nil"/>
              <w:right w:val="nil"/>
            </w:tcBorders>
            <w:shd w:val="clear" w:color="auto" w:fill="auto"/>
            <w:noWrap/>
            <w:vAlign w:val="bottom"/>
            <w:hideMark/>
          </w:tcPr>
          <w:p w14:paraId="20362E5A" w14:textId="77777777" w:rsidR="002F1D21" w:rsidRPr="001D03F0" w:rsidRDefault="002F1D21" w:rsidP="00FD0E0D">
            <w:pPr>
              <w:spacing w:after="0" w:line="240" w:lineRule="auto"/>
              <w:jc w:val="right"/>
              <w:rPr>
                <w:sz w:val="18"/>
                <w:szCs w:val="18"/>
                <w:lang w:eastAsia="sk-SK"/>
              </w:rPr>
            </w:pPr>
            <w:r w:rsidRPr="001D03F0">
              <w:rPr>
                <w:sz w:val="18"/>
                <w:szCs w:val="18"/>
                <w:lang w:eastAsia="sk-SK"/>
              </w:rPr>
              <w:t>2 605 456</w:t>
            </w:r>
          </w:p>
        </w:tc>
        <w:tc>
          <w:tcPr>
            <w:tcW w:w="1147" w:type="dxa"/>
            <w:tcBorders>
              <w:top w:val="nil"/>
              <w:left w:val="nil"/>
              <w:bottom w:val="nil"/>
              <w:right w:val="nil"/>
            </w:tcBorders>
            <w:shd w:val="clear" w:color="000000" w:fill="BFBFBF"/>
            <w:noWrap/>
            <w:vAlign w:val="bottom"/>
            <w:hideMark/>
          </w:tcPr>
          <w:p w14:paraId="599CEF76" w14:textId="77777777" w:rsidR="002F1D21" w:rsidRPr="001D03F0" w:rsidRDefault="002F1D21" w:rsidP="00FD0E0D">
            <w:pPr>
              <w:spacing w:after="0" w:line="240" w:lineRule="auto"/>
              <w:jc w:val="right"/>
              <w:rPr>
                <w:sz w:val="18"/>
                <w:szCs w:val="18"/>
                <w:lang w:eastAsia="sk-SK"/>
              </w:rPr>
            </w:pPr>
            <w:r w:rsidRPr="001D03F0">
              <w:rPr>
                <w:sz w:val="18"/>
                <w:szCs w:val="18"/>
                <w:lang w:eastAsia="sk-SK"/>
              </w:rPr>
              <w:t>2 804 453</w:t>
            </w:r>
          </w:p>
        </w:tc>
        <w:tc>
          <w:tcPr>
            <w:tcW w:w="999" w:type="dxa"/>
            <w:tcBorders>
              <w:top w:val="nil"/>
              <w:left w:val="nil"/>
              <w:bottom w:val="nil"/>
              <w:right w:val="nil"/>
            </w:tcBorders>
            <w:shd w:val="clear" w:color="auto" w:fill="auto"/>
            <w:noWrap/>
            <w:vAlign w:val="center"/>
            <w:hideMark/>
          </w:tcPr>
          <w:p w14:paraId="749B679E"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2 683 199</w:t>
            </w:r>
          </w:p>
        </w:tc>
        <w:tc>
          <w:tcPr>
            <w:tcW w:w="949" w:type="dxa"/>
            <w:tcBorders>
              <w:top w:val="nil"/>
              <w:left w:val="nil"/>
              <w:bottom w:val="nil"/>
              <w:right w:val="nil"/>
            </w:tcBorders>
            <w:shd w:val="clear" w:color="auto" w:fill="auto"/>
            <w:noWrap/>
            <w:vAlign w:val="bottom"/>
            <w:hideMark/>
          </w:tcPr>
          <w:p w14:paraId="08E30BDE" w14:textId="77777777" w:rsidR="002F1D21" w:rsidRPr="001D03F0" w:rsidRDefault="002F1D21" w:rsidP="00FD0E0D">
            <w:pPr>
              <w:tabs>
                <w:tab w:val="decimal" w:pos="345"/>
              </w:tabs>
              <w:spacing w:after="0" w:line="240" w:lineRule="auto"/>
              <w:jc w:val="center"/>
              <w:rPr>
                <w:color w:val="000000"/>
                <w:sz w:val="18"/>
                <w:szCs w:val="18"/>
                <w:lang w:eastAsia="sk-SK"/>
              </w:rPr>
            </w:pPr>
            <w:r w:rsidRPr="001D03F0">
              <w:rPr>
                <w:color w:val="000000"/>
                <w:sz w:val="18"/>
                <w:szCs w:val="18"/>
                <w:lang w:eastAsia="sk-SK"/>
              </w:rPr>
              <w:t>7,6</w:t>
            </w:r>
          </w:p>
        </w:tc>
      </w:tr>
      <w:tr w:rsidR="002F1D21" w:rsidRPr="001D03F0" w14:paraId="72884091" w14:textId="77777777" w:rsidTr="00FD0E0D">
        <w:trPr>
          <w:trHeight w:val="292"/>
        </w:trPr>
        <w:tc>
          <w:tcPr>
            <w:tcW w:w="3874" w:type="dxa"/>
            <w:tcBorders>
              <w:top w:val="nil"/>
              <w:left w:val="nil"/>
              <w:bottom w:val="nil"/>
              <w:right w:val="nil"/>
            </w:tcBorders>
            <w:shd w:val="clear" w:color="auto" w:fill="auto"/>
            <w:noWrap/>
            <w:vAlign w:val="center"/>
            <w:hideMark/>
          </w:tcPr>
          <w:p w14:paraId="1B731E40" w14:textId="77777777" w:rsidR="002F1D21" w:rsidRPr="001D03F0" w:rsidRDefault="002F1D21" w:rsidP="00FD0E0D">
            <w:pPr>
              <w:spacing w:after="0" w:line="240" w:lineRule="auto"/>
              <w:ind w:firstLineChars="100" w:firstLine="180"/>
              <w:rPr>
                <w:b/>
                <w:bCs/>
                <w:color w:val="000000"/>
                <w:sz w:val="18"/>
                <w:szCs w:val="18"/>
                <w:lang w:eastAsia="sk-SK"/>
              </w:rPr>
            </w:pPr>
            <w:r w:rsidRPr="001D03F0">
              <w:rPr>
                <w:b/>
                <w:bCs/>
                <w:color w:val="000000"/>
                <w:sz w:val="18"/>
                <w:szCs w:val="18"/>
                <w:lang w:eastAsia="sk-SK"/>
              </w:rPr>
              <w:t>Medzispotreba</w:t>
            </w:r>
          </w:p>
        </w:tc>
        <w:tc>
          <w:tcPr>
            <w:tcW w:w="1050" w:type="dxa"/>
            <w:tcBorders>
              <w:top w:val="nil"/>
              <w:left w:val="nil"/>
              <w:bottom w:val="nil"/>
              <w:right w:val="nil"/>
            </w:tcBorders>
            <w:shd w:val="clear" w:color="auto" w:fill="auto"/>
            <w:noWrap/>
            <w:vAlign w:val="bottom"/>
            <w:hideMark/>
          </w:tcPr>
          <w:p w14:paraId="2A5C2E08" w14:textId="77777777" w:rsidR="002F1D21" w:rsidRPr="001D03F0" w:rsidRDefault="002F1D21" w:rsidP="00FD0E0D">
            <w:pPr>
              <w:spacing w:after="0" w:line="240" w:lineRule="auto"/>
              <w:jc w:val="right"/>
              <w:rPr>
                <w:b/>
                <w:bCs/>
                <w:color w:val="000000"/>
                <w:sz w:val="18"/>
                <w:szCs w:val="18"/>
                <w:lang w:eastAsia="sk-SK"/>
              </w:rPr>
            </w:pPr>
            <w:r w:rsidRPr="001D03F0">
              <w:rPr>
                <w:b/>
                <w:bCs/>
                <w:color w:val="000000"/>
                <w:sz w:val="18"/>
                <w:szCs w:val="18"/>
                <w:lang w:eastAsia="sk-SK"/>
              </w:rPr>
              <w:t>4 936 023</w:t>
            </w:r>
          </w:p>
        </w:tc>
        <w:tc>
          <w:tcPr>
            <w:tcW w:w="1025" w:type="dxa"/>
            <w:tcBorders>
              <w:top w:val="nil"/>
              <w:left w:val="nil"/>
              <w:bottom w:val="nil"/>
              <w:right w:val="nil"/>
            </w:tcBorders>
            <w:shd w:val="clear" w:color="auto" w:fill="auto"/>
            <w:noWrap/>
            <w:vAlign w:val="bottom"/>
            <w:hideMark/>
          </w:tcPr>
          <w:p w14:paraId="2D5EA5E6" w14:textId="77777777" w:rsidR="002F1D21" w:rsidRPr="001D03F0" w:rsidRDefault="002F1D21" w:rsidP="00FD0E0D">
            <w:pPr>
              <w:spacing w:after="0" w:line="240" w:lineRule="auto"/>
              <w:jc w:val="right"/>
              <w:rPr>
                <w:b/>
                <w:bCs/>
                <w:color w:val="000000"/>
                <w:sz w:val="18"/>
                <w:szCs w:val="18"/>
                <w:lang w:eastAsia="sk-SK"/>
              </w:rPr>
            </w:pPr>
            <w:r w:rsidRPr="001D03F0">
              <w:rPr>
                <w:b/>
                <w:bCs/>
                <w:color w:val="000000"/>
                <w:sz w:val="18"/>
                <w:szCs w:val="18"/>
                <w:lang w:eastAsia="sk-SK"/>
              </w:rPr>
              <w:t>5 164 314</w:t>
            </w:r>
          </w:p>
        </w:tc>
        <w:tc>
          <w:tcPr>
            <w:tcW w:w="1147" w:type="dxa"/>
            <w:tcBorders>
              <w:top w:val="nil"/>
              <w:left w:val="nil"/>
              <w:bottom w:val="nil"/>
              <w:right w:val="nil"/>
            </w:tcBorders>
            <w:shd w:val="clear" w:color="000000" w:fill="BFBFBF"/>
            <w:noWrap/>
            <w:vAlign w:val="bottom"/>
            <w:hideMark/>
          </w:tcPr>
          <w:p w14:paraId="230F3CDA"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5 532 452</w:t>
            </w:r>
          </w:p>
        </w:tc>
        <w:tc>
          <w:tcPr>
            <w:tcW w:w="999" w:type="dxa"/>
            <w:tcBorders>
              <w:top w:val="nil"/>
              <w:left w:val="nil"/>
              <w:bottom w:val="nil"/>
              <w:right w:val="nil"/>
            </w:tcBorders>
            <w:shd w:val="clear" w:color="auto" w:fill="auto"/>
            <w:noWrap/>
            <w:vAlign w:val="center"/>
            <w:hideMark/>
          </w:tcPr>
          <w:p w14:paraId="1A9E37F0" w14:textId="77777777" w:rsidR="002F1D21" w:rsidRPr="001D03F0" w:rsidRDefault="002F1D21" w:rsidP="00FD0E0D">
            <w:pPr>
              <w:spacing w:after="0" w:line="240" w:lineRule="auto"/>
              <w:jc w:val="right"/>
              <w:rPr>
                <w:b/>
                <w:bCs/>
                <w:color w:val="000000"/>
                <w:sz w:val="18"/>
                <w:szCs w:val="18"/>
                <w:lang w:eastAsia="sk-SK"/>
              </w:rPr>
            </w:pPr>
            <w:r w:rsidRPr="001D03F0">
              <w:rPr>
                <w:b/>
                <w:bCs/>
                <w:color w:val="000000"/>
                <w:sz w:val="18"/>
                <w:szCs w:val="18"/>
                <w:lang w:eastAsia="sk-SK"/>
              </w:rPr>
              <w:t>7 748 130</w:t>
            </w:r>
          </w:p>
        </w:tc>
        <w:tc>
          <w:tcPr>
            <w:tcW w:w="949" w:type="dxa"/>
            <w:tcBorders>
              <w:top w:val="nil"/>
              <w:left w:val="nil"/>
              <w:bottom w:val="nil"/>
              <w:right w:val="nil"/>
            </w:tcBorders>
            <w:shd w:val="clear" w:color="auto" w:fill="auto"/>
            <w:noWrap/>
            <w:vAlign w:val="bottom"/>
            <w:hideMark/>
          </w:tcPr>
          <w:p w14:paraId="42D4A344" w14:textId="77777777" w:rsidR="002F1D21" w:rsidRPr="001D03F0" w:rsidRDefault="002F1D21" w:rsidP="00FD0E0D">
            <w:pPr>
              <w:tabs>
                <w:tab w:val="decimal" w:pos="345"/>
              </w:tabs>
              <w:spacing w:after="0" w:line="240" w:lineRule="auto"/>
              <w:jc w:val="center"/>
              <w:rPr>
                <w:b/>
                <w:bCs/>
                <w:color w:val="000000"/>
                <w:sz w:val="18"/>
                <w:szCs w:val="18"/>
                <w:lang w:eastAsia="sk-SK"/>
              </w:rPr>
            </w:pPr>
            <w:r w:rsidRPr="001D03F0">
              <w:rPr>
                <w:b/>
                <w:bCs/>
                <w:color w:val="000000"/>
                <w:sz w:val="18"/>
                <w:szCs w:val="18"/>
                <w:lang w:eastAsia="sk-SK"/>
              </w:rPr>
              <w:t>7,1</w:t>
            </w:r>
          </w:p>
        </w:tc>
      </w:tr>
      <w:tr w:rsidR="002F1D21" w:rsidRPr="001D03F0" w14:paraId="5312C515" w14:textId="77777777" w:rsidTr="00FD0E0D">
        <w:trPr>
          <w:trHeight w:val="292"/>
        </w:trPr>
        <w:tc>
          <w:tcPr>
            <w:tcW w:w="3874" w:type="dxa"/>
            <w:tcBorders>
              <w:top w:val="nil"/>
              <w:left w:val="nil"/>
              <w:bottom w:val="nil"/>
              <w:right w:val="nil"/>
            </w:tcBorders>
            <w:shd w:val="clear" w:color="auto" w:fill="auto"/>
            <w:noWrap/>
            <w:vAlign w:val="center"/>
            <w:hideMark/>
          </w:tcPr>
          <w:p w14:paraId="7021E4D9" w14:textId="77777777" w:rsidR="002F1D21" w:rsidRPr="001D03F0" w:rsidRDefault="002F1D21" w:rsidP="00FD0E0D">
            <w:pPr>
              <w:spacing w:after="0" w:line="240" w:lineRule="auto"/>
              <w:ind w:firstLineChars="100" w:firstLine="180"/>
              <w:rPr>
                <w:b/>
                <w:bCs/>
                <w:color w:val="000000"/>
                <w:sz w:val="18"/>
                <w:szCs w:val="18"/>
                <w:lang w:eastAsia="sk-SK"/>
              </w:rPr>
            </w:pPr>
            <w:r w:rsidRPr="001D03F0">
              <w:rPr>
                <w:b/>
                <w:bCs/>
                <w:color w:val="000000"/>
                <w:sz w:val="18"/>
                <w:szCs w:val="18"/>
                <w:lang w:eastAsia="sk-SK"/>
              </w:rPr>
              <w:t>Dane</w:t>
            </w:r>
          </w:p>
        </w:tc>
        <w:tc>
          <w:tcPr>
            <w:tcW w:w="1050" w:type="dxa"/>
            <w:tcBorders>
              <w:top w:val="nil"/>
              <w:left w:val="nil"/>
              <w:bottom w:val="nil"/>
              <w:right w:val="nil"/>
            </w:tcBorders>
            <w:shd w:val="clear" w:color="auto" w:fill="auto"/>
            <w:noWrap/>
            <w:vAlign w:val="center"/>
            <w:hideMark/>
          </w:tcPr>
          <w:p w14:paraId="5F554181"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150 434</w:t>
            </w:r>
          </w:p>
        </w:tc>
        <w:tc>
          <w:tcPr>
            <w:tcW w:w="1025" w:type="dxa"/>
            <w:tcBorders>
              <w:top w:val="nil"/>
              <w:left w:val="nil"/>
              <w:bottom w:val="nil"/>
              <w:right w:val="nil"/>
            </w:tcBorders>
            <w:shd w:val="clear" w:color="auto" w:fill="auto"/>
            <w:noWrap/>
            <w:vAlign w:val="center"/>
            <w:hideMark/>
          </w:tcPr>
          <w:p w14:paraId="64BEE89F"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158 422</w:t>
            </w:r>
          </w:p>
        </w:tc>
        <w:tc>
          <w:tcPr>
            <w:tcW w:w="1147" w:type="dxa"/>
            <w:tcBorders>
              <w:top w:val="nil"/>
              <w:left w:val="nil"/>
              <w:bottom w:val="nil"/>
              <w:right w:val="nil"/>
            </w:tcBorders>
            <w:shd w:val="clear" w:color="000000" w:fill="BFBFBF"/>
            <w:noWrap/>
            <w:vAlign w:val="center"/>
            <w:hideMark/>
          </w:tcPr>
          <w:p w14:paraId="0AEF1825"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156 959</w:t>
            </w:r>
          </w:p>
        </w:tc>
        <w:tc>
          <w:tcPr>
            <w:tcW w:w="999" w:type="dxa"/>
            <w:tcBorders>
              <w:top w:val="nil"/>
              <w:left w:val="nil"/>
              <w:bottom w:val="nil"/>
              <w:right w:val="nil"/>
            </w:tcBorders>
            <w:shd w:val="clear" w:color="auto" w:fill="auto"/>
            <w:noWrap/>
            <w:vAlign w:val="center"/>
            <w:hideMark/>
          </w:tcPr>
          <w:p w14:paraId="117E0B00"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82 434</w:t>
            </w:r>
          </w:p>
        </w:tc>
        <w:tc>
          <w:tcPr>
            <w:tcW w:w="949" w:type="dxa"/>
            <w:tcBorders>
              <w:top w:val="nil"/>
              <w:left w:val="nil"/>
              <w:bottom w:val="nil"/>
              <w:right w:val="nil"/>
            </w:tcBorders>
            <w:shd w:val="clear" w:color="auto" w:fill="auto"/>
            <w:noWrap/>
            <w:vAlign w:val="center"/>
            <w:hideMark/>
          </w:tcPr>
          <w:p w14:paraId="2B78C463" w14:textId="77777777" w:rsidR="002F1D21" w:rsidRPr="001D03F0" w:rsidRDefault="002F1D21" w:rsidP="00FD0E0D">
            <w:pPr>
              <w:tabs>
                <w:tab w:val="decimal" w:pos="345"/>
              </w:tabs>
              <w:spacing w:after="0" w:line="240" w:lineRule="auto"/>
              <w:jc w:val="center"/>
              <w:rPr>
                <w:b/>
                <w:bCs/>
                <w:sz w:val="18"/>
                <w:szCs w:val="18"/>
                <w:lang w:eastAsia="sk-SK"/>
              </w:rPr>
            </w:pPr>
            <w:r w:rsidRPr="001D03F0">
              <w:rPr>
                <w:b/>
                <w:bCs/>
                <w:sz w:val="18"/>
                <w:szCs w:val="18"/>
                <w:lang w:eastAsia="sk-SK"/>
              </w:rPr>
              <w:t>-0,9</w:t>
            </w:r>
          </w:p>
        </w:tc>
      </w:tr>
      <w:tr w:rsidR="002F1D21" w:rsidRPr="001D03F0" w14:paraId="2CAE7CD5" w14:textId="77777777" w:rsidTr="00FD0E0D">
        <w:trPr>
          <w:trHeight w:val="292"/>
        </w:trPr>
        <w:tc>
          <w:tcPr>
            <w:tcW w:w="3874" w:type="dxa"/>
            <w:tcBorders>
              <w:top w:val="nil"/>
              <w:left w:val="nil"/>
              <w:bottom w:val="nil"/>
              <w:right w:val="nil"/>
            </w:tcBorders>
            <w:shd w:val="clear" w:color="auto" w:fill="auto"/>
            <w:noWrap/>
            <w:vAlign w:val="center"/>
            <w:hideMark/>
          </w:tcPr>
          <w:p w14:paraId="121F9C89" w14:textId="77777777" w:rsidR="002F1D21" w:rsidRPr="001D03F0" w:rsidRDefault="002F1D21" w:rsidP="00FD0E0D">
            <w:pPr>
              <w:spacing w:after="0" w:line="240" w:lineRule="auto"/>
              <w:ind w:firstLineChars="100" w:firstLine="180"/>
              <w:rPr>
                <w:color w:val="000000"/>
                <w:sz w:val="18"/>
                <w:szCs w:val="18"/>
                <w:lang w:eastAsia="sk-SK"/>
              </w:rPr>
            </w:pPr>
            <w:r w:rsidRPr="001D03F0">
              <w:rPr>
                <w:color w:val="000000"/>
                <w:sz w:val="18"/>
                <w:szCs w:val="18"/>
                <w:lang w:eastAsia="sk-SK"/>
              </w:rPr>
              <w:t xml:space="preserve"> - Iné dane z produkcie</w:t>
            </w:r>
          </w:p>
        </w:tc>
        <w:tc>
          <w:tcPr>
            <w:tcW w:w="1050" w:type="dxa"/>
            <w:tcBorders>
              <w:top w:val="nil"/>
              <w:left w:val="nil"/>
              <w:bottom w:val="nil"/>
              <w:right w:val="nil"/>
            </w:tcBorders>
            <w:shd w:val="clear" w:color="auto" w:fill="auto"/>
            <w:noWrap/>
            <w:vAlign w:val="bottom"/>
            <w:hideMark/>
          </w:tcPr>
          <w:p w14:paraId="61C4E871"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124 220</w:t>
            </w:r>
          </w:p>
        </w:tc>
        <w:tc>
          <w:tcPr>
            <w:tcW w:w="1025" w:type="dxa"/>
            <w:tcBorders>
              <w:top w:val="nil"/>
              <w:left w:val="nil"/>
              <w:bottom w:val="nil"/>
              <w:right w:val="nil"/>
            </w:tcBorders>
            <w:shd w:val="clear" w:color="auto" w:fill="auto"/>
            <w:noWrap/>
            <w:vAlign w:val="bottom"/>
            <w:hideMark/>
          </w:tcPr>
          <w:p w14:paraId="5A162B7D"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134 307</w:t>
            </w:r>
          </w:p>
        </w:tc>
        <w:tc>
          <w:tcPr>
            <w:tcW w:w="1147" w:type="dxa"/>
            <w:tcBorders>
              <w:top w:val="nil"/>
              <w:left w:val="nil"/>
              <w:bottom w:val="nil"/>
              <w:right w:val="nil"/>
            </w:tcBorders>
            <w:shd w:val="clear" w:color="000000" w:fill="BFBFBF"/>
            <w:noWrap/>
            <w:vAlign w:val="bottom"/>
            <w:hideMark/>
          </w:tcPr>
          <w:p w14:paraId="1F8F3E97" w14:textId="77777777" w:rsidR="002F1D21" w:rsidRPr="001D03F0" w:rsidRDefault="002F1D21" w:rsidP="00FD0E0D">
            <w:pPr>
              <w:spacing w:after="0" w:line="240" w:lineRule="auto"/>
              <w:jc w:val="right"/>
              <w:rPr>
                <w:sz w:val="18"/>
                <w:szCs w:val="18"/>
                <w:lang w:eastAsia="sk-SK"/>
              </w:rPr>
            </w:pPr>
            <w:r w:rsidRPr="001D03F0">
              <w:rPr>
                <w:sz w:val="18"/>
                <w:szCs w:val="18"/>
                <w:lang w:eastAsia="sk-SK"/>
              </w:rPr>
              <w:t>133 608</w:t>
            </w:r>
          </w:p>
        </w:tc>
        <w:tc>
          <w:tcPr>
            <w:tcW w:w="999" w:type="dxa"/>
            <w:tcBorders>
              <w:top w:val="nil"/>
              <w:left w:val="nil"/>
              <w:bottom w:val="nil"/>
              <w:right w:val="nil"/>
            </w:tcBorders>
            <w:shd w:val="clear" w:color="auto" w:fill="auto"/>
            <w:noWrap/>
            <w:vAlign w:val="center"/>
            <w:hideMark/>
          </w:tcPr>
          <w:p w14:paraId="5560FB13"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82 434</w:t>
            </w:r>
          </w:p>
        </w:tc>
        <w:tc>
          <w:tcPr>
            <w:tcW w:w="949" w:type="dxa"/>
            <w:tcBorders>
              <w:top w:val="nil"/>
              <w:left w:val="nil"/>
              <w:bottom w:val="nil"/>
              <w:right w:val="nil"/>
            </w:tcBorders>
            <w:shd w:val="clear" w:color="auto" w:fill="auto"/>
            <w:noWrap/>
            <w:vAlign w:val="bottom"/>
            <w:hideMark/>
          </w:tcPr>
          <w:p w14:paraId="048CE80A" w14:textId="77777777" w:rsidR="002F1D21" w:rsidRPr="001D03F0" w:rsidRDefault="002F1D21" w:rsidP="00FD0E0D">
            <w:pPr>
              <w:tabs>
                <w:tab w:val="decimal" w:pos="345"/>
              </w:tabs>
              <w:spacing w:after="0" w:line="240" w:lineRule="auto"/>
              <w:jc w:val="center"/>
              <w:rPr>
                <w:color w:val="000000"/>
                <w:sz w:val="18"/>
                <w:szCs w:val="18"/>
                <w:lang w:eastAsia="sk-SK"/>
              </w:rPr>
            </w:pPr>
            <w:r w:rsidRPr="001D03F0">
              <w:rPr>
                <w:color w:val="000000"/>
                <w:sz w:val="18"/>
                <w:szCs w:val="18"/>
                <w:lang w:eastAsia="sk-SK"/>
              </w:rPr>
              <w:t>-0,5</w:t>
            </w:r>
          </w:p>
        </w:tc>
      </w:tr>
      <w:tr w:rsidR="002F1D21" w:rsidRPr="001D03F0" w14:paraId="24A953CF" w14:textId="77777777" w:rsidTr="00FD0E0D">
        <w:trPr>
          <w:trHeight w:val="292"/>
        </w:trPr>
        <w:tc>
          <w:tcPr>
            <w:tcW w:w="3874" w:type="dxa"/>
            <w:tcBorders>
              <w:top w:val="nil"/>
              <w:left w:val="nil"/>
              <w:bottom w:val="nil"/>
              <w:right w:val="nil"/>
            </w:tcBorders>
            <w:shd w:val="clear" w:color="auto" w:fill="auto"/>
            <w:noWrap/>
            <w:vAlign w:val="center"/>
            <w:hideMark/>
          </w:tcPr>
          <w:p w14:paraId="3CF7CFDF" w14:textId="77777777" w:rsidR="002F1D21" w:rsidRPr="001D03F0" w:rsidRDefault="002F1D21" w:rsidP="00FD0E0D">
            <w:pPr>
              <w:spacing w:after="0" w:line="240" w:lineRule="auto"/>
              <w:ind w:firstLineChars="100" w:firstLine="180"/>
              <w:rPr>
                <w:color w:val="000000"/>
                <w:sz w:val="18"/>
                <w:szCs w:val="18"/>
                <w:lang w:eastAsia="sk-SK"/>
              </w:rPr>
            </w:pPr>
            <w:r w:rsidRPr="001D03F0">
              <w:rPr>
                <w:color w:val="000000"/>
                <w:sz w:val="18"/>
                <w:szCs w:val="18"/>
                <w:lang w:eastAsia="sk-SK"/>
              </w:rPr>
              <w:t xml:space="preserve"> - Bežné dane z majetku, atď.</w:t>
            </w:r>
          </w:p>
        </w:tc>
        <w:tc>
          <w:tcPr>
            <w:tcW w:w="1050" w:type="dxa"/>
            <w:tcBorders>
              <w:top w:val="nil"/>
              <w:left w:val="nil"/>
              <w:bottom w:val="nil"/>
              <w:right w:val="nil"/>
            </w:tcBorders>
            <w:shd w:val="clear" w:color="auto" w:fill="auto"/>
            <w:noWrap/>
            <w:vAlign w:val="bottom"/>
            <w:hideMark/>
          </w:tcPr>
          <w:p w14:paraId="09EE6559"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26 214</w:t>
            </w:r>
          </w:p>
        </w:tc>
        <w:tc>
          <w:tcPr>
            <w:tcW w:w="1025" w:type="dxa"/>
            <w:tcBorders>
              <w:top w:val="nil"/>
              <w:left w:val="nil"/>
              <w:bottom w:val="nil"/>
              <w:right w:val="nil"/>
            </w:tcBorders>
            <w:shd w:val="clear" w:color="auto" w:fill="auto"/>
            <w:noWrap/>
            <w:vAlign w:val="bottom"/>
            <w:hideMark/>
          </w:tcPr>
          <w:p w14:paraId="19B2B7D0"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24 115</w:t>
            </w:r>
          </w:p>
        </w:tc>
        <w:tc>
          <w:tcPr>
            <w:tcW w:w="1147" w:type="dxa"/>
            <w:tcBorders>
              <w:top w:val="nil"/>
              <w:left w:val="nil"/>
              <w:bottom w:val="nil"/>
              <w:right w:val="nil"/>
            </w:tcBorders>
            <w:shd w:val="clear" w:color="000000" w:fill="BFBFBF"/>
            <w:noWrap/>
            <w:vAlign w:val="bottom"/>
            <w:hideMark/>
          </w:tcPr>
          <w:p w14:paraId="78426E0A" w14:textId="77777777" w:rsidR="002F1D21" w:rsidRPr="001D03F0" w:rsidRDefault="002F1D21" w:rsidP="00FD0E0D">
            <w:pPr>
              <w:spacing w:after="0" w:line="240" w:lineRule="auto"/>
              <w:jc w:val="right"/>
              <w:rPr>
                <w:sz w:val="18"/>
                <w:szCs w:val="18"/>
                <w:lang w:eastAsia="sk-SK"/>
              </w:rPr>
            </w:pPr>
            <w:r w:rsidRPr="001D03F0">
              <w:rPr>
                <w:sz w:val="18"/>
                <w:szCs w:val="18"/>
                <w:lang w:eastAsia="sk-SK"/>
              </w:rPr>
              <w:t>23 351</w:t>
            </w:r>
          </w:p>
        </w:tc>
        <w:tc>
          <w:tcPr>
            <w:tcW w:w="999" w:type="dxa"/>
            <w:tcBorders>
              <w:top w:val="nil"/>
              <w:left w:val="nil"/>
              <w:bottom w:val="nil"/>
              <w:right w:val="nil"/>
            </w:tcBorders>
            <w:shd w:val="clear" w:color="auto" w:fill="auto"/>
            <w:noWrap/>
            <w:vAlign w:val="center"/>
            <w:hideMark/>
          </w:tcPr>
          <w:p w14:paraId="278480C7"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0</w:t>
            </w:r>
          </w:p>
        </w:tc>
        <w:tc>
          <w:tcPr>
            <w:tcW w:w="949" w:type="dxa"/>
            <w:tcBorders>
              <w:top w:val="nil"/>
              <w:left w:val="nil"/>
              <w:bottom w:val="nil"/>
              <w:right w:val="nil"/>
            </w:tcBorders>
            <w:shd w:val="clear" w:color="auto" w:fill="auto"/>
            <w:noWrap/>
            <w:vAlign w:val="bottom"/>
            <w:hideMark/>
          </w:tcPr>
          <w:p w14:paraId="214D119C" w14:textId="77777777" w:rsidR="002F1D21" w:rsidRPr="001D03F0" w:rsidRDefault="002F1D21" w:rsidP="00FD0E0D">
            <w:pPr>
              <w:tabs>
                <w:tab w:val="decimal" w:pos="345"/>
              </w:tabs>
              <w:spacing w:after="0" w:line="240" w:lineRule="auto"/>
              <w:jc w:val="center"/>
              <w:rPr>
                <w:color w:val="000000"/>
                <w:sz w:val="18"/>
                <w:szCs w:val="18"/>
                <w:lang w:eastAsia="sk-SK"/>
              </w:rPr>
            </w:pPr>
            <w:r w:rsidRPr="001D03F0">
              <w:rPr>
                <w:color w:val="000000"/>
                <w:sz w:val="18"/>
                <w:szCs w:val="18"/>
                <w:lang w:eastAsia="sk-SK"/>
              </w:rPr>
              <w:t>-3,2</w:t>
            </w:r>
          </w:p>
        </w:tc>
      </w:tr>
      <w:tr w:rsidR="002F1D21" w:rsidRPr="001D03F0" w14:paraId="422C7187" w14:textId="77777777" w:rsidTr="00FD0E0D">
        <w:trPr>
          <w:trHeight w:val="292"/>
        </w:trPr>
        <w:tc>
          <w:tcPr>
            <w:tcW w:w="3874" w:type="dxa"/>
            <w:tcBorders>
              <w:top w:val="nil"/>
              <w:left w:val="nil"/>
              <w:bottom w:val="nil"/>
              <w:right w:val="nil"/>
            </w:tcBorders>
            <w:shd w:val="clear" w:color="auto" w:fill="auto"/>
            <w:noWrap/>
            <w:vAlign w:val="center"/>
            <w:hideMark/>
          </w:tcPr>
          <w:p w14:paraId="0F00E047" w14:textId="77777777" w:rsidR="002F1D21" w:rsidRPr="001D03F0" w:rsidRDefault="002F1D21" w:rsidP="00FD0E0D">
            <w:pPr>
              <w:spacing w:after="0" w:line="240" w:lineRule="auto"/>
              <w:ind w:firstLineChars="100" w:firstLine="180"/>
              <w:rPr>
                <w:b/>
                <w:bCs/>
                <w:color w:val="000000"/>
                <w:sz w:val="18"/>
                <w:szCs w:val="18"/>
                <w:lang w:eastAsia="sk-SK"/>
              </w:rPr>
            </w:pPr>
            <w:r w:rsidRPr="001D03F0">
              <w:rPr>
                <w:b/>
                <w:bCs/>
                <w:color w:val="000000"/>
                <w:sz w:val="18"/>
                <w:szCs w:val="18"/>
                <w:lang w:eastAsia="sk-SK"/>
              </w:rPr>
              <w:t>Subvencie</w:t>
            </w:r>
          </w:p>
        </w:tc>
        <w:tc>
          <w:tcPr>
            <w:tcW w:w="1050" w:type="dxa"/>
            <w:tcBorders>
              <w:top w:val="nil"/>
              <w:left w:val="nil"/>
              <w:bottom w:val="nil"/>
              <w:right w:val="nil"/>
            </w:tcBorders>
            <w:shd w:val="clear" w:color="auto" w:fill="auto"/>
            <w:noWrap/>
            <w:vAlign w:val="center"/>
            <w:hideMark/>
          </w:tcPr>
          <w:p w14:paraId="2FA8C07C"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879 057</w:t>
            </w:r>
          </w:p>
        </w:tc>
        <w:tc>
          <w:tcPr>
            <w:tcW w:w="1025" w:type="dxa"/>
            <w:tcBorders>
              <w:top w:val="nil"/>
              <w:left w:val="nil"/>
              <w:bottom w:val="nil"/>
              <w:right w:val="nil"/>
            </w:tcBorders>
            <w:shd w:val="clear" w:color="auto" w:fill="auto"/>
            <w:noWrap/>
            <w:vAlign w:val="center"/>
            <w:hideMark/>
          </w:tcPr>
          <w:p w14:paraId="77ED33D4"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928 100</w:t>
            </w:r>
          </w:p>
        </w:tc>
        <w:tc>
          <w:tcPr>
            <w:tcW w:w="1147" w:type="dxa"/>
            <w:tcBorders>
              <w:top w:val="nil"/>
              <w:left w:val="nil"/>
              <w:bottom w:val="nil"/>
              <w:right w:val="nil"/>
            </w:tcBorders>
            <w:shd w:val="clear" w:color="000000" w:fill="BFBFBF"/>
            <w:noWrap/>
            <w:vAlign w:val="center"/>
            <w:hideMark/>
          </w:tcPr>
          <w:p w14:paraId="61EA4399"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1 240 353</w:t>
            </w:r>
          </w:p>
        </w:tc>
        <w:tc>
          <w:tcPr>
            <w:tcW w:w="999" w:type="dxa"/>
            <w:tcBorders>
              <w:top w:val="nil"/>
              <w:left w:val="nil"/>
              <w:bottom w:val="nil"/>
              <w:right w:val="nil"/>
            </w:tcBorders>
            <w:shd w:val="clear" w:color="auto" w:fill="auto"/>
            <w:noWrap/>
            <w:vAlign w:val="center"/>
            <w:hideMark/>
          </w:tcPr>
          <w:p w14:paraId="733040E3"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1 474 201</w:t>
            </w:r>
          </w:p>
        </w:tc>
        <w:tc>
          <w:tcPr>
            <w:tcW w:w="949" w:type="dxa"/>
            <w:tcBorders>
              <w:top w:val="nil"/>
              <w:left w:val="nil"/>
              <w:bottom w:val="nil"/>
              <w:right w:val="nil"/>
            </w:tcBorders>
            <w:shd w:val="clear" w:color="auto" w:fill="auto"/>
            <w:noWrap/>
            <w:vAlign w:val="center"/>
            <w:hideMark/>
          </w:tcPr>
          <w:p w14:paraId="1D362B6B" w14:textId="77777777" w:rsidR="002F1D21" w:rsidRPr="001D03F0" w:rsidRDefault="002F1D21" w:rsidP="00FD0E0D">
            <w:pPr>
              <w:tabs>
                <w:tab w:val="decimal" w:pos="345"/>
              </w:tabs>
              <w:spacing w:after="0" w:line="240" w:lineRule="auto"/>
              <w:jc w:val="center"/>
              <w:rPr>
                <w:b/>
                <w:bCs/>
                <w:sz w:val="18"/>
                <w:szCs w:val="18"/>
                <w:lang w:eastAsia="sk-SK"/>
              </w:rPr>
            </w:pPr>
            <w:r w:rsidRPr="001D03F0">
              <w:rPr>
                <w:b/>
                <w:bCs/>
                <w:sz w:val="18"/>
                <w:szCs w:val="18"/>
                <w:lang w:eastAsia="sk-SK"/>
              </w:rPr>
              <w:t>33,6</w:t>
            </w:r>
          </w:p>
        </w:tc>
      </w:tr>
      <w:tr w:rsidR="002F1D21" w:rsidRPr="001D03F0" w14:paraId="2F6413F2" w14:textId="77777777" w:rsidTr="00FD0E0D">
        <w:trPr>
          <w:trHeight w:val="292"/>
        </w:trPr>
        <w:tc>
          <w:tcPr>
            <w:tcW w:w="3874" w:type="dxa"/>
            <w:tcBorders>
              <w:top w:val="nil"/>
              <w:left w:val="nil"/>
              <w:bottom w:val="nil"/>
              <w:right w:val="nil"/>
            </w:tcBorders>
            <w:shd w:val="clear" w:color="auto" w:fill="auto"/>
            <w:noWrap/>
            <w:vAlign w:val="center"/>
            <w:hideMark/>
          </w:tcPr>
          <w:p w14:paraId="3E0C10B9" w14:textId="77777777" w:rsidR="002F1D21" w:rsidRPr="001D03F0" w:rsidRDefault="002F1D21" w:rsidP="00FD0E0D">
            <w:pPr>
              <w:spacing w:after="0" w:line="240" w:lineRule="auto"/>
              <w:ind w:firstLineChars="100" w:firstLine="180"/>
              <w:rPr>
                <w:i/>
                <w:iCs/>
                <w:color w:val="000000"/>
                <w:sz w:val="18"/>
                <w:szCs w:val="18"/>
                <w:lang w:eastAsia="sk-SK"/>
              </w:rPr>
            </w:pPr>
            <w:r w:rsidRPr="001D03F0">
              <w:rPr>
                <w:i/>
                <w:iCs/>
                <w:color w:val="000000"/>
                <w:sz w:val="18"/>
                <w:szCs w:val="18"/>
                <w:lang w:eastAsia="sk-SK"/>
              </w:rPr>
              <w:t xml:space="preserve"> - Dotácie do poľnohospodárstva</w:t>
            </w:r>
            <w:r>
              <w:rPr>
                <w:i/>
                <w:iCs/>
                <w:color w:val="000000"/>
                <w:sz w:val="18"/>
                <w:szCs w:val="18"/>
                <w:lang w:eastAsia="sk-SK"/>
              </w:rPr>
              <w:t>*</w:t>
            </w:r>
          </w:p>
        </w:tc>
        <w:tc>
          <w:tcPr>
            <w:tcW w:w="1050" w:type="dxa"/>
            <w:tcBorders>
              <w:top w:val="nil"/>
              <w:left w:val="nil"/>
              <w:bottom w:val="nil"/>
              <w:right w:val="nil"/>
            </w:tcBorders>
            <w:shd w:val="clear" w:color="auto" w:fill="auto"/>
            <w:noWrap/>
            <w:vAlign w:val="bottom"/>
            <w:hideMark/>
          </w:tcPr>
          <w:p w14:paraId="6FEA6A63"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89 744</w:t>
            </w:r>
          </w:p>
        </w:tc>
        <w:tc>
          <w:tcPr>
            <w:tcW w:w="1025" w:type="dxa"/>
            <w:tcBorders>
              <w:top w:val="nil"/>
              <w:left w:val="nil"/>
              <w:bottom w:val="nil"/>
              <w:right w:val="nil"/>
            </w:tcBorders>
            <w:shd w:val="clear" w:color="auto" w:fill="auto"/>
            <w:noWrap/>
            <w:vAlign w:val="bottom"/>
            <w:hideMark/>
          </w:tcPr>
          <w:p w14:paraId="0F00485C"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126 425</w:t>
            </w:r>
          </w:p>
        </w:tc>
        <w:tc>
          <w:tcPr>
            <w:tcW w:w="1147" w:type="dxa"/>
            <w:tcBorders>
              <w:top w:val="nil"/>
              <w:left w:val="nil"/>
              <w:bottom w:val="nil"/>
              <w:right w:val="nil"/>
            </w:tcBorders>
            <w:shd w:val="clear" w:color="000000" w:fill="BFBFBF"/>
            <w:noWrap/>
            <w:vAlign w:val="bottom"/>
            <w:hideMark/>
          </w:tcPr>
          <w:p w14:paraId="18E4B695" w14:textId="77777777" w:rsidR="002F1D21" w:rsidRPr="00C00FE2" w:rsidRDefault="002F1D21" w:rsidP="00FD0E0D">
            <w:pPr>
              <w:spacing w:after="0" w:line="240" w:lineRule="auto"/>
              <w:jc w:val="right"/>
              <w:rPr>
                <w:i/>
                <w:sz w:val="18"/>
                <w:szCs w:val="18"/>
                <w:lang w:eastAsia="sk-SK"/>
              </w:rPr>
            </w:pPr>
            <w:r w:rsidRPr="00C00FE2">
              <w:rPr>
                <w:i/>
                <w:sz w:val="18"/>
                <w:szCs w:val="18"/>
                <w:lang w:eastAsia="sk-SK"/>
              </w:rPr>
              <w:t>121 456</w:t>
            </w:r>
          </w:p>
        </w:tc>
        <w:tc>
          <w:tcPr>
            <w:tcW w:w="999" w:type="dxa"/>
            <w:tcBorders>
              <w:top w:val="nil"/>
              <w:left w:val="nil"/>
              <w:bottom w:val="nil"/>
              <w:right w:val="nil"/>
            </w:tcBorders>
            <w:shd w:val="clear" w:color="auto" w:fill="auto"/>
            <w:noWrap/>
            <w:vAlign w:val="center"/>
            <w:hideMark/>
          </w:tcPr>
          <w:p w14:paraId="193D3EB5"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172 232</w:t>
            </w:r>
          </w:p>
        </w:tc>
        <w:tc>
          <w:tcPr>
            <w:tcW w:w="949" w:type="dxa"/>
            <w:tcBorders>
              <w:top w:val="nil"/>
              <w:left w:val="nil"/>
              <w:bottom w:val="nil"/>
              <w:right w:val="nil"/>
            </w:tcBorders>
            <w:shd w:val="clear" w:color="auto" w:fill="auto"/>
            <w:noWrap/>
            <w:vAlign w:val="bottom"/>
            <w:hideMark/>
          </w:tcPr>
          <w:p w14:paraId="5D9B71A8" w14:textId="77777777" w:rsidR="002F1D21" w:rsidRPr="00C00FE2" w:rsidRDefault="002F1D21" w:rsidP="00FD0E0D">
            <w:pPr>
              <w:tabs>
                <w:tab w:val="decimal" w:pos="345"/>
              </w:tabs>
              <w:spacing w:after="0" w:line="240" w:lineRule="auto"/>
              <w:jc w:val="center"/>
              <w:rPr>
                <w:i/>
                <w:color w:val="000000"/>
                <w:sz w:val="18"/>
                <w:szCs w:val="18"/>
                <w:lang w:eastAsia="sk-SK"/>
              </w:rPr>
            </w:pPr>
            <w:r w:rsidRPr="00C00FE2">
              <w:rPr>
                <w:i/>
                <w:color w:val="000000"/>
                <w:sz w:val="18"/>
                <w:szCs w:val="18"/>
                <w:lang w:eastAsia="sk-SK"/>
              </w:rPr>
              <w:t>-3,9</w:t>
            </w:r>
          </w:p>
        </w:tc>
      </w:tr>
      <w:tr w:rsidR="002F1D21" w:rsidRPr="001D03F0" w14:paraId="10DA2C7F" w14:textId="77777777" w:rsidTr="00FD0E0D">
        <w:trPr>
          <w:trHeight w:val="292"/>
        </w:trPr>
        <w:tc>
          <w:tcPr>
            <w:tcW w:w="3874" w:type="dxa"/>
            <w:tcBorders>
              <w:top w:val="nil"/>
              <w:left w:val="nil"/>
              <w:bottom w:val="nil"/>
              <w:right w:val="nil"/>
            </w:tcBorders>
            <w:shd w:val="clear" w:color="auto" w:fill="auto"/>
            <w:noWrap/>
            <w:vAlign w:val="center"/>
            <w:hideMark/>
          </w:tcPr>
          <w:p w14:paraId="2D5E038E" w14:textId="77777777" w:rsidR="002F1D21" w:rsidRPr="001D03F0" w:rsidRDefault="002F1D21" w:rsidP="00FD0E0D">
            <w:pPr>
              <w:spacing w:after="0" w:line="240" w:lineRule="auto"/>
              <w:ind w:firstLineChars="100" w:firstLine="180"/>
              <w:rPr>
                <w:i/>
                <w:iCs/>
                <w:color w:val="000000"/>
                <w:sz w:val="18"/>
                <w:szCs w:val="18"/>
                <w:lang w:eastAsia="sk-SK"/>
              </w:rPr>
            </w:pPr>
            <w:r w:rsidRPr="001D03F0">
              <w:rPr>
                <w:i/>
                <w:iCs/>
                <w:color w:val="000000"/>
                <w:sz w:val="18"/>
                <w:szCs w:val="18"/>
                <w:lang w:eastAsia="sk-SK"/>
              </w:rPr>
              <w:t xml:space="preserve"> - Dotácie do dopravy</w:t>
            </w:r>
          </w:p>
        </w:tc>
        <w:tc>
          <w:tcPr>
            <w:tcW w:w="1050" w:type="dxa"/>
            <w:tcBorders>
              <w:top w:val="nil"/>
              <w:left w:val="nil"/>
              <w:bottom w:val="nil"/>
              <w:right w:val="nil"/>
            </w:tcBorders>
            <w:shd w:val="clear" w:color="auto" w:fill="auto"/>
            <w:noWrap/>
            <w:vAlign w:val="bottom"/>
            <w:hideMark/>
          </w:tcPr>
          <w:p w14:paraId="0ABB33DC"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202 058</w:t>
            </w:r>
          </w:p>
        </w:tc>
        <w:tc>
          <w:tcPr>
            <w:tcW w:w="1025" w:type="dxa"/>
            <w:tcBorders>
              <w:top w:val="nil"/>
              <w:left w:val="nil"/>
              <w:bottom w:val="nil"/>
              <w:right w:val="nil"/>
            </w:tcBorders>
            <w:shd w:val="clear" w:color="auto" w:fill="auto"/>
            <w:noWrap/>
            <w:vAlign w:val="bottom"/>
            <w:hideMark/>
          </w:tcPr>
          <w:p w14:paraId="4AC12728"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235 515</w:t>
            </w:r>
          </w:p>
        </w:tc>
        <w:tc>
          <w:tcPr>
            <w:tcW w:w="1147" w:type="dxa"/>
            <w:tcBorders>
              <w:top w:val="nil"/>
              <w:left w:val="nil"/>
              <w:bottom w:val="nil"/>
              <w:right w:val="nil"/>
            </w:tcBorders>
            <w:shd w:val="clear" w:color="000000" w:fill="BFBFBF"/>
            <w:noWrap/>
            <w:vAlign w:val="bottom"/>
            <w:hideMark/>
          </w:tcPr>
          <w:p w14:paraId="6F08181F" w14:textId="77777777" w:rsidR="002F1D21" w:rsidRPr="00C00FE2" w:rsidRDefault="002F1D21" w:rsidP="00FD0E0D">
            <w:pPr>
              <w:spacing w:after="0" w:line="240" w:lineRule="auto"/>
              <w:jc w:val="right"/>
              <w:rPr>
                <w:i/>
                <w:sz w:val="18"/>
                <w:szCs w:val="18"/>
                <w:lang w:eastAsia="sk-SK"/>
              </w:rPr>
            </w:pPr>
            <w:r w:rsidRPr="00C00FE2">
              <w:rPr>
                <w:i/>
                <w:sz w:val="18"/>
                <w:szCs w:val="18"/>
                <w:lang w:eastAsia="sk-SK"/>
              </w:rPr>
              <w:t>266 122</w:t>
            </w:r>
          </w:p>
        </w:tc>
        <w:tc>
          <w:tcPr>
            <w:tcW w:w="999" w:type="dxa"/>
            <w:tcBorders>
              <w:top w:val="nil"/>
              <w:left w:val="nil"/>
              <w:bottom w:val="nil"/>
              <w:right w:val="nil"/>
            </w:tcBorders>
            <w:shd w:val="clear" w:color="auto" w:fill="auto"/>
            <w:noWrap/>
            <w:vAlign w:val="center"/>
            <w:hideMark/>
          </w:tcPr>
          <w:p w14:paraId="2492615D"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291 623</w:t>
            </w:r>
          </w:p>
        </w:tc>
        <w:tc>
          <w:tcPr>
            <w:tcW w:w="949" w:type="dxa"/>
            <w:tcBorders>
              <w:top w:val="nil"/>
              <w:left w:val="nil"/>
              <w:bottom w:val="nil"/>
              <w:right w:val="nil"/>
            </w:tcBorders>
            <w:shd w:val="clear" w:color="auto" w:fill="auto"/>
            <w:noWrap/>
            <w:vAlign w:val="bottom"/>
            <w:hideMark/>
          </w:tcPr>
          <w:p w14:paraId="1EADE941" w14:textId="77777777" w:rsidR="002F1D21" w:rsidRPr="00C00FE2" w:rsidRDefault="002F1D21" w:rsidP="00FD0E0D">
            <w:pPr>
              <w:tabs>
                <w:tab w:val="decimal" w:pos="345"/>
              </w:tabs>
              <w:spacing w:after="0" w:line="240" w:lineRule="auto"/>
              <w:jc w:val="center"/>
              <w:rPr>
                <w:i/>
                <w:color w:val="000000"/>
                <w:sz w:val="18"/>
                <w:szCs w:val="18"/>
                <w:lang w:eastAsia="sk-SK"/>
              </w:rPr>
            </w:pPr>
            <w:r w:rsidRPr="00C00FE2">
              <w:rPr>
                <w:i/>
                <w:color w:val="000000"/>
                <w:sz w:val="18"/>
                <w:szCs w:val="18"/>
                <w:lang w:eastAsia="sk-SK"/>
              </w:rPr>
              <w:t>13,0</w:t>
            </w:r>
          </w:p>
        </w:tc>
      </w:tr>
      <w:tr w:rsidR="002F1D21" w:rsidRPr="001D03F0" w14:paraId="6E740E4C" w14:textId="77777777" w:rsidTr="00FD0E0D">
        <w:trPr>
          <w:trHeight w:val="292"/>
        </w:trPr>
        <w:tc>
          <w:tcPr>
            <w:tcW w:w="3874" w:type="dxa"/>
            <w:tcBorders>
              <w:top w:val="nil"/>
              <w:left w:val="nil"/>
              <w:bottom w:val="nil"/>
              <w:right w:val="nil"/>
            </w:tcBorders>
            <w:shd w:val="clear" w:color="auto" w:fill="auto"/>
            <w:noWrap/>
            <w:vAlign w:val="bottom"/>
            <w:hideMark/>
          </w:tcPr>
          <w:p w14:paraId="1CE9BB5D" w14:textId="77777777" w:rsidR="002F1D21" w:rsidRPr="001D03F0" w:rsidRDefault="002F1D21" w:rsidP="00FD0E0D">
            <w:pPr>
              <w:spacing w:after="0" w:line="240" w:lineRule="auto"/>
              <w:ind w:firstLineChars="200" w:firstLine="360"/>
              <w:rPr>
                <w:i/>
                <w:iCs/>
                <w:color w:val="000000"/>
                <w:sz w:val="18"/>
                <w:szCs w:val="18"/>
                <w:lang w:eastAsia="sk-SK"/>
              </w:rPr>
            </w:pPr>
            <w:r w:rsidRPr="001D03F0">
              <w:rPr>
                <w:i/>
                <w:iCs/>
                <w:color w:val="000000"/>
                <w:sz w:val="18"/>
                <w:szCs w:val="18"/>
                <w:lang w:eastAsia="sk-SK"/>
              </w:rPr>
              <w:t xml:space="preserve"> - železničná doprava</w:t>
            </w:r>
          </w:p>
        </w:tc>
        <w:tc>
          <w:tcPr>
            <w:tcW w:w="1050" w:type="dxa"/>
            <w:tcBorders>
              <w:top w:val="nil"/>
              <w:left w:val="nil"/>
              <w:bottom w:val="nil"/>
              <w:right w:val="nil"/>
            </w:tcBorders>
            <w:shd w:val="clear" w:color="auto" w:fill="auto"/>
            <w:noWrap/>
            <w:vAlign w:val="bottom"/>
            <w:hideMark/>
          </w:tcPr>
          <w:p w14:paraId="4DC58D3D"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9 015</w:t>
            </w:r>
          </w:p>
        </w:tc>
        <w:tc>
          <w:tcPr>
            <w:tcW w:w="1025" w:type="dxa"/>
            <w:tcBorders>
              <w:top w:val="nil"/>
              <w:left w:val="nil"/>
              <w:bottom w:val="nil"/>
              <w:right w:val="nil"/>
            </w:tcBorders>
            <w:shd w:val="clear" w:color="auto" w:fill="auto"/>
            <w:noWrap/>
            <w:vAlign w:val="bottom"/>
            <w:hideMark/>
          </w:tcPr>
          <w:p w14:paraId="2EC84EAE"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10 593</w:t>
            </w:r>
          </w:p>
        </w:tc>
        <w:tc>
          <w:tcPr>
            <w:tcW w:w="1147" w:type="dxa"/>
            <w:tcBorders>
              <w:top w:val="nil"/>
              <w:left w:val="nil"/>
              <w:bottom w:val="nil"/>
              <w:right w:val="nil"/>
            </w:tcBorders>
            <w:shd w:val="clear" w:color="000000" w:fill="BFBFBF"/>
            <w:noWrap/>
            <w:vAlign w:val="bottom"/>
            <w:hideMark/>
          </w:tcPr>
          <w:p w14:paraId="557F23CE" w14:textId="77777777" w:rsidR="002F1D21" w:rsidRPr="00C00FE2" w:rsidRDefault="002F1D21" w:rsidP="00FD0E0D">
            <w:pPr>
              <w:spacing w:after="0" w:line="240" w:lineRule="auto"/>
              <w:jc w:val="right"/>
              <w:rPr>
                <w:i/>
                <w:sz w:val="18"/>
                <w:szCs w:val="18"/>
                <w:lang w:eastAsia="sk-SK"/>
              </w:rPr>
            </w:pPr>
            <w:r w:rsidRPr="00C00FE2">
              <w:rPr>
                <w:i/>
                <w:sz w:val="18"/>
                <w:szCs w:val="18"/>
                <w:lang w:eastAsia="sk-SK"/>
              </w:rPr>
              <w:t>11 408</w:t>
            </w:r>
          </w:p>
        </w:tc>
        <w:tc>
          <w:tcPr>
            <w:tcW w:w="999" w:type="dxa"/>
            <w:tcBorders>
              <w:top w:val="nil"/>
              <w:left w:val="nil"/>
              <w:bottom w:val="nil"/>
              <w:right w:val="nil"/>
            </w:tcBorders>
            <w:shd w:val="clear" w:color="auto" w:fill="auto"/>
            <w:noWrap/>
            <w:vAlign w:val="center"/>
            <w:hideMark/>
          </w:tcPr>
          <w:p w14:paraId="098D7154"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11 553</w:t>
            </w:r>
          </w:p>
        </w:tc>
        <w:tc>
          <w:tcPr>
            <w:tcW w:w="949" w:type="dxa"/>
            <w:tcBorders>
              <w:top w:val="nil"/>
              <w:left w:val="nil"/>
              <w:bottom w:val="nil"/>
              <w:right w:val="nil"/>
            </w:tcBorders>
            <w:shd w:val="clear" w:color="auto" w:fill="auto"/>
            <w:noWrap/>
            <w:vAlign w:val="bottom"/>
            <w:hideMark/>
          </w:tcPr>
          <w:p w14:paraId="12414EAD" w14:textId="77777777" w:rsidR="002F1D21" w:rsidRPr="00C00FE2" w:rsidRDefault="002F1D21" w:rsidP="00FD0E0D">
            <w:pPr>
              <w:tabs>
                <w:tab w:val="decimal" w:pos="345"/>
              </w:tabs>
              <w:spacing w:after="0" w:line="240" w:lineRule="auto"/>
              <w:jc w:val="center"/>
              <w:rPr>
                <w:i/>
                <w:color w:val="000000"/>
                <w:sz w:val="18"/>
                <w:szCs w:val="18"/>
                <w:lang w:eastAsia="sk-SK"/>
              </w:rPr>
            </w:pPr>
            <w:r w:rsidRPr="00C00FE2">
              <w:rPr>
                <w:i/>
                <w:color w:val="000000"/>
                <w:sz w:val="18"/>
                <w:szCs w:val="18"/>
                <w:lang w:eastAsia="sk-SK"/>
              </w:rPr>
              <w:t>7,7</w:t>
            </w:r>
          </w:p>
        </w:tc>
      </w:tr>
      <w:tr w:rsidR="002F1D21" w:rsidRPr="001D03F0" w14:paraId="11FC83CB" w14:textId="77777777" w:rsidTr="00FD0E0D">
        <w:trPr>
          <w:trHeight w:val="292"/>
        </w:trPr>
        <w:tc>
          <w:tcPr>
            <w:tcW w:w="3874" w:type="dxa"/>
            <w:tcBorders>
              <w:top w:val="nil"/>
              <w:left w:val="nil"/>
              <w:bottom w:val="nil"/>
              <w:right w:val="nil"/>
            </w:tcBorders>
            <w:shd w:val="clear" w:color="auto" w:fill="auto"/>
            <w:noWrap/>
            <w:vAlign w:val="bottom"/>
            <w:hideMark/>
          </w:tcPr>
          <w:p w14:paraId="75557670" w14:textId="77777777" w:rsidR="002F1D21" w:rsidRPr="001D03F0" w:rsidRDefault="002F1D21" w:rsidP="00FD0E0D">
            <w:pPr>
              <w:spacing w:after="0" w:line="240" w:lineRule="auto"/>
              <w:ind w:firstLineChars="200" w:firstLine="360"/>
              <w:rPr>
                <w:i/>
                <w:iCs/>
                <w:color w:val="000000"/>
                <w:sz w:val="18"/>
                <w:szCs w:val="18"/>
                <w:lang w:eastAsia="sk-SK"/>
              </w:rPr>
            </w:pPr>
            <w:r w:rsidRPr="001D03F0">
              <w:rPr>
                <w:i/>
                <w:iCs/>
                <w:color w:val="000000"/>
                <w:sz w:val="18"/>
                <w:szCs w:val="18"/>
                <w:lang w:eastAsia="sk-SK"/>
              </w:rPr>
              <w:t xml:space="preserve"> - cestná doprava</w:t>
            </w:r>
          </w:p>
        </w:tc>
        <w:tc>
          <w:tcPr>
            <w:tcW w:w="1050" w:type="dxa"/>
            <w:tcBorders>
              <w:top w:val="nil"/>
              <w:left w:val="nil"/>
              <w:bottom w:val="nil"/>
              <w:right w:val="nil"/>
            </w:tcBorders>
            <w:shd w:val="clear" w:color="auto" w:fill="auto"/>
            <w:noWrap/>
            <w:vAlign w:val="bottom"/>
            <w:hideMark/>
          </w:tcPr>
          <w:p w14:paraId="6AAD9834"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185 222</w:t>
            </w:r>
          </w:p>
        </w:tc>
        <w:tc>
          <w:tcPr>
            <w:tcW w:w="1025" w:type="dxa"/>
            <w:tcBorders>
              <w:top w:val="nil"/>
              <w:left w:val="nil"/>
              <w:bottom w:val="nil"/>
              <w:right w:val="nil"/>
            </w:tcBorders>
            <w:shd w:val="clear" w:color="auto" w:fill="auto"/>
            <w:noWrap/>
            <w:vAlign w:val="bottom"/>
            <w:hideMark/>
          </w:tcPr>
          <w:p w14:paraId="20B4E3ED"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217 419</w:t>
            </w:r>
          </w:p>
        </w:tc>
        <w:tc>
          <w:tcPr>
            <w:tcW w:w="1147" w:type="dxa"/>
            <w:tcBorders>
              <w:top w:val="nil"/>
              <w:left w:val="nil"/>
              <w:bottom w:val="nil"/>
              <w:right w:val="nil"/>
            </w:tcBorders>
            <w:shd w:val="clear" w:color="000000" w:fill="BFBFBF"/>
            <w:noWrap/>
            <w:vAlign w:val="bottom"/>
            <w:hideMark/>
          </w:tcPr>
          <w:p w14:paraId="5698B730" w14:textId="77777777" w:rsidR="002F1D21" w:rsidRPr="00C00FE2" w:rsidRDefault="002F1D21" w:rsidP="00FD0E0D">
            <w:pPr>
              <w:spacing w:after="0" w:line="240" w:lineRule="auto"/>
              <w:jc w:val="right"/>
              <w:rPr>
                <w:i/>
                <w:sz w:val="18"/>
                <w:szCs w:val="18"/>
                <w:lang w:eastAsia="sk-SK"/>
              </w:rPr>
            </w:pPr>
            <w:r w:rsidRPr="00C00FE2">
              <w:rPr>
                <w:i/>
                <w:sz w:val="18"/>
                <w:szCs w:val="18"/>
                <w:lang w:eastAsia="sk-SK"/>
              </w:rPr>
              <w:t>246 372</w:t>
            </w:r>
          </w:p>
        </w:tc>
        <w:tc>
          <w:tcPr>
            <w:tcW w:w="999" w:type="dxa"/>
            <w:tcBorders>
              <w:top w:val="nil"/>
              <w:left w:val="nil"/>
              <w:bottom w:val="nil"/>
              <w:right w:val="nil"/>
            </w:tcBorders>
            <w:shd w:val="clear" w:color="auto" w:fill="auto"/>
            <w:noWrap/>
            <w:vAlign w:val="center"/>
            <w:hideMark/>
          </w:tcPr>
          <w:p w14:paraId="3BB8A034"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237 000</w:t>
            </w:r>
          </w:p>
        </w:tc>
        <w:tc>
          <w:tcPr>
            <w:tcW w:w="949" w:type="dxa"/>
            <w:tcBorders>
              <w:top w:val="nil"/>
              <w:left w:val="nil"/>
              <w:bottom w:val="nil"/>
              <w:right w:val="nil"/>
            </w:tcBorders>
            <w:shd w:val="clear" w:color="auto" w:fill="auto"/>
            <w:noWrap/>
            <w:vAlign w:val="bottom"/>
            <w:hideMark/>
          </w:tcPr>
          <w:p w14:paraId="34E6B6B8" w14:textId="77777777" w:rsidR="002F1D21" w:rsidRPr="00C00FE2" w:rsidRDefault="002F1D21" w:rsidP="00FD0E0D">
            <w:pPr>
              <w:tabs>
                <w:tab w:val="decimal" w:pos="345"/>
              </w:tabs>
              <w:spacing w:after="0" w:line="240" w:lineRule="auto"/>
              <w:jc w:val="center"/>
              <w:rPr>
                <w:i/>
                <w:color w:val="000000"/>
                <w:sz w:val="18"/>
                <w:szCs w:val="18"/>
                <w:lang w:eastAsia="sk-SK"/>
              </w:rPr>
            </w:pPr>
            <w:r w:rsidRPr="00C00FE2">
              <w:rPr>
                <w:i/>
                <w:color w:val="000000"/>
                <w:sz w:val="18"/>
                <w:szCs w:val="18"/>
                <w:lang w:eastAsia="sk-SK"/>
              </w:rPr>
              <w:t>13,3</w:t>
            </w:r>
          </w:p>
        </w:tc>
      </w:tr>
      <w:tr w:rsidR="002F1D21" w:rsidRPr="001D03F0" w14:paraId="275169D6" w14:textId="77777777" w:rsidTr="00FD0E0D">
        <w:trPr>
          <w:trHeight w:val="292"/>
        </w:trPr>
        <w:tc>
          <w:tcPr>
            <w:tcW w:w="3874" w:type="dxa"/>
            <w:tcBorders>
              <w:top w:val="nil"/>
              <w:left w:val="nil"/>
              <w:bottom w:val="nil"/>
              <w:right w:val="nil"/>
            </w:tcBorders>
            <w:shd w:val="clear" w:color="auto" w:fill="auto"/>
            <w:noWrap/>
            <w:vAlign w:val="center"/>
            <w:hideMark/>
          </w:tcPr>
          <w:p w14:paraId="1F58B925" w14:textId="77777777" w:rsidR="002F1D21" w:rsidRPr="001D03F0" w:rsidRDefault="002F1D21" w:rsidP="00FD0E0D">
            <w:pPr>
              <w:spacing w:after="0" w:line="240" w:lineRule="auto"/>
              <w:ind w:firstLineChars="100" w:firstLine="180"/>
              <w:rPr>
                <w:color w:val="000000"/>
                <w:sz w:val="18"/>
                <w:szCs w:val="18"/>
                <w:lang w:eastAsia="sk-SK"/>
              </w:rPr>
            </w:pPr>
            <w:r w:rsidRPr="001D03F0">
              <w:rPr>
                <w:color w:val="000000"/>
                <w:sz w:val="18"/>
                <w:szCs w:val="18"/>
                <w:lang w:eastAsia="sk-SK"/>
              </w:rPr>
              <w:t xml:space="preserve"> - Ostatné</w:t>
            </w:r>
          </w:p>
        </w:tc>
        <w:tc>
          <w:tcPr>
            <w:tcW w:w="1050" w:type="dxa"/>
            <w:tcBorders>
              <w:top w:val="nil"/>
              <w:left w:val="nil"/>
              <w:bottom w:val="nil"/>
              <w:right w:val="nil"/>
            </w:tcBorders>
            <w:shd w:val="clear" w:color="auto" w:fill="auto"/>
            <w:noWrap/>
            <w:vAlign w:val="bottom"/>
            <w:hideMark/>
          </w:tcPr>
          <w:p w14:paraId="29C39556"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587 255</w:t>
            </w:r>
          </w:p>
        </w:tc>
        <w:tc>
          <w:tcPr>
            <w:tcW w:w="1025" w:type="dxa"/>
            <w:tcBorders>
              <w:top w:val="nil"/>
              <w:left w:val="nil"/>
              <w:bottom w:val="nil"/>
              <w:right w:val="nil"/>
            </w:tcBorders>
            <w:shd w:val="clear" w:color="auto" w:fill="auto"/>
            <w:noWrap/>
            <w:vAlign w:val="bottom"/>
            <w:hideMark/>
          </w:tcPr>
          <w:p w14:paraId="4F44D65D"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566 160</w:t>
            </w:r>
          </w:p>
        </w:tc>
        <w:tc>
          <w:tcPr>
            <w:tcW w:w="1147" w:type="dxa"/>
            <w:tcBorders>
              <w:top w:val="nil"/>
              <w:left w:val="nil"/>
              <w:bottom w:val="nil"/>
              <w:right w:val="nil"/>
            </w:tcBorders>
            <w:shd w:val="clear" w:color="000000" w:fill="BFBFBF"/>
            <w:noWrap/>
            <w:vAlign w:val="bottom"/>
            <w:hideMark/>
          </w:tcPr>
          <w:p w14:paraId="1EE08AA0" w14:textId="77777777" w:rsidR="002F1D21" w:rsidRPr="001D03F0" w:rsidRDefault="002F1D21" w:rsidP="00FD0E0D">
            <w:pPr>
              <w:spacing w:after="0" w:line="240" w:lineRule="auto"/>
              <w:jc w:val="right"/>
              <w:rPr>
                <w:sz w:val="18"/>
                <w:szCs w:val="18"/>
                <w:lang w:eastAsia="sk-SK"/>
              </w:rPr>
            </w:pPr>
            <w:r w:rsidRPr="001D03F0">
              <w:rPr>
                <w:sz w:val="18"/>
                <w:szCs w:val="18"/>
                <w:lang w:eastAsia="sk-SK"/>
              </w:rPr>
              <w:t>852 775</w:t>
            </w:r>
          </w:p>
        </w:tc>
        <w:tc>
          <w:tcPr>
            <w:tcW w:w="999" w:type="dxa"/>
            <w:tcBorders>
              <w:top w:val="nil"/>
              <w:left w:val="nil"/>
              <w:bottom w:val="nil"/>
              <w:right w:val="nil"/>
            </w:tcBorders>
            <w:shd w:val="clear" w:color="auto" w:fill="auto"/>
            <w:noWrap/>
            <w:vAlign w:val="center"/>
            <w:hideMark/>
          </w:tcPr>
          <w:p w14:paraId="2732D1A0"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1 010 346</w:t>
            </w:r>
          </w:p>
        </w:tc>
        <w:tc>
          <w:tcPr>
            <w:tcW w:w="949" w:type="dxa"/>
            <w:tcBorders>
              <w:top w:val="nil"/>
              <w:left w:val="nil"/>
              <w:bottom w:val="nil"/>
              <w:right w:val="nil"/>
            </w:tcBorders>
            <w:shd w:val="clear" w:color="auto" w:fill="auto"/>
            <w:noWrap/>
            <w:vAlign w:val="bottom"/>
            <w:hideMark/>
          </w:tcPr>
          <w:p w14:paraId="63A0B520" w14:textId="77777777" w:rsidR="002F1D21" w:rsidRPr="001D03F0" w:rsidRDefault="002F1D21" w:rsidP="00FD0E0D">
            <w:pPr>
              <w:tabs>
                <w:tab w:val="decimal" w:pos="345"/>
              </w:tabs>
              <w:spacing w:after="0" w:line="240" w:lineRule="auto"/>
              <w:jc w:val="center"/>
              <w:rPr>
                <w:color w:val="000000"/>
                <w:sz w:val="18"/>
                <w:szCs w:val="18"/>
                <w:lang w:eastAsia="sk-SK"/>
              </w:rPr>
            </w:pPr>
            <w:r w:rsidRPr="001D03F0">
              <w:rPr>
                <w:color w:val="000000"/>
                <w:sz w:val="18"/>
                <w:szCs w:val="18"/>
                <w:lang w:eastAsia="sk-SK"/>
              </w:rPr>
              <w:t>50,6</w:t>
            </w:r>
          </w:p>
        </w:tc>
      </w:tr>
      <w:tr w:rsidR="002F1D21" w:rsidRPr="001D03F0" w14:paraId="3F0BB2B9" w14:textId="77777777" w:rsidTr="00FD0E0D">
        <w:trPr>
          <w:trHeight w:val="292"/>
        </w:trPr>
        <w:tc>
          <w:tcPr>
            <w:tcW w:w="3874" w:type="dxa"/>
            <w:tcBorders>
              <w:top w:val="nil"/>
              <w:left w:val="nil"/>
              <w:bottom w:val="nil"/>
              <w:right w:val="nil"/>
            </w:tcBorders>
            <w:shd w:val="clear" w:color="auto" w:fill="auto"/>
            <w:noWrap/>
            <w:vAlign w:val="center"/>
            <w:hideMark/>
          </w:tcPr>
          <w:p w14:paraId="79560F14" w14:textId="77777777" w:rsidR="002F1D21" w:rsidRPr="001D03F0" w:rsidRDefault="002F1D21" w:rsidP="00FD0E0D">
            <w:pPr>
              <w:spacing w:after="0" w:line="240" w:lineRule="auto"/>
              <w:ind w:firstLineChars="100" w:firstLine="180"/>
              <w:rPr>
                <w:b/>
                <w:bCs/>
                <w:color w:val="000000"/>
                <w:sz w:val="18"/>
                <w:szCs w:val="18"/>
                <w:lang w:eastAsia="sk-SK"/>
              </w:rPr>
            </w:pPr>
            <w:r w:rsidRPr="001D03F0">
              <w:rPr>
                <w:b/>
                <w:bCs/>
                <w:color w:val="000000"/>
                <w:sz w:val="18"/>
                <w:szCs w:val="18"/>
                <w:lang w:eastAsia="sk-SK"/>
              </w:rPr>
              <w:t xml:space="preserve">Dôchodky z majetku </w:t>
            </w:r>
            <w:r w:rsidRPr="001D03F0">
              <w:rPr>
                <w:color w:val="000000"/>
                <w:sz w:val="18"/>
                <w:szCs w:val="18"/>
                <w:lang w:eastAsia="sk-SK"/>
              </w:rPr>
              <w:t>(Úrokové náklady)</w:t>
            </w:r>
          </w:p>
        </w:tc>
        <w:tc>
          <w:tcPr>
            <w:tcW w:w="1050" w:type="dxa"/>
            <w:tcBorders>
              <w:top w:val="nil"/>
              <w:left w:val="nil"/>
              <w:bottom w:val="nil"/>
              <w:right w:val="nil"/>
            </w:tcBorders>
            <w:shd w:val="clear" w:color="auto" w:fill="auto"/>
            <w:noWrap/>
            <w:vAlign w:val="center"/>
            <w:hideMark/>
          </w:tcPr>
          <w:p w14:paraId="758D7862"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1 209 547</w:t>
            </w:r>
          </w:p>
        </w:tc>
        <w:tc>
          <w:tcPr>
            <w:tcW w:w="1025" w:type="dxa"/>
            <w:tcBorders>
              <w:top w:val="nil"/>
              <w:left w:val="nil"/>
              <w:bottom w:val="nil"/>
              <w:right w:val="nil"/>
            </w:tcBorders>
            <w:shd w:val="clear" w:color="auto" w:fill="auto"/>
            <w:noWrap/>
            <w:vAlign w:val="center"/>
            <w:hideMark/>
          </w:tcPr>
          <w:p w14:paraId="4F504D33"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1 163 151</w:t>
            </w:r>
          </w:p>
        </w:tc>
        <w:tc>
          <w:tcPr>
            <w:tcW w:w="1147" w:type="dxa"/>
            <w:tcBorders>
              <w:top w:val="nil"/>
              <w:left w:val="nil"/>
              <w:bottom w:val="nil"/>
              <w:right w:val="nil"/>
            </w:tcBorders>
            <w:shd w:val="clear" w:color="000000" w:fill="BFBFBF"/>
            <w:noWrap/>
            <w:vAlign w:val="center"/>
            <w:hideMark/>
          </w:tcPr>
          <w:p w14:paraId="56AE7245"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1 105 044</w:t>
            </w:r>
          </w:p>
        </w:tc>
        <w:tc>
          <w:tcPr>
            <w:tcW w:w="999" w:type="dxa"/>
            <w:tcBorders>
              <w:top w:val="nil"/>
              <w:left w:val="nil"/>
              <w:bottom w:val="nil"/>
              <w:right w:val="nil"/>
            </w:tcBorders>
            <w:shd w:val="clear" w:color="auto" w:fill="auto"/>
            <w:noWrap/>
            <w:vAlign w:val="center"/>
            <w:hideMark/>
          </w:tcPr>
          <w:p w14:paraId="7D62AB9C" w14:textId="77777777" w:rsidR="002F1D21" w:rsidRPr="001D03F0" w:rsidRDefault="002F1D21" w:rsidP="00FD0E0D">
            <w:pPr>
              <w:spacing w:after="0" w:line="240" w:lineRule="auto"/>
              <w:jc w:val="right"/>
              <w:rPr>
                <w:b/>
                <w:bCs/>
                <w:color w:val="000000"/>
                <w:sz w:val="18"/>
                <w:szCs w:val="18"/>
                <w:lang w:eastAsia="sk-SK"/>
              </w:rPr>
            </w:pPr>
            <w:r w:rsidRPr="001D03F0">
              <w:rPr>
                <w:b/>
                <w:bCs/>
                <w:color w:val="000000"/>
                <w:sz w:val="18"/>
                <w:szCs w:val="18"/>
                <w:lang w:eastAsia="sk-SK"/>
              </w:rPr>
              <w:t>1 074 559</w:t>
            </w:r>
          </w:p>
        </w:tc>
        <w:tc>
          <w:tcPr>
            <w:tcW w:w="949" w:type="dxa"/>
            <w:tcBorders>
              <w:top w:val="nil"/>
              <w:left w:val="nil"/>
              <w:bottom w:val="nil"/>
              <w:right w:val="nil"/>
            </w:tcBorders>
            <w:shd w:val="clear" w:color="auto" w:fill="auto"/>
            <w:noWrap/>
            <w:vAlign w:val="center"/>
            <w:hideMark/>
          </w:tcPr>
          <w:p w14:paraId="4D5E8B1D" w14:textId="77777777" w:rsidR="002F1D21" w:rsidRPr="001D03F0" w:rsidRDefault="002F1D21" w:rsidP="00FD0E0D">
            <w:pPr>
              <w:tabs>
                <w:tab w:val="decimal" w:pos="345"/>
              </w:tabs>
              <w:spacing w:after="0" w:line="240" w:lineRule="auto"/>
              <w:jc w:val="center"/>
              <w:rPr>
                <w:b/>
                <w:bCs/>
                <w:sz w:val="18"/>
                <w:szCs w:val="18"/>
                <w:lang w:eastAsia="sk-SK"/>
              </w:rPr>
            </w:pPr>
            <w:r w:rsidRPr="001D03F0">
              <w:rPr>
                <w:b/>
                <w:bCs/>
                <w:sz w:val="18"/>
                <w:szCs w:val="18"/>
                <w:lang w:eastAsia="sk-SK"/>
              </w:rPr>
              <w:t>-5,0</w:t>
            </w:r>
          </w:p>
        </w:tc>
      </w:tr>
      <w:tr w:rsidR="002F1D21" w:rsidRPr="001D03F0" w14:paraId="7F55234C" w14:textId="77777777" w:rsidTr="00FD0E0D">
        <w:trPr>
          <w:trHeight w:val="292"/>
        </w:trPr>
        <w:tc>
          <w:tcPr>
            <w:tcW w:w="3874" w:type="dxa"/>
            <w:tcBorders>
              <w:top w:val="nil"/>
              <w:left w:val="nil"/>
              <w:bottom w:val="nil"/>
              <w:right w:val="nil"/>
            </w:tcBorders>
            <w:shd w:val="clear" w:color="auto" w:fill="auto"/>
            <w:noWrap/>
            <w:vAlign w:val="center"/>
            <w:hideMark/>
          </w:tcPr>
          <w:p w14:paraId="3ED43F38" w14:textId="77777777" w:rsidR="002F1D21" w:rsidRPr="001D03F0" w:rsidRDefault="002F1D21" w:rsidP="00FD0E0D">
            <w:pPr>
              <w:spacing w:after="0" w:line="240" w:lineRule="auto"/>
              <w:ind w:firstLineChars="100" w:firstLine="180"/>
              <w:rPr>
                <w:b/>
                <w:bCs/>
                <w:color w:val="000000"/>
                <w:sz w:val="18"/>
                <w:szCs w:val="18"/>
                <w:lang w:eastAsia="sk-SK"/>
              </w:rPr>
            </w:pPr>
            <w:r w:rsidRPr="001D03F0">
              <w:rPr>
                <w:b/>
                <w:bCs/>
                <w:color w:val="000000"/>
                <w:sz w:val="18"/>
                <w:szCs w:val="18"/>
                <w:lang w:eastAsia="sk-SK"/>
              </w:rPr>
              <w:t>Celkové sociálne transfery</w:t>
            </w:r>
          </w:p>
        </w:tc>
        <w:tc>
          <w:tcPr>
            <w:tcW w:w="1050" w:type="dxa"/>
            <w:tcBorders>
              <w:top w:val="nil"/>
              <w:left w:val="nil"/>
              <w:bottom w:val="nil"/>
              <w:right w:val="nil"/>
            </w:tcBorders>
            <w:shd w:val="clear" w:color="auto" w:fill="auto"/>
            <w:noWrap/>
            <w:vAlign w:val="bottom"/>
            <w:hideMark/>
          </w:tcPr>
          <w:p w14:paraId="6F8A2347" w14:textId="77777777" w:rsidR="002F1D21" w:rsidRPr="001D03F0" w:rsidRDefault="002F1D21" w:rsidP="00FD0E0D">
            <w:pPr>
              <w:spacing w:after="0" w:line="240" w:lineRule="auto"/>
              <w:jc w:val="right"/>
              <w:rPr>
                <w:b/>
                <w:bCs/>
                <w:color w:val="000000"/>
                <w:sz w:val="18"/>
                <w:szCs w:val="18"/>
                <w:lang w:eastAsia="sk-SK"/>
              </w:rPr>
            </w:pPr>
            <w:r w:rsidRPr="001D03F0">
              <w:rPr>
                <w:b/>
                <w:bCs/>
                <w:color w:val="000000"/>
                <w:sz w:val="18"/>
                <w:szCs w:val="18"/>
                <w:lang w:eastAsia="sk-SK"/>
              </w:rPr>
              <w:t>14 735 495</w:t>
            </w:r>
          </w:p>
        </w:tc>
        <w:tc>
          <w:tcPr>
            <w:tcW w:w="1025" w:type="dxa"/>
            <w:tcBorders>
              <w:top w:val="nil"/>
              <w:left w:val="nil"/>
              <w:bottom w:val="nil"/>
              <w:right w:val="nil"/>
            </w:tcBorders>
            <w:shd w:val="clear" w:color="auto" w:fill="auto"/>
            <w:noWrap/>
            <w:vAlign w:val="bottom"/>
            <w:hideMark/>
          </w:tcPr>
          <w:p w14:paraId="21785621" w14:textId="77777777" w:rsidR="002F1D21" w:rsidRPr="001D03F0" w:rsidRDefault="002F1D21" w:rsidP="00FD0E0D">
            <w:pPr>
              <w:spacing w:after="0" w:line="240" w:lineRule="auto"/>
              <w:jc w:val="right"/>
              <w:rPr>
                <w:b/>
                <w:bCs/>
                <w:color w:val="000000"/>
                <w:sz w:val="18"/>
                <w:szCs w:val="18"/>
                <w:lang w:eastAsia="sk-SK"/>
              </w:rPr>
            </w:pPr>
            <w:r w:rsidRPr="001D03F0">
              <w:rPr>
                <w:b/>
                <w:bCs/>
                <w:color w:val="000000"/>
                <w:sz w:val="18"/>
                <w:szCs w:val="18"/>
                <w:lang w:eastAsia="sk-SK"/>
              </w:rPr>
              <w:t>15 713 752</w:t>
            </w:r>
          </w:p>
        </w:tc>
        <w:tc>
          <w:tcPr>
            <w:tcW w:w="1147" w:type="dxa"/>
            <w:tcBorders>
              <w:top w:val="nil"/>
              <w:left w:val="nil"/>
              <w:bottom w:val="nil"/>
              <w:right w:val="nil"/>
            </w:tcBorders>
            <w:shd w:val="clear" w:color="000000" w:fill="BFBFBF"/>
            <w:noWrap/>
            <w:vAlign w:val="bottom"/>
            <w:hideMark/>
          </w:tcPr>
          <w:p w14:paraId="208CE2DE"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16 735 472</w:t>
            </w:r>
          </w:p>
        </w:tc>
        <w:tc>
          <w:tcPr>
            <w:tcW w:w="999" w:type="dxa"/>
            <w:tcBorders>
              <w:top w:val="nil"/>
              <w:left w:val="nil"/>
              <w:bottom w:val="nil"/>
              <w:right w:val="nil"/>
            </w:tcBorders>
            <w:shd w:val="clear" w:color="auto" w:fill="auto"/>
            <w:noWrap/>
            <w:vAlign w:val="bottom"/>
            <w:hideMark/>
          </w:tcPr>
          <w:p w14:paraId="57E81EF0" w14:textId="77777777" w:rsidR="002F1D21" w:rsidRPr="001D03F0" w:rsidRDefault="002F1D21" w:rsidP="00FD0E0D">
            <w:pPr>
              <w:spacing w:after="0" w:line="240" w:lineRule="auto"/>
              <w:jc w:val="right"/>
              <w:rPr>
                <w:b/>
                <w:bCs/>
                <w:color w:val="000000"/>
                <w:sz w:val="18"/>
                <w:szCs w:val="18"/>
                <w:lang w:eastAsia="sk-SK"/>
              </w:rPr>
            </w:pPr>
            <w:r w:rsidRPr="001D03F0">
              <w:rPr>
                <w:b/>
                <w:bCs/>
                <w:color w:val="000000"/>
                <w:sz w:val="18"/>
                <w:szCs w:val="18"/>
                <w:lang w:eastAsia="sk-SK"/>
              </w:rPr>
              <w:t>20 253 517</w:t>
            </w:r>
          </w:p>
        </w:tc>
        <w:tc>
          <w:tcPr>
            <w:tcW w:w="949" w:type="dxa"/>
            <w:tcBorders>
              <w:top w:val="nil"/>
              <w:left w:val="nil"/>
              <w:bottom w:val="nil"/>
              <w:right w:val="nil"/>
            </w:tcBorders>
            <w:shd w:val="clear" w:color="auto" w:fill="auto"/>
            <w:noWrap/>
            <w:vAlign w:val="bottom"/>
            <w:hideMark/>
          </w:tcPr>
          <w:p w14:paraId="7EF7B12E" w14:textId="77777777" w:rsidR="002F1D21" w:rsidRPr="001D03F0" w:rsidRDefault="002F1D21" w:rsidP="00FD0E0D">
            <w:pPr>
              <w:tabs>
                <w:tab w:val="decimal" w:pos="345"/>
              </w:tabs>
              <w:spacing w:after="0" w:line="240" w:lineRule="auto"/>
              <w:jc w:val="center"/>
              <w:rPr>
                <w:b/>
                <w:bCs/>
                <w:color w:val="000000"/>
                <w:sz w:val="18"/>
                <w:szCs w:val="18"/>
                <w:lang w:eastAsia="sk-SK"/>
              </w:rPr>
            </w:pPr>
            <w:r w:rsidRPr="001D03F0">
              <w:rPr>
                <w:b/>
                <w:bCs/>
                <w:color w:val="000000"/>
                <w:sz w:val="18"/>
                <w:szCs w:val="18"/>
                <w:lang w:eastAsia="sk-SK"/>
              </w:rPr>
              <w:t>6,5</w:t>
            </w:r>
          </w:p>
        </w:tc>
      </w:tr>
      <w:tr w:rsidR="002F1D21" w:rsidRPr="001D03F0" w14:paraId="11A6ACBA" w14:textId="77777777" w:rsidTr="00FD0E0D">
        <w:trPr>
          <w:trHeight w:val="292"/>
        </w:trPr>
        <w:tc>
          <w:tcPr>
            <w:tcW w:w="3874" w:type="dxa"/>
            <w:tcBorders>
              <w:top w:val="nil"/>
              <w:left w:val="nil"/>
              <w:bottom w:val="nil"/>
              <w:right w:val="nil"/>
            </w:tcBorders>
            <w:shd w:val="clear" w:color="auto" w:fill="auto"/>
            <w:noWrap/>
            <w:vAlign w:val="center"/>
            <w:hideMark/>
          </w:tcPr>
          <w:p w14:paraId="003828E7" w14:textId="77777777" w:rsidR="002F1D21" w:rsidRPr="001D03F0" w:rsidRDefault="002F1D21" w:rsidP="00FD0E0D">
            <w:pPr>
              <w:spacing w:after="0" w:line="240" w:lineRule="auto"/>
              <w:ind w:firstLineChars="100" w:firstLine="180"/>
              <w:rPr>
                <w:color w:val="000000"/>
                <w:sz w:val="18"/>
                <w:szCs w:val="18"/>
                <w:lang w:eastAsia="sk-SK"/>
              </w:rPr>
            </w:pPr>
            <w:r w:rsidRPr="001D03F0">
              <w:rPr>
                <w:color w:val="000000"/>
                <w:sz w:val="18"/>
                <w:szCs w:val="18"/>
                <w:lang w:eastAsia="sk-SK"/>
              </w:rPr>
              <w:t xml:space="preserve"> - Sociálne dávky okrem naturálnych soc. </w:t>
            </w:r>
            <w:proofErr w:type="spellStart"/>
            <w:r w:rsidRPr="001D03F0">
              <w:rPr>
                <w:color w:val="000000"/>
                <w:sz w:val="18"/>
                <w:szCs w:val="18"/>
                <w:lang w:eastAsia="sk-SK"/>
              </w:rPr>
              <w:t>transf</w:t>
            </w:r>
            <w:proofErr w:type="spellEnd"/>
            <w:r w:rsidRPr="001D03F0">
              <w:rPr>
                <w:color w:val="000000"/>
                <w:sz w:val="18"/>
                <w:szCs w:val="18"/>
                <w:lang w:eastAsia="sk-SK"/>
              </w:rPr>
              <w:t>.</w:t>
            </w:r>
          </w:p>
        </w:tc>
        <w:tc>
          <w:tcPr>
            <w:tcW w:w="1050" w:type="dxa"/>
            <w:tcBorders>
              <w:top w:val="nil"/>
              <w:left w:val="nil"/>
              <w:bottom w:val="nil"/>
              <w:right w:val="nil"/>
            </w:tcBorders>
            <w:shd w:val="clear" w:color="auto" w:fill="auto"/>
            <w:noWrap/>
            <w:vAlign w:val="bottom"/>
            <w:hideMark/>
          </w:tcPr>
          <w:p w14:paraId="0585D700"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11 858 751</w:t>
            </w:r>
          </w:p>
        </w:tc>
        <w:tc>
          <w:tcPr>
            <w:tcW w:w="1025" w:type="dxa"/>
            <w:tcBorders>
              <w:top w:val="nil"/>
              <w:left w:val="nil"/>
              <w:bottom w:val="nil"/>
              <w:right w:val="nil"/>
            </w:tcBorders>
            <w:shd w:val="clear" w:color="auto" w:fill="auto"/>
            <w:noWrap/>
            <w:vAlign w:val="bottom"/>
            <w:hideMark/>
          </w:tcPr>
          <w:p w14:paraId="7A95CD80"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12 603 311</w:t>
            </w:r>
          </w:p>
        </w:tc>
        <w:tc>
          <w:tcPr>
            <w:tcW w:w="1147" w:type="dxa"/>
            <w:tcBorders>
              <w:top w:val="nil"/>
              <w:left w:val="nil"/>
              <w:bottom w:val="nil"/>
              <w:right w:val="nil"/>
            </w:tcBorders>
            <w:shd w:val="clear" w:color="000000" w:fill="BFBFBF"/>
            <w:noWrap/>
            <w:vAlign w:val="bottom"/>
            <w:hideMark/>
          </w:tcPr>
          <w:p w14:paraId="5FF9A00B" w14:textId="77777777" w:rsidR="002F1D21" w:rsidRPr="001D03F0" w:rsidRDefault="002F1D21" w:rsidP="00FD0E0D">
            <w:pPr>
              <w:spacing w:after="0" w:line="240" w:lineRule="auto"/>
              <w:jc w:val="right"/>
              <w:rPr>
                <w:sz w:val="18"/>
                <w:szCs w:val="18"/>
                <w:lang w:eastAsia="sk-SK"/>
              </w:rPr>
            </w:pPr>
            <w:r w:rsidRPr="001D03F0">
              <w:rPr>
                <w:sz w:val="18"/>
                <w:szCs w:val="18"/>
                <w:lang w:eastAsia="sk-SK"/>
              </w:rPr>
              <w:t>13 690 198</w:t>
            </w:r>
          </w:p>
        </w:tc>
        <w:tc>
          <w:tcPr>
            <w:tcW w:w="999" w:type="dxa"/>
            <w:tcBorders>
              <w:top w:val="nil"/>
              <w:left w:val="nil"/>
              <w:bottom w:val="nil"/>
              <w:right w:val="nil"/>
            </w:tcBorders>
            <w:shd w:val="clear" w:color="auto" w:fill="auto"/>
            <w:noWrap/>
            <w:vAlign w:val="bottom"/>
            <w:hideMark/>
          </w:tcPr>
          <w:p w14:paraId="067DB951"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15 060 294</w:t>
            </w:r>
          </w:p>
        </w:tc>
        <w:tc>
          <w:tcPr>
            <w:tcW w:w="949" w:type="dxa"/>
            <w:tcBorders>
              <w:top w:val="nil"/>
              <w:left w:val="nil"/>
              <w:bottom w:val="nil"/>
              <w:right w:val="nil"/>
            </w:tcBorders>
            <w:shd w:val="clear" w:color="auto" w:fill="auto"/>
            <w:noWrap/>
            <w:vAlign w:val="bottom"/>
            <w:hideMark/>
          </w:tcPr>
          <w:p w14:paraId="203AFA72" w14:textId="77777777" w:rsidR="002F1D21" w:rsidRPr="001D03F0" w:rsidRDefault="002F1D21" w:rsidP="00FD0E0D">
            <w:pPr>
              <w:tabs>
                <w:tab w:val="decimal" w:pos="345"/>
              </w:tabs>
              <w:spacing w:after="0" w:line="240" w:lineRule="auto"/>
              <w:jc w:val="center"/>
              <w:rPr>
                <w:color w:val="000000"/>
                <w:sz w:val="18"/>
                <w:szCs w:val="18"/>
                <w:lang w:eastAsia="sk-SK"/>
              </w:rPr>
            </w:pPr>
            <w:r w:rsidRPr="001D03F0">
              <w:rPr>
                <w:color w:val="000000"/>
                <w:sz w:val="18"/>
                <w:szCs w:val="18"/>
                <w:lang w:eastAsia="sk-SK"/>
              </w:rPr>
              <w:t>8,6</w:t>
            </w:r>
          </w:p>
        </w:tc>
      </w:tr>
      <w:tr w:rsidR="00AB49E7" w:rsidRPr="00AB49E7" w14:paraId="0C01E25B" w14:textId="77777777" w:rsidTr="00233E82">
        <w:trPr>
          <w:trHeight w:val="292"/>
        </w:trPr>
        <w:tc>
          <w:tcPr>
            <w:tcW w:w="3874" w:type="dxa"/>
            <w:tcBorders>
              <w:top w:val="nil"/>
              <w:left w:val="nil"/>
              <w:bottom w:val="nil"/>
              <w:right w:val="nil"/>
            </w:tcBorders>
            <w:shd w:val="clear" w:color="auto" w:fill="auto"/>
            <w:noWrap/>
            <w:vAlign w:val="center"/>
            <w:hideMark/>
          </w:tcPr>
          <w:p w14:paraId="426720CE" w14:textId="77777777" w:rsidR="00AB49E7" w:rsidRPr="001323BD" w:rsidRDefault="00AB49E7" w:rsidP="00233E82">
            <w:pPr>
              <w:spacing w:after="0" w:line="240" w:lineRule="auto"/>
              <w:ind w:firstLineChars="197" w:firstLine="355"/>
              <w:rPr>
                <w:i/>
                <w:iCs/>
                <w:color w:val="000000"/>
                <w:sz w:val="18"/>
                <w:szCs w:val="18"/>
                <w:lang w:eastAsia="sk-SK"/>
              </w:rPr>
            </w:pPr>
            <w:r w:rsidRPr="001323BD">
              <w:rPr>
                <w:i/>
                <w:iCs/>
                <w:color w:val="000000"/>
                <w:sz w:val="18"/>
                <w:szCs w:val="18"/>
                <w:lang w:eastAsia="sk-SK"/>
              </w:rPr>
              <w:t xml:space="preserve"> - Aktívne opatrenia trhu práce</w:t>
            </w:r>
          </w:p>
        </w:tc>
        <w:tc>
          <w:tcPr>
            <w:tcW w:w="1050" w:type="dxa"/>
            <w:tcBorders>
              <w:top w:val="nil"/>
              <w:left w:val="nil"/>
              <w:bottom w:val="nil"/>
              <w:right w:val="nil"/>
            </w:tcBorders>
            <w:shd w:val="clear" w:color="auto" w:fill="auto"/>
            <w:noWrap/>
            <w:vAlign w:val="bottom"/>
            <w:hideMark/>
          </w:tcPr>
          <w:p w14:paraId="09624BB7" w14:textId="77777777" w:rsidR="00AB49E7" w:rsidRPr="00C00FE2" w:rsidRDefault="00AB49E7" w:rsidP="00233E82">
            <w:pPr>
              <w:spacing w:after="0" w:line="240" w:lineRule="auto"/>
              <w:jc w:val="right"/>
              <w:rPr>
                <w:i/>
                <w:color w:val="000000"/>
                <w:sz w:val="18"/>
                <w:szCs w:val="18"/>
                <w:lang w:eastAsia="sk-SK"/>
              </w:rPr>
            </w:pPr>
            <w:r w:rsidRPr="00C00FE2">
              <w:rPr>
                <w:i/>
                <w:color w:val="000000"/>
                <w:sz w:val="18"/>
                <w:szCs w:val="18"/>
                <w:lang w:eastAsia="sk-SK"/>
              </w:rPr>
              <w:t>53 109</w:t>
            </w:r>
          </w:p>
        </w:tc>
        <w:tc>
          <w:tcPr>
            <w:tcW w:w="1025" w:type="dxa"/>
            <w:tcBorders>
              <w:top w:val="nil"/>
              <w:left w:val="nil"/>
              <w:bottom w:val="nil"/>
              <w:right w:val="nil"/>
            </w:tcBorders>
            <w:shd w:val="clear" w:color="auto" w:fill="auto"/>
            <w:noWrap/>
            <w:vAlign w:val="bottom"/>
            <w:hideMark/>
          </w:tcPr>
          <w:p w14:paraId="1AFF6CE5" w14:textId="77777777" w:rsidR="00AB49E7" w:rsidRPr="00C00FE2" w:rsidRDefault="00AB49E7" w:rsidP="00233E82">
            <w:pPr>
              <w:spacing w:after="0" w:line="240" w:lineRule="auto"/>
              <w:jc w:val="right"/>
              <w:rPr>
                <w:i/>
                <w:sz w:val="18"/>
                <w:szCs w:val="18"/>
                <w:lang w:eastAsia="sk-SK"/>
              </w:rPr>
            </w:pPr>
            <w:r w:rsidRPr="00C00FE2">
              <w:rPr>
                <w:i/>
                <w:sz w:val="18"/>
                <w:szCs w:val="18"/>
                <w:lang w:eastAsia="sk-SK"/>
              </w:rPr>
              <w:t>45 393</w:t>
            </w:r>
          </w:p>
        </w:tc>
        <w:tc>
          <w:tcPr>
            <w:tcW w:w="1147" w:type="dxa"/>
            <w:tcBorders>
              <w:top w:val="nil"/>
              <w:left w:val="nil"/>
              <w:bottom w:val="nil"/>
              <w:right w:val="nil"/>
            </w:tcBorders>
            <w:shd w:val="clear" w:color="000000" w:fill="BFBFBF"/>
            <w:noWrap/>
            <w:vAlign w:val="bottom"/>
            <w:hideMark/>
          </w:tcPr>
          <w:p w14:paraId="5401569F" w14:textId="77777777" w:rsidR="00AB49E7" w:rsidRPr="00C00FE2" w:rsidRDefault="00AB49E7" w:rsidP="00233E82">
            <w:pPr>
              <w:spacing w:after="0" w:line="240" w:lineRule="auto"/>
              <w:jc w:val="right"/>
              <w:rPr>
                <w:i/>
                <w:sz w:val="18"/>
                <w:szCs w:val="18"/>
                <w:lang w:eastAsia="sk-SK"/>
              </w:rPr>
            </w:pPr>
            <w:r w:rsidRPr="00C00FE2">
              <w:rPr>
                <w:i/>
                <w:sz w:val="18"/>
                <w:szCs w:val="18"/>
                <w:lang w:eastAsia="sk-SK"/>
              </w:rPr>
              <w:t>47 042</w:t>
            </w:r>
          </w:p>
        </w:tc>
        <w:tc>
          <w:tcPr>
            <w:tcW w:w="999" w:type="dxa"/>
            <w:tcBorders>
              <w:top w:val="nil"/>
              <w:left w:val="nil"/>
              <w:bottom w:val="nil"/>
              <w:right w:val="nil"/>
            </w:tcBorders>
            <w:shd w:val="clear" w:color="auto" w:fill="auto"/>
            <w:noWrap/>
            <w:vAlign w:val="center"/>
            <w:hideMark/>
          </w:tcPr>
          <w:p w14:paraId="5264EBE6" w14:textId="77777777" w:rsidR="00AB49E7" w:rsidRPr="00C00FE2" w:rsidRDefault="00AB49E7" w:rsidP="00233E82">
            <w:pPr>
              <w:spacing w:after="0" w:line="240" w:lineRule="auto"/>
              <w:jc w:val="right"/>
              <w:rPr>
                <w:i/>
                <w:color w:val="000000"/>
                <w:sz w:val="18"/>
                <w:szCs w:val="18"/>
                <w:lang w:eastAsia="sk-SK"/>
              </w:rPr>
            </w:pPr>
            <w:r w:rsidRPr="00C00FE2">
              <w:rPr>
                <w:i/>
                <w:color w:val="000000"/>
                <w:sz w:val="18"/>
                <w:szCs w:val="18"/>
                <w:lang w:eastAsia="sk-SK"/>
              </w:rPr>
              <w:t>472 692</w:t>
            </w:r>
          </w:p>
        </w:tc>
        <w:tc>
          <w:tcPr>
            <w:tcW w:w="949" w:type="dxa"/>
            <w:tcBorders>
              <w:top w:val="nil"/>
              <w:left w:val="nil"/>
              <w:bottom w:val="nil"/>
              <w:right w:val="nil"/>
            </w:tcBorders>
            <w:shd w:val="clear" w:color="auto" w:fill="auto"/>
            <w:noWrap/>
            <w:vAlign w:val="bottom"/>
            <w:hideMark/>
          </w:tcPr>
          <w:p w14:paraId="04BAC41B" w14:textId="77777777" w:rsidR="00AB49E7" w:rsidRPr="00C00FE2" w:rsidRDefault="00AB49E7" w:rsidP="00233E82">
            <w:pPr>
              <w:tabs>
                <w:tab w:val="decimal" w:pos="345"/>
              </w:tabs>
              <w:spacing w:after="0" w:line="240" w:lineRule="auto"/>
              <w:jc w:val="center"/>
              <w:rPr>
                <w:i/>
                <w:color w:val="000000"/>
                <w:sz w:val="18"/>
                <w:szCs w:val="18"/>
                <w:lang w:eastAsia="sk-SK"/>
              </w:rPr>
            </w:pPr>
            <w:r w:rsidRPr="00C00FE2">
              <w:rPr>
                <w:i/>
                <w:color w:val="000000"/>
                <w:sz w:val="18"/>
                <w:szCs w:val="18"/>
                <w:lang w:eastAsia="sk-SK"/>
              </w:rPr>
              <w:t>3,6</w:t>
            </w:r>
          </w:p>
        </w:tc>
      </w:tr>
      <w:tr w:rsidR="00AB49E7" w:rsidRPr="00AB49E7" w14:paraId="40E7667A" w14:textId="77777777" w:rsidTr="00233E82">
        <w:trPr>
          <w:trHeight w:val="292"/>
        </w:trPr>
        <w:tc>
          <w:tcPr>
            <w:tcW w:w="3874" w:type="dxa"/>
            <w:tcBorders>
              <w:top w:val="nil"/>
              <w:left w:val="nil"/>
              <w:bottom w:val="nil"/>
              <w:right w:val="nil"/>
            </w:tcBorders>
            <w:shd w:val="clear" w:color="auto" w:fill="auto"/>
            <w:noWrap/>
            <w:vAlign w:val="center"/>
            <w:hideMark/>
          </w:tcPr>
          <w:p w14:paraId="38A7D828" w14:textId="77777777" w:rsidR="00AB49E7" w:rsidRPr="001323BD" w:rsidRDefault="00AB49E7" w:rsidP="00233E82">
            <w:pPr>
              <w:spacing w:after="0" w:line="240" w:lineRule="auto"/>
              <w:ind w:firstLineChars="197" w:firstLine="355"/>
              <w:rPr>
                <w:i/>
                <w:iCs/>
                <w:color w:val="000000"/>
                <w:sz w:val="18"/>
                <w:szCs w:val="18"/>
                <w:lang w:eastAsia="sk-SK"/>
              </w:rPr>
            </w:pPr>
            <w:r w:rsidRPr="001323BD">
              <w:rPr>
                <w:i/>
                <w:iCs/>
                <w:color w:val="000000"/>
                <w:sz w:val="18"/>
                <w:szCs w:val="18"/>
                <w:lang w:eastAsia="sk-SK"/>
              </w:rPr>
              <w:t xml:space="preserve"> - Nemocenské dávky</w:t>
            </w:r>
          </w:p>
        </w:tc>
        <w:tc>
          <w:tcPr>
            <w:tcW w:w="1050" w:type="dxa"/>
            <w:tcBorders>
              <w:top w:val="nil"/>
              <w:left w:val="nil"/>
              <w:bottom w:val="nil"/>
              <w:right w:val="nil"/>
            </w:tcBorders>
            <w:shd w:val="clear" w:color="auto" w:fill="auto"/>
            <w:noWrap/>
            <w:vAlign w:val="bottom"/>
            <w:hideMark/>
          </w:tcPr>
          <w:p w14:paraId="1A1C58C4" w14:textId="77777777" w:rsidR="00AB49E7" w:rsidRPr="00C00FE2" w:rsidRDefault="00AB49E7" w:rsidP="00233E82">
            <w:pPr>
              <w:spacing w:after="0" w:line="240" w:lineRule="auto"/>
              <w:jc w:val="right"/>
              <w:rPr>
                <w:i/>
                <w:color w:val="000000"/>
                <w:sz w:val="18"/>
                <w:szCs w:val="18"/>
                <w:lang w:eastAsia="sk-SK"/>
              </w:rPr>
            </w:pPr>
            <w:r w:rsidRPr="00C00FE2">
              <w:rPr>
                <w:i/>
                <w:color w:val="000000"/>
                <w:sz w:val="18"/>
                <w:szCs w:val="18"/>
                <w:lang w:eastAsia="sk-SK"/>
              </w:rPr>
              <w:t>667 168</w:t>
            </w:r>
          </w:p>
        </w:tc>
        <w:tc>
          <w:tcPr>
            <w:tcW w:w="1025" w:type="dxa"/>
            <w:tcBorders>
              <w:top w:val="nil"/>
              <w:left w:val="nil"/>
              <w:bottom w:val="nil"/>
              <w:right w:val="nil"/>
            </w:tcBorders>
            <w:shd w:val="clear" w:color="auto" w:fill="auto"/>
            <w:noWrap/>
            <w:vAlign w:val="bottom"/>
            <w:hideMark/>
          </w:tcPr>
          <w:p w14:paraId="4C860FB3" w14:textId="77777777" w:rsidR="00AB49E7" w:rsidRPr="00C00FE2" w:rsidRDefault="00AB49E7" w:rsidP="00233E82">
            <w:pPr>
              <w:spacing w:after="0" w:line="240" w:lineRule="auto"/>
              <w:jc w:val="right"/>
              <w:rPr>
                <w:i/>
                <w:sz w:val="18"/>
                <w:szCs w:val="18"/>
                <w:lang w:eastAsia="sk-SK"/>
              </w:rPr>
            </w:pPr>
            <w:r w:rsidRPr="00C00FE2">
              <w:rPr>
                <w:i/>
                <w:sz w:val="18"/>
                <w:szCs w:val="18"/>
                <w:lang w:eastAsia="sk-SK"/>
              </w:rPr>
              <w:t>768 675</w:t>
            </w:r>
          </w:p>
        </w:tc>
        <w:tc>
          <w:tcPr>
            <w:tcW w:w="1147" w:type="dxa"/>
            <w:tcBorders>
              <w:top w:val="nil"/>
              <w:left w:val="nil"/>
              <w:bottom w:val="nil"/>
              <w:right w:val="nil"/>
            </w:tcBorders>
            <w:shd w:val="clear" w:color="000000" w:fill="BFBFBF"/>
            <w:noWrap/>
            <w:vAlign w:val="bottom"/>
            <w:hideMark/>
          </w:tcPr>
          <w:p w14:paraId="4E151E38" w14:textId="77777777" w:rsidR="00AB49E7" w:rsidRPr="00C00FE2" w:rsidRDefault="00AB49E7" w:rsidP="00233E82">
            <w:pPr>
              <w:spacing w:after="0" w:line="240" w:lineRule="auto"/>
              <w:jc w:val="right"/>
              <w:rPr>
                <w:i/>
                <w:sz w:val="18"/>
                <w:szCs w:val="18"/>
                <w:lang w:eastAsia="sk-SK"/>
              </w:rPr>
            </w:pPr>
            <w:r w:rsidRPr="00C00FE2">
              <w:rPr>
                <w:i/>
                <w:sz w:val="18"/>
                <w:szCs w:val="18"/>
                <w:lang w:eastAsia="sk-SK"/>
              </w:rPr>
              <w:t>1 052 199</w:t>
            </w:r>
          </w:p>
        </w:tc>
        <w:tc>
          <w:tcPr>
            <w:tcW w:w="999" w:type="dxa"/>
            <w:tcBorders>
              <w:top w:val="nil"/>
              <w:left w:val="nil"/>
              <w:bottom w:val="nil"/>
              <w:right w:val="nil"/>
            </w:tcBorders>
            <w:shd w:val="clear" w:color="auto" w:fill="auto"/>
            <w:noWrap/>
            <w:vAlign w:val="center"/>
            <w:hideMark/>
          </w:tcPr>
          <w:p w14:paraId="1B351C2B" w14:textId="77777777" w:rsidR="00AB49E7" w:rsidRPr="00C00FE2" w:rsidRDefault="00AB49E7" w:rsidP="00233E82">
            <w:pPr>
              <w:spacing w:after="0" w:line="240" w:lineRule="auto"/>
              <w:jc w:val="right"/>
              <w:rPr>
                <w:i/>
                <w:color w:val="000000"/>
                <w:sz w:val="18"/>
                <w:szCs w:val="18"/>
                <w:lang w:eastAsia="sk-SK"/>
              </w:rPr>
            </w:pPr>
            <w:r w:rsidRPr="00C00FE2">
              <w:rPr>
                <w:i/>
                <w:color w:val="000000"/>
                <w:sz w:val="18"/>
                <w:szCs w:val="18"/>
                <w:lang w:eastAsia="sk-SK"/>
              </w:rPr>
              <w:t>1 177 520</w:t>
            </w:r>
          </w:p>
        </w:tc>
        <w:tc>
          <w:tcPr>
            <w:tcW w:w="949" w:type="dxa"/>
            <w:tcBorders>
              <w:top w:val="nil"/>
              <w:left w:val="nil"/>
              <w:bottom w:val="nil"/>
              <w:right w:val="nil"/>
            </w:tcBorders>
            <w:shd w:val="clear" w:color="auto" w:fill="auto"/>
            <w:noWrap/>
            <w:vAlign w:val="bottom"/>
            <w:hideMark/>
          </w:tcPr>
          <w:p w14:paraId="5F865E95" w14:textId="77777777" w:rsidR="00AB49E7" w:rsidRPr="00C00FE2" w:rsidRDefault="00AB49E7" w:rsidP="00233E82">
            <w:pPr>
              <w:tabs>
                <w:tab w:val="decimal" w:pos="345"/>
              </w:tabs>
              <w:spacing w:after="0" w:line="240" w:lineRule="auto"/>
              <w:jc w:val="center"/>
              <w:rPr>
                <w:i/>
                <w:color w:val="000000"/>
                <w:sz w:val="18"/>
                <w:szCs w:val="18"/>
                <w:lang w:eastAsia="sk-SK"/>
              </w:rPr>
            </w:pPr>
            <w:r w:rsidRPr="00C00FE2">
              <w:rPr>
                <w:i/>
                <w:color w:val="000000"/>
                <w:sz w:val="18"/>
                <w:szCs w:val="18"/>
                <w:lang w:eastAsia="sk-SK"/>
              </w:rPr>
              <w:t>36,9</w:t>
            </w:r>
          </w:p>
        </w:tc>
      </w:tr>
      <w:tr w:rsidR="002F1D21" w:rsidRPr="00AB49E7" w14:paraId="74FA01CE" w14:textId="77777777" w:rsidTr="00FD0E0D">
        <w:trPr>
          <w:trHeight w:val="292"/>
        </w:trPr>
        <w:tc>
          <w:tcPr>
            <w:tcW w:w="3874" w:type="dxa"/>
            <w:tcBorders>
              <w:top w:val="nil"/>
              <w:left w:val="nil"/>
              <w:bottom w:val="nil"/>
              <w:right w:val="nil"/>
            </w:tcBorders>
            <w:shd w:val="clear" w:color="auto" w:fill="auto"/>
            <w:noWrap/>
            <w:vAlign w:val="center"/>
            <w:hideMark/>
          </w:tcPr>
          <w:p w14:paraId="423D0FB8" w14:textId="77777777" w:rsidR="002F1D21" w:rsidRPr="001323BD" w:rsidRDefault="002F1D21" w:rsidP="00FD0E0D">
            <w:pPr>
              <w:spacing w:after="0" w:line="240" w:lineRule="auto"/>
              <w:ind w:firstLineChars="197" w:firstLine="355"/>
              <w:rPr>
                <w:i/>
                <w:color w:val="000000"/>
                <w:sz w:val="18"/>
                <w:szCs w:val="18"/>
                <w:lang w:eastAsia="sk-SK"/>
              </w:rPr>
            </w:pPr>
            <w:r w:rsidRPr="001323BD">
              <w:rPr>
                <w:i/>
                <w:color w:val="000000"/>
                <w:sz w:val="18"/>
                <w:szCs w:val="18"/>
                <w:lang w:eastAsia="sk-SK"/>
              </w:rPr>
              <w:t xml:space="preserve"> - Dôchodkové dávky zo </w:t>
            </w:r>
            <w:proofErr w:type="spellStart"/>
            <w:r w:rsidRPr="001323BD">
              <w:rPr>
                <w:i/>
                <w:color w:val="000000"/>
                <w:sz w:val="18"/>
                <w:szCs w:val="18"/>
                <w:lang w:eastAsia="sk-SK"/>
              </w:rPr>
              <w:t>starob</w:t>
            </w:r>
            <w:proofErr w:type="spellEnd"/>
            <w:r w:rsidRPr="001323BD">
              <w:rPr>
                <w:i/>
                <w:color w:val="000000"/>
                <w:sz w:val="18"/>
                <w:szCs w:val="18"/>
                <w:lang w:eastAsia="sk-SK"/>
              </w:rPr>
              <w:t xml:space="preserve">. a </w:t>
            </w:r>
            <w:proofErr w:type="spellStart"/>
            <w:r w:rsidRPr="001323BD">
              <w:rPr>
                <w:i/>
                <w:color w:val="000000"/>
                <w:sz w:val="18"/>
                <w:szCs w:val="18"/>
                <w:lang w:eastAsia="sk-SK"/>
              </w:rPr>
              <w:t>inv</w:t>
            </w:r>
            <w:proofErr w:type="spellEnd"/>
            <w:r w:rsidRPr="001323BD">
              <w:rPr>
                <w:i/>
                <w:color w:val="000000"/>
                <w:sz w:val="18"/>
                <w:szCs w:val="18"/>
                <w:lang w:eastAsia="sk-SK"/>
              </w:rPr>
              <w:t xml:space="preserve">. </w:t>
            </w:r>
            <w:proofErr w:type="spellStart"/>
            <w:r w:rsidRPr="001323BD">
              <w:rPr>
                <w:i/>
                <w:color w:val="000000"/>
                <w:sz w:val="18"/>
                <w:szCs w:val="18"/>
                <w:lang w:eastAsia="sk-SK"/>
              </w:rPr>
              <w:t>poist</w:t>
            </w:r>
            <w:proofErr w:type="spellEnd"/>
            <w:r w:rsidRPr="001323BD">
              <w:rPr>
                <w:i/>
                <w:color w:val="000000"/>
                <w:sz w:val="18"/>
                <w:szCs w:val="18"/>
                <w:lang w:eastAsia="sk-SK"/>
              </w:rPr>
              <w:t>.</w:t>
            </w:r>
          </w:p>
        </w:tc>
        <w:tc>
          <w:tcPr>
            <w:tcW w:w="1050" w:type="dxa"/>
            <w:tcBorders>
              <w:top w:val="nil"/>
              <w:left w:val="nil"/>
              <w:bottom w:val="nil"/>
              <w:right w:val="nil"/>
            </w:tcBorders>
            <w:shd w:val="clear" w:color="auto" w:fill="auto"/>
            <w:noWrap/>
            <w:vAlign w:val="bottom"/>
            <w:hideMark/>
          </w:tcPr>
          <w:p w14:paraId="3B90EFDE"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7 422 996</w:t>
            </w:r>
          </w:p>
        </w:tc>
        <w:tc>
          <w:tcPr>
            <w:tcW w:w="1025" w:type="dxa"/>
            <w:tcBorders>
              <w:top w:val="nil"/>
              <w:left w:val="nil"/>
              <w:bottom w:val="nil"/>
              <w:right w:val="nil"/>
            </w:tcBorders>
            <w:shd w:val="clear" w:color="auto" w:fill="auto"/>
            <w:noWrap/>
            <w:vAlign w:val="bottom"/>
            <w:hideMark/>
          </w:tcPr>
          <w:p w14:paraId="424EF250"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7 746 723</w:t>
            </w:r>
          </w:p>
        </w:tc>
        <w:tc>
          <w:tcPr>
            <w:tcW w:w="1147" w:type="dxa"/>
            <w:tcBorders>
              <w:top w:val="nil"/>
              <w:left w:val="nil"/>
              <w:bottom w:val="nil"/>
              <w:right w:val="nil"/>
            </w:tcBorders>
            <w:shd w:val="clear" w:color="000000" w:fill="BFBFBF"/>
            <w:noWrap/>
            <w:vAlign w:val="bottom"/>
            <w:hideMark/>
          </w:tcPr>
          <w:p w14:paraId="69B2B8A8" w14:textId="77777777" w:rsidR="002F1D21" w:rsidRPr="00C00FE2" w:rsidRDefault="002F1D21" w:rsidP="00FD0E0D">
            <w:pPr>
              <w:spacing w:after="0" w:line="240" w:lineRule="auto"/>
              <w:jc w:val="right"/>
              <w:rPr>
                <w:i/>
                <w:sz w:val="18"/>
                <w:szCs w:val="18"/>
                <w:lang w:eastAsia="sk-SK"/>
              </w:rPr>
            </w:pPr>
            <w:r w:rsidRPr="00C00FE2">
              <w:rPr>
                <w:i/>
                <w:sz w:val="18"/>
                <w:szCs w:val="18"/>
                <w:lang w:eastAsia="sk-SK"/>
              </w:rPr>
              <w:t>8 162 258</w:t>
            </w:r>
          </w:p>
        </w:tc>
        <w:tc>
          <w:tcPr>
            <w:tcW w:w="999" w:type="dxa"/>
            <w:tcBorders>
              <w:top w:val="nil"/>
              <w:left w:val="nil"/>
              <w:bottom w:val="nil"/>
              <w:right w:val="nil"/>
            </w:tcBorders>
            <w:shd w:val="clear" w:color="auto" w:fill="auto"/>
            <w:noWrap/>
            <w:vAlign w:val="bottom"/>
            <w:hideMark/>
          </w:tcPr>
          <w:p w14:paraId="0862FDD2"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8 194 673</w:t>
            </w:r>
          </w:p>
        </w:tc>
        <w:tc>
          <w:tcPr>
            <w:tcW w:w="949" w:type="dxa"/>
            <w:tcBorders>
              <w:top w:val="nil"/>
              <w:left w:val="nil"/>
              <w:bottom w:val="nil"/>
              <w:right w:val="nil"/>
            </w:tcBorders>
            <w:shd w:val="clear" w:color="auto" w:fill="auto"/>
            <w:noWrap/>
            <w:vAlign w:val="bottom"/>
            <w:hideMark/>
          </w:tcPr>
          <w:p w14:paraId="58B00D45" w14:textId="77777777" w:rsidR="002F1D21" w:rsidRPr="00C00FE2" w:rsidRDefault="002F1D21" w:rsidP="00FD0E0D">
            <w:pPr>
              <w:tabs>
                <w:tab w:val="decimal" w:pos="345"/>
              </w:tabs>
              <w:spacing w:after="0" w:line="240" w:lineRule="auto"/>
              <w:jc w:val="center"/>
              <w:rPr>
                <w:i/>
                <w:color w:val="000000"/>
                <w:sz w:val="18"/>
                <w:szCs w:val="18"/>
                <w:lang w:eastAsia="sk-SK"/>
              </w:rPr>
            </w:pPr>
            <w:r w:rsidRPr="00C00FE2">
              <w:rPr>
                <w:i/>
                <w:color w:val="000000"/>
                <w:sz w:val="18"/>
                <w:szCs w:val="18"/>
                <w:lang w:eastAsia="sk-SK"/>
              </w:rPr>
              <w:t>5,4</w:t>
            </w:r>
          </w:p>
        </w:tc>
      </w:tr>
      <w:tr w:rsidR="001323BD" w:rsidRPr="00C00FE2" w14:paraId="149392A2" w14:textId="77777777" w:rsidTr="00233E82">
        <w:trPr>
          <w:trHeight w:val="292"/>
        </w:trPr>
        <w:tc>
          <w:tcPr>
            <w:tcW w:w="3874" w:type="dxa"/>
            <w:tcBorders>
              <w:top w:val="nil"/>
              <w:left w:val="nil"/>
              <w:bottom w:val="nil"/>
              <w:right w:val="nil"/>
            </w:tcBorders>
            <w:shd w:val="clear" w:color="auto" w:fill="auto"/>
            <w:noWrap/>
            <w:vAlign w:val="center"/>
            <w:hideMark/>
          </w:tcPr>
          <w:p w14:paraId="0B2A72D3" w14:textId="77777777" w:rsidR="001323BD" w:rsidRPr="00C00FE2" w:rsidRDefault="001323BD" w:rsidP="00233E82">
            <w:pPr>
              <w:spacing w:after="0" w:line="240" w:lineRule="auto"/>
              <w:ind w:firstLineChars="197" w:firstLine="355"/>
              <w:rPr>
                <w:i/>
                <w:iCs/>
                <w:color w:val="000000"/>
                <w:sz w:val="18"/>
                <w:szCs w:val="18"/>
                <w:lang w:eastAsia="sk-SK"/>
              </w:rPr>
            </w:pPr>
            <w:r w:rsidRPr="00C00FE2">
              <w:rPr>
                <w:i/>
                <w:iCs/>
                <w:color w:val="000000"/>
                <w:sz w:val="18"/>
                <w:szCs w:val="18"/>
                <w:lang w:eastAsia="sk-SK"/>
              </w:rPr>
              <w:t xml:space="preserve"> - Dávky v nezamestnanosti</w:t>
            </w:r>
          </w:p>
        </w:tc>
        <w:tc>
          <w:tcPr>
            <w:tcW w:w="1050" w:type="dxa"/>
            <w:tcBorders>
              <w:top w:val="nil"/>
              <w:left w:val="nil"/>
              <w:bottom w:val="nil"/>
              <w:right w:val="nil"/>
            </w:tcBorders>
            <w:shd w:val="clear" w:color="auto" w:fill="auto"/>
            <w:noWrap/>
            <w:vAlign w:val="bottom"/>
            <w:hideMark/>
          </w:tcPr>
          <w:p w14:paraId="7683CD35" w14:textId="77777777" w:rsidR="001323BD" w:rsidRPr="00C00FE2" w:rsidRDefault="001323BD" w:rsidP="00233E82">
            <w:pPr>
              <w:spacing w:after="0" w:line="240" w:lineRule="auto"/>
              <w:jc w:val="right"/>
              <w:rPr>
                <w:i/>
                <w:color w:val="000000"/>
                <w:sz w:val="18"/>
                <w:szCs w:val="18"/>
                <w:lang w:eastAsia="sk-SK"/>
              </w:rPr>
            </w:pPr>
            <w:r w:rsidRPr="00C00FE2">
              <w:rPr>
                <w:i/>
                <w:color w:val="000000"/>
                <w:sz w:val="18"/>
                <w:szCs w:val="18"/>
                <w:lang w:eastAsia="sk-SK"/>
              </w:rPr>
              <w:t>183 745</w:t>
            </w:r>
          </w:p>
        </w:tc>
        <w:tc>
          <w:tcPr>
            <w:tcW w:w="1025" w:type="dxa"/>
            <w:tcBorders>
              <w:top w:val="nil"/>
              <w:left w:val="nil"/>
              <w:bottom w:val="nil"/>
              <w:right w:val="nil"/>
            </w:tcBorders>
            <w:shd w:val="clear" w:color="auto" w:fill="auto"/>
            <w:noWrap/>
            <w:vAlign w:val="bottom"/>
            <w:hideMark/>
          </w:tcPr>
          <w:p w14:paraId="3964722D" w14:textId="77777777" w:rsidR="001323BD" w:rsidRPr="00C00FE2" w:rsidRDefault="001323BD" w:rsidP="00233E82">
            <w:pPr>
              <w:spacing w:after="0" w:line="240" w:lineRule="auto"/>
              <w:jc w:val="right"/>
              <w:rPr>
                <w:i/>
                <w:color w:val="000000"/>
                <w:sz w:val="18"/>
                <w:szCs w:val="18"/>
                <w:lang w:eastAsia="sk-SK"/>
              </w:rPr>
            </w:pPr>
            <w:r w:rsidRPr="00C00FE2">
              <w:rPr>
                <w:i/>
                <w:color w:val="000000"/>
                <w:sz w:val="18"/>
                <w:szCs w:val="18"/>
                <w:lang w:eastAsia="sk-SK"/>
              </w:rPr>
              <w:t>214 195</w:t>
            </w:r>
          </w:p>
        </w:tc>
        <w:tc>
          <w:tcPr>
            <w:tcW w:w="1147" w:type="dxa"/>
            <w:tcBorders>
              <w:top w:val="nil"/>
              <w:left w:val="nil"/>
              <w:bottom w:val="nil"/>
              <w:right w:val="nil"/>
            </w:tcBorders>
            <w:shd w:val="clear" w:color="000000" w:fill="BFBFBF"/>
            <w:noWrap/>
            <w:vAlign w:val="bottom"/>
            <w:hideMark/>
          </w:tcPr>
          <w:p w14:paraId="5D7CEF01" w14:textId="77777777" w:rsidR="001323BD" w:rsidRPr="00C00FE2" w:rsidRDefault="001323BD" w:rsidP="00233E82">
            <w:pPr>
              <w:spacing w:after="0" w:line="240" w:lineRule="auto"/>
              <w:jc w:val="right"/>
              <w:rPr>
                <w:i/>
                <w:sz w:val="18"/>
                <w:szCs w:val="18"/>
                <w:lang w:eastAsia="sk-SK"/>
              </w:rPr>
            </w:pPr>
            <w:r w:rsidRPr="00C00FE2">
              <w:rPr>
                <w:i/>
                <w:sz w:val="18"/>
                <w:szCs w:val="18"/>
                <w:lang w:eastAsia="sk-SK"/>
              </w:rPr>
              <w:t>329 212</w:t>
            </w:r>
          </w:p>
        </w:tc>
        <w:tc>
          <w:tcPr>
            <w:tcW w:w="999" w:type="dxa"/>
            <w:tcBorders>
              <w:top w:val="nil"/>
              <w:left w:val="nil"/>
              <w:bottom w:val="nil"/>
              <w:right w:val="nil"/>
            </w:tcBorders>
            <w:shd w:val="clear" w:color="auto" w:fill="auto"/>
            <w:noWrap/>
            <w:vAlign w:val="center"/>
            <w:hideMark/>
          </w:tcPr>
          <w:p w14:paraId="1CE9DE38" w14:textId="77777777" w:rsidR="001323BD" w:rsidRPr="00C00FE2" w:rsidRDefault="001323BD" w:rsidP="00233E82">
            <w:pPr>
              <w:spacing w:after="0" w:line="240" w:lineRule="auto"/>
              <w:jc w:val="right"/>
              <w:rPr>
                <w:i/>
                <w:color w:val="000000"/>
                <w:sz w:val="18"/>
                <w:szCs w:val="18"/>
                <w:lang w:eastAsia="sk-SK"/>
              </w:rPr>
            </w:pPr>
            <w:r w:rsidRPr="00C00FE2">
              <w:rPr>
                <w:i/>
                <w:color w:val="000000"/>
                <w:sz w:val="18"/>
                <w:szCs w:val="18"/>
                <w:lang w:eastAsia="sk-SK"/>
              </w:rPr>
              <w:t>472 010</w:t>
            </w:r>
          </w:p>
        </w:tc>
        <w:tc>
          <w:tcPr>
            <w:tcW w:w="949" w:type="dxa"/>
            <w:tcBorders>
              <w:top w:val="nil"/>
              <w:left w:val="nil"/>
              <w:bottom w:val="nil"/>
              <w:right w:val="nil"/>
            </w:tcBorders>
            <w:shd w:val="clear" w:color="auto" w:fill="auto"/>
            <w:noWrap/>
            <w:vAlign w:val="bottom"/>
            <w:hideMark/>
          </w:tcPr>
          <w:p w14:paraId="52FED08D" w14:textId="77777777" w:rsidR="001323BD" w:rsidRPr="00C00FE2" w:rsidRDefault="001323BD" w:rsidP="00233E82">
            <w:pPr>
              <w:tabs>
                <w:tab w:val="decimal" w:pos="345"/>
              </w:tabs>
              <w:spacing w:after="0" w:line="240" w:lineRule="auto"/>
              <w:jc w:val="center"/>
              <w:rPr>
                <w:i/>
                <w:color w:val="000000"/>
                <w:sz w:val="18"/>
                <w:szCs w:val="18"/>
                <w:lang w:eastAsia="sk-SK"/>
              </w:rPr>
            </w:pPr>
            <w:r w:rsidRPr="00C00FE2">
              <w:rPr>
                <w:i/>
                <w:color w:val="000000"/>
                <w:sz w:val="18"/>
                <w:szCs w:val="18"/>
                <w:lang w:eastAsia="sk-SK"/>
              </w:rPr>
              <w:t>53,7</w:t>
            </w:r>
          </w:p>
        </w:tc>
      </w:tr>
      <w:tr w:rsidR="002F1D21" w:rsidRPr="00AB49E7" w14:paraId="7E8DB2CF" w14:textId="77777777" w:rsidTr="00FD0E0D">
        <w:trPr>
          <w:trHeight w:val="292"/>
        </w:trPr>
        <w:tc>
          <w:tcPr>
            <w:tcW w:w="3874" w:type="dxa"/>
            <w:tcBorders>
              <w:top w:val="nil"/>
              <w:left w:val="nil"/>
              <w:bottom w:val="nil"/>
              <w:right w:val="nil"/>
            </w:tcBorders>
            <w:shd w:val="clear" w:color="auto" w:fill="auto"/>
            <w:noWrap/>
            <w:vAlign w:val="center"/>
            <w:hideMark/>
          </w:tcPr>
          <w:p w14:paraId="362431B3" w14:textId="77777777" w:rsidR="002F1D21" w:rsidRPr="001323BD" w:rsidRDefault="002F1D21" w:rsidP="00FD0E0D">
            <w:pPr>
              <w:spacing w:after="0" w:line="240" w:lineRule="auto"/>
              <w:ind w:firstLineChars="197" w:firstLine="355"/>
              <w:rPr>
                <w:i/>
                <w:color w:val="000000"/>
                <w:sz w:val="18"/>
                <w:szCs w:val="18"/>
                <w:lang w:eastAsia="sk-SK"/>
              </w:rPr>
            </w:pPr>
            <w:r w:rsidRPr="001323BD">
              <w:rPr>
                <w:i/>
                <w:color w:val="000000"/>
                <w:sz w:val="18"/>
                <w:szCs w:val="18"/>
                <w:lang w:eastAsia="sk-SK"/>
              </w:rPr>
              <w:t xml:space="preserve"> - Štátne sociálne dávky a podpora</w:t>
            </w:r>
          </w:p>
        </w:tc>
        <w:tc>
          <w:tcPr>
            <w:tcW w:w="1050" w:type="dxa"/>
            <w:tcBorders>
              <w:top w:val="nil"/>
              <w:left w:val="nil"/>
              <w:bottom w:val="nil"/>
              <w:right w:val="nil"/>
            </w:tcBorders>
            <w:shd w:val="clear" w:color="auto" w:fill="auto"/>
            <w:noWrap/>
            <w:vAlign w:val="bottom"/>
            <w:hideMark/>
          </w:tcPr>
          <w:p w14:paraId="25936F3A"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1 346 088</w:t>
            </w:r>
          </w:p>
        </w:tc>
        <w:tc>
          <w:tcPr>
            <w:tcW w:w="1025" w:type="dxa"/>
            <w:tcBorders>
              <w:top w:val="nil"/>
              <w:left w:val="nil"/>
              <w:bottom w:val="nil"/>
              <w:right w:val="nil"/>
            </w:tcBorders>
            <w:shd w:val="clear" w:color="auto" w:fill="auto"/>
            <w:noWrap/>
            <w:vAlign w:val="bottom"/>
            <w:hideMark/>
          </w:tcPr>
          <w:p w14:paraId="241EDDB0"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1 538 710</w:t>
            </w:r>
          </w:p>
        </w:tc>
        <w:tc>
          <w:tcPr>
            <w:tcW w:w="1147" w:type="dxa"/>
            <w:tcBorders>
              <w:top w:val="nil"/>
              <w:left w:val="nil"/>
              <w:bottom w:val="nil"/>
              <w:right w:val="nil"/>
            </w:tcBorders>
            <w:shd w:val="clear" w:color="000000" w:fill="BFBFBF"/>
            <w:noWrap/>
            <w:vAlign w:val="bottom"/>
            <w:hideMark/>
          </w:tcPr>
          <w:p w14:paraId="4F2B65B4" w14:textId="77777777" w:rsidR="002F1D21" w:rsidRPr="00C00FE2" w:rsidRDefault="002F1D21" w:rsidP="00FD0E0D">
            <w:pPr>
              <w:spacing w:after="0" w:line="240" w:lineRule="auto"/>
              <w:jc w:val="right"/>
              <w:rPr>
                <w:i/>
                <w:sz w:val="18"/>
                <w:szCs w:val="18"/>
                <w:lang w:eastAsia="sk-SK"/>
              </w:rPr>
            </w:pPr>
            <w:r w:rsidRPr="00C00FE2">
              <w:rPr>
                <w:i/>
                <w:sz w:val="18"/>
                <w:szCs w:val="18"/>
                <w:lang w:eastAsia="sk-SK"/>
              </w:rPr>
              <w:t>2 571 672</w:t>
            </w:r>
          </w:p>
        </w:tc>
        <w:tc>
          <w:tcPr>
            <w:tcW w:w="999" w:type="dxa"/>
            <w:tcBorders>
              <w:top w:val="nil"/>
              <w:left w:val="nil"/>
              <w:bottom w:val="nil"/>
              <w:right w:val="nil"/>
            </w:tcBorders>
            <w:shd w:val="clear" w:color="auto" w:fill="auto"/>
            <w:noWrap/>
            <w:vAlign w:val="bottom"/>
            <w:hideMark/>
          </w:tcPr>
          <w:p w14:paraId="4EE99025"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2 061 479</w:t>
            </w:r>
          </w:p>
        </w:tc>
        <w:tc>
          <w:tcPr>
            <w:tcW w:w="949" w:type="dxa"/>
            <w:tcBorders>
              <w:top w:val="nil"/>
              <w:left w:val="nil"/>
              <w:bottom w:val="nil"/>
              <w:right w:val="nil"/>
            </w:tcBorders>
            <w:shd w:val="clear" w:color="auto" w:fill="auto"/>
            <w:noWrap/>
            <w:vAlign w:val="bottom"/>
            <w:hideMark/>
          </w:tcPr>
          <w:p w14:paraId="714BA88A" w14:textId="77777777" w:rsidR="002F1D21" w:rsidRPr="00C00FE2" w:rsidRDefault="002F1D21" w:rsidP="00FD0E0D">
            <w:pPr>
              <w:tabs>
                <w:tab w:val="decimal" w:pos="345"/>
              </w:tabs>
              <w:spacing w:after="0" w:line="240" w:lineRule="auto"/>
              <w:jc w:val="center"/>
              <w:rPr>
                <w:i/>
                <w:color w:val="000000"/>
                <w:sz w:val="18"/>
                <w:szCs w:val="18"/>
                <w:lang w:eastAsia="sk-SK"/>
              </w:rPr>
            </w:pPr>
            <w:r w:rsidRPr="00C00FE2">
              <w:rPr>
                <w:i/>
                <w:color w:val="000000"/>
                <w:sz w:val="18"/>
                <w:szCs w:val="18"/>
                <w:lang w:eastAsia="sk-SK"/>
              </w:rPr>
              <w:t>67,1</w:t>
            </w:r>
          </w:p>
        </w:tc>
      </w:tr>
      <w:tr w:rsidR="002F1D21" w:rsidRPr="001D03F0" w14:paraId="685A2FFB" w14:textId="77777777" w:rsidTr="00FD0E0D">
        <w:trPr>
          <w:trHeight w:val="292"/>
        </w:trPr>
        <w:tc>
          <w:tcPr>
            <w:tcW w:w="3874" w:type="dxa"/>
            <w:tcBorders>
              <w:top w:val="nil"/>
              <w:left w:val="nil"/>
              <w:bottom w:val="nil"/>
              <w:right w:val="nil"/>
            </w:tcBorders>
            <w:shd w:val="clear" w:color="auto" w:fill="auto"/>
            <w:noWrap/>
            <w:vAlign w:val="center"/>
            <w:hideMark/>
          </w:tcPr>
          <w:p w14:paraId="1D11B8FF" w14:textId="77777777" w:rsidR="002F1D21" w:rsidRPr="001323BD" w:rsidRDefault="002F1D21" w:rsidP="00F71D21">
            <w:pPr>
              <w:spacing w:after="0" w:line="240" w:lineRule="auto"/>
              <w:ind w:firstLineChars="274" w:firstLine="493"/>
              <w:rPr>
                <w:i/>
                <w:color w:val="000000"/>
                <w:sz w:val="18"/>
                <w:szCs w:val="18"/>
                <w:lang w:eastAsia="sk-SK"/>
              </w:rPr>
            </w:pPr>
            <w:r w:rsidRPr="001323BD">
              <w:rPr>
                <w:i/>
                <w:color w:val="000000"/>
                <w:sz w:val="18"/>
                <w:szCs w:val="18"/>
                <w:lang w:eastAsia="sk-SK"/>
              </w:rPr>
              <w:t xml:space="preserve"> - na prídavok na dieťa</w:t>
            </w:r>
          </w:p>
        </w:tc>
        <w:tc>
          <w:tcPr>
            <w:tcW w:w="1050" w:type="dxa"/>
            <w:tcBorders>
              <w:top w:val="nil"/>
              <w:left w:val="nil"/>
              <w:bottom w:val="nil"/>
              <w:right w:val="nil"/>
            </w:tcBorders>
            <w:shd w:val="clear" w:color="auto" w:fill="auto"/>
            <w:noWrap/>
            <w:vAlign w:val="bottom"/>
            <w:hideMark/>
          </w:tcPr>
          <w:p w14:paraId="4BF2C39C"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312 721</w:t>
            </w:r>
          </w:p>
        </w:tc>
        <w:tc>
          <w:tcPr>
            <w:tcW w:w="1025" w:type="dxa"/>
            <w:tcBorders>
              <w:top w:val="nil"/>
              <w:left w:val="nil"/>
              <w:bottom w:val="nil"/>
              <w:right w:val="nil"/>
            </w:tcBorders>
            <w:shd w:val="clear" w:color="auto" w:fill="auto"/>
            <w:noWrap/>
            <w:vAlign w:val="bottom"/>
            <w:hideMark/>
          </w:tcPr>
          <w:p w14:paraId="3B47219F"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322 297</w:t>
            </w:r>
          </w:p>
        </w:tc>
        <w:tc>
          <w:tcPr>
            <w:tcW w:w="1147" w:type="dxa"/>
            <w:tcBorders>
              <w:top w:val="nil"/>
              <w:left w:val="nil"/>
              <w:bottom w:val="nil"/>
              <w:right w:val="nil"/>
            </w:tcBorders>
            <w:shd w:val="clear" w:color="000000" w:fill="BFBFBF"/>
            <w:noWrap/>
            <w:vAlign w:val="bottom"/>
            <w:hideMark/>
          </w:tcPr>
          <w:p w14:paraId="32E1A475" w14:textId="77777777" w:rsidR="002F1D21" w:rsidRPr="00C00FE2" w:rsidRDefault="002F1D21" w:rsidP="00FD0E0D">
            <w:pPr>
              <w:spacing w:after="0" w:line="240" w:lineRule="auto"/>
              <w:jc w:val="right"/>
              <w:rPr>
                <w:i/>
                <w:sz w:val="18"/>
                <w:szCs w:val="18"/>
                <w:lang w:eastAsia="sk-SK"/>
              </w:rPr>
            </w:pPr>
            <w:r w:rsidRPr="00C00FE2">
              <w:rPr>
                <w:i/>
                <w:sz w:val="18"/>
                <w:szCs w:val="18"/>
                <w:lang w:eastAsia="sk-SK"/>
              </w:rPr>
              <w:t>332 116</w:t>
            </w:r>
          </w:p>
        </w:tc>
        <w:tc>
          <w:tcPr>
            <w:tcW w:w="999" w:type="dxa"/>
            <w:tcBorders>
              <w:top w:val="nil"/>
              <w:left w:val="nil"/>
              <w:bottom w:val="nil"/>
              <w:right w:val="nil"/>
            </w:tcBorders>
            <w:shd w:val="clear" w:color="auto" w:fill="auto"/>
            <w:noWrap/>
            <w:vAlign w:val="bottom"/>
            <w:hideMark/>
          </w:tcPr>
          <w:p w14:paraId="156EF23A"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338 801</w:t>
            </w:r>
          </w:p>
        </w:tc>
        <w:tc>
          <w:tcPr>
            <w:tcW w:w="949" w:type="dxa"/>
            <w:tcBorders>
              <w:top w:val="nil"/>
              <w:left w:val="nil"/>
              <w:bottom w:val="nil"/>
              <w:right w:val="nil"/>
            </w:tcBorders>
            <w:shd w:val="clear" w:color="auto" w:fill="auto"/>
            <w:noWrap/>
            <w:vAlign w:val="bottom"/>
            <w:hideMark/>
          </w:tcPr>
          <w:p w14:paraId="5C4F46C1" w14:textId="77777777" w:rsidR="002F1D21" w:rsidRPr="00C00FE2" w:rsidRDefault="002F1D21" w:rsidP="00FD0E0D">
            <w:pPr>
              <w:tabs>
                <w:tab w:val="decimal" w:pos="345"/>
              </w:tabs>
              <w:spacing w:after="0" w:line="240" w:lineRule="auto"/>
              <w:jc w:val="center"/>
              <w:rPr>
                <w:i/>
                <w:color w:val="000000"/>
                <w:sz w:val="18"/>
                <w:szCs w:val="18"/>
                <w:lang w:eastAsia="sk-SK"/>
              </w:rPr>
            </w:pPr>
            <w:r w:rsidRPr="00C00FE2">
              <w:rPr>
                <w:i/>
                <w:color w:val="000000"/>
                <w:sz w:val="18"/>
                <w:szCs w:val="18"/>
                <w:lang w:eastAsia="sk-SK"/>
              </w:rPr>
              <w:t>3,0</w:t>
            </w:r>
          </w:p>
        </w:tc>
      </w:tr>
      <w:tr w:rsidR="002F1D21" w:rsidRPr="001D03F0" w14:paraId="1FACC36E" w14:textId="77777777" w:rsidTr="00FD0E0D">
        <w:trPr>
          <w:trHeight w:val="292"/>
        </w:trPr>
        <w:tc>
          <w:tcPr>
            <w:tcW w:w="3874" w:type="dxa"/>
            <w:tcBorders>
              <w:top w:val="nil"/>
              <w:left w:val="nil"/>
              <w:bottom w:val="nil"/>
              <w:right w:val="nil"/>
            </w:tcBorders>
            <w:shd w:val="clear" w:color="auto" w:fill="auto"/>
            <w:noWrap/>
            <w:vAlign w:val="center"/>
            <w:hideMark/>
          </w:tcPr>
          <w:p w14:paraId="66EF902A" w14:textId="77777777" w:rsidR="002F1D21" w:rsidRPr="001323BD" w:rsidRDefault="002F1D21" w:rsidP="00F71D21">
            <w:pPr>
              <w:spacing w:after="0" w:line="240" w:lineRule="auto"/>
              <w:ind w:firstLineChars="274" w:firstLine="493"/>
              <w:rPr>
                <w:i/>
                <w:color w:val="000000"/>
                <w:sz w:val="18"/>
                <w:szCs w:val="18"/>
                <w:lang w:eastAsia="sk-SK"/>
              </w:rPr>
            </w:pPr>
            <w:r w:rsidRPr="001323BD">
              <w:rPr>
                <w:i/>
                <w:color w:val="000000"/>
                <w:sz w:val="18"/>
                <w:szCs w:val="18"/>
                <w:lang w:eastAsia="sk-SK"/>
              </w:rPr>
              <w:t xml:space="preserve"> - pri narodení dieťaťa a </w:t>
            </w:r>
            <w:proofErr w:type="spellStart"/>
            <w:r w:rsidRPr="001323BD">
              <w:rPr>
                <w:i/>
                <w:color w:val="000000"/>
                <w:sz w:val="18"/>
                <w:szCs w:val="18"/>
                <w:lang w:eastAsia="sk-SK"/>
              </w:rPr>
              <w:t>prísp</w:t>
            </w:r>
            <w:proofErr w:type="spellEnd"/>
            <w:r w:rsidRPr="001323BD">
              <w:rPr>
                <w:i/>
                <w:color w:val="000000"/>
                <w:sz w:val="18"/>
                <w:szCs w:val="18"/>
                <w:lang w:eastAsia="sk-SK"/>
              </w:rPr>
              <w:t>. rodičom</w:t>
            </w:r>
          </w:p>
        </w:tc>
        <w:tc>
          <w:tcPr>
            <w:tcW w:w="1050" w:type="dxa"/>
            <w:tcBorders>
              <w:top w:val="nil"/>
              <w:left w:val="nil"/>
              <w:bottom w:val="nil"/>
              <w:right w:val="nil"/>
            </w:tcBorders>
            <w:shd w:val="clear" w:color="auto" w:fill="auto"/>
            <w:noWrap/>
            <w:vAlign w:val="bottom"/>
            <w:hideMark/>
          </w:tcPr>
          <w:p w14:paraId="0F7A8F40"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44 011</w:t>
            </w:r>
          </w:p>
        </w:tc>
        <w:tc>
          <w:tcPr>
            <w:tcW w:w="1025" w:type="dxa"/>
            <w:tcBorders>
              <w:top w:val="nil"/>
              <w:left w:val="nil"/>
              <w:bottom w:val="nil"/>
              <w:right w:val="nil"/>
            </w:tcBorders>
            <w:shd w:val="clear" w:color="auto" w:fill="auto"/>
            <w:noWrap/>
            <w:vAlign w:val="bottom"/>
            <w:hideMark/>
          </w:tcPr>
          <w:p w14:paraId="6BD6449E"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43 397</w:t>
            </w:r>
          </w:p>
        </w:tc>
        <w:tc>
          <w:tcPr>
            <w:tcW w:w="1147" w:type="dxa"/>
            <w:tcBorders>
              <w:top w:val="nil"/>
              <w:left w:val="nil"/>
              <w:bottom w:val="nil"/>
              <w:right w:val="nil"/>
            </w:tcBorders>
            <w:shd w:val="clear" w:color="000000" w:fill="BFBFBF"/>
            <w:noWrap/>
            <w:vAlign w:val="bottom"/>
            <w:hideMark/>
          </w:tcPr>
          <w:p w14:paraId="16134E59" w14:textId="77777777" w:rsidR="002F1D21" w:rsidRPr="00C00FE2" w:rsidRDefault="002F1D21" w:rsidP="00FD0E0D">
            <w:pPr>
              <w:spacing w:after="0" w:line="240" w:lineRule="auto"/>
              <w:jc w:val="right"/>
              <w:rPr>
                <w:i/>
                <w:sz w:val="18"/>
                <w:szCs w:val="18"/>
                <w:lang w:eastAsia="sk-SK"/>
              </w:rPr>
            </w:pPr>
            <w:r w:rsidRPr="00C00FE2">
              <w:rPr>
                <w:i/>
                <w:sz w:val="18"/>
                <w:szCs w:val="18"/>
                <w:lang w:eastAsia="sk-SK"/>
              </w:rPr>
              <w:t>42 916</w:t>
            </w:r>
          </w:p>
        </w:tc>
        <w:tc>
          <w:tcPr>
            <w:tcW w:w="999" w:type="dxa"/>
            <w:tcBorders>
              <w:top w:val="nil"/>
              <w:left w:val="nil"/>
              <w:bottom w:val="nil"/>
              <w:right w:val="nil"/>
            </w:tcBorders>
            <w:shd w:val="clear" w:color="auto" w:fill="auto"/>
            <w:noWrap/>
            <w:vAlign w:val="bottom"/>
            <w:hideMark/>
          </w:tcPr>
          <w:p w14:paraId="7DB16400"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44 210</w:t>
            </w:r>
          </w:p>
        </w:tc>
        <w:tc>
          <w:tcPr>
            <w:tcW w:w="949" w:type="dxa"/>
            <w:tcBorders>
              <w:top w:val="nil"/>
              <w:left w:val="nil"/>
              <w:bottom w:val="nil"/>
              <w:right w:val="nil"/>
            </w:tcBorders>
            <w:shd w:val="clear" w:color="auto" w:fill="auto"/>
            <w:noWrap/>
            <w:vAlign w:val="bottom"/>
            <w:hideMark/>
          </w:tcPr>
          <w:p w14:paraId="195652A2" w14:textId="77777777" w:rsidR="002F1D21" w:rsidRPr="00C00FE2" w:rsidRDefault="002F1D21" w:rsidP="00FD0E0D">
            <w:pPr>
              <w:tabs>
                <w:tab w:val="decimal" w:pos="345"/>
              </w:tabs>
              <w:spacing w:after="0" w:line="240" w:lineRule="auto"/>
              <w:jc w:val="center"/>
              <w:rPr>
                <w:i/>
                <w:color w:val="000000"/>
                <w:sz w:val="18"/>
                <w:szCs w:val="18"/>
                <w:lang w:eastAsia="sk-SK"/>
              </w:rPr>
            </w:pPr>
            <w:r w:rsidRPr="00C00FE2">
              <w:rPr>
                <w:i/>
                <w:color w:val="000000"/>
                <w:sz w:val="18"/>
                <w:szCs w:val="18"/>
                <w:lang w:eastAsia="sk-SK"/>
              </w:rPr>
              <w:t>-1,1</w:t>
            </w:r>
          </w:p>
        </w:tc>
      </w:tr>
      <w:tr w:rsidR="002F1D21" w:rsidRPr="001D03F0" w14:paraId="5CF6194B" w14:textId="77777777" w:rsidTr="00FD0E0D">
        <w:trPr>
          <w:trHeight w:val="292"/>
        </w:trPr>
        <w:tc>
          <w:tcPr>
            <w:tcW w:w="3874" w:type="dxa"/>
            <w:tcBorders>
              <w:top w:val="nil"/>
              <w:left w:val="nil"/>
              <w:bottom w:val="nil"/>
              <w:right w:val="nil"/>
            </w:tcBorders>
            <w:shd w:val="clear" w:color="auto" w:fill="auto"/>
            <w:noWrap/>
            <w:vAlign w:val="center"/>
            <w:hideMark/>
          </w:tcPr>
          <w:p w14:paraId="41D21DBD" w14:textId="77777777" w:rsidR="002F1D21" w:rsidRPr="001323BD" w:rsidRDefault="002F1D21" w:rsidP="00F71D21">
            <w:pPr>
              <w:spacing w:after="0" w:line="240" w:lineRule="auto"/>
              <w:ind w:firstLineChars="274" w:firstLine="493"/>
              <w:rPr>
                <w:i/>
                <w:color w:val="000000"/>
                <w:sz w:val="18"/>
                <w:szCs w:val="18"/>
                <w:lang w:eastAsia="sk-SK"/>
              </w:rPr>
            </w:pPr>
            <w:r w:rsidRPr="001323BD">
              <w:rPr>
                <w:i/>
                <w:color w:val="000000"/>
                <w:sz w:val="18"/>
                <w:szCs w:val="18"/>
                <w:lang w:eastAsia="sk-SK"/>
              </w:rPr>
              <w:t xml:space="preserve"> - na rodičovský príspevok</w:t>
            </w:r>
          </w:p>
        </w:tc>
        <w:tc>
          <w:tcPr>
            <w:tcW w:w="1050" w:type="dxa"/>
            <w:tcBorders>
              <w:top w:val="nil"/>
              <w:left w:val="nil"/>
              <w:bottom w:val="nil"/>
              <w:right w:val="nil"/>
            </w:tcBorders>
            <w:shd w:val="clear" w:color="auto" w:fill="auto"/>
            <w:noWrap/>
            <w:vAlign w:val="bottom"/>
            <w:hideMark/>
          </w:tcPr>
          <w:p w14:paraId="34CBC024"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368 688</w:t>
            </w:r>
          </w:p>
        </w:tc>
        <w:tc>
          <w:tcPr>
            <w:tcW w:w="1025" w:type="dxa"/>
            <w:tcBorders>
              <w:top w:val="nil"/>
              <w:left w:val="nil"/>
              <w:bottom w:val="nil"/>
              <w:right w:val="nil"/>
            </w:tcBorders>
            <w:shd w:val="clear" w:color="auto" w:fill="auto"/>
            <w:noWrap/>
            <w:vAlign w:val="bottom"/>
            <w:hideMark/>
          </w:tcPr>
          <w:p w14:paraId="0796EED0"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377 342</w:t>
            </w:r>
          </w:p>
        </w:tc>
        <w:tc>
          <w:tcPr>
            <w:tcW w:w="1147" w:type="dxa"/>
            <w:tcBorders>
              <w:top w:val="nil"/>
              <w:left w:val="nil"/>
              <w:bottom w:val="nil"/>
              <w:right w:val="nil"/>
            </w:tcBorders>
            <w:shd w:val="clear" w:color="000000" w:fill="BFBFBF"/>
            <w:noWrap/>
            <w:vAlign w:val="bottom"/>
            <w:hideMark/>
          </w:tcPr>
          <w:p w14:paraId="44544AD9" w14:textId="77777777" w:rsidR="002F1D21" w:rsidRPr="00C00FE2" w:rsidRDefault="002F1D21" w:rsidP="00FD0E0D">
            <w:pPr>
              <w:spacing w:after="0" w:line="240" w:lineRule="auto"/>
              <w:jc w:val="right"/>
              <w:rPr>
                <w:i/>
                <w:sz w:val="18"/>
                <w:szCs w:val="18"/>
                <w:lang w:eastAsia="sk-SK"/>
              </w:rPr>
            </w:pPr>
            <w:r w:rsidRPr="00C00FE2">
              <w:rPr>
                <w:i/>
                <w:sz w:val="18"/>
                <w:szCs w:val="18"/>
                <w:lang w:eastAsia="sk-SK"/>
              </w:rPr>
              <w:t>581 639</w:t>
            </w:r>
          </w:p>
        </w:tc>
        <w:tc>
          <w:tcPr>
            <w:tcW w:w="999" w:type="dxa"/>
            <w:tcBorders>
              <w:top w:val="nil"/>
              <w:left w:val="nil"/>
              <w:bottom w:val="nil"/>
              <w:right w:val="nil"/>
            </w:tcBorders>
            <w:shd w:val="clear" w:color="auto" w:fill="auto"/>
            <w:noWrap/>
            <w:vAlign w:val="bottom"/>
            <w:hideMark/>
          </w:tcPr>
          <w:p w14:paraId="70C843E4"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571 521</w:t>
            </w:r>
          </w:p>
        </w:tc>
        <w:tc>
          <w:tcPr>
            <w:tcW w:w="949" w:type="dxa"/>
            <w:tcBorders>
              <w:top w:val="nil"/>
              <w:left w:val="nil"/>
              <w:bottom w:val="nil"/>
              <w:right w:val="nil"/>
            </w:tcBorders>
            <w:shd w:val="clear" w:color="auto" w:fill="auto"/>
            <w:noWrap/>
            <w:vAlign w:val="bottom"/>
            <w:hideMark/>
          </w:tcPr>
          <w:p w14:paraId="4DE17298" w14:textId="77777777" w:rsidR="002F1D21" w:rsidRPr="00C00FE2" w:rsidRDefault="002F1D21" w:rsidP="00FD0E0D">
            <w:pPr>
              <w:tabs>
                <w:tab w:val="decimal" w:pos="345"/>
              </w:tabs>
              <w:spacing w:after="0" w:line="240" w:lineRule="auto"/>
              <w:jc w:val="center"/>
              <w:rPr>
                <w:i/>
                <w:color w:val="000000"/>
                <w:sz w:val="18"/>
                <w:szCs w:val="18"/>
                <w:lang w:eastAsia="sk-SK"/>
              </w:rPr>
            </w:pPr>
            <w:r w:rsidRPr="00C00FE2">
              <w:rPr>
                <w:i/>
                <w:color w:val="000000"/>
                <w:sz w:val="18"/>
                <w:szCs w:val="18"/>
                <w:lang w:eastAsia="sk-SK"/>
              </w:rPr>
              <w:t>54,1</w:t>
            </w:r>
          </w:p>
        </w:tc>
      </w:tr>
      <w:tr w:rsidR="002F1D21" w:rsidRPr="001D03F0" w14:paraId="0BAB0E08" w14:textId="77777777" w:rsidTr="00FD0E0D">
        <w:trPr>
          <w:trHeight w:val="292"/>
        </w:trPr>
        <w:tc>
          <w:tcPr>
            <w:tcW w:w="3874" w:type="dxa"/>
            <w:tcBorders>
              <w:top w:val="nil"/>
              <w:left w:val="nil"/>
              <w:bottom w:val="nil"/>
              <w:right w:val="nil"/>
            </w:tcBorders>
            <w:shd w:val="clear" w:color="auto" w:fill="auto"/>
            <w:noWrap/>
            <w:vAlign w:val="center"/>
            <w:hideMark/>
          </w:tcPr>
          <w:p w14:paraId="6835378C" w14:textId="77777777" w:rsidR="002F1D21" w:rsidRPr="001323BD" w:rsidRDefault="002F1D21" w:rsidP="00F71D21">
            <w:pPr>
              <w:spacing w:after="0" w:line="240" w:lineRule="auto"/>
              <w:ind w:firstLineChars="274" w:firstLine="493"/>
              <w:rPr>
                <w:i/>
                <w:color w:val="000000"/>
                <w:sz w:val="18"/>
                <w:szCs w:val="18"/>
                <w:lang w:eastAsia="sk-SK"/>
              </w:rPr>
            </w:pPr>
            <w:r w:rsidRPr="001323BD">
              <w:rPr>
                <w:i/>
                <w:color w:val="000000"/>
                <w:sz w:val="18"/>
                <w:szCs w:val="18"/>
                <w:lang w:eastAsia="sk-SK"/>
              </w:rPr>
              <w:t xml:space="preserve"> - na dávku v hmotnej núdzi</w:t>
            </w:r>
          </w:p>
        </w:tc>
        <w:tc>
          <w:tcPr>
            <w:tcW w:w="1050" w:type="dxa"/>
            <w:tcBorders>
              <w:top w:val="nil"/>
              <w:left w:val="nil"/>
              <w:bottom w:val="nil"/>
              <w:right w:val="nil"/>
            </w:tcBorders>
            <w:shd w:val="clear" w:color="auto" w:fill="auto"/>
            <w:noWrap/>
            <w:vAlign w:val="bottom"/>
            <w:hideMark/>
          </w:tcPr>
          <w:p w14:paraId="5CA0E5E0"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124 999</w:t>
            </w:r>
          </w:p>
        </w:tc>
        <w:tc>
          <w:tcPr>
            <w:tcW w:w="1025" w:type="dxa"/>
            <w:tcBorders>
              <w:top w:val="nil"/>
              <w:left w:val="nil"/>
              <w:bottom w:val="nil"/>
              <w:right w:val="nil"/>
            </w:tcBorders>
            <w:shd w:val="clear" w:color="auto" w:fill="auto"/>
            <w:noWrap/>
            <w:vAlign w:val="bottom"/>
            <w:hideMark/>
          </w:tcPr>
          <w:p w14:paraId="239FB16C"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111 081</w:t>
            </w:r>
          </w:p>
        </w:tc>
        <w:tc>
          <w:tcPr>
            <w:tcW w:w="1147" w:type="dxa"/>
            <w:tcBorders>
              <w:top w:val="nil"/>
              <w:left w:val="nil"/>
              <w:bottom w:val="nil"/>
              <w:right w:val="nil"/>
            </w:tcBorders>
            <w:shd w:val="clear" w:color="000000" w:fill="BFBFBF"/>
            <w:noWrap/>
            <w:vAlign w:val="bottom"/>
            <w:hideMark/>
          </w:tcPr>
          <w:p w14:paraId="4066370E" w14:textId="77777777" w:rsidR="002F1D21" w:rsidRPr="00C00FE2" w:rsidRDefault="002F1D21" w:rsidP="00FD0E0D">
            <w:pPr>
              <w:spacing w:after="0" w:line="240" w:lineRule="auto"/>
              <w:jc w:val="right"/>
              <w:rPr>
                <w:i/>
                <w:sz w:val="18"/>
                <w:szCs w:val="18"/>
                <w:lang w:eastAsia="sk-SK"/>
              </w:rPr>
            </w:pPr>
            <w:r w:rsidRPr="00C00FE2">
              <w:rPr>
                <w:i/>
                <w:sz w:val="18"/>
                <w:szCs w:val="18"/>
                <w:lang w:eastAsia="sk-SK"/>
              </w:rPr>
              <w:t>112 911</w:t>
            </w:r>
          </w:p>
        </w:tc>
        <w:tc>
          <w:tcPr>
            <w:tcW w:w="999" w:type="dxa"/>
            <w:tcBorders>
              <w:top w:val="nil"/>
              <w:left w:val="nil"/>
              <w:bottom w:val="nil"/>
              <w:right w:val="nil"/>
            </w:tcBorders>
            <w:shd w:val="clear" w:color="auto" w:fill="auto"/>
            <w:noWrap/>
            <w:vAlign w:val="bottom"/>
            <w:hideMark/>
          </w:tcPr>
          <w:p w14:paraId="2C5ADE1E"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117 246</w:t>
            </w:r>
          </w:p>
        </w:tc>
        <w:tc>
          <w:tcPr>
            <w:tcW w:w="949" w:type="dxa"/>
            <w:tcBorders>
              <w:top w:val="nil"/>
              <w:left w:val="nil"/>
              <w:bottom w:val="nil"/>
              <w:right w:val="nil"/>
            </w:tcBorders>
            <w:shd w:val="clear" w:color="auto" w:fill="auto"/>
            <w:noWrap/>
            <w:vAlign w:val="bottom"/>
            <w:hideMark/>
          </w:tcPr>
          <w:p w14:paraId="3507EA0F" w14:textId="77777777" w:rsidR="002F1D21" w:rsidRPr="00C00FE2" w:rsidRDefault="002F1D21" w:rsidP="00FD0E0D">
            <w:pPr>
              <w:tabs>
                <w:tab w:val="decimal" w:pos="345"/>
              </w:tabs>
              <w:spacing w:after="0" w:line="240" w:lineRule="auto"/>
              <w:jc w:val="center"/>
              <w:rPr>
                <w:i/>
                <w:color w:val="000000"/>
                <w:sz w:val="18"/>
                <w:szCs w:val="18"/>
                <w:lang w:eastAsia="sk-SK"/>
              </w:rPr>
            </w:pPr>
            <w:r w:rsidRPr="00C00FE2">
              <w:rPr>
                <w:i/>
                <w:color w:val="000000"/>
                <w:sz w:val="18"/>
                <w:szCs w:val="18"/>
                <w:lang w:eastAsia="sk-SK"/>
              </w:rPr>
              <w:t>1,6</w:t>
            </w:r>
          </w:p>
        </w:tc>
      </w:tr>
      <w:tr w:rsidR="002F1D21" w:rsidRPr="001D03F0" w14:paraId="121B84DF" w14:textId="77777777" w:rsidTr="00FD0E0D">
        <w:trPr>
          <w:trHeight w:val="292"/>
        </w:trPr>
        <w:tc>
          <w:tcPr>
            <w:tcW w:w="3874" w:type="dxa"/>
            <w:tcBorders>
              <w:top w:val="nil"/>
              <w:left w:val="nil"/>
              <w:bottom w:val="nil"/>
              <w:right w:val="nil"/>
            </w:tcBorders>
            <w:shd w:val="clear" w:color="auto" w:fill="auto"/>
            <w:noWrap/>
            <w:vAlign w:val="center"/>
            <w:hideMark/>
          </w:tcPr>
          <w:p w14:paraId="3C45EE72" w14:textId="77777777" w:rsidR="002F1D21" w:rsidRPr="001323BD" w:rsidRDefault="002F1D21" w:rsidP="00F71D21">
            <w:pPr>
              <w:spacing w:after="0" w:line="240" w:lineRule="auto"/>
              <w:ind w:firstLineChars="274" w:firstLine="493"/>
              <w:rPr>
                <w:i/>
                <w:color w:val="000000"/>
                <w:sz w:val="18"/>
                <w:szCs w:val="18"/>
                <w:lang w:eastAsia="sk-SK"/>
              </w:rPr>
            </w:pPr>
            <w:r w:rsidRPr="001323BD">
              <w:rPr>
                <w:i/>
                <w:color w:val="000000"/>
                <w:sz w:val="18"/>
                <w:szCs w:val="18"/>
                <w:lang w:eastAsia="sk-SK"/>
              </w:rPr>
              <w:t xml:space="preserve"> - na peňažné príspevky na kompenzáciu</w:t>
            </w:r>
          </w:p>
        </w:tc>
        <w:tc>
          <w:tcPr>
            <w:tcW w:w="1050" w:type="dxa"/>
            <w:tcBorders>
              <w:top w:val="nil"/>
              <w:left w:val="nil"/>
              <w:bottom w:val="nil"/>
              <w:right w:val="nil"/>
            </w:tcBorders>
            <w:shd w:val="clear" w:color="auto" w:fill="auto"/>
            <w:noWrap/>
            <w:vAlign w:val="bottom"/>
            <w:hideMark/>
          </w:tcPr>
          <w:p w14:paraId="61D96554"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292 862</w:t>
            </w:r>
          </w:p>
        </w:tc>
        <w:tc>
          <w:tcPr>
            <w:tcW w:w="1025" w:type="dxa"/>
            <w:tcBorders>
              <w:top w:val="nil"/>
              <w:left w:val="nil"/>
              <w:bottom w:val="nil"/>
              <w:right w:val="nil"/>
            </w:tcBorders>
            <w:shd w:val="clear" w:color="auto" w:fill="auto"/>
            <w:noWrap/>
            <w:vAlign w:val="bottom"/>
            <w:hideMark/>
          </w:tcPr>
          <w:p w14:paraId="6C112027"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395 511</w:t>
            </w:r>
          </w:p>
        </w:tc>
        <w:tc>
          <w:tcPr>
            <w:tcW w:w="1147" w:type="dxa"/>
            <w:tcBorders>
              <w:top w:val="nil"/>
              <w:left w:val="nil"/>
              <w:bottom w:val="nil"/>
              <w:right w:val="nil"/>
            </w:tcBorders>
            <w:shd w:val="clear" w:color="000000" w:fill="BFBFBF"/>
            <w:noWrap/>
            <w:vAlign w:val="bottom"/>
            <w:hideMark/>
          </w:tcPr>
          <w:p w14:paraId="680B73CC" w14:textId="77777777" w:rsidR="002F1D21" w:rsidRPr="00C00FE2" w:rsidRDefault="002F1D21" w:rsidP="00FD0E0D">
            <w:pPr>
              <w:spacing w:after="0" w:line="240" w:lineRule="auto"/>
              <w:jc w:val="right"/>
              <w:rPr>
                <w:i/>
                <w:sz w:val="18"/>
                <w:szCs w:val="18"/>
                <w:lang w:eastAsia="sk-SK"/>
              </w:rPr>
            </w:pPr>
            <w:r w:rsidRPr="00C00FE2">
              <w:rPr>
                <w:i/>
                <w:sz w:val="18"/>
                <w:szCs w:val="18"/>
                <w:lang w:eastAsia="sk-SK"/>
              </w:rPr>
              <w:t>981 529</w:t>
            </w:r>
          </w:p>
        </w:tc>
        <w:tc>
          <w:tcPr>
            <w:tcW w:w="999" w:type="dxa"/>
            <w:tcBorders>
              <w:top w:val="nil"/>
              <w:left w:val="nil"/>
              <w:bottom w:val="nil"/>
              <w:right w:val="nil"/>
            </w:tcBorders>
            <w:shd w:val="clear" w:color="auto" w:fill="auto"/>
            <w:noWrap/>
            <w:vAlign w:val="bottom"/>
            <w:hideMark/>
          </w:tcPr>
          <w:p w14:paraId="1A664E3A"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456 740</w:t>
            </w:r>
          </w:p>
        </w:tc>
        <w:tc>
          <w:tcPr>
            <w:tcW w:w="949" w:type="dxa"/>
            <w:tcBorders>
              <w:top w:val="nil"/>
              <w:left w:val="nil"/>
              <w:bottom w:val="nil"/>
              <w:right w:val="nil"/>
            </w:tcBorders>
            <w:shd w:val="clear" w:color="auto" w:fill="auto"/>
            <w:noWrap/>
            <w:vAlign w:val="bottom"/>
            <w:hideMark/>
          </w:tcPr>
          <w:p w14:paraId="61D3B6DF" w14:textId="77777777" w:rsidR="002F1D21" w:rsidRPr="00C00FE2" w:rsidRDefault="002F1D21" w:rsidP="00FD0E0D">
            <w:pPr>
              <w:tabs>
                <w:tab w:val="decimal" w:pos="345"/>
              </w:tabs>
              <w:spacing w:after="0" w:line="240" w:lineRule="auto"/>
              <w:jc w:val="center"/>
              <w:rPr>
                <w:i/>
                <w:color w:val="000000"/>
                <w:sz w:val="18"/>
                <w:szCs w:val="18"/>
                <w:lang w:eastAsia="sk-SK"/>
              </w:rPr>
            </w:pPr>
            <w:r w:rsidRPr="00C00FE2">
              <w:rPr>
                <w:i/>
                <w:color w:val="000000"/>
                <w:sz w:val="18"/>
                <w:szCs w:val="18"/>
                <w:lang w:eastAsia="sk-SK"/>
              </w:rPr>
              <w:t>148,2</w:t>
            </w:r>
          </w:p>
        </w:tc>
      </w:tr>
      <w:tr w:rsidR="002F1D21" w:rsidRPr="001D03F0" w14:paraId="3E7D3A61" w14:textId="77777777" w:rsidTr="00FD0E0D">
        <w:trPr>
          <w:trHeight w:val="292"/>
        </w:trPr>
        <w:tc>
          <w:tcPr>
            <w:tcW w:w="3874" w:type="dxa"/>
            <w:tcBorders>
              <w:top w:val="nil"/>
              <w:left w:val="nil"/>
              <w:bottom w:val="nil"/>
              <w:right w:val="nil"/>
            </w:tcBorders>
            <w:shd w:val="clear" w:color="auto" w:fill="auto"/>
            <w:noWrap/>
            <w:vAlign w:val="center"/>
            <w:hideMark/>
          </w:tcPr>
          <w:p w14:paraId="44C51C27" w14:textId="77777777" w:rsidR="002F1D21" w:rsidRPr="001323BD" w:rsidRDefault="002F1D21" w:rsidP="00F71D21">
            <w:pPr>
              <w:spacing w:after="0" w:line="240" w:lineRule="auto"/>
              <w:ind w:firstLineChars="274" w:firstLine="493"/>
              <w:rPr>
                <w:i/>
                <w:color w:val="000000"/>
                <w:sz w:val="18"/>
                <w:szCs w:val="18"/>
                <w:lang w:eastAsia="sk-SK"/>
              </w:rPr>
            </w:pPr>
            <w:r w:rsidRPr="001323BD">
              <w:rPr>
                <w:i/>
                <w:color w:val="000000"/>
                <w:sz w:val="18"/>
                <w:szCs w:val="18"/>
                <w:lang w:eastAsia="sk-SK"/>
              </w:rPr>
              <w:t xml:space="preserve"> - ostatné</w:t>
            </w:r>
          </w:p>
        </w:tc>
        <w:tc>
          <w:tcPr>
            <w:tcW w:w="1050" w:type="dxa"/>
            <w:tcBorders>
              <w:top w:val="nil"/>
              <w:left w:val="nil"/>
              <w:bottom w:val="nil"/>
              <w:right w:val="nil"/>
            </w:tcBorders>
            <w:shd w:val="clear" w:color="auto" w:fill="auto"/>
            <w:noWrap/>
            <w:vAlign w:val="bottom"/>
            <w:hideMark/>
          </w:tcPr>
          <w:p w14:paraId="58D5E666"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202 807</w:t>
            </w:r>
          </w:p>
        </w:tc>
        <w:tc>
          <w:tcPr>
            <w:tcW w:w="1025" w:type="dxa"/>
            <w:tcBorders>
              <w:top w:val="nil"/>
              <w:left w:val="nil"/>
              <w:bottom w:val="nil"/>
              <w:right w:val="nil"/>
            </w:tcBorders>
            <w:shd w:val="clear" w:color="auto" w:fill="auto"/>
            <w:noWrap/>
            <w:vAlign w:val="bottom"/>
            <w:hideMark/>
          </w:tcPr>
          <w:p w14:paraId="20F4B5EB"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289 082</w:t>
            </w:r>
          </w:p>
        </w:tc>
        <w:tc>
          <w:tcPr>
            <w:tcW w:w="1147" w:type="dxa"/>
            <w:tcBorders>
              <w:top w:val="nil"/>
              <w:left w:val="nil"/>
              <w:bottom w:val="nil"/>
              <w:right w:val="nil"/>
            </w:tcBorders>
            <w:shd w:val="clear" w:color="000000" w:fill="BFBFBF"/>
            <w:noWrap/>
            <w:vAlign w:val="bottom"/>
            <w:hideMark/>
          </w:tcPr>
          <w:p w14:paraId="66F3AA32" w14:textId="77777777" w:rsidR="002F1D21" w:rsidRPr="00C00FE2" w:rsidRDefault="002F1D21" w:rsidP="00FD0E0D">
            <w:pPr>
              <w:spacing w:after="0" w:line="240" w:lineRule="auto"/>
              <w:jc w:val="right"/>
              <w:rPr>
                <w:i/>
                <w:sz w:val="18"/>
                <w:szCs w:val="18"/>
                <w:lang w:eastAsia="sk-SK"/>
              </w:rPr>
            </w:pPr>
            <w:r w:rsidRPr="00C00FE2">
              <w:rPr>
                <w:i/>
                <w:sz w:val="18"/>
                <w:szCs w:val="18"/>
                <w:lang w:eastAsia="sk-SK"/>
              </w:rPr>
              <w:t>520 561</w:t>
            </w:r>
          </w:p>
        </w:tc>
        <w:tc>
          <w:tcPr>
            <w:tcW w:w="999" w:type="dxa"/>
            <w:tcBorders>
              <w:top w:val="nil"/>
              <w:left w:val="nil"/>
              <w:bottom w:val="nil"/>
              <w:right w:val="nil"/>
            </w:tcBorders>
            <w:shd w:val="clear" w:color="auto" w:fill="auto"/>
            <w:noWrap/>
            <w:vAlign w:val="bottom"/>
            <w:hideMark/>
          </w:tcPr>
          <w:p w14:paraId="2CD5385A"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532 961</w:t>
            </w:r>
          </w:p>
        </w:tc>
        <w:tc>
          <w:tcPr>
            <w:tcW w:w="949" w:type="dxa"/>
            <w:tcBorders>
              <w:top w:val="nil"/>
              <w:left w:val="nil"/>
              <w:bottom w:val="nil"/>
              <w:right w:val="nil"/>
            </w:tcBorders>
            <w:shd w:val="clear" w:color="auto" w:fill="auto"/>
            <w:noWrap/>
            <w:vAlign w:val="bottom"/>
            <w:hideMark/>
          </w:tcPr>
          <w:p w14:paraId="0ADF95A9" w14:textId="77777777" w:rsidR="002F1D21" w:rsidRPr="00C00FE2" w:rsidRDefault="002F1D21" w:rsidP="00FD0E0D">
            <w:pPr>
              <w:tabs>
                <w:tab w:val="decimal" w:pos="345"/>
              </w:tabs>
              <w:spacing w:after="0" w:line="240" w:lineRule="auto"/>
              <w:jc w:val="center"/>
              <w:rPr>
                <w:i/>
                <w:color w:val="000000"/>
                <w:sz w:val="18"/>
                <w:szCs w:val="18"/>
                <w:lang w:eastAsia="sk-SK"/>
              </w:rPr>
            </w:pPr>
            <w:r w:rsidRPr="00C00FE2">
              <w:rPr>
                <w:i/>
                <w:color w:val="000000"/>
                <w:sz w:val="18"/>
                <w:szCs w:val="18"/>
                <w:lang w:eastAsia="sk-SK"/>
              </w:rPr>
              <w:t>80,1</w:t>
            </w:r>
          </w:p>
        </w:tc>
      </w:tr>
      <w:tr w:rsidR="002F1D21" w:rsidRPr="001323BD" w14:paraId="50570C13" w14:textId="77777777" w:rsidTr="00FD0E0D">
        <w:trPr>
          <w:trHeight w:val="292"/>
        </w:trPr>
        <w:tc>
          <w:tcPr>
            <w:tcW w:w="3874" w:type="dxa"/>
            <w:tcBorders>
              <w:top w:val="nil"/>
              <w:left w:val="nil"/>
              <w:bottom w:val="nil"/>
              <w:right w:val="nil"/>
            </w:tcBorders>
            <w:shd w:val="clear" w:color="auto" w:fill="auto"/>
            <w:noWrap/>
            <w:vAlign w:val="center"/>
            <w:hideMark/>
          </w:tcPr>
          <w:p w14:paraId="02E4DD90" w14:textId="77777777" w:rsidR="002F1D21" w:rsidRPr="001323BD" w:rsidRDefault="002F1D21" w:rsidP="00FD0E0D">
            <w:pPr>
              <w:spacing w:after="0" w:line="240" w:lineRule="auto"/>
              <w:ind w:firstLineChars="197" w:firstLine="355"/>
              <w:rPr>
                <w:i/>
                <w:iCs/>
                <w:color w:val="000000"/>
                <w:sz w:val="18"/>
                <w:szCs w:val="18"/>
                <w:lang w:eastAsia="sk-SK"/>
              </w:rPr>
            </w:pPr>
            <w:r w:rsidRPr="001323BD">
              <w:rPr>
                <w:i/>
                <w:iCs/>
                <w:color w:val="000000"/>
                <w:sz w:val="18"/>
                <w:szCs w:val="18"/>
                <w:lang w:eastAsia="sk-SK"/>
              </w:rPr>
              <w:lastRenderedPageBreak/>
              <w:t xml:space="preserve"> - Platené poistné za skupiny osôb </w:t>
            </w:r>
            <w:proofErr w:type="spellStart"/>
            <w:r w:rsidRPr="001323BD">
              <w:rPr>
                <w:i/>
                <w:iCs/>
                <w:color w:val="000000"/>
                <w:sz w:val="18"/>
                <w:szCs w:val="18"/>
                <w:lang w:eastAsia="sk-SK"/>
              </w:rPr>
              <w:t>ust</w:t>
            </w:r>
            <w:proofErr w:type="spellEnd"/>
            <w:r w:rsidRPr="001323BD">
              <w:rPr>
                <w:i/>
                <w:iCs/>
                <w:color w:val="000000"/>
                <w:sz w:val="18"/>
                <w:szCs w:val="18"/>
                <w:lang w:eastAsia="sk-SK"/>
              </w:rPr>
              <w:t>. zák.</w:t>
            </w:r>
          </w:p>
        </w:tc>
        <w:tc>
          <w:tcPr>
            <w:tcW w:w="1050" w:type="dxa"/>
            <w:tcBorders>
              <w:top w:val="nil"/>
              <w:left w:val="nil"/>
              <w:bottom w:val="nil"/>
              <w:right w:val="nil"/>
            </w:tcBorders>
            <w:shd w:val="clear" w:color="auto" w:fill="auto"/>
            <w:noWrap/>
            <w:vAlign w:val="bottom"/>
            <w:hideMark/>
          </w:tcPr>
          <w:p w14:paraId="211490F1"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1 574 481</w:t>
            </w:r>
          </w:p>
        </w:tc>
        <w:tc>
          <w:tcPr>
            <w:tcW w:w="1025" w:type="dxa"/>
            <w:tcBorders>
              <w:top w:val="nil"/>
              <w:left w:val="nil"/>
              <w:bottom w:val="nil"/>
              <w:right w:val="nil"/>
            </w:tcBorders>
            <w:shd w:val="clear" w:color="auto" w:fill="auto"/>
            <w:noWrap/>
            <w:vAlign w:val="bottom"/>
            <w:hideMark/>
          </w:tcPr>
          <w:p w14:paraId="2D0926CD"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1 563 624</w:t>
            </w:r>
          </w:p>
        </w:tc>
        <w:tc>
          <w:tcPr>
            <w:tcW w:w="1147" w:type="dxa"/>
            <w:tcBorders>
              <w:top w:val="nil"/>
              <w:left w:val="nil"/>
              <w:bottom w:val="nil"/>
              <w:right w:val="nil"/>
            </w:tcBorders>
            <w:shd w:val="clear" w:color="000000" w:fill="BFBFBF"/>
            <w:noWrap/>
            <w:vAlign w:val="bottom"/>
            <w:hideMark/>
          </w:tcPr>
          <w:p w14:paraId="53224842" w14:textId="77777777" w:rsidR="002F1D21" w:rsidRPr="00C00FE2" w:rsidRDefault="002F1D21" w:rsidP="00FD0E0D">
            <w:pPr>
              <w:spacing w:after="0" w:line="240" w:lineRule="auto"/>
              <w:jc w:val="right"/>
              <w:rPr>
                <w:i/>
                <w:sz w:val="18"/>
                <w:szCs w:val="18"/>
                <w:lang w:eastAsia="sk-SK"/>
              </w:rPr>
            </w:pPr>
            <w:r w:rsidRPr="00C00FE2">
              <w:rPr>
                <w:i/>
                <w:sz w:val="18"/>
                <w:szCs w:val="18"/>
                <w:lang w:eastAsia="sk-SK"/>
              </w:rPr>
              <w:t>1 537 681</w:t>
            </w:r>
          </w:p>
        </w:tc>
        <w:tc>
          <w:tcPr>
            <w:tcW w:w="999" w:type="dxa"/>
            <w:tcBorders>
              <w:top w:val="nil"/>
              <w:left w:val="nil"/>
              <w:bottom w:val="nil"/>
              <w:right w:val="nil"/>
            </w:tcBorders>
            <w:shd w:val="clear" w:color="auto" w:fill="auto"/>
            <w:noWrap/>
            <w:vAlign w:val="bottom"/>
            <w:hideMark/>
          </w:tcPr>
          <w:p w14:paraId="653AF83F"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1 883 161</w:t>
            </w:r>
          </w:p>
        </w:tc>
        <w:tc>
          <w:tcPr>
            <w:tcW w:w="949" w:type="dxa"/>
            <w:tcBorders>
              <w:top w:val="nil"/>
              <w:left w:val="nil"/>
              <w:bottom w:val="nil"/>
              <w:right w:val="nil"/>
            </w:tcBorders>
            <w:shd w:val="clear" w:color="auto" w:fill="auto"/>
            <w:noWrap/>
            <w:vAlign w:val="bottom"/>
            <w:hideMark/>
          </w:tcPr>
          <w:p w14:paraId="225274C9" w14:textId="77777777" w:rsidR="002F1D21" w:rsidRPr="00C00FE2" w:rsidRDefault="002F1D21" w:rsidP="00FD0E0D">
            <w:pPr>
              <w:tabs>
                <w:tab w:val="decimal" w:pos="345"/>
              </w:tabs>
              <w:spacing w:after="0" w:line="240" w:lineRule="auto"/>
              <w:jc w:val="center"/>
              <w:rPr>
                <w:i/>
                <w:color w:val="000000"/>
                <w:sz w:val="18"/>
                <w:szCs w:val="18"/>
                <w:lang w:eastAsia="sk-SK"/>
              </w:rPr>
            </w:pPr>
            <w:r w:rsidRPr="00C00FE2">
              <w:rPr>
                <w:i/>
                <w:color w:val="000000"/>
                <w:sz w:val="18"/>
                <w:szCs w:val="18"/>
                <w:lang w:eastAsia="sk-SK"/>
              </w:rPr>
              <w:t>-1,7</w:t>
            </w:r>
          </w:p>
        </w:tc>
      </w:tr>
      <w:tr w:rsidR="002F1D21" w:rsidRPr="001323BD" w14:paraId="4F4620AD" w14:textId="77777777" w:rsidTr="00FD0E0D">
        <w:trPr>
          <w:trHeight w:val="292"/>
        </w:trPr>
        <w:tc>
          <w:tcPr>
            <w:tcW w:w="3874" w:type="dxa"/>
            <w:tcBorders>
              <w:top w:val="nil"/>
              <w:left w:val="nil"/>
              <w:bottom w:val="nil"/>
              <w:right w:val="nil"/>
            </w:tcBorders>
            <w:shd w:val="clear" w:color="auto" w:fill="auto"/>
            <w:noWrap/>
            <w:vAlign w:val="center"/>
            <w:hideMark/>
          </w:tcPr>
          <w:p w14:paraId="36771290" w14:textId="77777777" w:rsidR="002F1D21" w:rsidRPr="001323BD" w:rsidRDefault="002F1D21" w:rsidP="00AB49E7">
            <w:pPr>
              <w:spacing w:after="0" w:line="240" w:lineRule="auto"/>
              <w:ind w:firstLineChars="276" w:firstLine="497"/>
              <w:rPr>
                <w:i/>
                <w:iCs/>
                <w:color w:val="000000"/>
                <w:sz w:val="18"/>
                <w:szCs w:val="18"/>
                <w:lang w:eastAsia="sk-SK"/>
              </w:rPr>
            </w:pPr>
            <w:r w:rsidRPr="001323BD">
              <w:rPr>
                <w:i/>
                <w:iCs/>
                <w:color w:val="000000"/>
                <w:sz w:val="18"/>
                <w:szCs w:val="18"/>
                <w:lang w:eastAsia="sk-SK"/>
              </w:rPr>
              <w:t xml:space="preserve"> - sociálne poistenie</w:t>
            </w:r>
          </w:p>
        </w:tc>
        <w:tc>
          <w:tcPr>
            <w:tcW w:w="1050" w:type="dxa"/>
            <w:tcBorders>
              <w:top w:val="nil"/>
              <w:left w:val="nil"/>
              <w:bottom w:val="nil"/>
              <w:right w:val="nil"/>
            </w:tcBorders>
            <w:shd w:val="clear" w:color="auto" w:fill="auto"/>
            <w:noWrap/>
            <w:vAlign w:val="bottom"/>
            <w:hideMark/>
          </w:tcPr>
          <w:p w14:paraId="110FFA1A"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385 504</w:t>
            </w:r>
          </w:p>
        </w:tc>
        <w:tc>
          <w:tcPr>
            <w:tcW w:w="1025" w:type="dxa"/>
            <w:tcBorders>
              <w:top w:val="nil"/>
              <w:left w:val="nil"/>
              <w:bottom w:val="nil"/>
              <w:right w:val="nil"/>
            </w:tcBorders>
            <w:shd w:val="clear" w:color="auto" w:fill="auto"/>
            <w:noWrap/>
            <w:vAlign w:val="bottom"/>
            <w:hideMark/>
          </w:tcPr>
          <w:p w14:paraId="2CFA7E7B"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360 843</w:t>
            </w:r>
          </w:p>
        </w:tc>
        <w:tc>
          <w:tcPr>
            <w:tcW w:w="1147" w:type="dxa"/>
            <w:tcBorders>
              <w:top w:val="nil"/>
              <w:left w:val="nil"/>
              <w:bottom w:val="nil"/>
              <w:right w:val="nil"/>
            </w:tcBorders>
            <w:shd w:val="clear" w:color="000000" w:fill="BFBFBF"/>
            <w:noWrap/>
            <w:vAlign w:val="bottom"/>
            <w:hideMark/>
          </w:tcPr>
          <w:p w14:paraId="20D2EFA8" w14:textId="77777777" w:rsidR="002F1D21" w:rsidRPr="00C00FE2" w:rsidRDefault="002F1D21" w:rsidP="00FD0E0D">
            <w:pPr>
              <w:spacing w:after="0" w:line="240" w:lineRule="auto"/>
              <w:jc w:val="right"/>
              <w:rPr>
                <w:i/>
                <w:sz w:val="18"/>
                <w:szCs w:val="18"/>
                <w:lang w:eastAsia="sk-SK"/>
              </w:rPr>
            </w:pPr>
            <w:r w:rsidRPr="00C00FE2">
              <w:rPr>
                <w:i/>
                <w:sz w:val="18"/>
                <w:szCs w:val="18"/>
                <w:lang w:eastAsia="sk-SK"/>
              </w:rPr>
              <w:t>370 652</w:t>
            </w:r>
          </w:p>
        </w:tc>
        <w:tc>
          <w:tcPr>
            <w:tcW w:w="999" w:type="dxa"/>
            <w:tcBorders>
              <w:top w:val="nil"/>
              <w:left w:val="nil"/>
              <w:bottom w:val="nil"/>
              <w:right w:val="nil"/>
            </w:tcBorders>
            <w:shd w:val="clear" w:color="auto" w:fill="auto"/>
            <w:noWrap/>
            <w:vAlign w:val="center"/>
            <w:hideMark/>
          </w:tcPr>
          <w:p w14:paraId="5740B1A2"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423 272</w:t>
            </w:r>
          </w:p>
        </w:tc>
        <w:tc>
          <w:tcPr>
            <w:tcW w:w="949" w:type="dxa"/>
            <w:tcBorders>
              <w:top w:val="nil"/>
              <w:left w:val="nil"/>
              <w:bottom w:val="nil"/>
              <w:right w:val="nil"/>
            </w:tcBorders>
            <w:shd w:val="clear" w:color="auto" w:fill="auto"/>
            <w:noWrap/>
            <w:vAlign w:val="bottom"/>
            <w:hideMark/>
          </w:tcPr>
          <w:p w14:paraId="67EB7721" w14:textId="77777777" w:rsidR="002F1D21" w:rsidRPr="00C00FE2" w:rsidRDefault="002F1D21" w:rsidP="00FD0E0D">
            <w:pPr>
              <w:tabs>
                <w:tab w:val="decimal" w:pos="345"/>
              </w:tabs>
              <w:spacing w:after="0" w:line="240" w:lineRule="auto"/>
              <w:jc w:val="center"/>
              <w:rPr>
                <w:i/>
                <w:color w:val="000000"/>
                <w:sz w:val="18"/>
                <w:szCs w:val="18"/>
                <w:lang w:eastAsia="sk-SK"/>
              </w:rPr>
            </w:pPr>
            <w:r w:rsidRPr="00C00FE2">
              <w:rPr>
                <w:i/>
                <w:color w:val="000000"/>
                <w:sz w:val="18"/>
                <w:szCs w:val="18"/>
                <w:lang w:eastAsia="sk-SK"/>
              </w:rPr>
              <w:t>2,7</w:t>
            </w:r>
          </w:p>
        </w:tc>
      </w:tr>
      <w:tr w:rsidR="002F1D21" w:rsidRPr="001323BD" w14:paraId="7CEA3344" w14:textId="77777777" w:rsidTr="00FD0E0D">
        <w:trPr>
          <w:trHeight w:val="292"/>
        </w:trPr>
        <w:tc>
          <w:tcPr>
            <w:tcW w:w="3874" w:type="dxa"/>
            <w:tcBorders>
              <w:top w:val="nil"/>
              <w:left w:val="nil"/>
              <w:bottom w:val="nil"/>
              <w:right w:val="nil"/>
            </w:tcBorders>
            <w:shd w:val="clear" w:color="auto" w:fill="auto"/>
            <w:noWrap/>
            <w:vAlign w:val="center"/>
            <w:hideMark/>
          </w:tcPr>
          <w:p w14:paraId="50607812" w14:textId="77777777" w:rsidR="002F1D21" w:rsidRPr="001323BD" w:rsidRDefault="002F1D21" w:rsidP="00AB49E7">
            <w:pPr>
              <w:spacing w:after="0" w:line="240" w:lineRule="auto"/>
              <w:ind w:firstLineChars="276" w:firstLine="497"/>
              <w:rPr>
                <w:i/>
                <w:iCs/>
                <w:color w:val="000000"/>
                <w:sz w:val="18"/>
                <w:szCs w:val="18"/>
                <w:lang w:eastAsia="sk-SK"/>
              </w:rPr>
            </w:pPr>
            <w:r w:rsidRPr="001323BD">
              <w:rPr>
                <w:i/>
                <w:iCs/>
                <w:color w:val="000000"/>
                <w:sz w:val="18"/>
                <w:szCs w:val="18"/>
                <w:lang w:eastAsia="sk-SK"/>
              </w:rPr>
              <w:t xml:space="preserve"> - zdravotné poistenie</w:t>
            </w:r>
          </w:p>
        </w:tc>
        <w:tc>
          <w:tcPr>
            <w:tcW w:w="1050" w:type="dxa"/>
            <w:tcBorders>
              <w:top w:val="nil"/>
              <w:left w:val="nil"/>
              <w:bottom w:val="nil"/>
              <w:right w:val="nil"/>
            </w:tcBorders>
            <w:shd w:val="clear" w:color="auto" w:fill="auto"/>
            <w:noWrap/>
            <w:vAlign w:val="bottom"/>
            <w:hideMark/>
          </w:tcPr>
          <w:p w14:paraId="1FEB219C"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1 188 977</w:t>
            </w:r>
          </w:p>
        </w:tc>
        <w:tc>
          <w:tcPr>
            <w:tcW w:w="1025" w:type="dxa"/>
            <w:tcBorders>
              <w:top w:val="nil"/>
              <w:left w:val="nil"/>
              <w:bottom w:val="nil"/>
              <w:right w:val="nil"/>
            </w:tcBorders>
            <w:shd w:val="clear" w:color="auto" w:fill="auto"/>
            <w:noWrap/>
            <w:vAlign w:val="bottom"/>
            <w:hideMark/>
          </w:tcPr>
          <w:p w14:paraId="1A7513B3"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1 202 781</w:t>
            </w:r>
          </w:p>
        </w:tc>
        <w:tc>
          <w:tcPr>
            <w:tcW w:w="1147" w:type="dxa"/>
            <w:tcBorders>
              <w:top w:val="nil"/>
              <w:left w:val="nil"/>
              <w:bottom w:val="nil"/>
              <w:right w:val="nil"/>
            </w:tcBorders>
            <w:shd w:val="clear" w:color="000000" w:fill="BFBFBF"/>
            <w:noWrap/>
            <w:vAlign w:val="bottom"/>
            <w:hideMark/>
          </w:tcPr>
          <w:p w14:paraId="18816C15" w14:textId="77777777" w:rsidR="002F1D21" w:rsidRPr="00C00FE2" w:rsidRDefault="002F1D21" w:rsidP="00FD0E0D">
            <w:pPr>
              <w:spacing w:after="0" w:line="240" w:lineRule="auto"/>
              <w:jc w:val="right"/>
              <w:rPr>
                <w:i/>
                <w:sz w:val="18"/>
                <w:szCs w:val="18"/>
                <w:lang w:eastAsia="sk-SK"/>
              </w:rPr>
            </w:pPr>
            <w:r w:rsidRPr="00C00FE2">
              <w:rPr>
                <w:i/>
                <w:sz w:val="18"/>
                <w:szCs w:val="18"/>
                <w:lang w:eastAsia="sk-SK"/>
              </w:rPr>
              <w:t>1 167 029</w:t>
            </w:r>
          </w:p>
        </w:tc>
        <w:tc>
          <w:tcPr>
            <w:tcW w:w="999" w:type="dxa"/>
            <w:tcBorders>
              <w:top w:val="nil"/>
              <w:left w:val="nil"/>
              <w:bottom w:val="nil"/>
              <w:right w:val="nil"/>
            </w:tcBorders>
            <w:shd w:val="clear" w:color="auto" w:fill="auto"/>
            <w:noWrap/>
            <w:vAlign w:val="center"/>
            <w:hideMark/>
          </w:tcPr>
          <w:p w14:paraId="381C21FE"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1 437 803</w:t>
            </w:r>
          </w:p>
        </w:tc>
        <w:tc>
          <w:tcPr>
            <w:tcW w:w="949" w:type="dxa"/>
            <w:tcBorders>
              <w:top w:val="nil"/>
              <w:left w:val="nil"/>
              <w:bottom w:val="nil"/>
              <w:right w:val="nil"/>
            </w:tcBorders>
            <w:shd w:val="clear" w:color="auto" w:fill="auto"/>
            <w:noWrap/>
            <w:vAlign w:val="bottom"/>
            <w:hideMark/>
          </w:tcPr>
          <w:p w14:paraId="2A50E83D" w14:textId="77777777" w:rsidR="002F1D21" w:rsidRPr="00C00FE2" w:rsidRDefault="002F1D21" w:rsidP="00FD0E0D">
            <w:pPr>
              <w:tabs>
                <w:tab w:val="decimal" w:pos="345"/>
              </w:tabs>
              <w:spacing w:after="0" w:line="240" w:lineRule="auto"/>
              <w:jc w:val="center"/>
              <w:rPr>
                <w:i/>
                <w:color w:val="000000"/>
                <w:sz w:val="18"/>
                <w:szCs w:val="18"/>
                <w:lang w:eastAsia="sk-SK"/>
              </w:rPr>
            </w:pPr>
            <w:r w:rsidRPr="00C00FE2">
              <w:rPr>
                <w:i/>
                <w:color w:val="000000"/>
                <w:sz w:val="18"/>
                <w:szCs w:val="18"/>
                <w:lang w:eastAsia="sk-SK"/>
              </w:rPr>
              <w:t>-3,0</w:t>
            </w:r>
          </w:p>
        </w:tc>
      </w:tr>
      <w:tr w:rsidR="002F1D21" w:rsidRPr="001D03F0" w14:paraId="17730CB5" w14:textId="77777777" w:rsidTr="00FD0E0D">
        <w:trPr>
          <w:trHeight w:val="292"/>
        </w:trPr>
        <w:tc>
          <w:tcPr>
            <w:tcW w:w="3874" w:type="dxa"/>
            <w:tcBorders>
              <w:top w:val="nil"/>
              <w:left w:val="nil"/>
              <w:bottom w:val="nil"/>
              <w:right w:val="nil"/>
            </w:tcBorders>
            <w:shd w:val="clear" w:color="auto" w:fill="auto"/>
            <w:noWrap/>
            <w:vAlign w:val="center"/>
            <w:hideMark/>
          </w:tcPr>
          <w:p w14:paraId="3FBDA001" w14:textId="77777777" w:rsidR="002F1D21" w:rsidRPr="00F71D21" w:rsidRDefault="002F1D21" w:rsidP="00FD0E0D">
            <w:pPr>
              <w:spacing w:after="0" w:line="240" w:lineRule="auto"/>
              <w:ind w:firstLineChars="118" w:firstLine="212"/>
              <w:rPr>
                <w:color w:val="000000"/>
                <w:sz w:val="18"/>
                <w:szCs w:val="18"/>
                <w:lang w:eastAsia="sk-SK"/>
              </w:rPr>
            </w:pPr>
            <w:r w:rsidRPr="00F71D21">
              <w:rPr>
                <w:color w:val="000000"/>
                <w:sz w:val="18"/>
                <w:szCs w:val="18"/>
                <w:lang w:eastAsia="sk-SK"/>
              </w:rPr>
              <w:t xml:space="preserve"> - Naturálne sociálne transfery (</w:t>
            </w:r>
            <w:proofErr w:type="spellStart"/>
            <w:r w:rsidRPr="00F71D21">
              <w:rPr>
                <w:color w:val="000000"/>
                <w:sz w:val="18"/>
                <w:szCs w:val="18"/>
                <w:lang w:eastAsia="sk-SK"/>
              </w:rPr>
              <w:t>zdr</w:t>
            </w:r>
            <w:proofErr w:type="spellEnd"/>
            <w:r w:rsidRPr="00F71D21">
              <w:rPr>
                <w:color w:val="000000"/>
                <w:sz w:val="18"/>
                <w:szCs w:val="18"/>
                <w:lang w:eastAsia="sk-SK"/>
              </w:rPr>
              <w:t>. zariadenia)</w:t>
            </w:r>
          </w:p>
        </w:tc>
        <w:tc>
          <w:tcPr>
            <w:tcW w:w="1050" w:type="dxa"/>
            <w:tcBorders>
              <w:top w:val="nil"/>
              <w:left w:val="nil"/>
              <w:bottom w:val="nil"/>
              <w:right w:val="nil"/>
            </w:tcBorders>
            <w:shd w:val="clear" w:color="auto" w:fill="auto"/>
            <w:noWrap/>
            <w:vAlign w:val="bottom"/>
            <w:hideMark/>
          </w:tcPr>
          <w:p w14:paraId="68B01A35" w14:textId="77777777" w:rsidR="002F1D21" w:rsidRPr="00F71D21" w:rsidRDefault="002F1D21" w:rsidP="00FD0E0D">
            <w:pPr>
              <w:spacing w:after="0" w:line="240" w:lineRule="auto"/>
              <w:jc w:val="right"/>
              <w:rPr>
                <w:color w:val="000000"/>
                <w:sz w:val="18"/>
                <w:szCs w:val="18"/>
                <w:lang w:eastAsia="sk-SK"/>
              </w:rPr>
            </w:pPr>
            <w:r w:rsidRPr="00F71D21">
              <w:rPr>
                <w:color w:val="000000"/>
                <w:sz w:val="18"/>
                <w:szCs w:val="18"/>
                <w:lang w:eastAsia="sk-SK"/>
              </w:rPr>
              <w:t>2 876 744</w:t>
            </w:r>
          </w:p>
        </w:tc>
        <w:tc>
          <w:tcPr>
            <w:tcW w:w="1025" w:type="dxa"/>
            <w:tcBorders>
              <w:top w:val="nil"/>
              <w:left w:val="nil"/>
              <w:bottom w:val="nil"/>
              <w:right w:val="nil"/>
            </w:tcBorders>
            <w:shd w:val="clear" w:color="auto" w:fill="auto"/>
            <w:noWrap/>
            <w:vAlign w:val="bottom"/>
            <w:hideMark/>
          </w:tcPr>
          <w:p w14:paraId="46EA46E9" w14:textId="77777777" w:rsidR="002F1D21" w:rsidRPr="00F71D21" w:rsidRDefault="002F1D21" w:rsidP="00FD0E0D">
            <w:pPr>
              <w:spacing w:after="0" w:line="240" w:lineRule="auto"/>
              <w:jc w:val="right"/>
              <w:rPr>
                <w:color w:val="000000"/>
                <w:sz w:val="18"/>
                <w:szCs w:val="18"/>
                <w:lang w:eastAsia="sk-SK"/>
              </w:rPr>
            </w:pPr>
            <w:r w:rsidRPr="00F71D21">
              <w:rPr>
                <w:color w:val="000000"/>
                <w:sz w:val="18"/>
                <w:szCs w:val="18"/>
                <w:lang w:eastAsia="sk-SK"/>
              </w:rPr>
              <w:t>3 110 441</w:t>
            </w:r>
          </w:p>
        </w:tc>
        <w:tc>
          <w:tcPr>
            <w:tcW w:w="1147" w:type="dxa"/>
            <w:tcBorders>
              <w:top w:val="nil"/>
              <w:left w:val="nil"/>
              <w:bottom w:val="nil"/>
              <w:right w:val="nil"/>
            </w:tcBorders>
            <w:shd w:val="clear" w:color="000000" w:fill="BFBFBF"/>
            <w:noWrap/>
            <w:vAlign w:val="bottom"/>
            <w:hideMark/>
          </w:tcPr>
          <w:p w14:paraId="24AF2273" w14:textId="77777777" w:rsidR="002F1D21" w:rsidRPr="00F71D21" w:rsidRDefault="002F1D21" w:rsidP="00FD0E0D">
            <w:pPr>
              <w:spacing w:after="0" w:line="240" w:lineRule="auto"/>
              <w:jc w:val="right"/>
              <w:rPr>
                <w:sz w:val="18"/>
                <w:szCs w:val="18"/>
                <w:lang w:eastAsia="sk-SK"/>
              </w:rPr>
            </w:pPr>
            <w:r w:rsidRPr="00F71D21">
              <w:rPr>
                <w:sz w:val="18"/>
                <w:szCs w:val="18"/>
                <w:lang w:eastAsia="sk-SK"/>
              </w:rPr>
              <w:t>3 045 274</w:t>
            </w:r>
          </w:p>
        </w:tc>
        <w:tc>
          <w:tcPr>
            <w:tcW w:w="999" w:type="dxa"/>
            <w:tcBorders>
              <w:top w:val="nil"/>
              <w:left w:val="nil"/>
              <w:bottom w:val="nil"/>
              <w:right w:val="nil"/>
            </w:tcBorders>
            <w:shd w:val="clear" w:color="auto" w:fill="auto"/>
            <w:noWrap/>
            <w:vAlign w:val="center"/>
            <w:hideMark/>
          </w:tcPr>
          <w:p w14:paraId="6DC96C64" w14:textId="77777777" w:rsidR="002F1D21" w:rsidRPr="00F71D21" w:rsidRDefault="002F1D21" w:rsidP="00FD0E0D">
            <w:pPr>
              <w:spacing w:after="0" w:line="240" w:lineRule="auto"/>
              <w:jc w:val="right"/>
              <w:rPr>
                <w:color w:val="000000"/>
                <w:sz w:val="18"/>
                <w:szCs w:val="18"/>
                <w:lang w:eastAsia="sk-SK"/>
              </w:rPr>
            </w:pPr>
            <w:r w:rsidRPr="00F71D21">
              <w:rPr>
                <w:color w:val="000000"/>
                <w:sz w:val="18"/>
                <w:szCs w:val="18"/>
                <w:lang w:eastAsia="sk-SK"/>
              </w:rPr>
              <w:t>5 193 223</w:t>
            </w:r>
          </w:p>
        </w:tc>
        <w:tc>
          <w:tcPr>
            <w:tcW w:w="949" w:type="dxa"/>
            <w:tcBorders>
              <w:top w:val="nil"/>
              <w:left w:val="nil"/>
              <w:bottom w:val="nil"/>
              <w:right w:val="nil"/>
            </w:tcBorders>
            <w:shd w:val="clear" w:color="auto" w:fill="auto"/>
            <w:noWrap/>
            <w:vAlign w:val="bottom"/>
            <w:hideMark/>
          </w:tcPr>
          <w:p w14:paraId="635037A1" w14:textId="77777777" w:rsidR="002F1D21" w:rsidRPr="001D03F0" w:rsidRDefault="002F1D21" w:rsidP="00FD0E0D">
            <w:pPr>
              <w:tabs>
                <w:tab w:val="decimal" w:pos="345"/>
              </w:tabs>
              <w:spacing w:after="0" w:line="240" w:lineRule="auto"/>
              <w:jc w:val="center"/>
              <w:rPr>
                <w:color w:val="000000"/>
                <w:sz w:val="18"/>
                <w:szCs w:val="18"/>
                <w:lang w:eastAsia="sk-SK"/>
              </w:rPr>
            </w:pPr>
            <w:r w:rsidRPr="00F71D21">
              <w:rPr>
                <w:color w:val="000000"/>
                <w:sz w:val="18"/>
                <w:szCs w:val="18"/>
                <w:lang w:eastAsia="sk-SK"/>
              </w:rPr>
              <w:t>-2,1</w:t>
            </w:r>
          </w:p>
        </w:tc>
      </w:tr>
      <w:tr w:rsidR="002F1D21" w:rsidRPr="001D03F0" w14:paraId="592DF94E" w14:textId="77777777" w:rsidTr="00FD0E0D">
        <w:trPr>
          <w:trHeight w:val="292"/>
        </w:trPr>
        <w:tc>
          <w:tcPr>
            <w:tcW w:w="3874" w:type="dxa"/>
            <w:tcBorders>
              <w:top w:val="nil"/>
              <w:left w:val="nil"/>
              <w:bottom w:val="nil"/>
              <w:right w:val="nil"/>
            </w:tcBorders>
            <w:shd w:val="clear" w:color="auto" w:fill="auto"/>
            <w:noWrap/>
            <w:vAlign w:val="center"/>
            <w:hideMark/>
          </w:tcPr>
          <w:p w14:paraId="33BB40D7" w14:textId="77777777" w:rsidR="002F1D21" w:rsidRPr="001D03F0" w:rsidRDefault="002F1D21" w:rsidP="00FD0E0D">
            <w:pPr>
              <w:spacing w:after="0" w:line="240" w:lineRule="auto"/>
              <w:ind w:firstLineChars="100" w:firstLine="180"/>
              <w:rPr>
                <w:b/>
                <w:bCs/>
                <w:color w:val="000000"/>
                <w:sz w:val="18"/>
                <w:szCs w:val="18"/>
                <w:lang w:eastAsia="sk-SK"/>
              </w:rPr>
            </w:pPr>
            <w:r w:rsidRPr="001D03F0">
              <w:rPr>
                <w:b/>
                <w:bCs/>
                <w:color w:val="000000"/>
                <w:sz w:val="18"/>
                <w:szCs w:val="18"/>
                <w:lang w:eastAsia="sk-SK"/>
              </w:rPr>
              <w:t>Ostatné bežné transfery, z toho:</w:t>
            </w:r>
          </w:p>
        </w:tc>
        <w:tc>
          <w:tcPr>
            <w:tcW w:w="1050" w:type="dxa"/>
            <w:tcBorders>
              <w:top w:val="nil"/>
              <w:left w:val="nil"/>
              <w:bottom w:val="nil"/>
              <w:right w:val="nil"/>
            </w:tcBorders>
            <w:shd w:val="clear" w:color="auto" w:fill="auto"/>
            <w:noWrap/>
            <w:vAlign w:val="bottom"/>
            <w:hideMark/>
          </w:tcPr>
          <w:p w14:paraId="31B33DB7" w14:textId="77777777" w:rsidR="002F1D21" w:rsidRPr="001D03F0" w:rsidRDefault="002F1D21" w:rsidP="00FD0E0D">
            <w:pPr>
              <w:spacing w:after="0" w:line="240" w:lineRule="auto"/>
              <w:jc w:val="right"/>
              <w:rPr>
                <w:b/>
                <w:bCs/>
                <w:color w:val="000000"/>
                <w:sz w:val="18"/>
                <w:szCs w:val="18"/>
                <w:lang w:eastAsia="sk-SK"/>
              </w:rPr>
            </w:pPr>
            <w:r w:rsidRPr="001D03F0">
              <w:rPr>
                <w:b/>
                <w:bCs/>
                <w:color w:val="000000"/>
                <w:sz w:val="18"/>
                <w:szCs w:val="18"/>
                <w:lang w:eastAsia="sk-SK"/>
              </w:rPr>
              <w:t>1 638 092</w:t>
            </w:r>
          </w:p>
        </w:tc>
        <w:tc>
          <w:tcPr>
            <w:tcW w:w="1025" w:type="dxa"/>
            <w:tcBorders>
              <w:top w:val="nil"/>
              <w:left w:val="nil"/>
              <w:bottom w:val="nil"/>
              <w:right w:val="nil"/>
            </w:tcBorders>
            <w:shd w:val="clear" w:color="auto" w:fill="auto"/>
            <w:noWrap/>
            <w:vAlign w:val="bottom"/>
            <w:hideMark/>
          </w:tcPr>
          <w:p w14:paraId="44536581" w14:textId="77777777" w:rsidR="002F1D21" w:rsidRPr="001D03F0" w:rsidRDefault="002F1D21" w:rsidP="00FD0E0D">
            <w:pPr>
              <w:spacing w:after="0" w:line="240" w:lineRule="auto"/>
              <w:jc w:val="right"/>
              <w:rPr>
                <w:b/>
                <w:bCs/>
                <w:color w:val="000000"/>
                <w:sz w:val="18"/>
                <w:szCs w:val="18"/>
                <w:lang w:eastAsia="sk-SK"/>
              </w:rPr>
            </w:pPr>
            <w:r w:rsidRPr="001D03F0">
              <w:rPr>
                <w:b/>
                <w:bCs/>
                <w:color w:val="000000"/>
                <w:sz w:val="18"/>
                <w:szCs w:val="18"/>
                <w:lang w:eastAsia="sk-SK"/>
              </w:rPr>
              <w:t>1 712 411</w:t>
            </w:r>
          </w:p>
        </w:tc>
        <w:tc>
          <w:tcPr>
            <w:tcW w:w="1147" w:type="dxa"/>
            <w:tcBorders>
              <w:top w:val="nil"/>
              <w:left w:val="nil"/>
              <w:bottom w:val="nil"/>
              <w:right w:val="nil"/>
            </w:tcBorders>
            <w:shd w:val="clear" w:color="000000" w:fill="BFBFBF"/>
            <w:noWrap/>
            <w:vAlign w:val="bottom"/>
            <w:hideMark/>
          </w:tcPr>
          <w:p w14:paraId="4E69DF67"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2 777 849</w:t>
            </w:r>
          </w:p>
        </w:tc>
        <w:tc>
          <w:tcPr>
            <w:tcW w:w="999" w:type="dxa"/>
            <w:tcBorders>
              <w:top w:val="nil"/>
              <w:left w:val="nil"/>
              <w:bottom w:val="nil"/>
              <w:right w:val="nil"/>
            </w:tcBorders>
            <w:shd w:val="clear" w:color="auto" w:fill="auto"/>
            <w:noWrap/>
            <w:vAlign w:val="center"/>
            <w:hideMark/>
          </w:tcPr>
          <w:p w14:paraId="4EAC4E94" w14:textId="77777777" w:rsidR="002F1D21" w:rsidRPr="001D03F0" w:rsidRDefault="002F1D21" w:rsidP="00FD0E0D">
            <w:pPr>
              <w:spacing w:after="0" w:line="240" w:lineRule="auto"/>
              <w:jc w:val="right"/>
              <w:rPr>
                <w:b/>
                <w:bCs/>
                <w:color w:val="000000"/>
                <w:sz w:val="18"/>
                <w:szCs w:val="18"/>
                <w:lang w:eastAsia="sk-SK"/>
              </w:rPr>
            </w:pPr>
            <w:r w:rsidRPr="001D03F0">
              <w:rPr>
                <w:b/>
                <w:bCs/>
                <w:color w:val="000000"/>
                <w:sz w:val="18"/>
                <w:szCs w:val="18"/>
                <w:lang w:eastAsia="sk-SK"/>
              </w:rPr>
              <w:t>2 299 066</w:t>
            </w:r>
          </w:p>
        </w:tc>
        <w:tc>
          <w:tcPr>
            <w:tcW w:w="949" w:type="dxa"/>
            <w:tcBorders>
              <w:top w:val="nil"/>
              <w:left w:val="nil"/>
              <w:bottom w:val="nil"/>
              <w:right w:val="nil"/>
            </w:tcBorders>
            <w:shd w:val="clear" w:color="auto" w:fill="auto"/>
            <w:noWrap/>
            <w:vAlign w:val="bottom"/>
            <w:hideMark/>
          </w:tcPr>
          <w:p w14:paraId="434F6DA4" w14:textId="77777777" w:rsidR="002F1D21" w:rsidRPr="001D03F0" w:rsidRDefault="002F1D21" w:rsidP="00FD0E0D">
            <w:pPr>
              <w:tabs>
                <w:tab w:val="decimal" w:pos="345"/>
              </w:tabs>
              <w:spacing w:after="0" w:line="240" w:lineRule="auto"/>
              <w:jc w:val="center"/>
              <w:rPr>
                <w:b/>
                <w:bCs/>
                <w:color w:val="000000"/>
                <w:sz w:val="18"/>
                <w:szCs w:val="18"/>
                <w:lang w:eastAsia="sk-SK"/>
              </w:rPr>
            </w:pPr>
            <w:r w:rsidRPr="001D03F0">
              <w:rPr>
                <w:b/>
                <w:bCs/>
                <w:color w:val="000000"/>
                <w:sz w:val="18"/>
                <w:szCs w:val="18"/>
                <w:lang w:eastAsia="sk-SK"/>
              </w:rPr>
              <w:t>62,2</w:t>
            </w:r>
          </w:p>
        </w:tc>
      </w:tr>
      <w:tr w:rsidR="002F1D21" w:rsidRPr="001D03F0" w14:paraId="677D6382" w14:textId="77777777" w:rsidTr="00FD0E0D">
        <w:trPr>
          <w:trHeight w:val="292"/>
        </w:trPr>
        <w:tc>
          <w:tcPr>
            <w:tcW w:w="3874" w:type="dxa"/>
            <w:tcBorders>
              <w:top w:val="nil"/>
              <w:left w:val="nil"/>
              <w:bottom w:val="nil"/>
              <w:right w:val="nil"/>
            </w:tcBorders>
            <w:shd w:val="clear" w:color="auto" w:fill="auto"/>
            <w:noWrap/>
            <w:vAlign w:val="center"/>
            <w:hideMark/>
          </w:tcPr>
          <w:p w14:paraId="53C1FF2D" w14:textId="77777777" w:rsidR="002F1D21" w:rsidRPr="001D03F0" w:rsidRDefault="002F1D21" w:rsidP="00FD0E0D">
            <w:pPr>
              <w:spacing w:after="0" w:line="240" w:lineRule="auto"/>
              <w:ind w:firstLineChars="100" w:firstLine="180"/>
              <w:rPr>
                <w:i/>
                <w:iCs/>
                <w:color w:val="000000"/>
                <w:sz w:val="18"/>
                <w:szCs w:val="18"/>
                <w:lang w:eastAsia="sk-SK"/>
              </w:rPr>
            </w:pPr>
            <w:r w:rsidRPr="001D03F0">
              <w:rPr>
                <w:i/>
                <w:iCs/>
                <w:color w:val="000000"/>
                <w:sz w:val="18"/>
                <w:szCs w:val="18"/>
                <w:lang w:eastAsia="sk-SK"/>
              </w:rPr>
              <w:t xml:space="preserve"> - Odvody do rozpočtu EÚ</w:t>
            </w:r>
          </w:p>
        </w:tc>
        <w:tc>
          <w:tcPr>
            <w:tcW w:w="1050" w:type="dxa"/>
            <w:tcBorders>
              <w:top w:val="nil"/>
              <w:left w:val="nil"/>
              <w:bottom w:val="nil"/>
              <w:right w:val="nil"/>
            </w:tcBorders>
            <w:shd w:val="clear" w:color="auto" w:fill="auto"/>
            <w:noWrap/>
            <w:vAlign w:val="bottom"/>
            <w:hideMark/>
          </w:tcPr>
          <w:p w14:paraId="54673305"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763 637</w:t>
            </w:r>
          </w:p>
        </w:tc>
        <w:tc>
          <w:tcPr>
            <w:tcW w:w="1025" w:type="dxa"/>
            <w:tcBorders>
              <w:top w:val="nil"/>
              <w:left w:val="nil"/>
              <w:bottom w:val="nil"/>
              <w:right w:val="nil"/>
            </w:tcBorders>
            <w:shd w:val="clear" w:color="auto" w:fill="auto"/>
            <w:noWrap/>
            <w:vAlign w:val="bottom"/>
            <w:hideMark/>
          </w:tcPr>
          <w:p w14:paraId="161D2035"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750 226</w:t>
            </w:r>
          </w:p>
        </w:tc>
        <w:tc>
          <w:tcPr>
            <w:tcW w:w="1147" w:type="dxa"/>
            <w:tcBorders>
              <w:top w:val="nil"/>
              <w:left w:val="nil"/>
              <w:bottom w:val="nil"/>
              <w:right w:val="nil"/>
            </w:tcBorders>
            <w:shd w:val="clear" w:color="000000" w:fill="BFBFBF"/>
            <w:noWrap/>
            <w:vAlign w:val="bottom"/>
            <w:hideMark/>
          </w:tcPr>
          <w:p w14:paraId="76695F7A" w14:textId="77777777" w:rsidR="002F1D21" w:rsidRPr="00C00FE2" w:rsidRDefault="002F1D21" w:rsidP="00FD0E0D">
            <w:pPr>
              <w:spacing w:after="0" w:line="240" w:lineRule="auto"/>
              <w:jc w:val="right"/>
              <w:rPr>
                <w:i/>
                <w:sz w:val="18"/>
                <w:szCs w:val="18"/>
                <w:lang w:eastAsia="sk-SK"/>
              </w:rPr>
            </w:pPr>
            <w:r w:rsidRPr="00C00FE2">
              <w:rPr>
                <w:i/>
                <w:sz w:val="18"/>
                <w:szCs w:val="18"/>
                <w:lang w:eastAsia="sk-SK"/>
              </w:rPr>
              <w:t>877 392</w:t>
            </w:r>
          </w:p>
        </w:tc>
        <w:tc>
          <w:tcPr>
            <w:tcW w:w="999" w:type="dxa"/>
            <w:tcBorders>
              <w:top w:val="nil"/>
              <w:left w:val="nil"/>
              <w:bottom w:val="nil"/>
              <w:right w:val="nil"/>
            </w:tcBorders>
            <w:shd w:val="clear" w:color="auto" w:fill="auto"/>
            <w:noWrap/>
            <w:vAlign w:val="center"/>
            <w:hideMark/>
          </w:tcPr>
          <w:p w14:paraId="4380BD70"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913 202</w:t>
            </w:r>
          </w:p>
        </w:tc>
        <w:tc>
          <w:tcPr>
            <w:tcW w:w="949" w:type="dxa"/>
            <w:tcBorders>
              <w:top w:val="nil"/>
              <w:left w:val="nil"/>
              <w:bottom w:val="nil"/>
              <w:right w:val="nil"/>
            </w:tcBorders>
            <w:shd w:val="clear" w:color="auto" w:fill="auto"/>
            <w:noWrap/>
            <w:vAlign w:val="bottom"/>
            <w:hideMark/>
          </w:tcPr>
          <w:p w14:paraId="3CF03DBD" w14:textId="77777777" w:rsidR="002F1D21" w:rsidRPr="00C00FE2" w:rsidRDefault="002F1D21" w:rsidP="00FD0E0D">
            <w:pPr>
              <w:tabs>
                <w:tab w:val="decimal" w:pos="345"/>
              </w:tabs>
              <w:spacing w:after="0" w:line="240" w:lineRule="auto"/>
              <w:jc w:val="center"/>
              <w:rPr>
                <w:i/>
                <w:color w:val="000000"/>
                <w:sz w:val="18"/>
                <w:szCs w:val="18"/>
                <w:lang w:eastAsia="sk-SK"/>
              </w:rPr>
            </w:pPr>
            <w:r w:rsidRPr="00C00FE2">
              <w:rPr>
                <w:i/>
                <w:color w:val="000000"/>
                <w:sz w:val="18"/>
                <w:szCs w:val="18"/>
                <w:lang w:eastAsia="sk-SK"/>
              </w:rPr>
              <w:t>17,0</w:t>
            </w:r>
          </w:p>
        </w:tc>
      </w:tr>
      <w:tr w:rsidR="002F1D21" w:rsidRPr="001D03F0" w14:paraId="1C5A51BB" w14:textId="77777777" w:rsidTr="00FD0E0D">
        <w:trPr>
          <w:trHeight w:val="292"/>
        </w:trPr>
        <w:tc>
          <w:tcPr>
            <w:tcW w:w="3874" w:type="dxa"/>
            <w:tcBorders>
              <w:top w:val="nil"/>
              <w:left w:val="nil"/>
              <w:bottom w:val="nil"/>
              <w:right w:val="nil"/>
            </w:tcBorders>
            <w:shd w:val="clear" w:color="auto" w:fill="auto"/>
            <w:noWrap/>
            <w:vAlign w:val="center"/>
            <w:hideMark/>
          </w:tcPr>
          <w:p w14:paraId="505F68FD" w14:textId="77777777" w:rsidR="002F1D21" w:rsidRPr="001D03F0" w:rsidRDefault="002F1D21" w:rsidP="00FD0E0D">
            <w:pPr>
              <w:spacing w:after="0" w:line="240" w:lineRule="auto"/>
              <w:ind w:firstLineChars="100" w:firstLine="180"/>
              <w:rPr>
                <w:i/>
                <w:iCs/>
                <w:sz w:val="18"/>
                <w:szCs w:val="18"/>
                <w:lang w:eastAsia="sk-SK"/>
              </w:rPr>
            </w:pPr>
            <w:r w:rsidRPr="001D03F0">
              <w:rPr>
                <w:i/>
                <w:iCs/>
                <w:sz w:val="18"/>
                <w:szCs w:val="18"/>
                <w:lang w:eastAsia="sk-SK"/>
              </w:rPr>
              <w:t xml:space="preserve"> - Transfery NO, cirkvi, </w:t>
            </w:r>
            <w:proofErr w:type="spellStart"/>
            <w:r w:rsidRPr="001D03F0">
              <w:rPr>
                <w:i/>
                <w:iCs/>
                <w:sz w:val="18"/>
                <w:szCs w:val="18"/>
                <w:lang w:eastAsia="sk-SK"/>
              </w:rPr>
              <w:t>súkr</w:t>
            </w:r>
            <w:proofErr w:type="spellEnd"/>
            <w:r w:rsidRPr="001D03F0">
              <w:rPr>
                <w:i/>
                <w:iCs/>
                <w:sz w:val="18"/>
                <w:szCs w:val="18"/>
                <w:lang w:eastAsia="sk-SK"/>
              </w:rPr>
              <w:t>. školám a pod.</w:t>
            </w:r>
          </w:p>
        </w:tc>
        <w:tc>
          <w:tcPr>
            <w:tcW w:w="1050" w:type="dxa"/>
            <w:tcBorders>
              <w:top w:val="nil"/>
              <w:left w:val="nil"/>
              <w:bottom w:val="nil"/>
              <w:right w:val="nil"/>
            </w:tcBorders>
            <w:shd w:val="clear" w:color="auto" w:fill="auto"/>
            <w:noWrap/>
            <w:vAlign w:val="bottom"/>
            <w:hideMark/>
          </w:tcPr>
          <w:p w14:paraId="774B87ED"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435 490</w:t>
            </w:r>
          </w:p>
        </w:tc>
        <w:tc>
          <w:tcPr>
            <w:tcW w:w="1025" w:type="dxa"/>
            <w:tcBorders>
              <w:top w:val="nil"/>
              <w:left w:val="nil"/>
              <w:bottom w:val="nil"/>
              <w:right w:val="nil"/>
            </w:tcBorders>
            <w:shd w:val="clear" w:color="auto" w:fill="auto"/>
            <w:noWrap/>
            <w:vAlign w:val="bottom"/>
            <w:hideMark/>
          </w:tcPr>
          <w:p w14:paraId="27AA7D05"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490 982</w:t>
            </w:r>
          </w:p>
        </w:tc>
        <w:tc>
          <w:tcPr>
            <w:tcW w:w="1147" w:type="dxa"/>
            <w:tcBorders>
              <w:top w:val="nil"/>
              <w:left w:val="nil"/>
              <w:bottom w:val="nil"/>
              <w:right w:val="nil"/>
            </w:tcBorders>
            <w:shd w:val="clear" w:color="000000" w:fill="BFBFBF"/>
            <w:noWrap/>
            <w:vAlign w:val="bottom"/>
            <w:hideMark/>
          </w:tcPr>
          <w:p w14:paraId="528AEE46" w14:textId="77777777" w:rsidR="002F1D21" w:rsidRPr="00C00FE2" w:rsidRDefault="002F1D21" w:rsidP="00FD0E0D">
            <w:pPr>
              <w:spacing w:after="0" w:line="240" w:lineRule="auto"/>
              <w:jc w:val="right"/>
              <w:rPr>
                <w:i/>
                <w:sz w:val="18"/>
                <w:szCs w:val="18"/>
                <w:lang w:eastAsia="sk-SK"/>
              </w:rPr>
            </w:pPr>
            <w:r w:rsidRPr="00C00FE2">
              <w:rPr>
                <w:i/>
                <w:sz w:val="18"/>
                <w:szCs w:val="18"/>
                <w:lang w:eastAsia="sk-SK"/>
              </w:rPr>
              <w:t>574 477</w:t>
            </w:r>
          </w:p>
        </w:tc>
        <w:tc>
          <w:tcPr>
            <w:tcW w:w="999" w:type="dxa"/>
            <w:tcBorders>
              <w:top w:val="nil"/>
              <w:left w:val="nil"/>
              <w:bottom w:val="nil"/>
              <w:right w:val="nil"/>
            </w:tcBorders>
            <w:shd w:val="clear" w:color="auto" w:fill="auto"/>
            <w:noWrap/>
            <w:vAlign w:val="center"/>
            <w:hideMark/>
          </w:tcPr>
          <w:p w14:paraId="36E3DBE1"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535 483</w:t>
            </w:r>
          </w:p>
        </w:tc>
        <w:tc>
          <w:tcPr>
            <w:tcW w:w="949" w:type="dxa"/>
            <w:tcBorders>
              <w:top w:val="nil"/>
              <w:left w:val="nil"/>
              <w:bottom w:val="nil"/>
              <w:right w:val="nil"/>
            </w:tcBorders>
            <w:shd w:val="clear" w:color="auto" w:fill="auto"/>
            <w:noWrap/>
            <w:vAlign w:val="bottom"/>
            <w:hideMark/>
          </w:tcPr>
          <w:p w14:paraId="5E772885" w14:textId="77777777" w:rsidR="002F1D21" w:rsidRPr="00C00FE2" w:rsidRDefault="002F1D21" w:rsidP="00FD0E0D">
            <w:pPr>
              <w:tabs>
                <w:tab w:val="decimal" w:pos="345"/>
              </w:tabs>
              <w:spacing w:after="0" w:line="240" w:lineRule="auto"/>
              <w:jc w:val="center"/>
              <w:rPr>
                <w:i/>
                <w:color w:val="000000"/>
                <w:sz w:val="18"/>
                <w:szCs w:val="18"/>
                <w:lang w:eastAsia="sk-SK"/>
              </w:rPr>
            </w:pPr>
            <w:r w:rsidRPr="00C00FE2">
              <w:rPr>
                <w:i/>
                <w:color w:val="000000"/>
                <w:sz w:val="18"/>
                <w:szCs w:val="18"/>
                <w:lang w:eastAsia="sk-SK"/>
              </w:rPr>
              <w:t>17,0</w:t>
            </w:r>
          </w:p>
        </w:tc>
      </w:tr>
      <w:tr w:rsidR="002F1D21" w:rsidRPr="001D03F0" w14:paraId="305E5392" w14:textId="77777777" w:rsidTr="00FD0E0D">
        <w:trPr>
          <w:trHeight w:val="292"/>
        </w:trPr>
        <w:tc>
          <w:tcPr>
            <w:tcW w:w="3874" w:type="dxa"/>
            <w:tcBorders>
              <w:top w:val="nil"/>
              <w:left w:val="nil"/>
              <w:bottom w:val="nil"/>
              <w:right w:val="nil"/>
            </w:tcBorders>
            <w:shd w:val="clear" w:color="auto" w:fill="auto"/>
            <w:noWrap/>
            <w:vAlign w:val="center"/>
            <w:hideMark/>
          </w:tcPr>
          <w:p w14:paraId="4FFE3D7D" w14:textId="77777777" w:rsidR="002F1D21" w:rsidRPr="001D03F0" w:rsidRDefault="002F1D21" w:rsidP="00FD0E0D">
            <w:pPr>
              <w:spacing w:after="0" w:line="240" w:lineRule="auto"/>
              <w:ind w:firstLineChars="100" w:firstLine="180"/>
              <w:rPr>
                <w:i/>
                <w:iCs/>
                <w:color w:val="000000"/>
                <w:sz w:val="18"/>
                <w:szCs w:val="18"/>
                <w:lang w:eastAsia="sk-SK"/>
              </w:rPr>
            </w:pPr>
            <w:r w:rsidRPr="001D03F0">
              <w:rPr>
                <w:i/>
                <w:iCs/>
                <w:color w:val="000000"/>
                <w:sz w:val="18"/>
                <w:szCs w:val="18"/>
                <w:lang w:eastAsia="sk-SK"/>
              </w:rPr>
              <w:t xml:space="preserve"> - 2% z daní na verejnoprospešný účel</w:t>
            </w:r>
          </w:p>
        </w:tc>
        <w:tc>
          <w:tcPr>
            <w:tcW w:w="1050" w:type="dxa"/>
            <w:tcBorders>
              <w:top w:val="nil"/>
              <w:left w:val="nil"/>
              <w:bottom w:val="nil"/>
              <w:right w:val="nil"/>
            </w:tcBorders>
            <w:shd w:val="clear" w:color="auto" w:fill="auto"/>
            <w:noWrap/>
            <w:vAlign w:val="bottom"/>
            <w:hideMark/>
          </w:tcPr>
          <w:p w14:paraId="6789B3FB"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68 343</w:t>
            </w:r>
          </w:p>
        </w:tc>
        <w:tc>
          <w:tcPr>
            <w:tcW w:w="1025" w:type="dxa"/>
            <w:tcBorders>
              <w:top w:val="nil"/>
              <w:left w:val="nil"/>
              <w:bottom w:val="nil"/>
              <w:right w:val="nil"/>
            </w:tcBorders>
            <w:shd w:val="clear" w:color="auto" w:fill="auto"/>
            <w:noWrap/>
            <w:vAlign w:val="bottom"/>
            <w:hideMark/>
          </w:tcPr>
          <w:p w14:paraId="28CAA0A4"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73 071</w:t>
            </w:r>
          </w:p>
        </w:tc>
        <w:tc>
          <w:tcPr>
            <w:tcW w:w="1147" w:type="dxa"/>
            <w:tcBorders>
              <w:top w:val="nil"/>
              <w:left w:val="nil"/>
              <w:bottom w:val="nil"/>
              <w:right w:val="nil"/>
            </w:tcBorders>
            <w:shd w:val="clear" w:color="000000" w:fill="BFBFBF"/>
            <w:noWrap/>
            <w:vAlign w:val="bottom"/>
            <w:hideMark/>
          </w:tcPr>
          <w:p w14:paraId="0081821B" w14:textId="77777777" w:rsidR="002F1D21" w:rsidRPr="00C00FE2" w:rsidRDefault="002F1D21" w:rsidP="00FD0E0D">
            <w:pPr>
              <w:spacing w:after="0" w:line="240" w:lineRule="auto"/>
              <w:jc w:val="right"/>
              <w:rPr>
                <w:i/>
                <w:sz w:val="18"/>
                <w:szCs w:val="18"/>
                <w:lang w:eastAsia="sk-SK"/>
              </w:rPr>
            </w:pPr>
            <w:r w:rsidRPr="00C00FE2">
              <w:rPr>
                <w:i/>
                <w:sz w:val="18"/>
                <w:szCs w:val="18"/>
                <w:lang w:eastAsia="sk-SK"/>
              </w:rPr>
              <w:t>53 392</w:t>
            </w:r>
          </w:p>
        </w:tc>
        <w:tc>
          <w:tcPr>
            <w:tcW w:w="999" w:type="dxa"/>
            <w:tcBorders>
              <w:top w:val="nil"/>
              <w:left w:val="nil"/>
              <w:bottom w:val="nil"/>
              <w:right w:val="nil"/>
            </w:tcBorders>
            <w:shd w:val="clear" w:color="auto" w:fill="auto"/>
            <w:noWrap/>
            <w:vAlign w:val="center"/>
            <w:hideMark/>
          </w:tcPr>
          <w:p w14:paraId="03690713" w14:textId="77777777" w:rsidR="002F1D21" w:rsidRPr="00C00FE2" w:rsidRDefault="002F1D21" w:rsidP="00FD0E0D">
            <w:pPr>
              <w:spacing w:after="0" w:line="240" w:lineRule="auto"/>
              <w:jc w:val="right"/>
              <w:rPr>
                <w:i/>
                <w:color w:val="000000"/>
                <w:sz w:val="18"/>
                <w:szCs w:val="18"/>
                <w:lang w:eastAsia="sk-SK"/>
              </w:rPr>
            </w:pPr>
            <w:r w:rsidRPr="00C00FE2">
              <w:rPr>
                <w:i/>
                <w:color w:val="000000"/>
                <w:sz w:val="18"/>
                <w:szCs w:val="18"/>
                <w:lang w:eastAsia="sk-SK"/>
              </w:rPr>
              <w:t>75 964</w:t>
            </w:r>
          </w:p>
        </w:tc>
        <w:tc>
          <w:tcPr>
            <w:tcW w:w="949" w:type="dxa"/>
            <w:tcBorders>
              <w:top w:val="nil"/>
              <w:left w:val="nil"/>
              <w:bottom w:val="nil"/>
              <w:right w:val="nil"/>
            </w:tcBorders>
            <w:shd w:val="clear" w:color="auto" w:fill="auto"/>
            <w:noWrap/>
            <w:vAlign w:val="bottom"/>
            <w:hideMark/>
          </w:tcPr>
          <w:p w14:paraId="6F411F65" w14:textId="77777777" w:rsidR="002F1D21" w:rsidRPr="00C00FE2" w:rsidRDefault="002F1D21" w:rsidP="00FD0E0D">
            <w:pPr>
              <w:tabs>
                <w:tab w:val="decimal" w:pos="345"/>
              </w:tabs>
              <w:spacing w:after="0" w:line="240" w:lineRule="auto"/>
              <w:jc w:val="center"/>
              <w:rPr>
                <w:i/>
                <w:color w:val="000000"/>
                <w:sz w:val="18"/>
                <w:szCs w:val="18"/>
                <w:lang w:eastAsia="sk-SK"/>
              </w:rPr>
            </w:pPr>
            <w:r w:rsidRPr="00C00FE2">
              <w:rPr>
                <w:i/>
                <w:color w:val="000000"/>
                <w:sz w:val="18"/>
                <w:szCs w:val="18"/>
                <w:lang w:eastAsia="sk-SK"/>
              </w:rPr>
              <w:t>-26,9</w:t>
            </w:r>
          </w:p>
        </w:tc>
      </w:tr>
      <w:tr w:rsidR="002F1D21" w:rsidRPr="001D03F0" w14:paraId="28B99A1A" w14:textId="77777777" w:rsidTr="00FD0E0D">
        <w:trPr>
          <w:trHeight w:val="292"/>
        </w:trPr>
        <w:tc>
          <w:tcPr>
            <w:tcW w:w="3874" w:type="dxa"/>
            <w:tcBorders>
              <w:top w:val="nil"/>
              <w:left w:val="nil"/>
              <w:bottom w:val="nil"/>
              <w:right w:val="nil"/>
            </w:tcBorders>
            <w:shd w:val="clear" w:color="auto" w:fill="auto"/>
            <w:noWrap/>
            <w:vAlign w:val="center"/>
            <w:hideMark/>
          </w:tcPr>
          <w:p w14:paraId="2DB8D597" w14:textId="77777777" w:rsidR="002F1D21" w:rsidRPr="001D03F0" w:rsidRDefault="002F1D21" w:rsidP="00FD0E0D">
            <w:pPr>
              <w:spacing w:after="0" w:line="240" w:lineRule="auto"/>
              <w:ind w:firstLineChars="100" w:firstLine="180"/>
              <w:rPr>
                <w:b/>
                <w:bCs/>
                <w:color w:val="000000"/>
                <w:sz w:val="18"/>
                <w:szCs w:val="18"/>
                <w:lang w:eastAsia="sk-SK"/>
              </w:rPr>
            </w:pPr>
            <w:r w:rsidRPr="001D03F0">
              <w:rPr>
                <w:b/>
                <w:bCs/>
                <w:color w:val="000000"/>
                <w:sz w:val="18"/>
                <w:szCs w:val="18"/>
                <w:lang w:eastAsia="sk-SK"/>
              </w:rPr>
              <w:t>Kapitálové výdavky</w:t>
            </w:r>
          </w:p>
        </w:tc>
        <w:tc>
          <w:tcPr>
            <w:tcW w:w="1050" w:type="dxa"/>
            <w:tcBorders>
              <w:top w:val="nil"/>
              <w:left w:val="nil"/>
              <w:bottom w:val="nil"/>
              <w:right w:val="nil"/>
            </w:tcBorders>
            <w:shd w:val="clear" w:color="auto" w:fill="auto"/>
            <w:noWrap/>
            <w:vAlign w:val="center"/>
            <w:hideMark/>
          </w:tcPr>
          <w:p w14:paraId="26E6DB9F"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3 697 995</w:t>
            </w:r>
          </w:p>
        </w:tc>
        <w:tc>
          <w:tcPr>
            <w:tcW w:w="1025" w:type="dxa"/>
            <w:tcBorders>
              <w:top w:val="nil"/>
              <w:left w:val="nil"/>
              <w:bottom w:val="nil"/>
              <w:right w:val="nil"/>
            </w:tcBorders>
            <w:shd w:val="clear" w:color="auto" w:fill="auto"/>
            <w:noWrap/>
            <w:vAlign w:val="center"/>
            <w:hideMark/>
          </w:tcPr>
          <w:p w14:paraId="01842D78"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3 791 119</w:t>
            </w:r>
          </w:p>
        </w:tc>
        <w:tc>
          <w:tcPr>
            <w:tcW w:w="1147" w:type="dxa"/>
            <w:tcBorders>
              <w:top w:val="nil"/>
              <w:left w:val="nil"/>
              <w:bottom w:val="nil"/>
              <w:right w:val="nil"/>
            </w:tcBorders>
            <w:shd w:val="clear" w:color="000000" w:fill="BFBFBF"/>
            <w:noWrap/>
            <w:vAlign w:val="center"/>
            <w:hideMark/>
          </w:tcPr>
          <w:p w14:paraId="46D10BBE"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3 909 962</w:t>
            </w:r>
          </w:p>
        </w:tc>
        <w:tc>
          <w:tcPr>
            <w:tcW w:w="999" w:type="dxa"/>
            <w:tcBorders>
              <w:top w:val="nil"/>
              <w:left w:val="nil"/>
              <w:bottom w:val="nil"/>
              <w:right w:val="nil"/>
            </w:tcBorders>
            <w:shd w:val="clear" w:color="auto" w:fill="auto"/>
            <w:noWrap/>
            <w:vAlign w:val="center"/>
            <w:hideMark/>
          </w:tcPr>
          <w:p w14:paraId="5CBC45E0" w14:textId="77777777" w:rsidR="002F1D21" w:rsidRPr="001D03F0" w:rsidRDefault="002F1D21" w:rsidP="00FD0E0D">
            <w:pPr>
              <w:spacing w:after="0" w:line="240" w:lineRule="auto"/>
              <w:jc w:val="right"/>
              <w:rPr>
                <w:b/>
                <w:bCs/>
                <w:sz w:val="18"/>
                <w:szCs w:val="18"/>
                <w:lang w:eastAsia="sk-SK"/>
              </w:rPr>
            </w:pPr>
            <w:r w:rsidRPr="001D03F0">
              <w:rPr>
                <w:b/>
                <w:bCs/>
                <w:sz w:val="18"/>
                <w:szCs w:val="18"/>
                <w:lang w:eastAsia="sk-SK"/>
              </w:rPr>
              <w:t>4 604 004</w:t>
            </w:r>
          </w:p>
        </w:tc>
        <w:tc>
          <w:tcPr>
            <w:tcW w:w="949" w:type="dxa"/>
            <w:tcBorders>
              <w:top w:val="nil"/>
              <w:left w:val="nil"/>
              <w:bottom w:val="nil"/>
              <w:right w:val="nil"/>
            </w:tcBorders>
            <w:shd w:val="clear" w:color="auto" w:fill="auto"/>
            <w:noWrap/>
            <w:vAlign w:val="center"/>
            <w:hideMark/>
          </w:tcPr>
          <w:p w14:paraId="3DD17D1D" w14:textId="77777777" w:rsidR="002F1D21" w:rsidRPr="001D03F0" w:rsidRDefault="002F1D21" w:rsidP="00FD0E0D">
            <w:pPr>
              <w:tabs>
                <w:tab w:val="decimal" w:pos="345"/>
              </w:tabs>
              <w:spacing w:after="0" w:line="240" w:lineRule="auto"/>
              <w:jc w:val="center"/>
              <w:rPr>
                <w:b/>
                <w:bCs/>
                <w:sz w:val="18"/>
                <w:szCs w:val="18"/>
                <w:lang w:eastAsia="sk-SK"/>
              </w:rPr>
            </w:pPr>
            <w:r w:rsidRPr="001D03F0">
              <w:rPr>
                <w:b/>
                <w:bCs/>
                <w:sz w:val="18"/>
                <w:szCs w:val="18"/>
                <w:lang w:eastAsia="sk-SK"/>
              </w:rPr>
              <w:t>3,1</w:t>
            </w:r>
          </w:p>
        </w:tc>
      </w:tr>
      <w:tr w:rsidR="002F1D21" w:rsidRPr="001D03F0" w14:paraId="689EE45E" w14:textId="77777777" w:rsidTr="00FD0E0D">
        <w:trPr>
          <w:trHeight w:val="292"/>
        </w:trPr>
        <w:tc>
          <w:tcPr>
            <w:tcW w:w="3874" w:type="dxa"/>
            <w:tcBorders>
              <w:top w:val="nil"/>
              <w:left w:val="nil"/>
              <w:bottom w:val="nil"/>
              <w:right w:val="nil"/>
            </w:tcBorders>
            <w:shd w:val="clear" w:color="auto" w:fill="auto"/>
            <w:noWrap/>
            <w:vAlign w:val="center"/>
            <w:hideMark/>
          </w:tcPr>
          <w:p w14:paraId="7359A5BE" w14:textId="77777777" w:rsidR="002F1D21" w:rsidRPr="001D03F0" w:rsidRDefault="002F1D21" w:rsidP="00FD0E0D">
            <w:pPr>
              <w:spacing w:after="0" w:line="240" w:lineRule="auto"/>
              <w:ind w:firstLineChars="100" w:firstLine="180"/>
              <w:rPr>
                <w:color w:val="000000"/>
                <w:sz w:val="18"/>
                <w:szCs w:val="18"/>
                <w:lang w:eastAsia="sk-SK"/>
              </w:rPr>
            </w:pPr>
            <w:r w:rsidRPr="001D03F0">
              <w:rPr>
                <w:color w:val="000000"/>
                <w:sz w:val="18"/>
                <w:szCs w:val="18"/>
                <w:lang w:eastAsia="sk-SK"/>
              </w:rPr>
              <w:t>Kapitálové investície</w:t>
            </w:r>
          </w:p>
        </w:tc>
        <w:tc>
          <w:tcPr>
            <w:tcW w:w="1050" w:type="dxa"/>
            <w:tcBorders>
              <w:top w:val="nil"/>
              <w:left w:val="nil"/>
              <w:bottom w:val="nil"/>
              <w:right w:val="nil"/>
            </w:tcBorders>
            <w:shd w:val="clear" w:color="auto" w:fill="auto"/>
            <w:noWrap/>
            <w:vAlign w:val="bottom"/>
            <w:hideMark/>
          </w:tcPr>
          <w:p w14:paraId="5138631B"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3 390 080</w:t>
            </w:r>
          </w:p>
        </w:tc>
        <w:tc>
          <w:tcPr>
            <w:tcW w:w="1025" w:type="dxa"/>
            <w:tcBorders>
              <w:top w:val="nil"/>
              <w:left w:val="nil"/>
              <w:bottom w:val="nil"/>
              <w:right w:val="nil"/>
            </w:tcBorders>
            <w:shd w:val="clear" w:color="auto" w:fill="auto"/>
            <w:noWrap/>
            <w:vAlign w:val="bottom"/>
            <w:hideMark/>
          </w:tcPr>
          <w:p w14:paraId="7B3EF106"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3 426 108</w:t>
            </w:r>
          </w:p>
        </w:tc>
        <w:tc>
          <w:tcPr>
            <w:tcW w:w="1147" w:type="dxa"/>
            <w:tcBorders>
              <w:top w:val="nil"/>
              <w:left w:val="nil"/>
              <w:bottom w:val="nil"/>
              <w:right w:val="nil"/>
            </w:tcBorders>
            <w:shd w:val="clear" w:color="000000" w:fill="BFBFBF"/>
            <w:noWrap/>
            <w:vAlign w:val="bottom"/>
            <w:hideMark/>
          </w:tcPr>
          <w:p w14:paraId="38B17ACD" w14:textId="77777777" w:rsidR="002F1D21" w:rsidRPr="001D03F0" w:rsidRDefault="002F1D21" w:rsidP="00FD0E0D">
            <w:pPr>
              <w:spacing w:after="0" w:line="240" w:lineRule="auto"/>
              <w:jc w:val="right"/>
              <w:rPr>
                <w:sz w:val="18"/>
                <w:szCs w:val="18"/>
                <w:lang w:eastAsia="sk-SK"/>
              </w:rPr>
            </w:pPr>
            <w:r w:rsidRPr="001D03F0">
              <w:rPr>
                <w:sz w:val="18"/>
                <w:szCs w:val="18"/>
                <w:lang w:eastAsia="sk-SK"/>
              </w:rPr>
              <w:t>3 327 773</w:t>
            </w:r>
          </w:p>
        </w:tc>
        <w:tc>
          <w:tcPr>
            <w:tcW w:w="999" w:type="dxa"/>
            <w:tcBorders>
              <w:top w:val="nil"/>
              <w:left w:val="nil"/>
              <w:bottom w:val="nil"/>
              <w:right w:val="nil"/>
            </w:tcBorders>
            <w:shd w:val="clear" w:color="auto" w:fill="auto"/>
            <w:noWrap/>
            <w:vAlign w:val="bottom"/>
            <w:hideMark/>
          </w:tcPr>
          <w:p w14:paraId="0BC0DBA0"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3 922 792</w:t>
            </w:r>
          </w:p>
        </w:tc>
        <w:tc>
          <w:tcPr>
            <w:tcW w:w="949" w:type="dxa"/>
            <w:tcBorders>
              <w:top w:val="nil"/>
              <w:left w:val="nil"/>
              <w:bottom w:val="nil"/>
              <w:right w:val="nil"/>
            </w:tcBorders>
            <w:shd w:val="clear" w:color="auto" w:fill="auto"/>
            <w:noWrap/>
            <w:vAlign w:val="bottom"/>
            <w:hideMark/>
          </w:tcPr>
          <w:p w14:paraId="00B631BE" w14:textId="77777777" w:rsidR="002F1D21" w:rsidRPr="001D03F0" w:rsidRDefault="002F1D21" w:rsidP="00FD0E0D">
            <w:pPr>
              <w:tabs>
                <w:tab w:val="decimal" w:pos="345"/>
              </w:tabs>
              <w:spacing w:after="0" w:line="240" w:lineRule="auto"/>
              <w:jc w:val="center"/>
              <w:rPr>
                <w:color w:val="000000"/>
                <w:sz w:val="18"/>
                <w:szCs w:val="18"/>
                <w:lang w:eastAsia="sk-SK"/>
              </w:rPr>
            </w:pPr>
            <w:r w:rsidRPr="001D03F0">
              <w:rPr>
                <w:color w:val="000000"/>
                <w:sz w:val="18"/>
                <w:szCs w:val="18"/>
                <w:lang w:eastAsia="sk-SK"/>
              </w:rPr>
              <w:t>-2,9</w:t>
            </w:r>
          </w:p>
        </w:tc>
      </w:tr>
      <w:tr w:rsidR="002F1D21" w:rsidRPr="001D03F0" w14:paraId="53D2A546" w14:textId="77777777" w:rsidTr="00FD0E0D">
        <w:trPr>
          <w:trHeight w:val="292"/>
        </w:trPr>
        <w:tc>
          <w:tcPr>
            <w:tcW w:w="3874" w:type="dxa"/>
            <w:tcBorders>
              <w:top w:val="nil"/>
              <w:left w:val="nil"/>
              <w:bottom w:val="nil"/>
              <w:right w:val="nil"/>
            </w:tcBorders>
            <w:shd w:val="clear" w:color="auto" w:fill="auto"/>
            <w:noWrap/>
            <w:vAlign w:val="center"/>
            <w:hideMark/>
          </w:tcPr>
          <w:p w14:paraId="32ABD9A5" w14:textId="77777777" w:rsidR="002F1D21" w:rsidRPr="001D03F0" w:rsidRDefault="002F1D21" w:rsidP="00FD0E0D">
            <w:pPr>
              <w:spacing w:after="0" w:line="240" w:lineRule="auto"/>
              <w:ind w:firstLineChars="100" w:firstLine="180"/>
              <w:rPr>
                <w:color w:val="000000"/>
                <w:sz w:val="18"/>
                <w:szCs w:val="18"/>
                <w:lang w:eastAsia="sk-SK"/>
              </w:rPr>
            </w:pPr>
            <w:r w:rsidRPr="001D03F0">
              <w:rPr>
                <w:color w:val="000000"/>
                <w:sz w:val="18"/>
                <w:szCs w:val="18"/>
                <w:lang w:eastAsia="sk-SK"/>
              </w:rPr>
              <w:t xml:space="preserve"> - Tvorba hrubého fixného kapitálu</w:t>
            </w:r>
          </w:p>
        </w:tc>
        <w:tc>
          <w:tcPr>
            <w:tcW w:w="1050" w:type="dxa"/>
            <w:tcBorders>
              <w:top w:val="nil"/>
              <w:left w:val="nil"/>
              <w:bottom w:val="nil"/>
              <w:right w:val="nil"/>
            </w:tcBorders>
            <w:shd w:val="clear" w:color="auto" w:fill="auto"/>
            <w:noWrap/>
            <w:vAlign w:val="bottom"/>
            <w:hideMark/>
          </w:tcPr>
          <w:p w14:paraId="05C958AD"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3 348 305</w:t>
            </w:r>
          </w:p>
        </w:tc>
        <w:tc>
          <w:tcPr>
            <w:tcW w:w="1025" w:type="dxa"/>
            <w:tcBorders>
              <w:top w:val="nil"/>
              <w:left w:val="nil"/>
              <w:bottom w:val="nil"/>
              <w:right w:val="nil"/>
            </w:tcBorders>
            <w:shd w:val="clear" w:color="auto" w:fill="auto"/>
            <w:noWrap/>
            <w:vAlign w:val="bottom"/>
            <w:hideMark/>
          </w:tcPr>
          <w:p w14:paraId="185B8E23"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3 350 365</w:t>
            </w:r>
          </w:p>
        </w:tc>
        <w:tc>
          <w:tcPr>
            <w:tcW w:w="1147" w:type="dxa"/>
            <w:tcBorders>
              <w:top w:val="nil"/>
              <w:left w:val="nil"/>
              <w:bottom w:val="nil"/>
              <w:right w:val="nil"/>
            </w:tcBorders>
            <w:shd w:val="clear" w:color="000000" w:fill="BFBFBF"/>
            <w:noWrap/>
            <w:vAlign w:val="bottom"/>
            <w:hideMark/>
          </w:tcPr>
          <w:p w14:paraId="0B688B6B" w14:textId="77777777" w:rsidR="002F1D21" w:rsidRPr="001D03F0" w:rsidRDefault="002F1D21" w:rsidP="00FD0E0D">
            <w:pPr>
              <w:spacing w:after="0" w:line="240" w:lineRule="auto"/>
              <w:jc w:val="right"/>
              <w:rPr>
                <w:sz w:val="18"/>
                <w:szCs w:val="18"/>
                <w:lang w:eastAsia="sk-SK"/>
              </w:rPr>
            </w:pPr>
            <w:r w:rsidRPr="001D03F0">
              <w:rPr>
                <w:sz w:val="18"/>
                <w:szCs w:val="18"/>
                <w:lang w:eastAsia="sk-SK"/>
              </w:rPr>
              <w:t>3 190 893</w:t>
            </w:r>
          </w:p>
        </w:tc>
        <w:tc>
          <w:tcPr>
            <w:tcW w:w="999" w:type="dxa"/>
            <w:tcBorders>
              <w:top w:val="nil"/>
              <w:left w:val="nil"/>
              <w:bottom w:val="nil"/>
              <w:right w:val="nil"/>
            </w:tcBorders>
            <w:shd w:val="clear" w:color="auto" w:fill="auto"/>
            <w:noWrap/>
            <w:vAlign w:val="center"/>
            <w:hideMark/>
          </w:tcPr>
          <w:p w14:paraId="44B92BE9"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3 804 543</w:t>
            </w:r>
          </w:p>
        </w:tc>
        <w:tc>
          <w:tcPr>
            <w:tcW w:w="949" w:type="dxa"/>
            <w:tcBorders>
              <w:top w:val="nil"/>
              <w:left w:val="nil"/>
              <w:bottom w:val="nil"/>
              <w:right w:val="nil"/>
            </w:tcBorders>
            <w:shd w:val="clear" w:color="auto" w:fill="auto"/>
            <w:noWrap/>
            <w:vAlign w:val="bottom"/>
            <w:hideMark/>
          </w:tcPr>
          <w:p w14:paraId="0ED671A6" w14:textId="77777777" w:rsidR="002F1D21" w:rsidRPr="001D03F0" w:rsidRDefault="002F1D21" w:rsidP="00FD0E0D">
            <w:pPr>
              <w:tabs>
                <w:tab w:val="decimal" w:pos="345"/>
              </w:tabs>
              <w:spacing w:after="0" w:line="240" w:lineRule="auto"/>
              <w:jc w:val="center"/>
              <w:rPr>
                <w:color w:val="000000"/>
                <w:sz w:val="18"/>
                <w:szCs w:val="18"/>
                <w:lang w:eastAsia="sk-SK"/>
              </w:rPr>
            </w:pPr>
            <w:r w:rsidRPr="001D03F0">
              <w:rPr>
                <w:color w:val="000000"/>
                <w:sz w:val="18"/>
                <w:szCs w:val="18"/>
                <w:lang w:eastAsia="sk-SK"/>
              </w:rPr>
              <w:t>-4,8</w:t>
            </w:r>
          </w:p>
        </w:tc>
      </w:tr>
      <w:tr w:rsidR="002F1D21" w:rsidRPr="00CB4DD9" w14:paraId="3D819D33" w14:textId="77777777" w:rsidTr="00FD0E0D">
        <w:trPr>
          <w:trHeight w:val="292"/>
        </w:trPr>
        <w:tc>
          <w:tcPr>
            <w:tcW w:w="3874" w:type="dxa"/>
            <w:tcBorders>
              <w:top w:val="nil"/>
              <w:left w:val="nil"/>
              <w:bottom w:val="nil"/>
              <w:right w:val="nil"/>
            </w:tcBorders>
            <w:shd w:val="clear" w:color="auto" w:fill="auto"/>
            <w:noWrap/>
            <w:vAlign w:val="center"/>
            <w:hideMark/>
          </w:tcPr>
          <w:p w14:paraId="3D53AA93" w14:textId="77777777" w:rsidR="0050764C" w:rsidRDefault="002F1D21" w:rsidP="00FD0E0D">
            <w:pPr>
              <w:spacing w:after="0" w:line="240" w:lineRule="auto"/>
              <w:ind w:firstLineChars="100" w:firstLine="180"/>
              <w:rPr>
                <w:color w:val="000000"/>
                <w:sz w:val="18"/>
                <w:szCs w:val="18"/>
                <w:lang w:eastAsia="sk-SK"/>
              </w:rPr>
            </w:pPr>
            <w:r w:rsidRPr="001D03F0">
              <w:rPr>
                <w:color w:val="000000"/>
                <w:sz w:val="18"/>
                <w:szCs w:val="18"/>
                <w:lang w:eastAsia="sk-SK"/>
              </w:rPr>
              <w:t xml:space="preserve"> -</w:t>
            </w:r>
            <w:r>
              <w:rPr>
                <w:color w:val="000000"/>
                <w:sz w:val="18"/>
                <w:szCs w:val="18"/>
                <w:lang w:eastAsia="sk-SK"/>
              </w:rPr>
              <w:t xml:space="preserve"> Zmena st. </w:t>
            </w:r>
            <w:proofErr w:type="spellStart"/>
            <w:r>
              <w:rPr>
                <w:color w:val="000000"/>
                <w:sz w:val="18"/>
                <w:szCs w:val="18"/>
                <w:lang w:eastAsia="sk-SK"/>
              </w:rPr>
              <w:t>zásob+Nadobudnutie-</w:t>
            </w:r>
            <w:r w:rsidRPr="001D03F0">
              <w:rPr>
                <w:color w:val="000000"/>
                <w:sz w:val="18"/>
                <w:szCs w:val="18"/>
                <w:lang w:eastAsia="sk-SK"/>
              </w:rPr>
              <w:t>Úbytok</w:t>
            </w:r>
            <w:proofErr w:type="spellEnd"/>
            <w:r w:rsidRPr="001D03F0">
              <w:rPr>
                <w:color w:val="000000"/>
                <w:sz w:val="18"/>
                <w:szCs w:val="18"/>
                <w:lang w:eastAsia="sk-SK"/>
              </w:rPr>
              <w:t xml:space="preserve"> </w:t>
            </w:r>
            <w:r w:rsidR="0050764C">
              <w:rPr>
                <w:color w:val="000000"/>
                <w:sz w:val="18"/>
                <w:szCs w:val="18"/>
                <w:lang w:eastAsia="sk-SK"/>
              </w:rPr>
              <w:t xml:space="preserve">      </w:t>
            </w:r>
          </w:p>
          <w:p w14:paraId="531B6291" w14:textId="31C7C0E1" w:rsidR="002F1D21" w:rsidRPr="001D03F0" w:rsidRDefault="0050764C" w:rsidP="00FD0E0D">
            <w:pPr>
              <w:spacing w:after="0" w:line="240" w:lineRule="auto"/>
              <w:ind w:firstLineChars="100" w:firstLine="180"/>
              <w:rPr>
                <w:color w:val="000000"/>
                <w:sz w:val="18"/>
                <w:szCs w:val="18"/>
                <w:lang w:eastAsia="sk-SK"/>
              </w:rPr>
            </w:pPr>
            <w:r>
              <w:rPr>
                <w:color w:val="000000"/>
                <w:sz w:val="18"/>
                <w:szCs w:val="18"/>
                <w:lang w:eastAsia="sk-SK"/>
              </w:rPr>
              <w:t xml:space="preserve">   </w:t>
            </w:r>
            <w:r w:rsidR="002F1D21" w:rsidRPr="001D03F0">
              <w:rPr>
                <w:color w:val="000000"/>
                <w:sz w:val="18"/>
                <w:szCs w:val="18"/>
                <w:lang w:eastAsia="sk-SK"/>
              </w:rPr>
              <w:t>cenností</w:t>
            </w:r>
          </w:p>
        </w:tc>
        <w:tc>
          <w:tcPr>
            <w:tcW w:w="1050" w:type="dxa"/>
            <w:tcBorders>
              <w:top w:val="nil"/>
              <w:left w:val="nil"/>
              <w:bottom w:val="nil"/>
              <w:right w:val="nil"/>
            </w:tcBorders>
            <w:shd w:val="clear" w:color="auto" w:fill="auto"/>
            <w:noWrap/>
            <w:vAlign w:val="bottom"/>
            <w:hideMark/>
          </w:tcPr>
          <w:p w14:paraId="5CA14358" w14:textId="1B595EB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21</w:t>
            </w:r>
            <w:r w:rsidR="0050764C">
              <w:rPr>
                <w:color w:val="000000"/>
                <w:sz w:val="18"/>
                <w:szCs w:val="18"/>
                <w:lang w:eastAsia="sk-SK"/>
              </w:rPr>
              <w:t> </w:t>
            </w:r>
            <w:r w:rsidRPr="001D03F0">
              <w:rPr>
                <w:color w:val="000000"/>
                <w:sz w:val="18"/>
                <w:szCs w:val="18"/>
                <w:lang w:eastAsia="sk-SK"/>
              </w:rPr>
              <w:t>239</w:t>
            </w:r>
          </w:p>
        </w:tc>
        <w:tc>
          <w:tcPr>
            <w:tcW w:w="1025" w:type="dxa"/>
            <w:tcBorders>
              <w:top w:val="nil"/>
              <w:left w:val="nil"/>
              <w:bottom w:val="nil"/>
              <w:right w:val="nil"/>
            </w:tcBorders>
            <w:shd w:val="clear" w:color="auto" w:fill="auto"/>
            <w:noWrap/>
            <w:vAlign w:val="bottom"/>
            <w:hideMark/>
          </w:tcPr>
          <w:p w14:paraId="31A16BAC" w14:textId="7E65771B"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5</w:t>
            </w:r>
            <w:r w:rsidR="0050764C">
              <w:rPr>
                <w:color w:val="000000"/>
                <w:sz w:val="18"/>
                <w:szCs w:val="18"/>
                <w:lang w:eastAsia="sk-SK"/>
              </w:rPr>
              <w:t> </w:t>
            </w:r>
            <w:r w:rsidRPr="001D03F0">
              <w:rPr>
                <w:color w:val="000000"/>
                <w:sz w:val="18"/>
                <w:szCs w:val="18"/>
                <w:lang w:eastAsia="sk-SK"/>
              </w:rPr>
              <w:t>256</w:t>
            </w:r>
          </w:p>
        </w:tc>
        <w:tc>
          <w:tcPr>
            <w:tcW w:w="1147" w:type="dxa"/>
            <w:tcBorders>
              <w:top w:val="nil"/>
              <w:left w:val="nil"/>
              <w:bottom w:val="nil"/>
              <w:right w:val="nil"/>
            </w:tcBorders>
            <w:shd w:val="clear" w:color="000000" w:fill="BFBFBF"/>
            <w:noWrap/>
            <w:vAlign w:val="bottom"/>
            <w:hideMark/>
          </w:tcPr>
          <w:p w14:paraId="18AC841F" w14:textId="77777777" w:rsidR="002F1D21" w:rsidRPr="001D03F0" w:rsidRDefault="002F1D21" w:rsidP="00FD0E0D">
            <w:pPr>
              <w:spacing w:after="0" w:line="240" w:lineRule="auto"/>
              <w:jc w:val="right"/>
              <w:rPr>
                <w:sz w:val="18"/>
                <w:szCs w:val="18"/>
                <w:lang w:eastAsia="sk-SK"/>
              </w:rPr>
            </w:pPr>
            <w:r w:rsidRPr="001D03F0">
              <w:rPr>
                <w:sz w:val="18"/>
                <w:szCs w:val="18"/>
                <w:lang w:eastAsia="sk-SK"/>
              </w:rPr>
              <w:t>137 232</w:t>
            </w:r>
          </w:p>
        </w:tc>
        <w:tc>
          <w:tcPr>
            <w:tcW w:w="999" w:type="dxa"/>
            <w:tcBorders>
              <w:top w:val="nil"/>
              <w:left w:val="nil"/>
              <w:bottom w:val="nil"/>
              <w:right w:val="nil"/>
            </w:tcBorders>
            <w:shd w:val="clear" w:color="auto" w:fill="auto"/>
            <w:noWrap/>
            <w:vAlign w:val="bottom"/>
            <w:hideMark/>
          </w:tcPr>
          <w:p w14:paraId="2D555C8C"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144 658</w:t>
            </w:r>
          </w:p>
        </w:tc>
        <w:tc>
          <w:tcPr>
            <w:tcW w:w="949" w:type="dxa"/>
            <w:tcBorders>
              <w:top w:val="nil"/>
              <w:left w:val="nil"/>
              <w:bottom w:val="nil"/>
              <w:right w:val="nil"/>
            </w:tcBorders>
            <w:shd w:val="clear" w:color="auto" w:fill="auto"/>
            <w:noWrap/>
            <w:vAlign w:val="bottom"/>
            <w:hideMark/>
          </w:tcPr>
          <w:p w14:paraId="3ECC450B" w14:textId="77777777" w:rsidR="002F1D21" w:rsidRPr="00CB4DD9" w:rsidRDefault="002F1D21" w:rsidP="00FD0E0D">
            <w:pPr>
              <w:tabs>
                <w:tab w:val="decimal" w:pos="345"/>
              </w:tabs>
              <w:spacing w:after="0" w:line="240" w:lineRule="auto"/>
              <w:jc w:val="center"/>
              <w:rPr>
                <w:color w:val="000000"/>
                <w:sz w:val="18"/>
                <w:szCs w:val="18"/>
                <w:lang w:eastAsia="sk-SK"/>
              </w:rPr>
            </w:pPr>
            <w:r w:rsidRPr="00CB4DD9">
              <w:rPr>
                <w:color w:val="000000"/>
                <w:sz w:val="18"/>
                <w:szCs w:val="18"/>
                <w:lang w:eastAsia="sk-SK"/>
              </w:rPr>
              <w:t>2 511,0</w:t>
            </w:r>
          </w:p>
        </w:tc>
      </w:tr>
      <w:tr w:rsidR="002F1D21" w:rsidRPr="001D03F0" w14:paraId="735D8D45" w14:textId="77777777" w:rsidTr="00FD0E0D">
        <w:trPr>
          <w:trHeight w:val="292"/>
        </w:trPr>
        <w:tc>
          <w:tcPr>
            <w:tcW w:w="3874" w:type="dxa"/>
            <w:tcBorders>
              <w:top w:val="nil"/>
              <w:left w:val="nil"/>
              <w:bottom w:val="nil"/>
              <w:right w:val="nil"/>
            </w:tcBorders>
            <w:shd w:val="clear" w:color="auto" w:fill="auto"/>
            <w:noWrap/>
            <w:vAlign w:val="center"/>
            <w:hideMark/>
          </w:tcPr>
          <w:p w14:paraId="30787E14" w14:textId="6D7D2FFF" w:rsidR="002F1D21" w:rsidRPr="001D03F0" w:rsidRDefault="002F1D21" w:rsidP="00FD0E0D">
            <w:pPr>
              <w:spacing w:after="0" w:line="240" w:lineRule="auto"/>
              <w:ind w:firstLineChars="100" w:firstLine="180"/>
              <w:rPr>
                <w:color w:val="000000"/>
                <w:sz w:val="18"/>
                <w:szCs w:val="18"/>
                <w:lang w:eastAsia="sk-SK"/>
              </w:rPr>
            </w:pPr>
            <w:r w:rsidRPr="001D03F0">
              <w:rPr>
                <w:color w:val="000000"/>
                <w:sz w:val="18"/>
                <w:szCs w:val="18"/>
                <w:lang w:eastAsia="sk-SK"/>
              </w:rPr>
              <w:t xml:space="preserve"> - </w:t>
            </w:r>
            <w:proofErr w:type="spellStart"/>
            <w:r w:rsidRPr="001D03F0">
              <w:rPr>
                <w:color w:val="000000"/>
                <w:sz w:val="18"/>
                <w:szCs w:val="18"/>
                <w:lang w:eastAsia="sk-SK"/>
              </w:rPr>
              <w:t>Nadobud</w:t>
            </w:r>
            <w:proofErr w:type="spellEnd"/>
            <w:r w:rsidRPr="001D03F0">
              <w:rPr>
                <w:color w:val="000000"/>
                <w:sz w:val="18"/>
                <w:szCs w:val="18"/>
                <w:lang w:eastAsia="sk-SK"/>
              </w:rPr>
              <w:t xml:space="preserve">. mínus úbytok </w:t>
            </w:r>
            <w:proofErr w:type="spellStart"/>
            <w:r w:rsidRPr="001D03F0">
              <w:rPr>
                <w:color w:val="000000"/>
                <w:sz w:val="18"/>
                <w:szCs w:val="18"/>
                <w:lang w:eastAsia="sk-SK"/>
              </w:rPr>
              <w:t>nef</w:t>
            </w:r>
            <w:r w:rsidR="0050764C">
              <w:rPr>
                <w:color w:val="000000"/>
                <w:sz w:val="18"/>
                <w:szCs w:val="18"/>
                <w:lang w:eastAsia="sk-SK"/>
              </w:rPr>
              <w:t>in</w:t>
            </w:r>
            <w:proofErr w:type="spellEnd"/>
            <w:r w:rsidRPr="001D03F0">
              <w:rPr>
                <w:color w:val="000000"/>
                <w:sz w:val="18"/>
                <w:szCs w:val="18"/>
                <w:lang w:eastAsia="sk-SK"/>
              </w:rPr>
              <w:t xml:space="preserve">. </w:t>
            </w:r>
            <w:proofErr w:type="spellStart"/>
            <w:r w:rsidRPr="001D03F0">
              <w:rPr>
                <w:color w:val="000000"/>
                <w:sz w:val="18"/>
                <w:szCs w:val="18"/>
                <w:lang w:eastAsia="sk-SK"/>
              </w:rPr>
              <w:t>neproduk</w:t>
            </w:r>
            <w:proofErr w:type="spellEnd"/>
            <w:r w:rsidRPr="001D03F0">
              <w:rPr>
                <w:color w:val="000000"/>
                <w:sz w:val="18"/>
                <w:szCs w:val="18"/>
                <w:lang w:eastAsia="sk-SK"/>
              </w:rPr>
              <w:t>. aktív</w:t>
            </w:r>
          </w:p>
        </w:tc>
        <w:tc>
          <w:tcPr>
            <w:tcW w:w="1050" w:type="dxa"/>
            <w:tcBorders>
              <w:top w:val="nil"/>
              <w:left w:val="nil"/>
              <w:bottom w:val="nil"/>
              <w:right w:val="nil"/>
            </w:tcBorders>
            <w:shd w:val="clear" w:color="auto" w:fill="auto"/>
            <w:noWrap/>
            <w:vAlign w:val="bottom"/>
            <w:hideMark/>
          </w:tcPr>
          <w:p w14:paraId="198982DC"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20 536</w:t>
            </w:r>
          </w:p>
        </w:tc>
        <w:tc>
          <w:tcPr>
            <w:tcW w:w="1025" w:type="dxa"/>
            <w:tcBorders>
              <w:top w:val="nil"/>
              <w:left w:val="nil"/>
              <w:bottom w:val="nil"/>
              <w:right w:val="nil"/>
            </w:tcBorders>
            <w:shd w:val="clear" w:color="auto" w:fill="auto"/>
            <w:noWrap/>
            <w:vAlign w:val="bottom"/>
            <w:hideMark/>
          </w:tcPr>
          <w:p w14:paraId="4B6DF13C"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70 487</w:t>
            </w:r>
          </w:p>
        </w:tc>
        <w:tc>
          <w:tcPr>
            <w:tcW w:w="1147" w:type="dxa"/>
            <w:tcBorders>
              <w:top w:val="nil"/>
              <w:left w:val="nil"/>
              <w:bottom w:val="nil"/>
              <w:right w:val="nil"/>
            </w:tcBorders>
            <w:shd w:val="clear" w:color="000000" w:fill="BFBFBF"/>
            <w:noWrap/>
            <w:vAlign w:val="bottom"/>
            <w:hideMark/>
          </w:tcPr>
          <w:p w14:paraId="53CC774B" w14:textId="77777777" w:rsidR="002F1D21" w:rsidRPr="001D03F0" w:rsidRDefault="002F1D21" w:rsidP="00FD0E0D">
            <w:pPr>
              <w:spacing w:after="0" w:line="240" w:lineRule="auto"/>
              <w:jc w:val="right"/>
              <w:rPr>
                <w:sz w:val="18"/>
                <w:szCs w:val="18"/>
                <w:lang w:eastAsia="sk-SK"/>
              </w:rPr>
            </w:pPr>
            <w:r w:rsidRPr="001D03F0">
              <w:rPr>
                <w:sz w:val="18"/>
                <w:szCs w:val="18"/>
                <w:lang w:eastAsia="sk-SK"/>
              </w:rPr>
              <w:t>-352</w:t>
            </w:r>
          </w:p>
        </w:tc>
        <w:tc>
          <w:tcPr>
            <w:tcW w:w="999" w:type="dxa"/>
            <w:tcBorders>
              <w:top w:val="nil"/>
              <w:left w:val="nil"/>
              <w:bottom w:val="nil"/>
              <w:right w:val="nil"/>
            </w:tcBorders>
            <w:shd w:val="clear" w:color="auto" w:fill="auto"/>
            <w:noWrap/>
            <w:vAlign w:val="center"/>
            <w:hideMark/>
          </w:tcPr>
          <w:p w14:paraId="660952AF"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-26 409</w:t>
            </w:r>
          </w:p>
        </w:tc>
        <w:tc>
          <w:tcPr>
            <w:tcW w:w="949" w:type="dxa"/>
            <w:tcBorders>
              <w:top w:val="nil"/>
              <w:left w:val="nil"/>
              <w:bottom w:val="nil"/>
              <w:right w:val="nil"/>
            </w:tcBorders>
            <w:shd w:val="clear" w:color="auto" w:fill="auto"/>
            <w:noWrap/>
            <w:vAlign w:val="bottom"/>
            <w:hideMark/>
          </w:tcPr>
          <w:p w14:paraId="0EB5E6A2" w14:textId="77777777" w:rsidR="002F1D21" w:rsidRPr="00CB4DD9" w:rsidRDefault="002F1D21" w:rsidP="00FD0E0D">
            <w:pPr>
              <w:tabs>
                <w:tab w:val="decimal" w:pos="345"/>
              </w:tabs>
              <w:spacing w:after="0" w:line="240" w:lineRule="auto"/>
              <w:jc w:val="center"/>
              <w:rPr>
                <w:color w:val="000000"/>
                <w:sz w:val="18"/>
                <w:szCs w:val="18"/>
                <w:lang w:eastAsia="sk-SK"/>
              </w:rPr>
            </w:pPr>
            <w:r w:rsidRPr="00CB4DD9">
              <w:rPr>
                <w:color w:val="000000"/>
                <w:sz w:val="18"/>
                <w:szCs w:val="18"/>
                <w:lang w:eastAsia="sk-SK"/>
              </w:rPr>
              <w:t>-100,5</w:t>
            </w:r>
          </w:p>
        </w:tc>
      </w:tr>
      <w:tr w:rsidR="002F1D21" w:rsidRPr="001D03F0" w14:paraId="25B8DD3A" w14:textId="77777777" w:rsidTr="00FD0E0D">
        <w:trPr>
          <w:trHeight w:val="292"/>
        </w:trPr>
        <w:tc>
          <w:tcPr>
            <w:tcW w:w="3874" w:type="dxa"/>
            <w:tcBorders>
              <w:top w:val="nil"/>
              <w:left w:val="nil"/>
              <w:bottom w:val="nil"/>
              <w:right w:val="nil"/>
            </w:tcBorders>
            <w:shd w:val="clear" w:color="auto" w:fill="auto"/>
            <w:noWrap/>
            <w:vAlign w:val="center"/>
            <w:hideMark/>
          </w:tcPr>
          <w:p w14:paraId="670187A6" w14:textId="77777777" w:rsidR="002F1D21" w:rsidRPr="001D03F0" w:rsidRDefault="002F1D21" w:rsidP="00FD0E0D">
            <w:pPr>
              <w:spacing w:after="0" w:line="240" w:lineRule="auto"/>
              <w:ind w:firstLineChars="100" w:firstLine="180"/>
              <w:rPr>
                <w:color w:val="000000"/>
                <w:sz w:val="18"/>
                <w:szCs w:val="18"/>
                <w:lang w:eastAsia="sk-SK"/>
              </w:rPr>
            </w:pPr>
            <w:r w:rsidRPr="001D03F0">
              <w:rPr>
                <w:color w:val="000000"/>
                <w:sz w:val="18"/>
                <w:szCs w:val="18"/>
                <w:lang w:eastAsia="sk-SK"/>
              </w:rPr>
              <w:t>Kapitálové transfery</w:t>
            </w:r>
          </w:p>
        </w:tc>
        <w:tc>
          <w:tcPr>
            <w:tcW w:w="1050" w:type="dxa"/>
            <w:tcBorders>
              <w:top w:val="nil"/>
              <w:left w:val="nil"/>
              <w:bottom w:val="nil"/>
              <w:right w:val="nil"/>
            </w:tcBorders>
            <w:shd w:val="clear" w:color="auto" w:fill="auto"/>
            <w:noWrap/>
            <w:vAlign w:val="bottom"/>
            <w:hideMark/>
          </w:tcPr>
          <w:p w14:paraId="40BDE79C"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307 915</w:t>
            </w:r>
          </w:p>
        </w:tc>
        <w:tc>
          <w:tcPr>
            <w:tcW w:w="1025" w:type="dxa"/>
            <w:tcBorders>
              <w:top w:val="nil"/>
              <w:left w:val="nil"/>
              <w:bottom w:val="nil"/>
              <w:right w:val="nil"/>
            </w:tcBorders>
            <w:shd w:val="clear" w:color="auto" w:fill="auto"/>
            <w:noWrap/>
            <w:vAlign w:val="bottom"/>
            <w:hideMark/>
          </w:tcPr>
          <w:p w14:paraId="506B329F"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365 011</w:t>
            </w:r>
          </w:p>
        </w:tc>
        <w:tc>
          <w:tcPr>
            <w:tcW w:w="1147" w:type="dxa"/>
            <w:tcBorders>
              <w:top w:val="nil"/>
              <w:left w:val="nil"/>
              <w:bottom w:val="nil"/>
              <w:right w:val="nil"/>
            </w:tcBorders>
            <w:shd w:val="clear" w:color="000000" w:fill="BFBFBF"/>
            <w:noWrap/>
            <w:vAlign w:val="bottom"/>
            <w:hideMark/>
          </w:tcPr>
          <w:p w14:paraId="3B81EDA1" w14:textId="77777777" w:rsidR="002F1D21" w:rsidRPr="001D03F0" w:rsidRDefault="002F1D21" w:rsidP="00FD0E0D">
            <w:pPr>
              <w:spacing w:after="0" w:line="240" w:lineRule="auto"/>
              <w:jc w:val="right"/>
              <w:rPr>
                <w:sz w:val="18"/>
                <w:szCs w:val="18"/>
                <w:lang w:eastAsia="sk-SK"/>
              </w:rPr>
            </w:pPr>
            <w:r w:rsidRPr="001D03F0">
              <w:rPr>
                <w:sz w:val="18"/>
                <w:szCs w:val="18"/>
                <w:lang w:eastAsia="sk-SK"/>
              </w:rPr>
              <w:t>582 189</w:t>
            </w:r>
          </w:p>
        </w:tc>
        <w:tc>
          <w:tcPr>
            <w:tcW w:w="999" w:type="dxa"/>
            <w:tcBorders>
              <w:top w:val="nil"/>
              <w:left w:val="nil"/>
              <w:bottom w:val="single" w:sz="4" w:space="0" w:color="auto"/>
              <w:right w:val="nil"/>
            </w:tcBorders>
            <w:shd w:val="clear" w:color="auto" w:fill="auto"/>
            <w:noWrap/>
            <w:vAlign w:val="bottom"/>
            <w:hideMark/>
          </w:tcPr>
          <w:p w14:paraId="02861A99" w14:textId="77777777" w:rsidR="002F1D21" w:rsidRPr="001D03F0" w:rsidRDefault="002F1D21" w:rsidP="00FD0E0D">
            <w:pPr>
              <w:spacing w:after="0" w:line="240" w:lineRule="auto"/>
              <w:jc w:val="right"/>
              <w:rPr>
                <w:color w:val="000000"/>
                <w:sz w:val="18"/>
                <w:szCs w:val="18"/>
                <w:lang w:eastAsia="sk-SK"/>
              </w:rPr>
            </w:pPr>
            <w:r w:rsidRPr="001D03F0">
              <w:rPr>
                <w:color w:val="000000"/>
                <w:sz w:val="18"/>
                <w:szCs w:val="18"/>
                <w:lang w:eastAsia="sk-SK"/>
              </w:rPr>
              <w:t>681 212</w:t>
            </w:r>
          </w:p>
        </w:tc>
        <w:tc>
          <w:tcPr>
            <w:tcW w:w="949" w:type="dxa"/>
            <w:tcBorders>
              <w:top w:val="nil"/>
              <w:left w:val="nil"/>
              <w:bottom w:val="nil"/>
              <w:right w:val="nil"/>
            </w:tcBorders>
            <w:shd w:val="clear" w:color="auto" w:fill="auto"/>
            <w:noWrap/>
            <w:vAlign w:val="bottom"/>
            <w:hideMark/>
          </w:tcPr>
          <w:p w14:paraId="6DB722A4" w14:textId="77777777" w:rsidR="002F1D21" w:rsidRPr="001D03F0" w:rsidRDefault="002F1D21" w:rsidP="00FD0E0D">
            <w:pPr>
              <w:tabs>
                <w:tab w:val="decimal" w:pos="345"/>
              </w:tabs>
              <w:spacing w:after="0" w:line="240" w:lineRule="auto"/>
              <w:jc w:val="center"/>
              <w:rPr>
                <w:color w:val="000000"/>
                <w:sz w:val="18"/>
                <w:szCs w:val="18"/>
                <w:lang w:eastAsia="sk-SK"/>
              </w:rPr>
            </w:pPr>
            <w:r w:rsidRPr="001D03F0">
              <w:rPr>
                <w:color w:val="000000"/>
                <w:sz w:val="18"/>
                <w:szCs w:val="18"/>
                <w:lang w:eastAsia="sk-SK"/>
              </w:rPr>
              <w:t>59,5</w:t>
            </w:r>
          </w:p>
        </w:tc>
      </w:tr>
      <w:tr w:rsidR="002F1D21" w:rsidRPr="001D03F0" w14:paraId="37EE2E53" w14:textId="77777777" w:rsidTr="00FD0E0D">
        <w:trPr>
          <w:trHeight w:val="292"/>
        </w:trPr>
        <w:tc>
          <w:tcPr>
            <w:tcW w:w="3874" w:type="dxa"/>
            <w:tcBorders>
              <w:top w:val="single" w:sz="4" w:space="0" w:color="auto"/>
              <w:left w:val="nil"/>
              <w:bottom w:val="nil"/>
              <w:right w:val="nil"/>
            </w:tcBorders>
            <w:shd w:val="clear" w:color="000000" w:fill="BFBFBF"/>
            <w:vAlign w:val="center"/>
            <w:hideMark/>
          </w:tcPr>
          <w:p w14:paraId="400BB6FD" w14:textId="77777777" w:rsidR="002F1D21" w:rsidRPr="001D03F0" w:rsidRDefault="002F1D21" w:rsidP="00FD0E0D">
            <w:pPr>
              <w:spacing w:after="0" w:line="240" w:lineRule="auto"/>
              <w:jc w:val="both"/>
              <w:rPr>
                <w:b/>
                <w:bCs/>
                <w:sz w:val="18"/>
                <w:szCs w:val="18"/>
                <w:lang w:eastAsia="sk-SK"/>
              </w:rPr>
            </w:pPr>
            <w:r w:rsidRPr="001D03F0">
              <w:rPr>
                <w:b/>
                <w:bCs/>
                <w:sz w:val="18"/>
                <w:szCs w:val="18"/>
                <w:lang w:eastAsia="sk-SK"/>
              </w:rPr>
              <w:t>Výdavky spolu</w:t>
            </w:r>
          </w:p>
        </w:tc>
        <w:tc>
          <w:tcPr>
            <w:tcW w:w="1050" w:type="dxa"/>
            <w:tcBorders>
              <w:top w:val="single" w:sz="4" w:space="0" w:color="auto"/>
              <w:left w:val="nil"/>
              <w:bottom w:val="nil"/>
              <w:right w:val="nil"/>
            </w:tcBorders>
            <w:shd w:val="clear" w:color="000000" w:fill="BFBFBF"/>
            <w:noWrap/>
            <w:vAlign w:val="bottom"/>
            <w:hideMark/>
          </w:tcPr>
          <w:p w14:paraId="1C77D53D" w14:textId="77777777" w:rsidR="002F1D21" w:rsidRPr="001D03F0" w:rsidRDefault="002F1D21" w:rsidP="00FD0E0D">
            <w:pPr>
              <w:spacing w:after="0" w:line="240" w:lineRule="auto"/>
              <w:jc w:val="right"/>
              <w:rPr>
                <w:b/>
                <w:bCs/>
                <w:color w:val="000000"/>
                <w:sz w:val="18"/>
                <w:szCs w:val="18"/>
                <w:lang w:eastAsia="sk-SK"/>
              </w:rPr>
            </w:pPr>
            <w:r w:rsidRPr="001D03F0">
              <w:rPr>
                <w:b/>
                <w:bCs/>
                <w:color w:val="000000"/>
                <w:sz w:val="18"/>
                <w:szCs w:val="18"/>
                <w:lang w:eastAsia="sk-SK"/>
              </w:rPr>
              <w:t>35 615 025</w:t>
            </w:r>
          </w:p>
        </w:tc>
        <w:tc>
          <w:tcPr>
            <w:tcW w:w="1025" w:type="dxa"/>
            <w:tcBorders>
              <w:top w:val="single" w:sz="4" w:space="0" w:color="auto"/>
              <w:left w:val="nil"/>
              <w:bottom w:val="nil"/>
              <w:right w:val="nil"/>
            </w:tcBorders>
            <w:shd w:val="clear" w:color="000000" w:fill="BFBFBF"/>
            <w:noWrap/>
            <w:vAlign w:val="bottom"/>
            <w:hideMark/>
          </w:tcPr>
          <w:p w14:paraId="3C3C4A05" w14:textId="77777777" w:rsidR="002F1D21" w:rsidRPr="001D03F0" w:rsidRDefault="002F1D21" w:rsidP="00FD0E0D">
            <w:pPr>
              <w:spacing w:after="0" w:line="240" w:lineRule="auto"/>
              <w:jc w:val="right"/>
              <w:rPr>
                <w:b/>
                <w:bCs/>
                <w:color w:val="000000"/>
                <w:sz w:val="18"/>
                <w:szCs w:val="18"/>
                <w:lang w:eastAsia="sk-SK"/>
              </w:rPr>
            </w:pPr>
            <w:r w:rsidRPr="001D03F0">
              <w:rPr>
                <w:b/>
                <w:bCs/>
                <w:color w:val="000000"/>
                <w:sz w:val="18"/>
                <w:szCs w:val="18"/>
                <w:lang w:eastAsia="sk-SK"/>
              </w:rPr>
              <w:t>38 240 703</w:t>
            </w:r>
          </w:p>
        </w:tc>
        <w:tc>
          <w:tcPr>
            <w:tcW w:w="1147" w:type="dxa"/>
            <w:tcBorders>
              <w:top w:val="single" w:sz="4" w:space="0" w:color="auto"/>
              <w:left w:val="nil"/>
              <w:bottom w:val="nil"/>
              <w:right w:val="nil"/>
            </w:tcBorders>
            <w:shd w:val="clear" w:color="000000" w:fill="BFBFBF"/>
            <w:noWrap/>
            <w:vAlign w:val="bottom"/>
            <w:hideMark/>
          </w:tcPr>
          <w:p w14:paraId="6FF078E1" w14:textId="77777777" w:rsidR="002F1D21" w:rsidRPr="001D03F0" w:rsidRDefault="002F1D21" w:rsidP="00FD0E0D">
            <w:pPr>
              <w:spacing w:after="0" w:line="240" w:lineRule="auto"/>
              <w:jc w:val="right"/>
              <w:rPr>
                <w:b/>
                <w:bCs/>
                <w:color w:val="000000"/>
                <w:sz w:val="18"/>
                <w:szCs w:val="18"/>
                <w:lang w:eastAsia="sk-SK"/>
              </w:rPr>
            </w:pPr>
            <w:r w:rsidRPr="001D03F0">
              <w:rPr>
                <w:b/>
                <w:bCs/>
                <w:color w:val="000000"/>
                <w:sz w:val="18"/>
                <w:szCs w:val="18"/>
                <w:lang w:eastAsia="sk-SK"/>
              </w:rPr>
              <w:t>41 943 908</w:t>
            </w:r>
          </w:p>
        </w:tc>
        <w:tc>
          <w:tcPr>
            <w:tcW w:w="999" w:type="dxa"/>
            <w:tcBorders>
              <w:top w:val="single" w:sz="4" w:space="0" w:color="auto"/>
              <w:left w:val="nil"/>
              <w:bottom w:val="nil"/>
              <w:right w:val="nil"/>
            </w:tcBorders>
            <w:shd w:val="clear" w:color="000000" w:fill="BFBFBF"/>
            <w:noWrap/>
            <w:vAlign w:val="center"/>
            <w:hideMark/>
          </w:tcPr>
          <w:p w14:paraId="775A527C" w14:textId="77777777" w:rsidR="002F1D21" w:rsidRPr="001D03F0" w:rsidRDefault="002F1D21" w:rsidP="00FD0E0D">
            <w:pPr>
              <w:spacing w:after="0" w:line="240" w:lineRule="auto"/>
              <w:jc w:val="right"/>
              <w:rPr>
                <w:b/>
                <w:bCs/>
                <w:color w:val="000000"/>
                <w:sz w:val="18"/>
                <w:szCs w:val="18"/>
                <w:lang w:eastAsia="sk-SK"/>
              </w:rPr>
            </w:pPr>
            <w:r w:rsidRPr="001D03F0">
              <w:rPr>
                <w:b/>
                <w:bCs/>
                <w:color w:val="000000"/>
                <w:sz w:val="18"/>
                <w:szCs w:val="18"/>
                <w:lang w:eastAsia="sk-SK"/>
              </w:rPr>
              <w:t>47 467 099</w:t>
            </w:r>
          </w:p>
        </w:tc>
        <w:tc>
          <w:tcPr>
            <w:tcW w:w="949" w:type="dxa"/>
            <w:tcBorders>
              <w:top w:val="single" w:sz="4" w:space="0" w:color="auto"/>
              <w:left w:val="nil"/>
              <w:bottom w:val="nil"/>
              <w:right w:val="nil"/>
            </w:tcBorders>
            <w:shd w:val="clear" w:color="000000" w:fill="BFBFBF"/>
            <w:noWrap/>
            <w:vAlign w:val="center"/>
            <w:hideMark/>
          </w:tcPr>
          <w:p w14:paraId="5F1B5DE6" w14:textId="77777777" w:rsidR="002F1D21" w:rsidRPr="001D03F0" w:rsidRDefault="002F1D21" w:rsidP="00FD0E0D">
            <w:pPr>
              <w:tabs>
                <w:tab w:val="decimal" w:pos="345"/>
              </w:tabs>
              <w:spacing w:after="0" w:line="240" w:lineRule="auto"/>
              <w:jc w:val="center"/>
              <w:rPr>
                <w:b/>
                <w:bCs/>
                <w:color w:val="000000"/>
                <w:sz w:val="18"/>
                <w:szCs w:val="18"/>
                <w:lang w:eastAsia="sk-SK"/>
              </w:rPr>
            </w:pPr>
            <w:r w:rsidRPr="001D03F0">
              <w:rPr>
                <w:b/>
                <w:bCs/>
                <w:color w:val="000000"/>
                <w:sz w:val="18"/>
                <w:szCs w:val="18"/>
                <w:lang w:eastAsia="sk-SK"/>
              </w:rPr>
              <w:t>9,7</w:t>
            </w:r>
          </w:p>
        </w:tc>
      </w:tr>
      <w:tr w:rsidR="002F1D21" w:rsidRPr="001D03F0" w14:paraId="4867303C" w14:textId="77777777" w:rsidTr="00FD0E0D">
        <w:trPr>
          <w:trHeight w:val="321"/>
        </w:trPr>
        <w:tc>
          <w:tcPr>
            <w:tcW w:w="3874" w:type="dxa"/>
            <w:tcBorders>
              <w:top w:val="nil"/>
              <w:left w:val="nil"/>
              <w:bottom w:val="single" w:sz="4" w:space="0" w:color="auto"/>
              <w:right w:val="nil"/>
            </w:tcBorders>
            <w:shd w:val="clear" w:color="000000" w:fill="BFBFBF"/>
            <w:noWrap/>
            <w:vAlign w:val="center"/>
            <w:hideMark/>
          </w:tcPr>
          <w:p w14:paraId="477403F6" w14:textId="77777777" w:rsidR="002F1D21" w:rsidRPr="001D03F0" w:rsidRDefault="002F1D21" w:rsidP="00FD0E0D">
            <w:pPr>
              <w:spacing w:after="0" w:line="240" w:lineRule="auto"/>
              <w:rPr>
                <w:b/>
                <w:bCs/>
                <w:sz w:val="18"/>
                <w:szCs w:val="18"/>
                <w:lang w:eastAsia="sk-SK"/>
              </w:rPr>
            </w:pPr>
            <w:r w:rsidRPr="001D03F0">
              <w:rPr>
                <w:b/>
                <w:bCs/>
                <w:sz w:val="18"/>
                <w:szCs w:val="18"/>
                <w:lang w:eastAsia="sk-SK"/>
              </w:rPr>
              <w:t xml:space="preserve">     % z HDP</w:t>
            </w:r>
          </w:p>
        </w:tc>
        <w:tc>
          <w:tcPr>
            <w:tcW w:w="1050" w:type="dxa"/>
            <w:tcBorders>
              <w:top w:val="nil"/>
              <w:left w:val="nil"/>
              <w:bottom w:val="single" w:sz="4" w:space="0" w:color="auto"/>
              <w:right w:val="nil"/>
            </w:tcBorders>
            <w:shd w:val="clear" w:color="000000" w:fill="BFBFBF"/>
            <w:noWrap/>
            <w:vAlign w:val="center"/>
            <w:hideMark/>
          </w:tcPr>
          <w:p w14:paraId="48C8DE17" w14:textId="77777777" w:rsidR="002F1D21" w:rsidRPr="001D03F0" w:rsidRDefault="002F1D21" w:rsidP="00FD0E0D">
            <w:pPr>
              <w:spacing w:after="0" w:line="240" w:lineRule="auto"/>
              <w:jc w:val="right"/>
              <w:rPr>
                <w:b/>
                <w:bCs/>
                <w:color w:val="000000"/>
                <w:sz w:val="18"/>
                <w:szCs w:val="18"/>
                <w:lang w:eastAsia="sk-SK"/>
              </w:rPr>
            </w:pPr>
            <w:r w:rsidRPr="001D03F0">
              <w:rPr>
                <w:b/>
                <w:bCs/>
                <w:color w:val="000000"/>
                <w:sz w:val="18"/>
                <w:szCs w:val="18"/>
                <w:lang w:eastAsia="sk-SK"/>
              </w:rPr>
              <w:t>39,8</w:t>
            </w:r>
          </w:p>
        </w:tc>
        <w:tc>
          <w:tcPr>
            <w:tcW w:w="1025" w:type="dxa"/>
            <w:tcBorders>
              <w:top w:val="nil"/>
              <w:left w:val="nil"/>
              <w:bottom w:val="single" w:sz="4" w:space="0" w:color="auto"/>
              <w:right w:val="nil"/>
            </w:tcBorders>
            <w:shd w:val="clear" w:color="000000" w:fill="BFBFBF"/>
            <w:noWrap/>
            <w:vAlign w:val="center"/>
            <w:hideMark/>
          </w:tcPr>
          <w:p w14:paraId="5CFCFD82" w14:textId="77777777" w:rsidR="002F1D21" w:rsidRPr="001D03F0" w:rsidRDefault="002F1D21" w:rsidP="00FD0E0D">
            <w:pPr>
              <w:spacing w:after="0" w:line="240" w:lineRule="auto"/>
              <w:jc w:val="right"/>
              <w:rPr>
                <w:b/>
                <w:bCs/>
                <w:color w:val="000000"/>
                <w:sz w:val="18"/>
                <w:szCs w:val="18"/>
                <w:lang w:eastAsia="sk-SK"/>
              </w:rPr>
            </w:pPr>
            <w:r w:rsidRPr="001D03F0">
              <w:rPr>
                <w:b/>
                <w:bCs/>
                <w:color w:val="000000"/>
                <w:sz w:val="18"/>
                <w:szCs w:val="18"/>
                <w:lang w:eastAsia="sk-SK"/>
              </w:rPr>
              <w:t>40,7</w:t>
            </w:r>
          </w:p>
        </w:tc>
        <w:tc>
          <w:tcPr>
            <w:tcW w:w="1147" w:type="dxa"/>
            <w:tcBorders>
              <w:top w:val="nil"/>
              <w:left w:val="nil"/>
              <w:bottom w:val="single" w:sz="4" w:space="0" w:color="auto"/>
              <w:right w:val="nil"/>
            </w:tcBorders>
            <w:shd w:val="clear" w:color="000000" w:fill="BFBFBF"/>
            <w:noWrap/>
            <w:vAlign w:val="center"/>
            <w:hideMark/>
          </w:tcPr>
          <w:p w14:paraId="7096464E" w14:textId="77777777" w:rsidR="002F1D21" w:rsidRPr="001D03F0" w:rsidRDefault="002F1D21" w:rsidP="00FD0E0D">
            <w:pPr>
              <w:spacing w:after="0" w:line="240" w:lineRule="auto"/>
              <w:jc w:val="right"/>
              <w:rPr>
                <w:b/>
                <w:bCs/>
                <w:color w:val="000000"/>
                <w:sz w:val="18"/>
                <w:szCs w:val="18"/>
                <w:lang w:eastAsia="sk-SK"/>
              </w:rPr>
            </w:pPr>
            <w:r w:rsidRPr="001D03F0">
              <w:rPr>
                <w:b/>
                <w:bCs/>
                <w:color w:val="000000"/>
                <w:sz w:val="18"/>
                <w:szCs w:val="18"/>
                <w:lang w:eastAsia="sk-SK"/>
              </w:rPr>
              <w:t>45,6</w:t>
            </w:r>
          </w:p>
        </w:tc>
        <w:tc>
          <w:tcPr>
            <w:tcW w:w="999" w:type="dxa"/>
            <w:tcBorders>
              <w:top w:val="nil"/>
              <w:left w:val="nil"/>
              <w:bottom w:val="single" w:sz="4" w:space="0" w:color="auto"/>
              <w:right w:val="nil"/>
            </w:tcBorders>
            <w:shd w:val="clear" w:color="000000" w:fill="BFBFBF"/>
            <w:noWrap/>
            <w:vAlign w:val="center"/>
            <w:hideMark/>
          </w:tcPr>
          <w:p w14:paraId="5014159F" w14:textId="77777777" w:rsidR="002F1D21" w:rsidRPr="001D03F0" w:rsidRDefault="002F1D21" w:rsidP="00FD0E0D">
            <w:pPr>
              <w:spacing w:after="0" w:line="240" w:lineRule="auto"/>
              <w:jc w:val="right"/>
              <w:rPr>
                <w:b/>
                <w:bCs/>
                <w:color w:val="000000"/>
                <w:sz w:val="18"/>
                <w:szCs w:val="18"/>
                <w:lang w:eastAsia="sk-SK"/>
              </w:rPr>
            </w:pPr>
            <w:r w:rsidRPr="001D03F0">
              <w:rPr>
                <w:b/>
                <w:bCs/>
                <w:color w:val="000000"/>
                <w:sz w:val="18"/>
                <w:szCs w:val="18"/>
                <w:lang w:eastAsia="sk-SK"/>
              </w:rPr>
              <w:t>54,8</w:t>
            </w:r>
          </w:p>
        </w:tc>
        <w:tc>
          <w:tcPr>
            <w:tcW w:w="949" w:type="dxa"/>
            <w:tcBorders>
              <w:top w:val="nil"/>
              <w:left w:val="nil"/>
              <w:bottom w:val="single" w:sz="4" w:space="0" w:color="auto"/>
              <w:right w:val="nil"/>
            </w:tcBorders>
            <w:shd w:val="clear" w:color="000000" w:fill="BFBFBF"/>
            <w:noWrap/>
            <w:vAlign w:val="center"/>
            <w:hideMark/>
          </w:tcPr>
          <w:p w14:paraId="2D8E5532" w14:textId="77777777" w:rsidR="002F1D21" w:rsidRPr="001D03F0" w:rsidRDefault="002F1D21" w:rsidP="00FD0E0D">
            <w:pPr>
              <w:tabs>
                <w:tab w:val="decimal" w:pos="345"/>
              </w:tabs>
              <w:spacing w:after="0" w:line="240" w:lineRule="auto"/>
              <w:jc w:val="center"/>
              <w:rPr>
                <w:b/>
                <w:bCs/>
                <w:color w:val="000000"/>
                <w:sz w:val="18"/>
                <w:szCs w:val="18"/>
                <w:lang w:eastAsia="sk-SK"/>
              </w:rPr>
            </w:pPr>
            <w:r w:rsidRPr="001D03F0">
              <w:rPr>
                <w:b/>
                <w:bCs/>
                <w:color w:val="000000"/>
                <w:sz w:val="18"/>
                <w:szCs w:val="18"/>
                <w:lang w:eastAsia="sk-SK"/>
              </w:rPr>
              <w:t>4,9</w:t>
            </w:r>
          </w:p>
        </w:tc>
      </w:tr>
    </w:tbl>
    <w:p w14:paraId="39B25C2B" w14:textId="77777777" w:rsidR="002F1D21" w:rsidRPr="00051460" w:rsidRDefault="002F1D21" w:rsidP="002F1D21">
      <w:pPr>
        <w:spacing w:after="120" w:line="240" w:lineRule="auto"/>
        <w:jc w:val="right"/>
        <w:rPr>
          <w:sz w:val="16"/>
          <w:szCs w:val="16"/>
        </w:rPr>
      </w:pPr>
      <w:r w:rsidRPr="00051460">
        <w:rPr>
          <w:sz w:val="16"/>
          <w:szCs w:val="16"/>
          <w:lang w:eastAsia="sk-SK"/>
        </w:rPr>
        <w:t xml:space="preserve">*Položky vyznačené kurzívou sú vykázané na hotovostnej báze z analytických dôvodov.   </w:t>
      </w:r>
      <w:r>
        <w:rPr>
          <w:sz w:val="16"/>
          <w:szCs w:val="16"/>
          <w:lang w:eastAsia="sk-SK"/>
        </w:rPr>
        <w:t xml:space="preserve">                          </w:t>
      </w:r>
      <w:r w:rsidRPr="00051460">
        <w:rPr>
          <w:sz w:val="16"/>
          <w:szCs w:val="16"/>
          <w:lang w:eastAsia="sk-SK"/>
        </w:rPr>
        <w:t xml:space="preserve">                     Zdroj: ŠÚSR, MF SR</w:t>
      </w:r>
    </w:p>
    <w:p w14:paraId="0A86A674" w14:textId="77777777" w:rsidR="002F1D21" w:rsidRDefault="002F1D21" w:rsidP="002F1D21">
      <w:pPr>
        <w:spacing w:after="120" w:line="240" w:lineRule="auto"/>
        <w:jc w:val="both"/>
        <w:rPr>
          <w:b/>
          <w:szCs w:val="22"/>
        </w:rPr>
      </w:pPr>
      <w:r w:rsidRPr="00A55B0C">
        <w:rPr>
          <w:b/>
          <w:color w:val="0070C0"/>
          <w:sz w:val="24"/>
          <w:szCs w:val="24"/>
        </w:rPr>
        <w:t>Kompenzácie zamestnancov</w:t>
      </w:r>
      <w:r w:rsidRPr="00987FFD">
        <w:rPr>
          <w:b/>
          <w:szCs w:val="22"/>
        </w:rPr>
        <w:t xml:space="preserve"> </w:t>
      </w:r>
    </w:p>
    <w:p w14:paraId="6AAC78E5" w14:textId="77777777" w:rsidR="002F1D21" w:rsidRPr="00BC44BF" w:rsidRDefault="002F1D21" w:rsidP="002F1D21">
      <w:pPr>
        <w:spacing w:after="120" w:line="240" w:lineRule="auto"/>
        <w:jc w:val="both"/>
        <w:rPr>
          <w:lang w:eastAsia="sk-SK"/>
        </w:rPr>
      </w:pPr>
      <w:r w:rsidRPr="00987FFD">
        <w:rPr>
          <w:szCs w:val="22"/>
        </w:rPr>
        <w:t xml:space="preserve">vzrástli v roku 2020 o 9,1 % (nárast o 876 383 tis. eur). </w:t>
      </w:r>
      <w:r w:rsidRPr="00BC44BF">
        <w:rPr>
          <w:lang w:eastAsia="sk-SK"/>
        </w:rPr>
        <w:t>Medziročný nárast výdavkov na mzdy, platy, služobné príjmy a ostatné osobné vyrovnania ovplyvnilo predovšetkým zvýšenie platov štátnych zamestnancov (v štátnozamestnaneckom aj služobnom pomere</w:t>
      </w:r>
      <w:r>
        <w:rPr>
          <w:lang w:eastAsia="sk-SK"/>
        </w:rPr>
        <w:t>)</w:t>
      </w:r>
      <w:r w:rsidRPr="00BC44BF">
        <w:rPr>
          <w:lang w:eastAsia="sk-SK"/>
        </w:rPr>
        <w:t xml:space="preserve"> a zamestnancov pri výkone práce vo verejnom záujme o 10 % s účinnosťou od 1. januára 2020</w:t>
      </w:r>
      <w:r>
        <w:rPr>
          <w:lang w:eastAsia="sk-SK"/>
        </w:rPr>
        <w:t xml:space="preserve">. Toto zvýšenie sa týkalo aj </w:t>
      </w:r>
      <w:r w:rsidRPr="00BC44BF">
        <w:rPr>
          <w:lang w:eastAsia="sk-SK"/>
        </w:rPr>
        <w:t>platových taríf pedagogický</w:t>
      </w:r>
      <w:r>
        <w:rPr>
          <w:lang w:eastAsia="sk-SK"/>
        </w:rPr>
        <w:t>ch a odborných zamestnancov</w:t>
      </w:r>
      <w:r w:rsidRPr="00BC44BF">
        <w:rPr>
          <w:lang w:eastAsia="sk-SK"/>
        </w:rPr>
        <w:t>.</w:t>
      </w:r>
    </w:p>
    <w:p w14:paraId="75A6D157" w14:textId="77777777" w:rsidR="002F1D21" w:rsidRPr="00BC44BF" w:rsidRDefault="002F1D21" w:rsidP="002F1D21">
      <w:pPr>
        <w:spacing w:after="120" w:line="240" w:lineRule="auto"/>
        <w:jc w:val="both"/>
        <w:rPr>
          <w:lang w:eastAsia="sk-SK"/>
        </w:rPr>
      </w:pPr>
      <w:r>
        <w:rPr>
          <w:lang w:eastAsia="sk-SK"/>
        </w:rPr>
        <w:t>V roku 2020 boli vyplatené odm</w:t>
      </w:r>
      <w:r w:rsidRPr="00BC44BF">
        <w:rPr>
          <w:lang w:eastAsia="sk-SK"/>
        </w:rPr>
        <w:t>eny zdravotníckym pracovníkom, vojakom, policajtom, hasičom a zamestnancom zariadení sociálnych služieb a ďalších pracovníkov, ktorí pracovali v boji s pandémiou COVID-19 v I.</w:t>
      </w:r>
      <w:r>
        <w:rPr>
          <w:lang w:eastAsia="sk-SK"/>
        </w:rPr>
        <w:t> </w:t>
      </w:r>
      <w:r w:rsidRPr="00BC44BF">
        <w:rPr>
          <w:lang w:eastAsia="sk-SK"/>
        </w:rPr>
        <w:t>línii</w:t>
      </w:r>
      <w:r>
        <w:rPr>
          <w:lang w:eastAsia="sk-SK"/>
        </w:rPr>
        <w:t xml:space="preserve"> </w:t>
      </w:r>
      <w:r w:rsidRPr="00BC44BF">
        <w:rPr>
          <w:lang w:eastAsia="sk-SK"/>
        </w:rPr>
        <w:t xml:space="preserve">a v červenej zóne (v rizikovom prostredí). </w:t>
      </w:r>
      <w:r>
        <w:rPr>
          <w:lang w:eastAsia="sk-SK"/>
        </w:rPr>
        <w:t>Odmeny pracovníkom v zdravotníctve boli vyplatené vo výške 13 360 tis. eur a odmeny pracovníkom v I. línii (mimo MZ SR) vo výške 63 640 tis. eur. Celkovo m</w:t>
      </w:r>
      <w:r w:rsidRPr="00BC44BF">
        <w:rPr>
          <w:lang w:eastAsia="sk-SK"/>
        </w:rPr>
        <w:t>zdy a platy zamestnancov</w:t>
      </w:r>
      <w:r>
        <w:rPr>
          <w:lang w:eastAsia="sk-SK"/>
        </w:rPr>
        <w:t xml:space="preserve"> vo verejnej správe</w:t>
      </w:r>
      <w:r w:rsidRPr="00BC44BF">
        <w:rPr>
          <w:lang w:eastAsia="sk-SK"/>
        </w:rPr>
        <w:t xml:space="preserve"> vzrástli oproti predchádzajúcemu roku o 677</w:t>
      </w:r>
      <w:r>
        <w:rPr>
          <w:lang w:eastAsia="sk-SK"/>
        </w:rPr>
        <w:t> </w:t>
      </w:r>
      <w:r w:rsidRPr="00BC44BF">
        <w:rPr>
          <w:lang w:eastAsia="sk-SK"/>
        </w:rPr>
        <w:t>386</w:t>
      </w:r>
      <w:r>
        <w:rPr>
          <w:lang w:eastAsia="sk-SK"/>
        </w:rPr>
        <w:t> </w:t>
      </w:r>
      <w:r w:rsidRPr="00BC44BF">
        <w:rPr>
          <w:lang w:eastAsia="sk-SK"/>
        </w:rPr>
        <w:t>tis.</w:t>
      </w:r>
      <w:r>
        <w:rPr>
          <w:lang w:eastAsia="sk-SK"/>
        </w:rPr>
        <w:t> </w:t>
      </w:r>
      <w:r w:rsidRPr="00BC44BF">
        <w:rPr>
          <w:lang w:eastAsia="sk-SK"/>
        </w:rPr>
        <w:t>eur a sociálne príspevky zamestnávateľov o 198</w:t>
      </w:r>
      <w:r>
        <w:rPr>
          <w:lang w:eastAsia="sk-SK"/>
        </w:rPr>
        <w:t> </w:t>
      </w:r>
      <w:r w:rsidRPr="00BC44BF">
        <w:rPr>
          <w:lang w:eastAsia="sk-SK"/>
        </w:rPr>
        <w:t>997</w:t>
      </w:r>
      <w:r>
        <w:rPr>
          <w:lang w:eastAsia="sk-SK"/>
        </w:rPr>
        <w:t> </w:t>
      </w:r>
      <w:r w:rsidRPr="00BC44BF">
        <w:rPr>
          <w:lang w:eastAsia="sk-SK"/>
        </w:rPr>
        <w:t>tis.</w:t>
      </w:r>
      <w:r>
        <w:rPr>
          <w:lang w:eastAsia="sk-SK"/>
        </w:rPr>
        <w:t> </w:t>
      </w:r>
      <w:r w:rsidRPr="00BC44BF">
        <w:rPr>
          <w:lang w:eastAsia="sk-SK"/>
        </w:rPr>
        <w:t>eur.</w:t>
      </w:r>
      <w:r>
        <w:rPr>
          <w:lang w:eastAsia="sk-SK"/>
        </w:rPr>
        <w:t xml:space="preserve"> </w:t>
      </w:r>
    </w:p>
    <w:p w14:paraId="1BB9E2E1" w14:textId="77777777" w:rsidR="002F1D21" w:rsidRDefault="002F1D21" w:rsidP="002F1D21">
      <w:pPr>
        <w:keepNext/>
        <w:spacing w:after="120" w:line="240" w:lineRule="auto"/>
        <w:jc w:val="both"/>
        <w:rPr>
          <w:b/>
          <w:szCs w:val="22"/>
        </w:rPr>
      </w:pPr>
      <w:r w:rsidRPr="00DA654B">
        <w:rPr>
          <w:b/>
          <w:color w:val="0070C0"/>
          <w:sz w:val="24"/>
          <w:szCs w:val="24"/>
        </w:rPr>
        <w:t xml:space="preserve">Medzispotreba </w:t>
      </w:r>
    </w:p>
    <w:p w14:paraId="6560488D" w14:textId="77777777" w:rsidR="002F1D21" w:rsidRDefault="002F1D21" w:rsidP="002F1D21">
      <w:pPr>
        <w:spacing w:after="120" w:line="240" w:lineRule="auto"/>
        <w:jc w:val="both"/>
        <w:rPr>
          <w:szCs w:val="22"/>
        </w:rPr>
      </w:pPr>
      <w:r>
        <w:rPr>
          <w:szCs w:val="22"/>
        </w:rPr>
        <w:t>S</w:t>
      </w:r>
      <w:r w:rsidRPr="00987FFD">
        <w:rPr>
          <w:szCs w:val="22"/>
        </w:rPr>
        <w:t xml:space="preserve">potreba tovarov a služieb v rámci verejnej správy sa zvýšila o 7,1 % (nárast o 368 138 tis. eur), </w:t>
      </w:r>
      <w:r w:rsidRPr="000B62D4">
        <w:rPr>
          <w:szCs w:val="22"/>
        </w:rPr>
        <w:t xml:space="preserve">čo bolo spôsobené vyššími výdavkami na špeciálny </w:t>
      </w:r>
      <w:r>
        <w:rPr>
          <w:szCs w:val="22"/>
        </w:rPr>
        <w:t>materiál (o 54 999 tis. eur) a</w:t>
      </w:r>
      <w:r w:rsidRPr="000B62D4">
        <w:rPr>
          <w:szCs w:val="22"/>
        </w:rPr>
        <w:t xml:space="preserve"> výdavkami na nákup ochranných pracovných prostriedkov a</w:t>
      </w:r>
      <w:r>
        <w:rPr>
          <w:szCs w:val="22"/>
        </w:rPr>
        <w:t> </w:t>
      </w:r>
      <w:r w:rsidRPr="000B62D4">
        <w:rPr>
          <w:szCs w:val="22"/>
        </w:rPr>
        <w:t>pomôcok</w:t>
      </w:r>
      <w:r>
        <w:rPr>
          <w:szCs w:val="22"/>
        </w:rPr>
        <w:t xml:space="preserve"> (o 53 162 tis. eur)</w:t>
      </w:r>
      <w:r w:rsidRPr="000B62D4">
        <w:rPr>
          <w:szCs w:val="22"/>
        </w:rPr>
        <w:t xml:space="preserve"> v súvislosti s</w:t>
      </w:r>
      <w:r>
        <w:rPr>
          <w:szCs w:val="22"/>
        </w:rPr>
        <w:t> </w:t>
      </w:r>
      <w:proofErr w:type="spellStart"/>
      <w:r>
        <w:rPr>
          <w:szCs w:val="22"/>
        </w:rPr>
        <w:t>protipandemickými</w:t>
      </w:r>
      <w:proofErr w:type="spellEnd"/>
      <w:r>
        <w:rPr>
          <w:szCs w:val="22"/>
        </w:rPr>
        <w:t xml:space="preserve"> </w:t>
      </w:r>
      <w:r w:rsidRPr="000B62D4">
        <w:rPr>
          <w:szCs w:val="22"/>
        </w:rPr>
        <w:t>opatreniami</w:t>
      </w:r>
      <w:r>
        <w:rPr>
          <w:szCs w:val="22"/>
        </w:rPr>
        <w:t>. Zároveň došlo k zvýšeniu poskytovania zdravotnej starostlivosti, čo ovplyvnilo nárast čerpania výdavkov zdravotníckych zariadení na zdravotnícky materiál (o 32 267 tis. eur).</w:t>
      </w:r>
    </w:p>
    <w:p w14:paraId="45419759" w14:textId="006CB4CA" w:rsidR="002F1D21" w:rsidRDefault="002F1D21" w:rsidP="002F1D21">
      <w:pPr>
        <w:spacing w:after="120" w:line="240" w:lineRule="auto"/>
        <w:jc w:val="both"/>
        <w:rPr>
          <w:szCs w:val="22"/>
        </w:rPr>
      </w:pPr>
      <w:r>
        <w:rPr>
          <w:szCs w:val="22"/>
        </w:rPr>
        <w:t>Zvýšili sa aj výdavky na špeciálne služby (o 42 642 tis. eur). Čiastočne bol tento nárast kompenzovaný poklesom platieb za materiál na prípravu jedál a nápojov (o 59 551 tis. eur), poklesom výdavkov súvisiacich so zahraničnými pracovnými cestami (o 27 715 tis. eur)</w:t>
      </w:r>
      <w:r w:rsidRPr="000B12C7">
        <w:rPr>
          <w:szCs w:val="22"/>
        </w:rPr>
        <w:t xml:space="preserve">. Na ďalšom zvýšení medzispotreby sa podieľali </w:t>
      </w:r>
      <w:r>
        <w:rPr>
          <w:szCs w:val="22"/>
        </w:rPr>
        <w:t xml:space="preserve">aj </w:t>
      </w:r>
      <w:r w:rsidRPr="000B12C7">
        <w:rPr>
          <w:szCs w:val="22"/>
        </w:rPr>
        <w:t xml:space="preserve">Železničná spoločnosť </w:t>
      </w:r>
      <w:r>
        <w:rPr>
          <w:szCs w:val="22"/>
        </w:rPr>
        <w:t>Slovensko a zdravotnícke zariadenie z dôvodu nárastu záväzkov z obchodného styku.</w:t>
      </w:r>
    </w:p>
    <w:p w14:paraId="778D61F5" w14:textId="77777777" w:rsidR="00763D06" w:rsidRDefault="00763D06">
      <w:pPr>
        <w:rPr>
          <w:b/>
          <w:color w:val="0070C0"/>
          <w:sz w:val="24"/>
          <w:szCs w:val="24"/>
        </w:rPr>
      </w:pPr>
      <w:r>
        <w:rPr>
          <w:b/>
          <w:color w:val="0070C0"/>
          <w:sz w:val="24"/>
          <w:szCs w:val="24"/>
        </w:rPr>
        <w:br w:type="page"/>
      </w:r>
    </w:p>
    <w:p w14:paraId="0058015C" w14:textId="1AB04680" w:rsidR="002F1D21" w:rsidRPr="00DA654B" w:rsidRDefault="002F1D21" w:rsidP="002F1D21">
      <w:pPr>
        <w:spacing w:after="120" w:line="240" w:lineRule="auto"/>
        <w:jc w:val="both"/>
        <w:rPr>
          <w:b/>
          <w:color w:val="0070C0"/>
          <w:sz w:val="24"/>
          <w:szCs w:val="24"/>
        </w:rPr>
      </w:pPr>
      <w:r w:rsidRPr="00DA654B">
        <w:rPr>
          <w:b/>
          <w:color w:val="0070C0"/>
          <w:sz w:val="24"/>
          <w:szCs w:val="24"/>
        </w:rPr>
        <w:lastRenderedPageBreak/>
        <w:t>Subvencie</w:t>
      </w:r>
    </w:p>
    <w:p w14:paraId="4B38D999" w14:textId="77777777" w:rsidR="002F1D21" w:rsidRDefault="002F1D21" w:rsidP="002F1D21">
      <w:pPr>
        <w:spacing w:after="120" w:line="240" w:lineRule="auto"/>
        <w:jc w:val="both"/>
        <w:rPr>
          <w:szCs w:val="22"/>
          <w:highlight w:val="yellow"/>
        </w:rPr>
      </w:pPr>
      <w:r w:rsidRPr="008D787B">
        <w:rPr>
          <w:szCs w:val="22"/>
        </w:rPr>
        <w:t xml:space="preserve">Celkové </w:t>
      </w:r>
      <w:r w:rsidRPr="00E05531">
        <w:rPr>
          <w:szCs w:val="22"/>
        </w:rPr>
        <w:t>subvencie</w:t>
      </w:r>
      <w:r>
        <w:rPr>
          <w:rStyle w:val="Odkaznapoznmkupodiarou"/>
          <w:szCs w:val="22"/>
        </w:rPr>
        <w:footnoteReference w:id="19"/>
      </w:r>
      <w:r w:rsidRPr="00E05531">
        <w:rPr>
          <w:szCs w:val="22"/>
        </w:rPr>
        <w:t xml:space="preserve"> </w:t>
      </w:r>
      <w:r w:rsidRPr="008D787B">
        <w:rPr>
          <w:szCs w:val="22"/>
        </w:rPr>
        <w:t xml:space="preserve">vzrástli o 33,6 %, čo predstavovalo nárast o 312 253 tis. eur. </w:t>
      </w:r>
      <w:r w:rsidRPr="001E6DA2">
        <w:rPr>
          <w:szCs w:val="22"/>
        </w:rPr>
        <w:t>Najvýznamnejší nárast predstavovali subvencie do dopravy t.</w:t>
      </w:r>
      <w:r>
        <w:rPr>
          <w:szCs w:val="22"/>
        </w:rPr>
        <w:t> </w:t>
      </w:r>
      <w:r w:rsidRPr="001E6DA2">
        <w:rPr>
          <w:szCs w:val="22"/>
        </w:rPr>
        <w:t>j. o</w:t>
      </w:r>
      <w:r>
        <w:rPr>
          <w:szCs w:val="22"/>
        </w:rPr>
        <w:t> </w:t>
      </w:r>
      <w:r w:rsidRPr="001E6DA2">
        <w:rPr>
          <w:szCs w:val="22"/>
        </w:rPr>
        <w:t>13</w:t>
      </w:r>
      <w:r>
        <w:rPr>
          <w:szCs w:val="22"/>
        </w:rPr>
        <w:t> </w:t>
      </w:r>
      <w:r w:rsidRPr="001E6DA2">
        <w:rPr>
          <w:szCs w:val="22"/>
        </w:rPr>
        <w:t>%</w:t>
      </w:r>
      <w:r>
        <w:rPr>
          <w:lang w:eastAsia="sk-SK"/>
        </w:rPr>
        <w:t xml:space="preserve"> (nárast o 30 607 tis. </w:t>
      </w:r>
      <w:r w:rsidRPr="001E6DA2">
        <w:rPr>
          <w:lang w:eastAsia="sk-SK"/>
        </w:rPr>
        <w:t xml:space="preserve">eur), z čoho najväčšiu položku tvorila cestná doprava </w:t>
      </w:r>
      <w:r>
        <w:rPr>
          <w:lang w:eastAsia="sk-SK"/>
        </w:rPr>
        <w:t>o 13,3 % (o 28 953 tis. </w:t>
      </w:r>
      <w:r w:rsidRPr="001E6DA2">
        <w:rPr>
          <w:lang w:eastAsia="sk-SK"/>
        </w:rPr>
        <w:t>eur)</w:t>
      </w:r>
      <w:r>
        <w:rPr>
          <w:lang w:eastAsia="sk-SK"/>
        </w:rPr>
        <w:t>. Nárast subvencií zaznamenali najmä VÚC o 23 349 tis. eur, išlo najmä o</w:t>
      </w:r>
      <w:r w:rsidRPr="00914627">
        <w:t xml:space="preserve"> </w:t>
      </w:r>
      <w:r w:rsidRPr="00914627">
        <w:rPr>
          <w:lang w:eastAsia="sk-SK"/>
        </w:rPr>
        <w:t xml:space="preserve">transfery verejným dopravcom na vykrytie strát </w:t>
      </w:r>
      <w:r>
        <w:rPr>
          <w:lang w:eastAsia="sk-SK"/>
        </w:rPr>
        <w:t xml:space="preserve">výkonov </w:t>
      </w:r>
      <w:r w:rsidRPr="00914627">
        <w:rPr>
          <w:lang w:eastAsia="sk-SK"/>
        </w:rPr>
        <w:t xml:space="preserve">vo verejnom záujme pri zabezpečovaní </w:t>
      </w:r>
      <w:r>
        <w:rPr>
          <w:lang w:eastAsia="sk-SK"/>
        </w:rPr>
        <w:t>prímestskej autobusovej dopravy. Najvyšší nárast zaznamenali banskobystrický a žilinský kraj.</w:t>
      </w:r>
    </w:p>
    <w:p w14:paraId="5F009EBE" w14:textId="77777777" w:rsidR="002F1D21" w:rsidRPr="00DA654B" w:rsidRDefault="002F1D21" w:rsidP="002F1D21">
      <w:pPr>
        <w:spacing w:after="120" w:line="240" w:lineRule="auto"/>
        <w:jc w:val="both"/>
        <w:rPr>
          <w:b/>
          <w:color w:val="0070C0"/>
          <w:sz w:val="24"/>
          <w:szCs w:val="24"/>
        </w:rPr>
      </w:pPr>
      <w:r w:rsidRPr="00DA654B">
        <w:rPr>
          <w:b/>
          <w:color w:val="0070C0"/>
          <w:sz w:val="24"/>
          <w:szCs w:val="24"/>
        </w:rPr>
        <w:t>Úrokové náklady</w:t>
      </w:r>
    </w:p>
    <w:p w14:paraId="35D6D749" w14:textId="77777777" w:rsidR="002F1D21" w:rsidRDefault="002F1D21" w:rsidP="002F1D21">
      <w:pPr>
        <w:spacing w:after="120" w:line="240" w:lineRule="auto"/>
        <w:jc w:val="both"/>
        <w:rPr>
          <w:szCs w:val="22"/>
        </w:rPr>
      </w:pPr>
      <w:r>
        <w:rPr>
          <w:szCs w:val="22"/>
        </w:rPr>
        <w:t>verejného dlhu poklesli</w:t>
      </w:r>
      <w:r w:rsidRPr="008D787B">
        <w:rPr>
          <w:szCs w:val="22"/>
        </w:rPr>
        <w:t xml:space="preserve"> </w:t>
      </w:r>
      <w:r>
        <w:rPr>
          <w:szCs w:val="22"/>
        </w:rPr>
        <w:t>o 5 </w:t>
      </w:r>
      <w:r w:rsidRPr="008D787B">
        <w:rPr>
          <w:szCs w:val="22"/>
        </w:rPr>
        <w:t xml:space="preserve">%, čo predstavovalo </w:t>
      </w:r>
      <w:r>
        <w:rPr>
          <w:szCs w:val="22"/>
        </w:rPr>
        <w:t>pokles</w:t>
      </w:r>
      <w:r w:rsidRPr="008D787B">
        <w:rPr>
          <w:szCs w:val="22"/>
        </w:rPr>
        <w:t xml:space="preserve"> o</w:t>
      </w:r>
      <w:r>
        <w:rPr>
          <w:szCs w:val="22"/>
        </w:rPr>
        <w:t> 58 107</w:t>
      </w:r>
      <w:r w:rsidRPr="008D787B">
        <w:rPr>
          <w:szCs w:val="22"/>
        </w:rPr>
        <w:t> tis. eur.</w:t>
      </w:r>
      <w:r w:rsidRPr="00843993">
        <w:t xml:space="preserve"> </w:t>
      </w:r>
      <w:r>
        <w:rPr>
          <w:szCs w:val="22"/>
        </w:rPr>
        <w:t>V </w:t>
      </w:r>
      <w:r w:rsidRPr="00843993">
        <w:rPr>
          <w:szCs w:val="22"/>
        </w:rPr>
        <w:t>roku 2020 bolo splat</w:t>
      </w:r>
      <w:r>
        <w:rPr>
          <w:szCs w:val="22"/>
        </w:rPr>
        <w:t>ných menej štátnych dlhopisov s </w:t>
      </w:r>
      <w:r w:rsidRPr="00843993">
        <w:rPr>
          <w:szCs w:val="22"/>
        </w:rPr>
        <w:t>vysokou kupónovou sadzbou (oproti priemernej s</w:t>
      </w:r>
      <w:r>
        <w:rPr>
          <w:szCs w:val="22"/>
        </w:rPr>
        <w:t>adzbe dlhového portfólia) ako v </w:t>
      </w:r>
      <w:r w:rsidRPr="00843993">
        <w:rPr>
          <w:szCs w:val="22"/>
        </w:rPr>
        <w:t>roku 2019, čo zapríčinilo medziročný pokles úrokových nákladov</w:t>
      </w:r>
      <w:r>
        <w:rPr>
          <w:szCs w:val="22"/>
        </w:rPr>
        <w:t>.</w:t>
      </w:r>
    </w:p>
    <w:p w14:paraId="0E0DD374" w14:textId="77777777" w:rsidR="002F1D21" w:rsidRPr="00DA654B" w:rsidRDefault="002F1D21" w:rsidP="002F1D21">
      <w:pPr>
        <w:spacing w:after="120" w:line="240" w:lineRule="auto"/>
        <w:jc w:val="both"/>
        <w:rPr>
          <w:b/>
          <w:color w:val="0070C0"/>
          <w:sz w:val="24"/>
          <w:szCs w:val="24"/>
        </w:rPr>
      </w:pPr>
      <w:r w:rsidRPr="00DA654B">
        <w:rPr>
          <w:b/>
          <w:color w:val="0070C0"/>
          <w:sz w:val="24"/>
          <w:szCs w:val="24"/>
        </w:rPr>
        <w:t>Sociálne transfery</w:t>
      </w:r>
    </w:p>
    <w:p w14:paraId="6A7C98BF" w14:textId="77777777" w:rsidR="002F1D21" w:rsidRDefault="002F1D21" w:rsidP="002F1D21">
      <w:pPr>
        <w:spacing w:after="120" w:line="240" w:lineRule="auto"/>
        <w:jc w:val="both"/>
        <w:rPr>
          <w:szCs w:val="22"/>
        </w:rPr>
      </w:pPr>
      <w:r>
        <w:rPr>
          <w:szCs w:val="22"/>
        </w:rPr>
        <w:t>V</w:t>
      </w:r>
      <w:r w:rsidRPr="008D787B">
        <w:rPr>
          <w:szCs w:val="22"/>
        </w:rPr>
        <w:t>zrástli o 6,5</w:t>
      </w:r>
      <w:r>
        <w:rPr>
          <w:szCs w:val="22"/>
        </w:rPr>
        <w:t> </w:t>
      </w:r>
      <w:r w:rsidRPr="008D787B">
        <w:rPr>
          <w:szCs w:val="22"/>
        </w:rPr>
        <w:t xml:space="preserve">%, čo predstavovalo nárast o 1 021 720 tis. eur. </w:t>
      </w:r>
      <w:r w:rsidRPr="00CE5CA3">
        <w:rPr>
          <w:szCs w:val="22"/>
        </w:rPr>
        <w:t>Nárast bežných transferov v Sociálnej poisťovni bol v hotovostných platbách z poistenia o</w:t>
      </w:r>
      <w:r>
        <w:rPr>
          <w:szCs w:val="22"/>
        </w:rPr>
        <w:t> 800 924</w:t>
      </w:r>
      <w:r w:rsidRPr="00CE5CA3">
        <w:rPr>
          <w:szCs w:val="22"/>
        </w:rPr>
        <w:t> tis. eur (na nemocenské dávky, na</w:t>
      </w:r>
      <w:r>
        <w:rPr>
          <w:szCs w:val="22"/>
        </w:rPr>
        <w:t> </w:t>
      </w:r>
      <w:r w:rsidRPr="00CE5CA3">
        <w:rPr>
          <w:szCs w:val="22"/>
        </w:rPr>
        <w:t>dôchodkové dávky zo starobného poistenia, na úrazové dávky, na dôchodkové dávky z invalidného poistenia, na platené poistné za skupiny osôb ustanovené zákonom a dávky v nezamestnanosti) a</w:t>
      </w:r>
      <w:r>
        <w:rPr>
          <w:szCs w:val="22"/>
        </w:rPr>
        <w:t> </w:t>
      </w:r>
      <w:r w:rsidRPr="00CE5CA3">
        <w:rPr>
          <w:szCs w:val="22"/>
        </w:rPr>
        <w:t>zo</w:t>
      </w:r>
      <w:r>
        <w:rPr>
          <w:szCs w:val="22"/>
        </w:rPr>
        <w:t> </w:t>
      </w:r>
      <w:r w:rsidRPr="00CE5CA3">
        <w:rPr>
          <w:szCs w:val="22"/>
        </w:rPr>
        <w:t>samostatných účtov silových zložiek o 13</w:t>
      </w:r>
      <w:r>
        <w:rPr>
          <w:szCs w:val="22"/>
        </w:rPr>
        <w:t> 315 </w:t>
      </w:r>
      <w:r w:rsidRPr="00CE5CA3">
        <w:rPr>
          <w:szCs w:val="22"/>
        </w:rPr>
        <w:t>tis. eur (na dôchodkové dávky zo starobného</w:t>
      </w:r>
      <w:r>
        <w:rPr>
          <w:szCs w:val="22"/>
        </w:rPr>
        <w:t xml:space="preserve"> a invalidného</w:t>
      </w:r>
      <w:r w:rsidRPr="00CE5CA3">
        <w:rPr>
          <w:szCs w:val="22"/>
        </w:rPr>
        <w:t xml:space="preserve"> poistenia a na </w:t>
      </w:r>
      <w:r>
        <w:rPr>
          <w:szCs w:val="22"/>
        </w:rPr>
        <w:t>nemocenské</w:t>
      </w:r>
      <w:r w:rsidRPr="00CE5CA3">
        <w:rPr>
          <w:szCs w:val="22"/>
        </w:rPr>
        <w:t xml:space="preserve"> dávky</w:t>
      </w:r>
      <w:r w:rsidRPr="00A16C9A">
        <w:rPr>
          <w:szCs w:val="22"/>
        </w:rPr>
        <w:t>).</w:t>
      </w:r>
    </w:p>
    <w:p w14:paraId="4375CB01" w14:textId="0E799CAF" w:rsidR="002F1D21" w:rsidRPr="00E409C5" w:rsidRDefault="002F1D21" w:rsidP="002F1D21">
      <w:pPr>
        <w:spacing w:after="120" w:line="240" w:lineRule="auto"/>
        <w:jc w:val="both"/>
        <w:rPr>
          <w:szCs w:val="22"/>
        </w:rPr>
      </w:pPr>
      <w:r w:rsidRPr="00A16C9A">
        <w:rPr>
          <w:szCs w:val="22"/>
        </w:rPr>
        <w:t>Celkovo sa nemocenské dávky v roku 2020 zvýšili o 36,9 % (nárast o</w:t>
      </w:r>
      <w:r>
        <w:rPr>
          <w:szCs w:val="22"/>
        </w:rPr>
        <w:t> 283 </w:t>
      </w:r>
      <w:r w:rsidRPr="00A16C9A">
        <w:rPr>
          <w:szCs w:val="22"/>
        </w:rPr>
        <w:t>524</w:t>
      </w:r>
      <w:r>
        <w:rPr>
          <w:szCs w:val="22"/>
        </w:rPr>
        <w:t> tis. eur),</w:t>
      </w:r>
      <w:r w:rsidRPr="00A16C9A">
        <w:rPr>
          <w:szCs w:val="22"/>
        </w:rPr>
        <w:t xml:space="preserve"> dôchodkové dávky zo </w:t>
      </w:r>
      <w:r w:rsidRPr="00E409C5">
        <w:rPr>
          <w:szCs w:val="22"/>
        </w:rPr>
        <w:t>starobného a invalidného poistenia sa zvýšili o 5,4 % (nárast o 415 535 tis. eur) a dávky v nezamestnanosti vzrástli o 53,7 % (nárast o 115 017 tis. eur).</w:t>
      </w:r>
    </w:p>
    <w:p w14:paraId="18F9B23E" w14:textId="1ECE7EC8" w:rsidR="002F1D21" w:rsidRPr="00E409C5" w:rsidRDefault="002F1D21" w:rsidP="002F1D21">
      <w:pPr>
        <w:spacing w:after="120" w:line="240" w:lineRule="auto"/>
        <w:jc w:val="both"/>
        <w:rPr>
          <w:szCs w:val="22"/>
        </w:rPr>
      </w:pPr>
      <w:r w:rsidRPr="00E409C5">
        <w:rPr>
          <w:szCs w:val="22"/>
        </w:rPr>
        <w:t>Vyplácané štátne sociálne dávky medziročne vzrástli o 67,1 % (nárast o 1 032 </w:t>
      </w:r>
      <w:r w:rsidR="00FD12D8" w:rsidRPr="00E409C5">
        <w:rPr>
          <w:szCs w:val="22"/>
        </w:rPr>
        <w:t xml:space="preserve">962 tis. eur). </w:t>
      </w:r>
      <w:r w:rsidR="00A3305F" w:rsidRPr="00E409C5">
        <w:rPr>
          <w:szCs w:val="22"/>
        </w:rPr>
        <w:t xml:space="preserve">K medziročnému nárastu prispelo najmä zvýšenie </w:t>
      </w:r>
      <w:r w:rsidRPr="00E409C5">
        <w:rPr>
          <w:szCs w:val="22"/>
        </w:rPr>
        <w:t xml:space="preserve">rodičovských príspevkov o 54,1 % (nárast o 204 297 tis. eur) na základe novely zákona o rodičovskom príspevku s účinnosťou od 1. januára 2020 a z dôvodu vyplácania tzv. </w:t>
      </w:r>
      <w:proofErr w:type="spellStart"/>
      <w:r w:rsidRPr="00E409C5">
        <w:rPr>
          <w:szCs w:val="22"/>
        </w:rPr>
        <w:t>pandemického</w:t>
      </w:r>
      <w:proofErr w:type="spellEnd"/>
      <w:r w:rsidRPr="00E409C5">
        <w:rPr>
          <w:szCs w:val="22"/>
        </w:rPr>
        <w:t xml:space="preserve"> rodičovského príspevku.</w:t>
      </w:r>
    </w:p>
    <w:p w14:paraId="3E37B5F0" w14:textId="0C3B53D5" w:rsidR="002F1D21" w:rsidRPr="00E409C5" w:rsidRDefault="002F1D21" w:rsidP="002F1D21">
      <w:pPr>
        <w:spacing w:after="120" w:line="240" w:lineRule="auto"/>
        <w:jc w:val="both"/>
        <w:rPr>
          <w:color w:val="0070C0"/>
          <w:sz w:val="24"/>
          <w:szCs w:val="24"/>
        </w:rPr>
      </w:pPr>
      <w:r w:rsidRPr="00E409C5">
        <w:rPr>
          <w:b/>
          <w:color w:val="0070C0"/>
          <w:sz w:val="24"/>
          <w:szCs w:val="24"/>
        </w:rPr>
        <w:t>Ostatné bežné transfery</w:t>
      </w:r>
      <w:r w:rsidRPr="00E409C5">
        <w:rPr>
          <w:color w:val="0070C0"/>
          <w:sz w:val="24"/>
          <w:szCs w:val="24"/>
        </w:rPr>
        <w:t xml:space="preserve"> </w:t>
      </w:r>
    </w:p>
    <w:p w14:paraId="7A4B819D" w14:textId="5FBD109F" w:rsidR="002F1D21" w:rsidRPr="00E409C5" w:rsidRDefault="00E409C5" w:rsidP="002F1D21">
      <w:pPr>
        <w:keepNext/>
        <w:spacing w:after="120" w:line="240" w:lineRule="auto"/>
        <w:jc w:val="both"/>
        <w:rPr>
          <w:szCs w:val="22"/>
        </w:rPr>
      </w:pPr>
      <w:r w:rsidRPr="00E409C5">
        <w:rPr>
          <w:szCs w:val="22"/>
        </w:rPr>
        <w:t>Tieto s</w:t>
      </w:r>
      <w:r w:rsidR="002F1D21" w:rsidRPr="00E409C5">
        <w:rPr>
          <w:szCs w:val="22"/>
        </w:rPr>
        <w:t>ú najväčšou položkou výdavkov rozpočtu verejnej správy, v roku 2020 mali podiel na celkových výdavkoch 62,2 % a oproti predchádzajúcemu roku vzrástli o 1 065 438 tis. eur. Zvýšili sa najmä akruálne transfery z dôvodu úhrad v rámci COVID programu tzv. Prvá pomoc</w:t>
      </w:r>
      <w:r w:rsidR="001323BD" w:rsidRPr="00E409C5">
        <w:rPr>
          <w:rStyle w:val="Odkaznapoznmkupodiarou"/>
          <w:szCs w:val="22"/>
        </w:rPr>
        <w:footnoteReference w:id="20"/>
      </w:r>
      <w:r w:rsidR="002F1D21" w:rsidRPr="00E409C5">
        <w:rPr>
          <w:szCs w:val="22"/>
        </w:rPr>
        <w:t xml:space="preserve"> na podporu zamestnanosti o 995 046 tis. eur. </w:t>
      </w:r>
      <w:r w:rsidR="005B5184" w:rsidRPr="00E409C5">
        <w:rPr>
          <w:szCs w:val="22"/>
        </w:rPr>
        <w:t xml:space="preserve">Prostriedky sa realizovali najmä v kapitole Ministerstva práce, sociálnych vecí a rodiny SR na podporu aktívnej politiky na trhu práce a zvýšenie zamestnanosti z dôvodu mimoriadnej situácie, ktorá v roku 2020 nastala v súvislosti s pandémiou </w:t>
      </w:r>
      <w:proofErr w:type="spellStart"/>
      <w:r w:rsidR="005B5184" w:rsidRPr="00E409C5">
        <w:rPr>
          <w:szCs w:val="22"/>
        </w:rPr>
        <w:t>koronavírusu</w:t>
      </w:r>
      <w:proofErr w:type="spellEnd"/>
      <w:r w:rsidR="005B5184" w:rsidRPr="00E409C5">
        <w:rPr>
          <w:szCs w:val="22"/>
        </w:rPr>
        <w:t>.</w:t>
      </w:r>
    </w:p>
    <w:p w14:paraId="3DB8648A" w14:textId="77777777" w:rsidR="002F1D21" w:rsidRPr="00DA654B" w:rsidRDefault="002F1D21" w:rsidP="002F1D21">
      <w:pPr>
        <w:spacing w:after="120" w:line="240" w:lineRule="auto"/>
        <w:jc w:val="both"/>
        <w:rPr>
          <w:b/>
          <w:color w:val="0070C0"/>
          <w:sz w:val="24"/>
          <w:szCs w:val="24"/>
        </w:rPr>
      </w:pPr>
      <w:r w:rsidRPr="00DA654B">
        <w:rPr>
          <w:b/>
          <w:color w:val="0070C0"/>
          <w:sz w:val="24"/>
          <w:szCs w:val="24"/>
        </w:rPr>
        <w:t>Kapitálové výdavky</w:t>
      </w:r>
    </w:p>
    <w:p w14:paraId="65F5C963" w14:textId="77777777" w:rsidR="002F1D21" w:rsidRPr="00F45A3A" w:rsidRDefault="002F1D21" w:rsidP="00285FD5">
      <w:pPr>
        <w:spacing w:after="120" w:line="240" w:lineRule="auto"/>
        <w:jc w:val="both"/>
        <w:rPr>
          <w:szCs w:val="22"/>
        </w:rPr>
      </w:pPr>
      <w:r>
        <w:rPr>
          <w:szCs w:val="22"/>
        </w:rPr>
        <w:t>O</w:t>
      </w:r>
      <w:r w:rsidRPr="008D787B">
        <w:rPr>
          <w:szCs w:val="22"/>
        </w:rPr>
        <w:t xml:space="preserve">proti predchádzajúcemu roku </w:t>
      </w:r>
      <w:r>
        <w:rPr>
          <w:szCs w:val="22"/>
        </w:rPr>
        <w:t xml:space="preserve">sa zvýšili </w:t>
      </w:r>
      <w:r w:rsidRPr="008D787B">
        <w:rPr>
          <w:szCs w:val="22"/>
        </w:rPr>
        <w:t>o 3,1 % (nárast o 118 843 tis. eur</w:t>
      </w:r>
      <w:r w:rsidRPr="00F45A3A">
        <w:rPr>
          <w:szCs w:val="22"/>
        </w:rPr>
        <w:t xml:space="preserve">) z dôvodu </w:t>
      </w:r>
      <w:r w:rsidRPr="00AB1E02">
        <w:rPr>
          <w:szCs w:val="22"/>
        </w:rPr>
        <w:t xml:space="preserve">nárastu </w:t>
      </w:r>
      <w:r w:rsidRPr="00AB1E02">
        <w:rPr>
          <w:szCs w:val="22"/>
          <w:u w:val="single"/>
        </w:rPr>
        <w:t>kapitálových transferov</w:t>
      </w:r>
      <w:r w:rsidRPr="00AB1E02">
        <w:rPr>
          <w:szCs w:val="22"/>
        </w:rPr>
        <w:t xml:space="preserve"> o 59,5</w:t>
      </w:r>
      <w:r>
        <w:rPr>
          <w:szCs w:val="22"/>
        </w:rPr>
        <w:t> </w:t>
      </w:r>
      <w:r w:rsidRPr="00AB1E02">
        <w:rPr>
          <w:szCs w:val="22"/>
        </w:rPr>
        <w:t>% (o 217</w:t>
      </w:r>
      <w:r>
        <w:rPr>
          <w:szCs w:val="22"/>
        </w:rPr>
        <w:t> </w:t>
      </w:r>
      <w:r w:rsidRPr="00AB1E02">
        <w:rPr>
          <w:szCs w:val="22"/>
        </w:rPr>
        <w:t>178</w:t>
      </w:r>
      <w:r>
        <w:rPr>
          <w:szCs w:val="22"/>
        </w:rPr>
        <w:t> </w:t>
      </w:r>
      <w:r w:rsidRPr="00AB1E02">
        <w:rPr>
          <w:szCs w:val="22"/>
        </w:rPr>
        <w:t>tis.</w:t>
      </w:r>
      <w:r>
        <w:rPr>
          <w:szCs w:val="22"/>
        </w:rPr>
        <w:t> </w:t>
      </w:r>
      <w:r w:rsidRPr="00AB1E02">
        <w:rPr>
          <w:szCs w:val="22"/>
        </w:rPr>
        <w:t>eur)</w:t>
      </w:r>
      <w:r>
        <w:rPr>
          <w:szCs w:val="22"/>
        </w:rPr>
        <w:t>, a to predovšetkým v zdravotných poisťovniach</w:t>
      </w:r>
      <w:r w:rsidRPr="00AB1E02">
        <w:rPr>
          <w:szCs w:val="22"/>
        </w:rPr>
        <w:t>.</w:t>
      </w:r>
      <w:r>
        <w:rPr>
          <w:szCs w:val="22"/>
        </w:rPr>
        <w:t xml:space="preserve"> V súvislosti s </w:t>
      </w:r>
      <w:proofErr w:type="spellStart"/>
      <w:r>
        <w:rPr>
          <w:szCs w:val="22"/>
        </w:rPr>
        <w:t>pandemickou</w:t>
      </w:r>
      <w:proofErr w:type="spellEnd"/>
      <w:r>
        <w:rPr>
          <w:szCs w:val="22"/>
        </w:rPr>
        <w:t xml:space="preserve"> situáciou vzrástli transfery zdravotných poisťovní poskytovateľom zdravotnej starostlivosti o 138 351 tis. eur. Zároveň vzrástli výdavkové transfery z verejnej časti zdravotného poistenia do súkromnej časti na splátku istiny úveru Dôvery, a. s. o 51 655 tis. eur. </w:t>
      </w:r>
    </w:p>
    <w:p w14:paraId="03E8372B" w14:textId="213BD134" w:rsidR="00016DC1" w:rsidRDefault="002F1D21" w:rsidP="00285FD5">
      <w:pPr>
        <w:spacing w:line="240" w:lineRule="auto"/>
        <w:jc w:val="both"/>
        <w:rPr>
          <w:rFonts w:eastAsiaTheme="majorEastAsia"/>
          <w:highlight w:val="yellow"/>
        </w:rPr>
      </w:pPr>
      <w:r w:rsidRPr="00171255">
        <w:rPr>
          <w:u w:val="single"/>
        </w:rPr>
        <w:t>Výdavky na obstaranie kapitálových aktív</w:t>
      </w:r>
      <w:r>
        <w:t xml:space="preserve"> naopak klesli oproti roku 2019 o 2,9 % (pokles o 98 335 tis. eur). N</w:t>
      </w:r>
      <w:r w:rsidRPr="00EE482A">
        <w:t>ajvyšší pokles</w:t>
      </w:r>
      <w:r>
        <w:t xml:space="preserve"> o 75 199 tis. eur zaznamenali obce. Išlo predovšetkým o výdavky na realizáciu</w:t>
      </w:r>
      <w:r w:rsidRPr="00EE482A">
        <w:t xml:space="preserve"> nových stavieb</w:t>
      </w:r>
      <w:r>
        <w:t xml:space="preserve">, nakoľko rozbehnutá výstavba nájomných bytových domov v roku 2019 sa v roku 2020 </w:t>
      </w:r>
      <w:r w:rsidRPr="00EE482A">
        <w:t>obmedzil</w:t>
      </w:r>
      <w:r>
        <w:t xml:space="preserve">a iba na </w:t>
      </w:r>
      <w:r w:rsidRPr="00EE482A">
        <w:t>čiastočné obnovy a rekonštrukcie.</w:t>
      </w:r>
      <w:r>
        <w:t xml:space="preserve"> Národná diaľničná spoločnosť vynaložila nižšie investičné výdavky oproti predchádzajúcemu roku o 60 719 tis. eur najmä z dôvodu významného výkupu pozemkov </w:t>
      </w:r>
      <w:r>
        <w:lastRenderedPageBreak/>
        <w:t xml:space="preserve">pre výstavbu diaľnic v roku 2019. Ďalší významný pokles zaznamenali štátne rozpočtové organizácie o 53 812 tis. eur, hlavne na výdavkoch na nákup budov a objektov (v rezortoch Ministerstva zahraničných vecí a európskych záležitostí SR a Ministerstva financií SR) a nákup špeciálnych strojov, prístrojov a zariadení (v rezortoch Ministerstva obrany SR a Ministerstva vnútra SR). Naopak výrazný nárast investícií realizovala Správa štátnych hmotných rezerv v súvislosti s obstaraním hmotných a mobilizačných rezerv o 101 659 tis. eur v rámci </w:t>
      </w:r>
      <w:proofErr w:type="spellStart"/>
      <w:r>
        <w:t>protipandemických</w:t>
      </w:r>
      <w:proofErr w:type="spellEnd"/>
      <w:r>
        <w:t xml:space="preserve"> opatrení.</w:t>
      </w:r>
    </w:p>
    <w:p w14:paraId="7EDBE89D" w14:textId="05529EB0" w:rsidR="0035366F" w:rsidRPr="00E5464C" w:rsidRDefault="008D55DC" w:rsidP="00C34D8B">
      <w:pPr>
        <w:pStyle w:val="Nadpis2"/>
        <w:numPr>
          <w:ilvl w:val="1"/>
          <w:numId w:val="3"/>
        </w:numPr>
        <w:spacing w:before="120" w:after="0"/>
      </w:pPr>
      <w:bookmarkStart w:id="38" w:name="_Toc399324366"/>
      <w:bookmarkStart w:id="39" w:name="_Toc401920020"/>
      <w:bookmarkStart w:id="40" w:name="_Toc465255021"/>
      <w:bookmarkStart w:id="41" w:name="_Toc495990490"/>
      <w:bookmarkEnd w:id="8"/>
      <w:bookmarkEnd w:id="9"/>
      <w:bookmarkEnd w:id="18"/>
      <w:bookmarkEnd w:id="19"/>
      <w:r w:rsidRPr="00E5464C">
        <w:t xml:space="preserve">  </w:t>
      </w:r>
      <w:r w:rsidR="005F0AF6" w:rsidRPr="00E5464C">
        <w:t xml:space="preserve"> </w:t>
      </w:r>
      <w:bookmarkStart w:id="42" w:name="_Toc85718902"/>
      <w:r w:rsidR="005F0AF6" w:rsidRPr="00E5464C">
        <w:t xml:space="preserve">Štrukturálne saldo, </w:t>
      </w:r>
      <w:r w:rsidR="00EF3DE1" w:rsidRPr="00E5464C">
        <w:t>cyklická zložka a</w:t>
      </w:r>
      <w:r w:rsidR="005F0AF6" w:rsidRPr="00E5464C">
        <w:t xml:space="preserve"> jednorazové vplyvy</w:t>
      </w:r>
      <w:bookmarkEnd w:id="42"/>
      <w:r w:rsidR="00EF3DE1" w:rsidRPr="00E5464C">
        <w:t xml:space="preserve"> </w:t>
      </w:r>
      <w:bookmarkEnd w:id="38"/>
      <w:bookmarkEnd w:id="39"/>
      <w:bookmarkEnd w:id="40"/>
      <w:bookmarkEnd w:id="41"/>
    </w:p>
    <w:p w14:paraId="63B3383C" w14:textId="4F9281C4" w:rsidR="000B776B" w:rsidRDefault="000B776B" w:rsidP="0044724E">
      <w:pPr>
        <w:spacing w:line="240" w:lineRule="auto"/>
        <w:jc w:val="both"/>
        <w:rPr>
          <w:highlight w:val="yellow"/>
        </w:rPr>
      </w:pPr>
      <w:r w:rsidRPr="008B059D">
        <w:rPr>
          <w:b/>
          <w:lang w:eastAsia="sk-SK"/>
        </w:rPr>
        <w:t>Štrukturálne saldo predstavuje analytický ukazovateľ, ktorým sa hodnotí fiškálna politika krajiny.</w:t>
      </w:r>
      <w:r>
        <w:rPr>
          <w:b/>
          <w:lang w:eastAsia="sk-SK"/>
        </w:rPr>
        <w:t xml:space="preserve"> </w:t>
      </w:r>
      <w:r w:rsidRPr="00FA78C8">
        <w:rPr>
          <w:lang w:eastAsia="sk-SK"/>
        </w:rPr>
        <w:t>Štrukturálne saldo analyticky očisťuje nominálne saldo o vplyv ekonomického cyklu a jednorazové efekty</w:t>
      </w:r>
      <w:r w:rsidRPr="00EE2872">
        <w:rPr>
          <w:lang w:eastAsia="sk-SK"/>
        </w:rPr>
        <w:t>. Vývoj štrukturálneho salda predstavuje jeden z kľúčových ukazovateľov pri hodnotení súladu s európskymi</w:t>
      </w:r>
      <w:r w:rsidRPr="008B059D">
        <w:rPr>
          <w:lang w:eastAsia="sk-SK"/>
        </w:rPr>
        <w:t xml:space="preserve"> a národnými fiškálnymi pravidlami</w:t>
      </w:r>
      <w:r w:rsidRPr="008B059D">
        <w:rPr>
          <w:rStyle w:val="Odkaznapoznmkupodiarou"/>
          <w:rFonts w:eastAsiaTheme="majorEastAsia"/>
        </w:rPr>
        <w:footnoteReference w:id="21"/>
      </w:r>
      <w:r w:rsidRPr="008B059D">
        <w:rPr>
          <w:lang w:eastAsia="sk-SK"/>
        </w:rPr>
        <w:t>.</w:t>
      </w:r>
    </w:p>
    <w:p w14:paraId="51707E2E" w14:textId="77777777" w:rsidR="000B776B" w:rsidRPr="000A3FA8" w:rsidRDefault="000B776B" w:rsidP="006C4634">
      <w:pPr>
        <w:spacing w:after="120" w:line="240" w:lineRule="auto"/>
        <w:jc w:val="both"/>
      </w:pPr>
      <w:r w:rsidRPr="000F5E53">
        <w:rPr>
          <w:b/>
          <w:color w:val="0070C0"/>
        </w:rPr>
        <w:t>Štrukturálne saldo dosiahlo v roku 2020 hodnotu -2,4 % HDP</w:t>
      </w:r>
      <w:r w:rsidRPr="008C35DF">
        <w:rPr>
          <w:rStyle w:val="Odkaznapoznmkupodiarou"/>
          <w:rFonts w:eastAsiaTheme="majorEastAsia"/>
        </w:rPr>
        <w:footnoteReference w:id="22"/>
      </w:r>
      <w:r w:rsidRPr="008C35DF">
        <w:t>. Medziročná zmena štrukturálneho salda oproti úrovni z roku 2019 zodpovedá štrukturálnej expanzii na úrovni 0,4 p. b. HDP.</w:t>
      </w:r>
      <w:r>
        <w:t xml:space="preserve"> Do tejto expanzie nevstupujú výdavky vyvolané pandémiou COVID-19, keďže tie sa v rámci jednorazových opatrení očisťujú.</w:t>
      </w:r>
      <w:r w:rsidRPr="008C35DF">
        <w:t xml:space="preserve"> Primárny štrukturálny deficit medziročne vzrástol, a v roku 2020 dosiahol úroveň 1,2 % HDP. Jeho nárast bol výsledkom medziročného rastu štrukturálneho deficitu, pričom úrokové náklady na obsluhu dlhu sa medziročne zmenili len minimálne.</w:t>
      </w:r>
    </w:p>
    <w:tbl>
      <w:tblPr>
        <w:tblW w:w="9046" w:type="dxa"/>
        <w:tblLook w:val="04A0" w:firstRow="1" w:lastRow="0" w:firstColumn="1" w:lastColumn="0" w:noHBand="0" w:noVBand="1"/>
      </w:tblPr>
      <w:tblGrid>
        <w:gridCol w:w="5763"/>
        <w:gridCol w:w="429"/>
        <w:gridCol w:w="1019"/>
        <w:gridCol w:w="942"/>
        <w:gridCol w:w="893"/>
      </w:tblGrid>
      <w:tr w:rsidR="000B776B" w:rsidRPr="00A91118" w14:paraId="11342552" w14:textId="77777777" w:rsidTr="007B548A">
        <w:trPr>
          <w:trHeight w:val="277"/>
        </w:trPr>
        <w:tc>
          <w:tcPr>
            <w:tcW w:w="9046" w:type="dxa"/>
            <w:gridSpan w:val="5"/>
            <w:tcBorders>
              <w:top w:val="nil"/>
              <w:left w:val="nil"/>
              <w:bottom w:val="nil"/>
              <w:right w:val="nil"/>
            </w:tcBorders>
            <w:shd w:val="clear" w:color="000000" w:fill="000000"/>
            <w:noWrap/>
            <w:vAlign w:val="center"/>
            <w:hideMark/>
          </w:tcPr>
          <w:p w14:paraId="6C659C90" w14:textId="253A35A5" w:rsidR="000B776B" w:rsidRPr="00A91118" w:rsidRDefault="00BA27E8" w:rsidP="00BA27E8">
            <w:pPr>
              <w:pStyle w:val="popistabuliek"/>
            </w:pPr>
            <w:r>
              <w:t xml:space="preserve">Tab. 12 - </w:t>
            </w:r>
            <w:r w:rsidR="000B776B" w:rsidRPr="00A91118">
              <w:t>Výpočet štrukturálneho salda a konsolidačného úsilia ( ESA 2010)</w:t>
            </w:r>
          </w:p>
        </w:tc>
      </w:tr>
      <w:tr w:rsidR="000B776B" w:rsidRPr="00A91118" w14:paraId="7E60B384" w14:textId="77777777" w:rsidTr="007B548A">
        <w:trPr>
          <w:trHeight w:val="253"/>
        </w:trPr>
        <w:tc>
          <w:tcPr>
            <w:tcW w:w="5763" w:type="dxa"/>
            <w:vMerge w:val="restart"/>
            <w:tcBorders>
              <w:top w:val="nil"/>
              <w:left w:val="nil"/>
              <w:bottom w:val="nil"/>
              <w:right w:val="nil"/>
            </w:tcBorders>
            <w:shd w:val="clear" w:color="000000" w:fill="C0C0C0"/>
            <w:noWrap/>
            <w:vAlign w:val="center"/>
            <w:hideMark/>
          </w:tcPr>
          <w:p w14:paraId="18886893" w14:textId="77777777" w:rsidR="000B776B" w:rsidRPr="00A91118" w:rsidRDefault="000B776B" w:rsidP="007B548A">
            <w:pPr>
              <w:spacing w:after="0" w:line="240" w:lineRule="auto"/>
              <w:jc w:val="center"/>
              <w:rPr>
                <w:color w:val="000000"/>
                <w:sz w:val="20"/>
                <w:szCs w:val="20"/>
                <w:lang w:eastAsia="en-GB"/>
              </w:rPr>
            </w:pPr>
            <w:r w:rsidRPr="00A91118">
              <w:rPr>
                <w:color w:val="000000"/>
                <w:sz w:val="20"/>
                <w:szCs w:val="20"/>
                <w:lang w:eastAsia="en-GB"/>
              </w:rPr>
              <w:t> </w:t>
            </w:r>
          </w:p>
        </w:tc>
        <w:tc>
          <w:tcPr>
            <w:tcW w:w="429" w:type="dxa"/>
            <w:tcBorders>
              <w:top w:val="nil"/>
              <w:left w:val="nil"/>
              <w:bottom w:val="nil"/>
              <w:right w:val="single" w:sz="8" w:space="0" w:color="auto"/>
            </w:tcBorders>
            <w:shd w:val="clear" w:color="000000" w:fill="C0C0C0"/>
            <w:vAlign w:val="center"/>
          </w:tcPr>
          <w:p w14:paraId="44208234" w14:textId="77777777" w:rsidR="000B776B" w:rsidRPr="00A91118" w:rsidRDefault="000B776B" w:rsidP="007B548A">
            <w:pPr>
              <w:spacing w:after="0" w:line="240" w:lineRule="auto"/>
              <w:jc w:val="center"/>
              <w:rPr>
                <w:b/>
                <w:bCs/>
                <w:color w:val="000000"/>
                <w:sz w:val="20"/>
                <w:szCs w:val="20"/>
                <w:lang w:eastAsia="en-GB"/>
              </w:rPr>
            </w:pPr>
          </w:p>
        </w:tc>
        <w:tc>
          <w:tcPr>
            <w:tcW w:w="2854" w:type="dxa"/>
            <w:gridSpan w:val="3"/>
            <w:tcBorders>
              <w:top w:val="nil"/>
              <w:left w:val="nil"/>
              <w:bottom w:val="nil"/>
              <w:right w:val="nil"/>
            </w:tcBorders>
            <w:shd w:val="clear" w:color="000000" w:fill="C0C0C0"/>
            <w:vAlign w:val="center"/>
            <w:hideMark/>
          </w:tcPr>
          <w:p w14:paraId="2E2FE493" w14:textId="77777777" w:rsidR="000B776B" w:rsidRPr="00A91118" w:rsidRDefault="000B776B" w:rsidP="007B548A">
            <w:pPr>
              <w:spacing w:after="0" w:line="240" w:lineRule="auto"/>
              <w:jc w:val="center"/>
              <w:rPr>
                <w:b/>
                <w:bCs/>
                <w:color w:val="000000"/>
                <w:sz w:val="20"/>
                <w:szCs w:val="20"/>
                <w:lang w:eastAsia="en-GB"/>
              </w:rPr>
            </w:pPr>
            <w:r w:rsidRPr="00A91118">
              <w:rPr>
                <w:b/>
                <w:bCs/>
                <w:color w:val="000000"/>
                <w:sz w:val="20"/>
                <w:szCs w:val="20"/>
                <w:lang w:eastAsia="en-GB"/>
              </w:rPr>
              <w:t>% HDP</w:t>
            </w:r>
          </w:p>
        </w:tc>
      </w:tr>
      <w:tr w:rsidR="000B776B" w:rsidRPr="00A91118" w14:paraId="7C0D82E5" w14:textId="77777777" w:rsidTr="007B548A">
        <w:trPr>
          <w:trHeight w:val="253"/>
        </w:trPr>
        <w:tc>
          <w:tcPr>
            <w:tcW w:w="5763" w:type="dxa"/>
            <w:vMerge/>
            <w:tcBorders>
              <w:top w:val="nil"/>
              <w:left w:val="nil"/>
              <w:bottom w:val="nil"/>
              <w:right w:val="nil"/>
            </w:tcBorders>
            <w:vAlign w:val="center"/>
            <w:hideMark/>
          </w:tcPr>
          <w:p w14:paraId="5ED3C02B" w14:textId="77777777" w:rsidR="000B776B" w:rsidRPr="00A91118" w:rsidRDefault="000B776B" w:rsidP="007B548A">
            <w:pPr>
              <w:spacing w:after="0" w:line="240" w:lineRule="auto"/>
              <w:rPr>
                <w:color w:val="000000"/>
                <w:sz w:val="20"/>
                <w:szCs w:val="20"/>
                <w:lang w:eastAsia="en-GB"/>
              </w:rPr>
            </w:pPr>
          </w:p>
        </w:tc>
        <w:tc>
          <w:tcPr>
            <w:tcW w:w="429" w:type="dxa"/>
            <w:tcBorders>
              <w:top w:val="nil"/>
              <w:left w:val="nil"/>
              <w:bottom w:val="nil"/>
              <w:right w:val="single" w:sz="8" w:space="0" w:color="auto"/>
            </w:tcBorders>
            <w:shd w:val="clear" w:color="000000" w:fill="C0C0C0"/>
            <w:vAlign w:val="center"/>
          </w:tcPr>
          <w:p w14:paraId="7C801D24" w14:textId="77777777" w:rsidR="000B776B" w:rsidRPr="00A91118" w:rsidRDefault="000B776B" w:rsidP="007B548A">
            <w:pPr>
              <w:spacing w:after="0" w:line="240" w:lineRule="auto"/>
              <w:jc w:val="center"/>
              <w:rPr>
                <w:b/>
                <w:bCs/>
                <w:color w:val="000000"/>
                <w:sz w:val="20"/>
                <w:szCs w:val="20"/>
                <w:lang w:eastAsia="en-GB"/>
              </w:rPr>
            </w:pPr>
          </w:p>
        </w:tc>
        <w:tc>
          <w:tcPr>
            <w:tcW w:w="1019" w:type="dxa"/>
            <w:tcBorders>
              <w:top w:val="nil"/>
              <w:left w:val="nil"/>
              <w:bottom w:val="nil"/>
              <w:right w:val="nil"/>
            </w:tcBorders>
            <w:shd w:val="clear" w:color="000000" w:fill="C0C0C0"/>
            <w:vAlign w:val="center"/>
            <w:hideMark/>
          </w:tcPr>
          <w:p w14:paraId="59EAE104" w14:textId="77777777" w:rsidR="000B776B" w:rsidRPr="00A91118" w:rsidRDefault="000B776B" w:rsidP="007B548A">
            <w:pPr>
              <w:spacing w:after="0" w:line="240" w:lineRule="auto"/>
              <w:jc w:val="center"/>
              <w:rPr>
                <w:b/>
                <w:bCs/>
                <w:color w:val="000000"/>
                <w:sz w:val="20"/>
                <w:szCs w:val="20"/>
                <w:lang w:eastAsia="en-GB"/>
              </w:rPr>
            </w:pPr>
            <w:r>
              <w:rPr>
                <w:b/>
                <w:bCs/>
                <w:color w:val="000000"/>
                <w:sz w:val="20"/>
                <w:szCs w:val="20"/>
                <w:lang w:eastAsia="en-GB"/>
              </w:rPr>
              <w:t>2018</w:t>
            </w:r>
          </w:p>
        </w:tc>
        <w:tc>
          <w:tcPr>
            <w:tcW w:w="942" w:type="dxa"/>
            <w:tcBorders>
              <w:top w:val="nil"/>
              <w:left w:val="nil"/>
              <w:bottom w:val="nil"/>
              <w:right w:val="nil"/>
            </w:tcBorders>
            <w:shd w:val="clear" w:color="000000" w:fill="C0C0C0"/>
            <w:vAlign w:val="center"/>
            <w:hideMark/>
          </w:tcPr>
          <w:p w14:paraId="22C748DF" w14:textId="77777777" w:rsidR="000B776B" w:rsidRPr="00A91118" w:rsidRDefault="000B776B" w:rsidP="007B548A">
            <w:pPr>
              <w:spacing w:after="0" w:line="240" w:lineRule="auto"/>
              <w:jc w:val="center"/>
              <w:rPr>
                <w:b/>
                <w:bCs/>
                <w:color w:val="000000"/>
                <w:sz w:val="20"/>
                <w:szCs w:val="20"/>
                <w:lang w:eastAsia="en-GB"/>
              </w:rPr>
            </w:pPr>
            <w:r>
              <w:rPr>
                <w:b/>
                <w:bCs/>
                <w:color w:val="000000"/>
                <w:sz w:val="20"/>
                <w:szCs w:val="20"/>
                <w:lang w:eastAsia="en-GB"/>
              </w:rPr>
              <w:t>2019</w:t>
            </w:r>
          </w:p>
        </w:tc>
        <w:tc>
          <w:tcPr>
            <w:tcW w:w="893" w:type="dxa"/>
            <w:tcBorders>
              <w:top w:val="nil"/>
              <w:left w:val="nil"/>
              <w:bottom w:val="nil"/>
              <w:right w:val="nil"/>
            </w:tcBorders>
            <w:shd w:val="clear" w:color="000000" w:fill="C0C0C0"/>
            <w:vAlign w:val="center"/>
            <w:hideMark/>
          </w:tcPr>
          <w:p w14:paraId="52435480" w14:textId="77777777" w:rsidR="000B776B" w:rsidRPr="00A91118" w:rsidRDefault="000B776B" w:rsidP="007B548A">
            <w:pPr>
              <w:spacing w:after="0" w:line="240" w:lineRule="auto"/>
              <w:jc w:val="center"/>
              <w:rPr>
                <w:b/>
                <w:bCs/>
                <w:color w:val="000000"/>
                <w:sz w:val="20"/>
                <w:szCs w:val="20"/>
                <w:lang w:eastAsia="en-GB"/>
              </w:rPr>
            </w:pPr>
            <w:r>
              <w:rPr>
                <w:b/>
                <w:bCs/>
                <w:color w:val="000000"/>
                <w:sz w:val="20"/>
                <w:szCs w:val="20"/>
                <w:lang w:eastAsia="en-GB"/>
              </w:rPr>
              <w:t>2020</w:t>
            </w:r>
          </w:p>
        </w:tc>
      </w:tr>
      <w:tr w:rsidR="000B776B" w:rsidRPr="00A91118" w14:paraId="00C3D76A" w14:textId="77777777" w:rsidTr="007B548A">
        <w:trPr>
          <w:trHeight w:val="253"/>
        </w:trPr>
        <w:tc>
          <w:tcPr>
            <w:tcW w:w="6192" w:type="dxa"/>
            <w:gridSpan w:val="2"/>
            <w:tcBorders>
              <w:top w:val="nil"/>
              <w:left w:val="nil"/>
              <w:bottom w:val="nil"/>
              <w:right w:val="single" w:sz="8" w:space="0" w:color="auto"/>
            </w:tcBorders>
            <w:shd w:val="clear" w:color="auto" w:fill="auto"/>
            <w:noWrap/>
            <w:vAlign w:val="center"/>
            <w:hideMark/>
          </w:tcPr>
          <w:p w14:paraId="2D638793" w14:textId="77777777" w:rsidR="000B776B" w:rsidRPr="00A91118" w:rsidRDefault="000B776B" w:rsidP="007B548A">
            <w:pPr>
              <w:spacing w:after="0" w:line="240" w:lineRule="auto"/>
              <w:rPr>
                <w:b/>
                <w:color w:val="000000"/>
                <w:sz w:val="18"/>
                <w:szCs w:val="18"/>
                <w:lang w:eastAsia="en-GB"/>
              </w:rPr>
            </w:pPr>
            <w:r w:rsidRPr="00A91118">
              <w:rPr>
                <w:b/>
                <w:color w:val="000000"/>
                <w:sz w:val="18"/>
                <w:szCs w:val="18"/>
                <w:lang w:eastAsia="en-GB"/>
              </w:rPr>
              <w:t>1. Saldo verejnej správy podľa ESA 2010*</w:t>
            </w:r>
          </w:p>
        </w:tc>
        <w:tc>
          <w:tcPr>
            <w:tcW w:w="1019" w:type="dxa"/>
            <w:tcBorders>
              <w:top w:val="nil"/>
              <w:left w:val="nil"/>
              <w:bottom w:val="nil"/>
              <w:right w:val="nil"/>
            </w:tcBorders>
            <w:shd w:val="clear" w:color="auto" w:fill="auto"/>
            <w:noWrap/>
            <w:vAlign w:val="bottom"/>
          </w:tcPr>
          <w:p w14:paraId="5E54D9F5" w14:textId="77777777" w:rsidR="000B776B" w:rsidRPr="00DB5917" w:rsidRDefault="000B776B" w:rsidP="007B548A">
            <w:pPr>
              <w:spacing w:after="0" w:line="240" w:lineRule="auto"/>
              <w:jc w:val="center"/>
              <w:rPr>
                <w:b/>
                <w:color w:val="000000"/>
                <w:sz w:val="20"/>
                <w:szCs w:val="20"/>
                <w:highlight w:val="yellow"/>
                <w:lang w:eastAsia="en-GB"/>
              </w:rPr>
            </w:pPr>
            <w:r>
              <w:rPr>
                <w:rFonts w:cs="Calibri"/>
                <w:b/>
                <w:bCs/>
                <w:color w:val="000000"/>
                <w:sz w:val="20"/>
              </w:rPr>
              <w:t>-1,0</w:t>
            </w:r>
          </w:p>
        </w:tc>
        <w:tc>
          <w:tcPr>
            <w:tcW w:w="942" w:type="dxa"/>
            <w:tcBorders>
              <w:top w:val="nil"/>
              <w:left w:val="nil"/>
              <w:bottom w:val="nil"/>
              <w:right w:val="nil"/>
            </w:tcBorders>
            <w:shd w:val="clear" w:color="auto" w:fill="auto"/>
            <w:noWrap/>
            <w:vAlign w:val="bottom"/>
          </w:tcPr>
          <w:p w14:paraId="783A77BF" w14:textId="77777777" w:rsidR="000B776B" w:rsidRPr="00DB5917" w:rsidRDefault="000B776B" w:rsidP="007B548A">
            <w:pPr>
              <w:spacing w:after="0" w:line="240" w:lineRule="auto"/>
              <w:jc w:val="center"/>
              <w:rPr>
                <w:b/>
                <w:color w:val="000000"/>
                <w:sz w:val="20"/>
                <w:szCs w:val="20"/>
                <w:highlight w:val="yellow"/>
                <w:lang w:eastAsia="en-GB"/>
              </w:rPr>
            </w:pPr>
            <w:r>
              <w:rPr>
                <w:rFonts w:cs="Calibri"/>
                <w:b/>
                <w:bCs/>
                <w:color w:val="000000"/>
                <w:sz w:val="20"/>
              </w:rPr>
              <w:t>-1,3</w:t>
            </w:r>
          </w:p>
        </w:tc>
        <w:tc>
          <w:tcPr>
            <w:tcW w:w="893" w:type="dxa"/>
            <w:tcBorders>
              <w:top w:val="nil"/>
              <w:left w:val="nil"/>
              <w:bottom w:val="nil"/>
              <w:right w:val="nil"/>
            </w:tcBorders>
            <w:shd w:val="clear" w:color="auto" w:fill="auto"/>
            <w:noWrap/>
            <w:vAlign w:val="bottom"/>
          </w:tcPr>
          <w:p w14:paraId="7610E23B" w14:textId="77777777" w:rsidR="000B776B" w:rsidRPr="00DB5917" w:rsidRDefault="000B776B" w:rsidP="007B548A">
            <w:pPr>
              <w:spacing w:after="0" w:line="240" w:lineRule="auto"/>
              <w:jc w:val="center"/>
              <w:rPr>
                <w:b/>
                <w:color w:val="000000"/>
                <w:sz w:val="20"/>
                <w:szCs w:val="20"/>
                <w:highlight w:val="yellow"/>
                <w:lang w:eastAsia="en-GB"/>
              </w:rPr>
            </w:pPr>
            <w:r>
              <w:rPr>
                <w:rFonts w:cs="Calibri"/>
                <w:b/>
                <w:bCs/>
                <w:color w:val="000000"/>
                <w:sz w:val="20"/>
              </w:rPr>
              <w:t>-5,5</w:t>
            </w:r>
          </w:p>
        </w:tc>
      </w:tr>
      <w:tr w:rsidR="000B776B" w:rsidRPr="00A91118" w14:paraId="792D6E2E" w14:textId="77777777" w:rsidTr="007B548A">
        <w:trPr>
          <w:trHeight w:val="253"/>
        </w:trPr>
        <w:tc>
          <w:tcPr>
            <w:tcW w:w="6192" w:type="dxa"/>
            <w:gridSpan w:val="2"/>
            <w:tcBorders>
              <w:top w:val="nil"/>
              <w:left w:val="nil"/>
              <w:bottom w:val="nil"/>
              <w:right w:val="single" w:sz="8" w:space="0" w:color="auto"/>
            </w:tcBorders>
            <w:shd w:val="clear" w:color="auto" w:fill="auto"/>
            <w:noWrap/>
            <w:vAlign w:val="center"/>
            <w:hideMark/>
          </w:tcPr>
          <w:p w14:paraId="742BB939" w14:textId="77777777" w:rsidR="000B776B" w:rsidRPr="00A91118" w:rsidRDefault="000B776B" w:rsidP="007B548A">
            <w:pPr>
              <w:spacing w:after="0" w:line="240" w:lineRule="auto"/>
              <w:rPr>
                <w:color w:val="000000"/>
                <w:sz w:val="18"/>
                <w:szCs w:val="18"/>
                <w:lang w:eastAsia="en-GB"/>
              </w:rPr>
            </w:pPr>
            <w:r w:rsidRPr="00A91118">
              <w:rPr>
                <w:color w:val="000000"/>
                <w:sz w:val="18"/>
                <w:szCs w:val="18"/>
                <w:lang w:eastAsia="en-GB"/>
              </w:rPr>
              <w:t>2. Cyklická zložka**</w:t>
            </w:r>
          </w:p>
        </w:tc>
        <w:tc>
          <w:tcPr>
            <w:tcW w:w="1019" w:type="dxa"/>
            <w:tcBorders>
              <w:top w:val="nil"/>
              <w:left w:val="nil"/>
              <w:bottom w:val="nil"/>
              <w:right w:val="nil"/>
            </w:tcBorders>
            <w:shd w:val="clear" w:color="auto" w:fill="auto"/>
            <w:vAlign w:val="bottom"/>
          </w:tcPr>
          <w:p w14:paraId="4C6DB6FE" w14:textId="77777777" w:rsidR="000B776B" w:rsidRPr="00DB5917" w:rsidRDefault="000B776B" w:rsidP="007B548A">
            <w:pPr>
              <w:spacing w:after="0" w:line="240" w:lineRule="auto"/>
              <w:jc w:val="center"/>
              <w:rPr>
                <w:color w:val="000000"/>
                <w:sz w:val="20"/>
                <w:szCs w:val="20"/>
                <w:highlight w:val="yellow"/>
                <w:lang w:eastAsia="en-GB"/>
              </w:rPr>
            </w:pPr>
            <w:r>
              <w:rPr>
                <w:rFonts w:cs="Calibri"/>
                <w:color w:val="000000"/>
                <w:sz w:val="20"/>
              </w:rPr>
              <w:t>0,6</w:t>
            </w:r>
          </w:p>
        </w:tc>
        <w:tc>
          <w:tcPr>
            <w:tcW w:w="942" w:type="dxa"/>
            <w:tcBorders>
              <w:top w:val="nil"/>
              <w:left w:val="nil"/>
              <w:bottom w:val="nil"/>
              <w:right w:val="nil"/>
            </w:tcBorders>
            <w:shd w:val="clear" w:color="auto" w:fill="auto"/>
            <w:vAlign w:val="bottom"/>
          </w:tcPr>
          <w:p w14:paraId="28121A3F" w14:textId="77777777" w:rsidR="000B776B" w:rsidRPr="00DB5917" w:rsidRDefault="000B776B" w:rsidP="007B548A">
            <w:pPr>
              <w:spacing w:after="0" w:line="240" w:lineRule="auto"/>
              <w:jc w:val="center"/>
              <w:rPr>
                <w:color w:val="000000"/>
                <w:sz w:val="20"/>
                <w:szCs w:val="20"/>
                <w:highlight w:val="yellow"/>
                <w:lang w:eastAsia="en-GB"/>
              </w:rPr>
            </w:pPr>
            <w:r w:rsidRPr="00DB5917">
              <w:rPr>
                <w:rFonts w:cs="Calibri"/>
                <w:color w:val="000000"/>
                <w:sz w:val="20"/>
              </w:rPr>
              <w:t>0,7</w:t>
            </w:r>
          </w:p>
        </w:tc>
        <w:tc>
          <w:tcPr>
            <w:tcW w:w="893" w:type="dxa"/>
            <w:tcBorders>
              <w:top w:val="nil"/>
              <w:left w:val="nil"/>
              <w:bottom w:val="nil"/>
              <w:right w:val="nil"/>
            </w:tcBorders>
            <w:shd w:val="clear" w:color="auto" w:fill="auto"/>
            <w:vAlign w:val="bottom"/>
          </w:tcPr>
          <w:p w14:paraId="5985B2E9" w14:textId="77777777" w:rsidR="000B776B" w:rsidRPr="00DB5917" w:rsidRDefault="000B776B" w:rsidP="007B548A">
            <w:pPr>
              <w:spacing w:after="0" w:line="240" w:lineRule="auto"/>
              <w:jc w:val="center"/>
              <w:rPr>
                <w:color w:val="000000"/>
                <w:sz w:val="20"/>
                <w:szCs w:val="20"/>
                <w:highlight w:val="yellow"/>
                <w:lang w:eastAsia="en-GB"/>
              </w:rPr>
            </w:pPr>
            <w:r w:rsidRPr="00DB5917">
              <w:rPr>
                <w:rFonts w:cs="Calibri"/>
                <w:color w:val="000000"/>
                <w:sz w:val="20"/>
              </w:rPr>
              <w:t>-1,4</w:t>
            </w:r>
          </w:p>
        </w:tc>
      </w:tr>
      <w:tr w:rsidR="000B776B" w:rsidRPr="00A91118" w14:paraId="62D5E294" w14:textId="77777777" w:rsidTr="007B548A">
        <w:trPr>
          <w:trHeight w:val="253"/>
        </w:trPr>
        <w:tc>
          <w:tcPr>
            <w:tcW w:w="6192" w:type="dxa"/>
            <w:gridSpan w:val="2"/>
            <w:tcBorders>
              <w:top w:val="nil"/>
              <w:left w:val="nil"/>
              <w:bottom w:val="nil"/>
              <w:right w:val="single" w:sz="8" w:space="0" w:color="auto"/>
            </w:tcBorders>
            <w:shd w:val="clear" w:color="auto" w:fill="auto"/>
            <w:noWrap/>
            <w:vAlign w:val="center"/>
            <w:hideMark/>
          </w:tcPr>
          <w:p w14:paraId="5EE8DD3C" w14:textId="77777777" w:rsidR="000B776B" w:rsidRPr="00A91118" w:rsidRDefault="000B776B" w:rsidP="007B548A">
            <w:pPr>
              <w:spacing w:after="0" w:line="240" w:lineRule="auto"/>
              <w:rPr>
                <w:color w:val="000000"/>
                <w:sz w:val="18"/>
                <w:szCs w:val="18"/>
                <w:lang w:eastAsia="en-GB"/>
              </w:rPr>
            </w:pPr>
            <w:r w:rsidRPr="00A91118">
              <w:rPr>
                <w:color w:val="000000"/>
                <w:sz w:val="18"/>
                <w:szCs w:val="18"/>
                <w:lang w:eastAsia="en-GB"/>
              </w:rPr>
              <w:t>3. Jednorazové vplyvy **</w:t>
            </w:r>
          </w:p>
        </w:tc>
        <w:tc>
          <w:tcPr>
            <w:tcW w:w="1019" w:type="dxa"/>
            <w:tcBorders>
              <w:top w:val="nil"/>
              <w:left w:val="nil"/>
              <w:bottom w:val="nil"/>
              <w:right w:val="nil"/>
            </w:tcBorders>
            <w:shd w:val="clear" w:color="auto" w:fill="auto"/>
            <w:noWrap/>
            <w:vAlign w:val="bottom"/>
          </w:tcPr>
          <w:p w14:paraId="267C30D3" w14:textId="77777777" w:rsidR="000B776B" w:rsidRPr="00DB5917" w:rsidRDefault="000B776B" w:rsidP="007B548A">
            <w:pPr>
              <w:spacing w:after="0" w:line="240" w:lineRule="auto"/>
              <w:jc w:val="center"/>
              <w:rPr>
                <w:color w:val="000000"/>
                <w:sz w:val="20"/>
                <w:szCs w:val="20"/>
                <w:highlight w:val="yellow"/>
                <w:lang w:eastAsia="en-GB"/>
              </w:rPr>
            </w:pPr>
            <w:r w:rsidRPr="00DB5917">
              <w:rPr>
                <w:rFonts w:cs="Calibri"/>
                <w:color w:val="000000"/>
                <w:sz w:val="20"/>
              </w:rPr>
              <w:t>0,0</w:t>
            </w:r>
          </w:p>
        </w:tc>
        <w:tc>
          <w:tcPr>
            <w:tcW w:w="942" w:type="dxa"/>
            <w:tcBorders>
              <w:top w:val="nil"/>
              <w:left w:val="nil"/>
              <w:bottom w:val="nil"/>
              <w:right w:val="nil"/>
            </w:tcBorders>
            <w:shd w:val="clear" w:color="auto" w:fill="auto"/>
            <w:noWrap/>
            <w:vAlign w:val="bottom"/>
          </w:tcPr>
          <w:p w14:paraId="0569C2F5" w14:textId="77777777" w:rsidR="000B776B" w:rsidRPr="00DB5917" w:rsidRDefault="000B776B" w:rsidP="007B548A">
            <w:pPr>
              <w:spacing w:after="0" w:line="240" w:lineRule="auto"/>
              <w:jc w:val="center"/>
              <w:rPr>
                <w:color w:val="000000"/>
                <w:sz w:val="20"/>
                <w:szCs w:val="20"/>
                <w:highlight w:val="yellow"/>
                <w:lang w:eastAsia="en-GB"/>
              </w:rPr>
            </w:pPr>
            <w:r w:rsidRPr="00DB5917">
              <w:rPr>
                <w:rFonts w:cs="Calibri"/>
                <w:color w:val="000000"/>
                <w:sz w:val="20"/>
              </w:rPr>
              <w:t>0,0</w:t>
            </w:r>
          </w:p>
        </w:tc>
        <w:tc>
          <w:tcPr>
            <w:tcW w:w="893" w:type="dxa"/>
            <w:tcBorders>
              <w:top w:val="nil"/>
              <w:left w:val="nil"/>
              <w:bottom w:val="nil"/>
              <w:right w:val="nil"/>
            </w:tcBorders>
            <w:shd w:val="clear" w:color="auto" w:fill="auto"/>
            <w:noWrap/>
            <w:vAlign w:val="bottom"/>
          </w:tcPr>
          <w:p w14:paraId="4568DC3D" w14:textId="77777777" w:rsidR="000B776B" w:rsidRPr="00DB5917" w:rsidRDefault="000B776B" w:rsidP="007B548A">
            <w:pPr>
              <w:spacing w:after="0" w:line="240" w:lineRule="auto"/>
              <w:jc w:val="center"/>
              <w:rPr>
                <w:color w:val="000000"/>
                <w:sz w:val="20"/>
                <w:szCs w:val="20"/>
                <w:highlight w:val="yellow"/>
                <w:lang w:eastAsia="en-GB"/>
              </w:rPr>
            </w:pPr>
            <w:r w:rsidRPr="00DB5917">
              <w:rPr>
                <w:rFonts w:cs="Calibri"/>
                <w:color w:val="000000"/>
                <w:sz w:val="20"/>
              </w:rPr>
              <w:t>-1,7</w:t>
            </w:r>
          </w:p>
        </w:tc>
      </w:tr>
      <w:tr w:rsidR="000B776B" w:rsidRPr="00A91118" w14:paraId="01B1B745" w14:textId="77777777" w:rsidTr="00814EDC">
        <w:trPr>
          <w:trHeight w:val="253"/>
        </w:trPr>
        <w:tc>
          <w:tcPr>
            <w:tcW w:w="6192" w:type="dxa"/>
            <w:gridSpan w:val="2"/>
            <w:tcBorders>
              <w:top w:val="nil"/>
              <w:left w:val="nil"/>
              <w:right w:val="single" w:sz="8" w:space="0" w:color="auto"/>
            </w:tcBorders>
            <w:shd w:val="clear" w:color="auto" w:fill="D9D9D9" w:themeFill="background1" w:themeFillShade="D9"/>
            <w:noWrap/>
            <w:vAlign w:val="center"/>
            <w:hideMark/>
          </w:tcPr>
          <w:p w14:paraId="4262407A" w14:textId="77777777" w:rsidR="000B776B" w:rsidRPr="00A91118" w:rsidRDefault="000B776B" w:rsidP="007B548A">
            <w:pPr>
              <w:spacing w:after="0" w:line="240" w:lineRule="auto"/>
              <w:rPr>
                <w:b/>
                <w:color w:val="000000"/>
                <w:sz w:val="18"/>
                <w:szCs w:val="18"/>
                <w:lang w:eastAsia="en-GB"/>
              </w:rPr>
            </w:pPr>
            <w:r w:rsidRPr="00A91118">
              <w:rPr>
                <w:b/>
                <w:bCs/>
                <w:color w:val="000000"/>
                <w:sz w:val="18"/>
                <w:szCs w:val="18"/>
                <w:lang w:eastAsia="en-GB"/>
              </w:rPr>
              <w:t>4. Štrukturálne saldo verejnej správy (1-2-3)**</w:t>
            </w:r>
          </w:p>
        </w:tc>
        <w:tc>
          <w:tcPr>
            <w:tcW w:w="1019" w:type="dxa"/>
            <w:tcBorders>
              <w:top w:val="nil"/>
              <w:left w:val="nil"/>
              <w:right w:val="nil"/>
            </w:tcBorders>
            <w:shd w:val="clear" w:color="auto" w:fill="D9D9D9" w:themeFill="background1" w:themeFillShade="D9"/>
            <w:noWrap/>
            <w:vAlign w:val="bottom"/>
            <w:hideMark/>
          </w:tcPr>
          <w:p w14:paraId="4E5053B3" w14:textId="77777777" w:rsidR="000B776B" w:rsidRPr="00DB5917" w:rsidRDefault="000B776B" w:rsidP="007B548A">
            <w:pPr>
              <w:spacing w:after="0" w:line="240" w:lineRule="auto"/>
              <w:jc w:val="center"/>
              <w:rPr>
                <w:b/>
                <w:color w:val="000000"/>
                <w:sz w:val="20"/>
                <w:szCs w:val="20"/>
                <w:highlight w:val="yellow"/>
                <w:lang w:eastAsia="en-GB"/>
              </w:rPr>
            </w:pPr>
            <w:r>
              <w:rPr>
                <w:rFonts w:cs="Calibri"/>
                <w:b/>
                <w:bCs/>
                <w:color w:val="000000"/>
                <w:sz w:val="20"/>
              </w:rPr>
              <w:t>-1,6</w:t>
            </w:r>
          </w:p>
        </w:tc>
        <w:tc>
          <w:tcPr>
            <w:tcW w:w="942" w:type="dxa"/>
            <w:tcBorders>
              <w:top w:val="nil"/>
              <w:left w:val="nil"/>
              <w:right w:val="nil"/>
            </w:tcBorders>
            <w:shd w:val="clear" w:color="auto" w:fill="D9D9D9" w:themeFill="background1" w:themeFillShade="D9"/>
            <w:noWrap/>
            <w:vAlign w:val="bottom"/>
          </w:tcPr>
          <w:p w14:paraId="7AA7C986" w14:textId="77777777" w:rsidR="000B776B" w:rsidRPr="00DB5917" w:rsidRDefault="000B776B" w:rsidP="007B548A">
            <w:pPr>
              <w:spacing w:after="0" w:line="240" w:lineRule="auto"/>
              <w:jc w:val="center"/>
              <w:rPr>
                <w:b/>
                <w:color w:val="000000"/>
                <w:sz w:val="20"/>
                <w:szCs w:val="20"/>
                <w:highlight w:val="yellow"/>
                <w:lang w:eastAsia="en-GB"/>
              </w:rPr>
            </w:pPr>
            <w:r w:rsidRPr="00DB5917">
              <w:rPr>
                <w:rFonts w:cs="Calibri"/>
                <w:b/>
                <w:bCs/>
                <w:color w:val="000000"/>
                <w:sz w:val="20"/>
              </w:rPr>
              <w:t>-2,0</w:t>
            </w:r>
          </w:p>
        </w:tc>
        <w:tc>
          <w:tcPr>
            <w:tcW w:w="893" w:type="dxa"/>
            <w:tcBorders>
              <w:top w:val="nil"/>
              <w:left w:val="nil"/>
              <w:right w:val="nil"/>
            </w:tcBorders>
            <w:shd w:val="clear" w:color="auto" w:fill="D9D9D9" w:themeFill="background1" w:themeFillShade="D9"/>
            <w:noWrap/>
            <w:vAlign w:val="bottom"/>
          </w:tcPr>
          <w:p w14:paraId="11EB0F2C" w14:textId="77777777" w:rsidR="000B776B" w:rsidRPr="00DB5917" w:rsidRDefault="000B776B" w:rsidP="007B548A">
            <w:pPr>
              <w:spacing w:after="0" w:line="240" w:lineRule="auto"/>
              <w:jc w:val="center"/>
              <w:rPr>
                <w:b/>
                <w:color w:val="000000"/>
                <w:sz w:val="20"/>
                <w:szCs w:val="20"/>
                <w:highlight w:val="yellow"/>
                <w:lang w:eastAsia="en-GB"/>
              </w:rPr>
            </w:pPr>
            <w:r w:rsidRPr="00DB5917">
              <w:rPr>
                <w:rFonts w:cs="Calibri"/>
                <w:b/>
                <w:bCs/>
                <w:color w:val="000000"/>
                <w:sz w:val="20"/>
              </w:rPr>
              <w:t>-2,4</w:t>
            </w:r>
          </w:p>
        </w:tc>
      </w:tr>
      <w:tr w:rsidR="000B776B" w:rsidRPr="00A91118" w14:paraId="773F2215" w14:textId="77777777" w:rsidTr="007B548A">
        <w:trPr>
          <w:trHeight w:val="265"/>
        </w:trPr>
        <w:tc>
          <w:tcPr>
            <w:tcW w:w="5763" w:type="dxa"/>
            <w:tcBorders>
              <w:top w:val="nil"/>
              <w:left w:val="nil"/>
              <w:bottom w:val="single" w:sz="4" w:space="0" w:color="auto"/>
              <w:right w:val="nil"/>
            </w:tcBorders>
            <w:shd w:val="clear" w:color="auto" w:fill="auto"/>
            <w:noWrap/>
            <w:vAlign w:val="center"/>
            <w:hideMark/>
          </w:tcPr>
          <w:p w14:paraId="19D092F5" w14:textId="77777777" w:rsidR="000B776B" w:rsidRPr="00A91118" w:rsidRDefault="000B776B" w:rsidP="007B548A">
            <w:pPr>
              <w:spacing w:after="0" w:line="240" w:lineRule="auto"/>
              <w:rPr>
                <w:bCs/>
                <w:color w:val="000000"/>
                <w:sz w:val="18"/>
                <w:szCs w:val="18"/>
                <w:lang w:eastAsia="en-GB"/>
              </w:rPr>
            </w:pPr>
            <w:r w:rsidRPr="00A91118">
              <w:rPr>
                <w:bCs/>
                <w:color w:val="000000"/>
                <w:sz w:val="18"/>
                <w:szCs w:val="18"/>
                <w:lang w:eastAsia="en-GB"/>
              </w:rPr>
              <w:t>5. Konsolidačné úsilie (medziročná zmena 4)**</w:t>
            </w:r>
          </w:p>
        </w:tc>
        <w:tc>
          <w:tcPr>
            <w:tcW w:w="429" w:type="dxa"/>
            <w:tcBorders>
              <w:top w:val="nil"/>
              <w:left w:val="nil"/>
              <w:bottom w:val="single" w:sz="4" w:space="0" w:color="auto"/>
              <w:right w:val="single" w:sz="8" w:space="0" w:color="auto"/>
            </w:tcBorders>
            <w:shd w:val="clear" w:color="auto" w:fill="auto"/>
            <w:noWrap/>
            <w:vAlign w:val="bottom"/>
          </w:tcPr>
          <w:p w14:paraId="71A28005" w14:textId="77777777" w:rsidR="000B776B" w:rsidRPr="00A91118" w:rsidRDefault="000B776B" w:rsidP="007B548A">
            <w:pPr>
              <w:spacing w:after="0" w:line="240" w:lineRule="auto"/>
              <w:rPr>
                <w:bCs/>
                <w:color w:val="000000"/>
                <w:sz w:val="18"/>
                <w:szCs w:val="18"/>
                <w:lang w:eastAsia="en-GB"/>
              </w:rPr>
            </w:pPr>
          </w:p>
        </w:tc>
        <w:tc>
          <w:tcPr>
            <w:tcW w:w="1019" w:type="dxa"/>
            <w:tcBorders>
              <w:top w:val="nil"/>
              <w:left w:val="nil"/>
              <w:bottom w:val="single" w:sz="4" w:space="0" w:color="auto"/>
              <w:right w:val="nil"/>
            </w:tcBorders>
            <w:shd w:val="clear" w:color="auto" w:fill="auto"/>
            <w:noWrap/>
            <w:vAlign w:val="bottom"/>
            <w:hideMark/>
          </w:tcPr>
          <w:p w14:paraId="02162772" w14:textId="77777777" w:rsidR="000B776B" w:rsidRPr="00DB5917" w:rsidRDefault="000B776B" w:rsidP="007B548A">
            <w:pPr>
              <w:spacing w:after="0" w:line="240" w:lineRule="auto"/>
              <w:jc w:val="center"/>
              <w:rPr>
                <w:bCs/>
                <w:color w:val="000000"/>
                <w:sz w:val="20"/>
                <w:szCs w:val="20"/>
                <w:highlight w:val="yellow"/>
                <w:lang w:eastAsia="en-GB"/>
              </w:rPr>
            </w:pPr>
            <w:r w:rsidRPr="00DB5917">
              <w:rPr>
                <w:rFonts w:cs="Calibri"/>
                <w:b/>
                <w:bCs/>
                <w:color w:val="000000"/>
                <w:sz w:val="20"/>
              </w:rPr>
              <w:t>-0,5</w:t>
            </w:r>
          </w:p>
        </w:tc>
        <w:tc>
          <w:tcPr>
            <w:tcW w:w="942" w:type="dxa"/>
            <w:tcBorders>
              <w:top w:val="nil"/>
              <w:left w:val="nil"/>
              <w:bottom w:val="single" w:sz="4" w:space="0" w:color="auto"/>
              <w:right w:val="nil"/>
            </w:tcBorders>
            <w:shd w:val="clear" w:color="auto" w:fill="auto"/>
            <w:noWrap/>
            <w:vAlign w:val="bottom"/>
          </w:tcPr>
          <w:p w14:paraId="26F3FBFC" w14:textId="77777777" w:rsidR="000B776B" w:rsidRPr="00DB5917" w:rsidRDefault="000B776B" w:rsidP="007B548A">
            <w:pPr>
              <w:spacing w:after="0" w:line="240" w:lineRule="auto"/>
              <w:jc w:val="center"/>
              <w:rPr>
                <w:bCs/>
                <w:color w:val="000000"/>
                <w:sz w:val="20"/>
                <w:szCs w:val="20"/>
                <w:highlight w:val="yellow"/>
                <w:lang w:eastAsia="en-GB"/>
              </w:rPr>
            </w:pPr>
            <w:r w:rsidRPr="00DB5917">
              <w:rPr>
                <w:rFonts w:cs="Calibri"/>
                <w:b/>
                <w:bCs/>
                <w:color w:val="000000"/>
                <w:sz w:val="20"/>
              </w:rPr>
              <w:t>-0,4</w:t>
            </w:r>
          </w:p>
        </w:tc>
        <w:tc>
          <w:tcPr>
            <w:tcW w:w="893" w:type="dxa"/>
            <w:tcBorders>
              <w:top w:val="nil"/>
              <w:left w:val="nil"/>
              <w:bottom w:val="single" w:sz="4" w:space="0" w:color="auto"/>
              <w:right w:val="nil"/>
            </w:tcBorders>
            <w:shd w:val="clear" w:color="auto" w:fill="auto"/>
            <w:noWrap/>
            <w:vAlign w:val="bottom"/>
          </w:tcPr>
          <w:p w14:paraId="7916B588" w14:textId="77777777" w:rsidR="000B776B" w:rsidRPr="00DB5917" w:rsidRDefault="000B776B" w:rsidP="007B548A">
            <w:pPr>
              <w:spacing w:after="0" w:line="240" w:lineRule="auto"/>
              <w:jc w:val="center"/>
              <w:rPr>
                <w:bCs/>
                <w:color w:val="000000"/>
                <w:sz w:val="20"/>
                <w:szCs w:val="20"/>
                <w:highlight w:val="yellow"/>
                <w:lang w:eastAsia="en-GB"/>
              </w:rPr>
            </w:pPr>
            <w:r w:rsidRPr="00DB5917">
              <w:rPr>
                <w:rFonts w:cs="Calibri"/>
                <w:b/>
                <w:bCs/>
                <w:color w:val="000000"/>
                <w:sz w:val="20"/>
              </w:rPr>
              <w:t>-0,4</w:t>
            </w:r>
          </w:p>
        </w:tc>
      </w:tr>
      <w:tr w:rsidR="000B776B" w:rsidRPr="00A91118" w14:paraId="295D510E" w14:textId="77777777" w:rsidTr="007B548A">
        <w:trPr>
          <w:trHeight w:val="265"/>
        </w:trPr>
        <w:tc>
          <w:tcPr>
            <w:tcW w:w="5763" w:type="dxa"/>
            <w:tcBorders>
              <w:top w:val="single" w:sz="4" w:space="0" w:color="auto"/>
              <w:left w:val="nil"/>
              <w:bottom w:val="single" w:sz="8" w:space="0" w:color="auto"/>
              <w:right w:val="nil"/>
            </w:tcBorders>
            <w:shd w:val="clear" w:color="auto" w:fill="auto"/>
            <w:noWrap/>
            <w:vAlign w:val="center"/>
          </w:tcPr>
          <w:p w14:paraId="4C0B6D40" w14:textId="77777777" w:rsidR="000B776B" w:rsidRDefault="000B776B" w:rsidP="007B548A">
            <w:pPr>
              <w:spacing w:after="0" w:line="240" w:lineRule="auto"/>
              <w:rPr>
                <w:bCs/>
                <w:color w:val="000000"/>
                <w:sz w:val="18"/>
                <w:szCs w:val="18"/>
                <w:lang w:eastAsia="en-GB"/>
              </w:rPr>
            </w:pPr>
            <w:r w:rsidRPr="00A91118">
              <w:rPr>
                <w:bCs/>
                <w:color w:val="000000"/>
                <w:sz w:val="18"/>
                <w:szCs w:val="18"/>
                <w:lang w:eastAsia="en-GB"/>
              </w:rPr>
              <w:t xml:space="preserve">p. m. primárne štrukturálne saldo </w:t>
            </w:r>
          </w:p>
          <w:p w14:paraId="6D6B0032" w14:textId="77777777" w:rsidR="000B776B" w:rsidRPr="00A91118" w:rsidRDefault="000B776B" w:rsidP="007B548A">
            <w:pPr>
              <w:spacing w:after="0" w:line="240" w:lineRule="auto"/>
              <w:rPr>
                <w:bCs/>
                <w:color w:val="000000"/>
                <w:sz w:val="18"/>
                <w:szCs w:val="18"/>
                <w:lang w:eastAsia="en-GB"/>
              </w:rPr>
            </w:pPr>
            <w:r w:rsidRPr="00A91118">
              <w:rPr>
                <w:bCs/>
                <w:color w:val="000000"/>
                <w:sz w:val="18"/>
                <w:szCs w:val="18"/>
                <w:lang w:eastAsia="en-GB"/>
              </w:rPr>
              <w:t>(štrukturálne saldo po odpočítaní nákladov na obsluhu dlhu)</w:t>
            </w:r>
          </w:p>
        </w:tc>
        <w:tc>
          <w:tcPr>
            <w:tcW w:w="429" w:type="dxa"/>
            <w:tcBorders>
              <w:top w:val="single" w:sz="4" w:space="0" w:color="auto"/>
              <w:left w:val="nil"/>
              <w:bottom w:val="single" w:sz="8" w:space="0" w:color="auto"/>
              <w:right w:val="single" w:sz="8" w:space="0" w:color="auto"/>
            </w:tcBorders>
            <w:shd w:val="clear" w:color="auto" w:fill="auto"/>
            <w:noWrap/>
          </w:tcPr>
          <w:p w14:paraId="3CF37719" w14:textId="77777777" w:rsidR="000B776B" w:rsidRPr="00A91118" w:rsidRDefault="000B776B" w:rsidP="007B548A">
            <w:pPr>
              <w:spacing w:after="0" w:line="240" w:lineRule="auto"/>
              <w:rPr>
                <w:bCs/>
                <w:color w:val="000000"/>
                <w:sz w:val="18"/>
                <w:szCs w:val="18"/>
                <w:lang w:eastAsia="en-GB"/>
              </w:rPr>
            </w:pPr>
          </w:p>
        </w:tc>
        <w:tc>
          <w:tcPr>
            <w:tcW w:w="1019" w:type="dxa"/>
            <w:tcBorders>
              <w:top w:val="single" w:sz="4" w:space="0" w:color="auto"/>
              <w:left w:val="nil"/>
              <w:bottom w:val="single" w:sz="8" w:space="0" w:color="auto"/>
              <w:right w:val="nil"/>
            </w:tcBorders>
            <w:shd w:val="clear" w:color="auto" w:fill="auto"/>
            <w:noWrap/>
            <w:vAlign w:val="bottom"/>
          </w:tcPr>
          <w:p w14:paraId="632CDA83" w14:textId="77777777" w:rsidR="000B776B" w:rsidRPr="00DB5917" w:rsidRDefault="000B776B" w:rsidP="007B548A">
            <w:pPr>
              <w:spacing w:after="0" w:line="240" w:lineRule="auto"/>
              <w:jc w:val="center"/>
              <w:rPr>
                <w:sz w:val="20"/>
                <w:szCs w:val="20"/>
                <w:highlight w:val="yellow"/>
              </w:rPr>
            </w:pPr>
            <w:r>
              <w:rPr>
                <w:rFonts w:cs="Calibri"/>
                <w:color w:val="000000"/>
                <w:sz w:val="20"/>
              </w:rPr>
              <w:t>-0,3</w:t>
            </w:r>
          </w:p>
        </w:tc>
        <w:tc>
          <w:tcPr>
            <w:tcW w:w="942" w:type="dxa"/>
            <w:tcBorders>
              <w:top w:val="single" w:sz="4" w:space="0" w:color="auto"/>
              <w:left w:val="nil"/>
              <w:bottom w:val="single" w:sz="8" w:space="0" w:color="auto"/>
              <w:right w:val="nil"/>
            </w:tcBorders>
            <w:shd w:val="clear" w:color="auto" w:fill="auto"/>
            <w:noWrap/>
            <w:vAlign w:val="bottom"/>
          </w:tcPr>
          <w:p w14:paraId="4AC7CB06" w14:textId="77777777" w:rsidR="000B776B" w:rsidRPr="00DB5917" w:rsidRDefault="000B776B" w:rsidP="007B548A">
            <w:pPr>
              <w:spacing w:after="0" w:line="240" w:lineRule="auto"/>
              <w:jc w:val="center"/>
              <w:rPr>
                <w:sz w:val="20"/>
                <w:szCs w:val="20"/>
                <w:highlight w:val="yellow"/>
              </w:rPr>
            </w:pPr>
            <w:r>
              <w:rPr>
                <w:rFonts w:cs="Calibri"/>
                <w:color w:val="000000"/>
                <w:sz w:val="20"/>
              </w:rPr>
              <w:t>-0,8</w:t>
            </w:r>
          </w:p>
        </w:tc>
        <w:tc>
          <w:tcPr>
            <w:tcW w:w="893" w:type="dxa"/>
            <w:tcBorders>
              <w:top w:val="single" w:sz="4" w:space="0" w:color="auto"/>
              <w:left w:val="nil"/>
              <w:bottom w:val="single" w:sz="8" w:space="0" w:color="auto"/>
              <w:right w:val="nil"/>
            </w:tcBorders>
            <w:shd w:val="clear" w:color="auto" w:fill="auto"/>
            <w:noWrap/>
            <w:vAlign w:val="bottom"/>
          </w:tcPr>
          <w:p w14:paraId="6DC4938C" w14:textId="77777777" w:rsidR="000B776B" w:rsidRPr="00DB5917" w:rsidRDefault="000B776B" w:rsidP="007B548A">
            <w:pPr>
              <w:spacing w:after="0" w:line="240" w:lineRule="auto"/>
              <w:jc w:val="center"/>
              <w:rPr>
                <w:bCs/>
                <w:color w:val="000000"/>
                <w:sz w:val="20"/>
                <w:szCs w:val="20"/>
                <w:highlight w:val="yellow"/>
                <w:lang w:eastAsia="en-GB"/>
              </w:rPr>
            </w:pPr>
            <w:r>
              <w:rPr>
                <w:rFonts w:cs="Calibri"/>
                <w:color w:val="000000"/>
                <w:sz w:val="20"/>
              </w:rPr>
              <w:t>-1,2</w:t>
            </w:r>
          </w:p>
        </w:tc>
      </w:tr>
    </w:tbl>
    <w:p w14:paraId="41845CD6" w14:textId="43C5E1B0" w:rsidR="000B776B" w:rsidRPr="00A91118" w:rsidRDefault="000B776B" w:rsidP="000B776B">
      <w:pPr>
        <w:pStyle w:val="NormalList"/>
        <w:spacing w:line="276" w:lineRule="auto"/>
        <w:jc w:val="left"/>
        <w:rPr>
          <w:rFonts w:cs="Times New Roman"/>
          <w:color w:val="000000"/>
          <w:sz w:val="14"/>
          <w:szCs w:val="18"/>
          <w:lang w:eastAsia="en-GB"/>
        </w:rPr>
      </w:pPr>
      <w:r>
        <w:rPr>
          <w:rFonts w:cs="Times New Roman"/>
          <w:color w:val="000000"/>
          <w:sz w:val="14"/>
          <w:szCs w:val="18"/>
          <w:lang w:eastAsia="en-GB"/>
        </w:rPr>
        <w:t xml:space="preserve">* </w:t>
      </w:r>
      <w:r w:rsidRPr="00A91118">
        <w:rPr>
          <w:rFonts w:cs="Times New Roman"/>
          <w:color w:val="000000"/>
          <w:sz w:val="14"/>
          <w:szCs w:val="18"/>
          <w:lang w:eastAsia="en-GB"/>
        </w:rPr>
        <w:t xml:space="preserve">V súlade s údajmi pre jesennú notifikáciu </w:t>
      </w:r>
      <w:proofErr w:type="spellStart"/>
      <w:r w:rsidRPr="00A91118">
        <w:rPr>
          <w:rFonts w:cs="Times New Roman"/>
          <w:color w:val="000000"/>
          <w:sz w:val="14"/>
          <w:szCs w:val="18"/>
          <w:lang w:eastAsia="en-GB"/>
        </w:rPr>
        <w:t>Eurostatu</w:t>
      </w:r>
      <w:proofErr w:type="spellEnd"/>
      <w:r w:rsidRPr="00A91118">
        <w:rPr>
          <w:rFonts w:cs="Times New Roman"/>
          <w:color w:val="000000"/>
          <w:sz w:val="14"/>
          <w:szCs w:val="18"/>
          <w:lang w:eastAsia="en-GB"/>
        </w:rPr>
        <w:t xml:space="preserve"> za rok </w:t>
      </w:r>
      <w:r>
        <w:rPr>
          <w:rFonts w:cs="Times New Roman"/>
          <w:color w:val="000000"/>
          <w:sz w:val="14"/>
          <w:szCs w:val="18"/>
          <w:lang w:eastAsia="en-GB"/>
        </w:rPr>
        <w:t>2020</w:t>
      </w:r>
      <w:r w:rsidRPr="00A91118">
        <w:rPr>
          <w:rFonts w:cs="Times New Roman"/>
          <w:color w:val="000000"/>
          <w:sz w:val="14"/>
          <w:szCs w:val="18"/>
          <w:lang w:eastAsia="en-GB"/>
        </w:rPr>
        <w:t>.</w:t>
      </w:r>
      <w:r>
        <w:rPr>
          <w:rFonts w:cs="Times New Roman"/>
          <w:color w:val="000000"/>
          <w:sz w:val="14"/>
          <w:szCs w:val="18"/>
          <w:lang w:eastAsia="en-GB"/>
        </w:rPr>
        <w:t xml:space="preserve"> </w:t>
      </w:r>
      <w:r>
        <w:rPr>
          <w:rFonts w:cs="Times New Roman"/>
          <w:color w:val="000000"/>
          <w:sz w:val="14"/>
          <w:szCs w:val="18"/>
          <w:lang w:eastAsia="en-GB"/>
        </w:rPr>
        <w:tab/>
      </w:r>
      <w:r>
        <w:rPr>
          <w:rFonts w:cs="Times New Roman"/>
          <w:color w:val="000000"/>
          <w:sz w:val="14"/>
          <w:szCs w:val="18"/>
          <w:lang w:eastAsia="en-GB"/>
        </w:rPr>
        <w:tab/>
      </w:r>
      <w:r>
        <w:rPr>
          <w:rFonts w:cs="Times New Roman"/>
          <w:color w:val="000000"/>
          <w:sz w:val="14"/>
          <w:szCs w:val="18"/>
          <w:lang w:eastAsia="en-GB"/>
        </w:rPr>
        <w:tab/>
      </w:r>
      <w:r>
        <w:rPr>
          <w:rFonts w:cs="Times New Roman"/>
          <w:color w:val="000000"/>
          <w:sz w:val="14"/>
          <w:szCs w:val="18"/>
          <w:lang w:eastAsia="en-GB"/>
        </w:rPr>
        <w:tab/>
      </w:r>
      <w:r>
        <w:rPr>
          <w:rFonts w:cs="Times New Roman"/>
          <w:color w:val="000000"/>
          <w:sz w:val="14"/>
          <w:szCs w:val="18"/>
          <w:lang w:eastAsia="en-GB"/>
        </w:rPr>
        <w:tab/>
      </w:r>
      <w:r>
        <w:rPr>
          <w:rFonts w:cs="Times New Roman"/>
          <w:color w:val="000000"/>
          <w:sz w:val="14"/>
          <w:szCs w:val="18"/>
          <w:lang w:eastAsia="en-GB"/>
        </w:rPr>
        <w:tab/>
        <w:t xml:space="preserve">         </w:t>
      </w:r>
      <w:r w:rsidRPr="00665A09">
        <w:rPr>
          <w:rFonts w:cs="Times New Roman"/>
          <w:color w:val="000000"/>
          <w:sz w:val="14"/>
          <w:szCs w:val="18"/>
          <w:lang w:eastAsia="en-GB"/>
        </w:rPr>
        <w:t>Zdroj: MF SR</w:t>
      </w:r>
    </w:p>
    <w:p w14:paraId="0DEA51E4" w14:textId="77777777" w:rsidR="000B776B" w:rsidRPr="00A91118" w:rsidRDefault="000B776B" w:rsidP="000B776B">
      <w:pPr>
        <w:pStyle w:val="NormalList"/>
        <w:spacing w:line="276" w:lineRule="auto"/>
        <w:jc w:val="left"/>
        <w:rPr>
          <w:rFonts w:cs="Times New Roman"/>
          <w:color w:val="000000"/>
          <w:sz w:val="14"/>
          <w:szCs w:val="18"/>
          <w:lang w:eastAsia="en-GB"/>
        </w:rPr>
      </w:pPr>
      <w:r w:rsidRPr="00A91118">
        <w:rPr>
          <w:rFonts w:cs="Times New Roman"/>
          <w:color w:val="000000"/>
          <w:sz w:val="14"/>
          <w:szCs w:val="18"/>
          <w:lang w:eastAsia="en-GB"/>
        </w:rPr>
        <w:t>** zaokrúhlené na jedno desatinné miesto</w:t>
      </w:r>
    </w:p>
    <w:p w14:paraId="71544AA0" w14:textId="2E161931" w:rsidR="000B776B" w:rsidRPr="00665A09" w:rsidRDefault="000B776B" w:rsidP="000B776B">
      <w:pPr>
        <w:pStyle w:val="NormalList"/>
        <w:spacing w:line="276" w:lineRule="auto"/>
        <w:jc w:val="left"/>
        <w:rPr>
          <w:rFonts w:cs="Times New Roman"/>
          <w:color w:val="000000"/>
          <w:sz w:val="14"/>
          <w:szCs w:val="18"/>
          <w:lang w:eastAsia="en-GB"/>
        </w:rPr>
      </w:pPr>
      <w:r w:rsidRPr="00665A09">
        <w:rPr>
          <w:rFonts w:cs="Times New Roman"/>
          <w:color w:val="000000"/>
          <w:sz w:val="14"/>
          <w:szCs w:val="18"/>
          <w:lang w:eastAsia="en-GB"/>
        </w:rPr>
        <w:t xml:space="preserve">                                                                                                                                                                                                                                            </w:t>
      </w:r>
    </w:p>
    <w:p w14:paraId="49BFE22C" w14:textId="77777777" w:rsidR="000B776B" w:rsidRPr="003216F7" w:rsidRDefault="000B776B" w:rsidP="000B776B">
      <w:pPr>
        <w:pStyle w:val="NormalList"/>
        <w:spacing w:line="276" w:lineRule="auto"/>
        <w:jc w:val="left"/>
        <w:rPr>
          <w:rFonts w:cs="Times New Roman"/>
          <w:color w:val="000000"/>
          <w:sz w:val="14"/>
          <w:szCs w:val="18"/>
          <w:highlight w:val="yellow"/>
          <w:lang w:eastAsia="en-GB"/>
        </w:rPr>
      </w:pPr>
    </w:p>
    <w:p w14:paraId="009817D6" w14:textId="77777777" w:rsidR="000B776B" w:rsidRPr="00BA5BEB" w:rsidRDefault="000B776B" w:rsidP="006C4634">
      <w:pPr>
        <w:spacing w:line="240" w:lineRule="auto"/>
        <w:jc w:val="both"/>
        <w:rPr>
          <w:b/>
          <w:szCs w:val="22"/>
        </w:rPr>
      </w:pPr>
      <w:r w:rsidRPr="008C35DF">
        <w:rPr>
          <w:b/>
          <w:szCs w:val="22"/>
        </w:rPr>
        <w:t xml:space="preserve">Výpočet štrukturálneho salda predpokladá očistenie nominálneho salda o dva základné komponenty – cyklickú zložku a jednorazové vplyvy. </w:t>
      </w:r>
      <w:r w:rsidRPr="008C35DF">
        <w:rPr>
          <w:szCs w:val="22"/>
        </w:rPr>
        <w:t>Cyklická zložka predstavuje vplyv ekonomického cyklu na štrukturálne saldo. Cieľom úpravy nominálneho salda je vyjadriť reakciu príjmov a výdavkov verejných financií na zmeny v produkčnej medzere. Veľkosť cyklickej zložky závisí od veľkosti produkčnej medzery a od elasticít vybraných príjmových a výdavkových kategórií, ktoré reagujú na výkyvy v ekonomickej aktivite.</w:t>
      </w:r>
      <w:r w:rsidRPr="008C35DF">
        <w:rPr>
          <w:b/>
          <w:szCs w:val="22"/>
        </w:rPr>
        <w:t xml:space="preserve"> </w:t>
      </w:r>
      <w:r w:rsidRPr="008C35DF">
        <w:rPr>
          <w:szCs w:val="22"/>
        </w:rPr>
        <w:t xml:space="preserve">Prípadné prehrievanie alebo podchladenie ekonomiky tak môže zásadne vplývať na výsledné </w:t>
      </w:r>
      <w:r>
        <w:rPr>
          <w:szCs w:val="22"/>
        </w:rPr>
        <w:t>štruktur</w:t>
      </w:r>
      <w:r w:rsidRPr="008C35DF">
        <w:rPr>
          <w:szCs w:val="22"/>
        </w:rPr>
        <w:t>álne saldo verejnej správy.</w:t>
      </w:r>
      <w:r w:rsidRPr="008C35DF">
        <w:rPr>
          <w:b/>
          <w:szCs w:val="22"/>
        </w:rPr>
        <w:t xml:space="preserve"> </w:t>
      </w:r>
      <w:r w:rsidRPr="009F1E1A">
        <w:rPr>
          <w:szCs w:val="22"/>
        </w:rPr>
        <w:t xml:space="preserve">V roku 2020 sa ekonomika oproti predošlému roku prehupla z mierneho prehrievania ekonomiky do značného podchladenia. Otvorenie </w:t>
      </w:r>
      <w:r>
        <w:rPr>
          <w:szCs w:val="22"/>
        </w:rPr>
        <w:t>negatívnej produkčnej medzery bol</w:t>
      </w:r>
      <w:r w:rsidRPr="009F1E1A">
        <w:rPr>
          <w:szCs w:val="22"/>
        </w:rPr>
        <w:t xml:space="preserve"> spôsobený príchodom pandémie COVID-19. Cyklický vývoj tak mal v roku 2020 pozitívny vplyv na štrukturálne saldo VS vo výške 1,4 % HDP.</w:t>
      </w:r>
    </w:p>
    <w:p w14:paraId="759D014A" w14:textId="1EA6F4D2" w:rsidR="006C4634" w:rsidRDefault="000B776B" w:rsidP="00763D06">
      <w:pPr>
        <w:pStyle w:val="NormalList"/>
        <w:spacing w:after="120"/>
        <w:rPr>
          <w:rFonts w:cs="Times New Roman"/>
        </w:rPr>
      </w:pPr>
      <w:r w:rsidRPr="002A2594">
        <w:rPr>
          <w:rFonts w:cs="Times New Roman"/>
          <w:b/>
        </w:rPr>
        <w:t xml:space="preserve">Druhý komponent, o ktorý sa očisťuje nominálne saldo, sú jednorazové vplyvy. Táto položka predstavuje príjmy alebo výdavky verejnej správy bez trvalého alebo opakujúceho sa charakteru. </w:t>
      </w:r>
      <w:r w:rsidRPr="002A2594">
        <w:rPr>
          <w:rFonts w:cs="Times New Roman"/>
        </w:rPr>
        <w:t>Sledujú sa vzniknuté okolnosti s časovo obmedzeným vplyvom na saldo verejnej správy</w:t>
      </w:r>
      <w:r w:rsidRPr="00B156D9">
        <w:rPr>
          <w:rFonts w:cs="Times New Roman"/>
        </w:rPr>
        <w:t>. Slovenská legislatíva nepozná presnú definíciu jednorazových vplyvov</w:t>
      </w:r>
      <w:r w:rsidRPr="00B156D9">
        <w:rPr>
          <w:rStyle w:val="Odkaznapoznmkupodiarou"/>
          <w:rFonts w:eastAsiaTheme="majorEastAsia"/>
        </w:rPr>
        <w:footnoteReference w:id="23"/>
      </w:r>
      <w:r>
        <w:rPr>
          <w:rFonts w:cs="Times New Roman"/>
        </w:rPr>
        <w:t xml:space="preserve"> a pre účely s</w:t>
      </w:r>
      <w:r w:rsidRPr="00B156D9">
        <w:rPr>
          <w:rFonts w:cs="Times New Roman"/>
        </w:rPr>
        <w:t xml:space="preserve">úhrnnej výročnej správy preberá Ministerstvo financií SR princípy aplikované v metodike Európskej komisie pre identifikáciu </w:t>
      </w:r>
      <w:r w:rsidRPr="00B156D9">
        <w:rPr>
          <w:rFonts w:cs="Times New Roman"/>
        </w:rPr>
        <w:lastRenderedPageBreak/>
        <w:t>jednorazových opatrení</w:t>
      </w:r>
      <w:r>
        <w:rPr>
          <w:rFonts w:cs="Times New Roman"/>
        </w:rPr>
        <w:t>.</w:t>
      </w:r>
      <w:r w:rsidRPr="00B156D9">
        <w:rPr>
          <w:rStyle w:val="Odkaznapoznmkupodiarou"/>
          <w:rFonts w:eastAsiaTheme="majorEastAsia"/>
        </w:rPr>
        <w:footnoteReference w:id="24"/>
      </w:r>
      <w:r w:rsidRPr="00B156D9">
        <w:rPr>
          <w:rFonts w:cs="Times New Roman"/>
        </w:rPr>
        <w:t xml:space="preserve"> </w:t>
      </w:r>
      <w:r>
        <w:rPr>
          <w:rFonts w:cs="Times New Roman"/>
        </w:rPr>
        <w:t>Jednorazové opatrenia boli zaznamená len za rok 2020. Až na platbu DPH koncesionára stavby D4/R7 boli vyvolané pandémiou COVID-19.</w:t>
      </w:r>
    </w:p>
    <w:p w14:paraId="060AEB44" w14:textId="77777777" w:rsidR="00763D06" w:rsidRDefault="00763D06" w:rsidP="00763D06">
      <w:pPr>
        <w:pStyle w:val="NormalList"/>
        <w:spacing w:after="120"/>
      </w:pPr>
    </w:p>
    <w:tbl>
      <w:tblPr>
        <w:tblW w:w="9072" w:type="dxa"/>
        <w:tblLook w:val="04A0" w:firstRow="1" w:lastRow="0" w:firstColumn="1" w:lastColumn="0" w:noHBand="0" w:noVBand="1"/>
      </w:tblPr>
      <w:tblGrid>
        <w:gridCol w:w="7371"/>
        <w:gridCol w:w="1675"/>
        <w:gridCol w:w="26"/>
      </w:tblGrid>
      <w:tr w:rsidR="000B776B" w:rsidRPr="00A91118" w14:paraId="37317E7B" w14:textId="77777777" w:rsidTr="007B548A">
        <w:trPr>
          <w:gridAfter w:val="1"/>
          <w:wAfter w:w="26" w:type="dxa"/>
          <w:trHeight w:val="277"/>
        </w:trPr>
        <w:tc>
          <w:tcPr>
            <w:tcW w:w="9046" w:type="dxa"/>
            <w:gridSpan w:val="2"/>
            <w:tcBorders>
              <w:top w:val="nil"/>
              <w:left w:val="nil"/>
              <w:bottom w:val="nil"/>
              <w:right w:val="nil"/>
            </w:tcBorders>
            <w:shd w:val="clear" w:color="000000" w:fill="000000"/>
            <w:noWrap/>
            <w:vAlign w:val="center"/>
            <w:hideMark/>
          </w:tcPr>
          <w:p w14:paraId="11DF1B93" w14:textId="47ABE96F" w:rsidR="000B776B" w:rsidRPr="00A91118" w:rsidRDefault="00BA27E8" w:rsidP="00BA27E8">
            <w:pPr>
              <w:pStyle w:val="popistabuliek"/>
            </w:pPr>
            <w:r w:rsidRPr="00884682">
              <w:t xml:space="preserve">Tab. </w:t>
            </w:r>
            <w:r>
              <w:t>1</w:t>
            </w:r>
            <w:r w:rsidRPr="00884682">
              <w:t xml:space="preserve">3 - </w:t>
            </w:r>
            <w:r w:rsidR="000B776B">
              <w:t>Jednorazové opatrenia (ESA 2010, v mil. eur)</w:t>
            </w:r>
          </w:p>
        </w:tc>
      </w:tr>
      <w:tr w:rsidR="000B776B" w:rsidRPr="003E281C" w14:paraId="1660C953" w14:textId="77777777" w:rsidTr="00870EE3">
        <w:tblPrEx>
          <w:tblCellMar>
            <w:left w:w="70" w:type="dxa"/>
            <w:right w:w="70" w:type="dxa"/>
          </w:tblCellMar>
        </w:tblPrEx>
        <w:trPr>
          <w:trHeight w:val="315"/>
        </w:trPr>
        <w:tc>
          <w:tcPr>
            <w:tcW w:w="7371" w:type="dxa"/>
            <w:tcBorders>
              <w:top w:val="nil"/>
              <w:left w:val="nil"/>
              <w:bottom w:val="single" w:sz="8" w:space="0" w:color="auto"/>
              <w:right w:val="nil"/>
            </w:tcBorders>
            <w:shd w:val="clear" w:color="auto" w:fill="D9D9D9" w:themeFill="background1" w:themeFillShade="D9"/>
            <w:noWrap/>
            <w:vAlign w:val="bottom"/>
            <w:hideMark/>
          </w:tcPr>
          <w:p w14:paraId="00CE0619" w14:textId="77777777" w:rsidR="000B776B" w:rsidRPr="003E281C" w:rsidRDefault="000B776B" w:rsidP="007B548A">
            <w:pPr>
              <w:spacing w:after="0" w:line="240" w:lineRule="auto"/>
              <w:rPr>
                <w:b/>
                <w:bCs/>
                <w:color w:val="000000"/>
                <w:sz w:val="16"/>
                <w:szCs w:val="16"/>
                <w:lang w:eastAsia="sk-SK"/>
              </w:rPr>
            </w:pPr>
            <w:r w:rsidRPr="003E281C">
              <w:rPr>
                <w:b/>
                <w:bCs/>
                <w:color w:val="000000"/>
                <w:sz w:val="16"/>
                <w:szCs w:val="16"/>
                <w:lang w:eastAsia="sk-SK"/>
              </w:rPr>
              <w:t> </w:t>
            </w:r>
          </w:p>
        </w:tc>
        <w:tc>
          <w:tcPr>
            <w:tcW w:w="1701" w:type="dxa"/>
            <w:gridSpan w:val="2"/>
            <w:tcBorders>
              <w:top w:val="nil"/>
              <w:left w:val="nil"/>
              <w:bottom w:val="single" w:sz="8" w:space="0" w:color="auto"/>
              <w:right w:val="nil"/>
            </w:tcBorders>
            <w:shd w:val="clear" w:color="auto" w:fill="D9D9D9" w:themeFill="background1" w:themeFillShade="D9"/>
            <w:noWrap/>
            <w:vAlign w:val="bottom"/>
            <w:hideMark/>
          </w:tcPr>
          <w:p w14:paraId="7ACC9AEF" w14:textId="77777777" w:rsidR="000B776B" w:rsidRPr="003E281C" w:rsidRDefault="000B776B" w:rsidP="007B548A">
            <w:pPr>
              <w:spacing w:after="0" w:line="240" w:lineRule="auto"/>
              <w:jc w:val="center"/>
              <w:rPr>
                <w:rFonts w:cs="Calibri"/>
                <w:b/>
                <w:bCs/>
                <w:color w:val="000000"/>
                <w:sz w:val="18"/>
                <w:szCs w:val="18"/>
                <w:lang w:eastAsia="sk-SK"/>
              </w:rPr>
            </w:pPr>
            <w:r w:rsidRPr="003E281C">
              <w:rPr>
                <w:rFonts w:cs="Calibri"/>
                <w:b/>
                <w:bCs/>
                <w:color w:val="000000"/>
                <w:sz w:val="18"/>
                <w:szCs w:val="18"/>
                <w:lang w:eastAsia="sk-SK"/>
              </w:rPr>
              <w:t>2020</w:t>
            </w:r>
          </w:p>
        </w:tc>
      </w:tr>
      <w:tr w:rsidR="000B776B" w:rsidRPr="003E281C" w14:paraId="4ADFF0D2"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center"/>
            <w:hideMark/>
          </w:tcPr>
          <w:p w14:paraId="1A1835F8" w14:textId="77777777" w:rsidR="000B776B" w:rsidRPr="003E281C" w:rsidRDefault="000B776B" w:rsidP="007B548A">
            <w:pPr>
              <w:spacing w:after="0" w:line="240" w:lineRule="auto"/>
              <w:rPr>
                <w:rFonts w:cs="Calibri"/>
                <w:color w:val="000000"/>
                <w:sz w:val="18"/>
                <w:szCs w:val="18"/>
                <w:lang w:eastAsia="sk-SK"/>
              </w:rPr>
            </w:pPr>
            <w:r w:rsidRPr="003E281C">
              <w:rPr>
                <w:rFonts w:cs="Calibri"/>
                <w:color w:val="000000"/>
                <w:sz w:val="18"/>
                <w:szCs w:val="18"/>
                <w:lang w:eastAsia="sk-SK"/>
              </w:rPr>
              <w:t>Spolu opatrenia 1 až 4B (</w:t>
            </w:r>
            <w:proofErr w:type="spellStart"/>
            <w:r w:rsidRPr="003E281C">
              <w:rPr>
                <w:rFonts w:cs="Calibri"/>
                <w:color w:val="000000"/>
                <w:sz w:val="18"/>
                <w:szCs w:val="18"/>
                <w:lang w:eastAsia="sk-SK"/>
              </w:rPr>
              <w:t>Kurzarbeit</w:t>
            </w:r>
            <w:proofErr w:type="spellEnd"/>
            <w:r w:rsidRPr="003E281C">
              <w:rPr>
                <w:rFonts w:cs="Calibri"/>
                <w:color w:val="000000"/>
                <w:sz w:val="18"/>
                <w:szCs w:val="18"/>
                <w:lang w:eastAsia="sk-SK"/>
              </w:rPr>
              <w:t>)</w:t>
            </w:r>
          </w:p>
        </w:tc>
        <w:tc>
          <w:tcPr>
            <w:tcW w:w="1701" w:type="dxa"/>
            <w:gridSpan w:val="2"/>
            <w:tcBorders>
              <w:top w:val="single" w:sz="8" w:space="0" w:color="auto"/>
              <w:left w:val="nil"/>
              <w:bottom w:val="nil"/>
              <w:right w:val="nil"/>
            </w:tcBorders>
            <w:shd w:val="clear" w:color="auto" w:fill="auto"/>
            <w:noWrap/>
            <w:vAlign w:val="center"/>
            <w:hideMark/>
          </w:tcPr>
          <w:p w14:paraId="2DDB2324"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-773</w:t>
            </w:r>
          </w:p>
        </w:tc>
      </w:tr>
      <w:tr w:rsidR="000B776B" w:rsidRPr="003E281C" w14:paraId="19185368"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center"/>
            <w:hideMark/>
          </w:tcPr>
          <w:p w14:paraId="0C2692D7" w14:textId="77777777" w:rsidR="000B776B" w:rsidRPr="003E281C" w:rsidRDefault="000B776B" w:rsidP="007B548A">
            <w:pPr>
              <w:spacing w:after="0" w:line="240" w:lineRule="auto"/>
              <w:rPr>
                <w:rFonts w:cs="Calibri"/>
                <w:color w:val="000000"/>
                <w:sz w:val="18"/>
                <w:szCs w:val="18"/>
                <w:lang w:eastAsia="sk-SK"/>
              </w:rPr>
            </w:pPr>
            <w:proofErr w:type="spellStart"/>
            <w:r w:rsidRPr="003E281C">
              <w:rPr>
                <w:rFonts w:cs="Calibri"/>
                <w:color w:val="000000"/>
                <w:sz w:val="18"/>
                <w:szCs w:val="18"/>
                <w:lang w:eastAsia="sk-SK"/>
              </w:rPr>
              <w:t>Kurzarbeit</w:t>
            </w:r>
            <w:proofErr w:type="spellEnd"/>
            <w:r w:rsidRPr="003E281C">
              <w:rPr>
                <w:rFonts w:cs="Calibri"/>
                <w:color w:val="000000"/>
                <w:sz w:val="18"/>
                <w:szCs w:val="18"/>
                <w:lang w:eastAsia="sk-SK"/>
              </w:rPr>
              <w:t xml:space="preserve"> pre materské školy </w:t>
            </w:r>
          </w:p>
        </w:tc>
        <w:tc>
          <w:tcPr>
            <w:tcW w:w="1701" w:type="dxa"/>
            <w:gridSpan w:val="2"/>
            <w:tcBorders>
              <w:top w:val="nil"/>
              <w:left w:val="nil"/>
              <w:bottom w:val="nil"/>
              <w:right w:val="nil"/>
            </w:tcBorders>
            <w:shd w:val="clear" w:color="auto" w:fill="auto"/>
            <w:noWrap/>
            <w:vAlign w:val="center"/>
            <w:hideMark/>
          </w:tcPr>
          <w:p w14:paraId="3EDC00D2"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-59</w:t>
            </w:r>
          </w:p>
        </w:tc>
      </w:tr>
      <w:tr w:rsidR="000B776B" w:rsidRPr="003E281C" w14:paraId="4914F1B1"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center"/>
            <w:hideMark/>
          </w:tcPr>
          <w:p w14:paraId="55446B76" w14:textId="77777777" w:rsidR="000B776B" w:rsidRPr="003E281C" w:rsidRDefault="000B776B" w:rsidP="007B548A">
            <w:pPr>
              <w:spacing w:after="0" w:line="240" w:lineRule="auto"/>
              <w:rPr>
                <w:rFonts w:cs="Calibri"/>
                <w:color w:val="000000"/>
                <w:sz w:val="18"/>
                <w:szCs w:val="18"/>
                <w:lang w:eastAsia="sk-SK"/>
              </w:rPr>
            </w:pPr>
            <w:r w:rsidRPr="003E281C">
              <w:rPr>
                <w:rFonts w:cs="Calibri"/>
                <w:color w:val="000000"/>
                <w:sz w:val="18"/>
                <w:szCs w:val="18"/>
                <w:lang w:eastAsia="sk-SK"/>
              </w:rPr>
              <w:t xml:space="preserve">Podpora podnikania v cestovnom ruchu a </w:t>
            </w:r>
            <w:proofErr w:type="spellStart"/>
            <w:r w:rsidRPr="003E281C">
              <w:rPr>
                <w:rFonts w:cs="Calibri"/>
                <w:color w:val="000000"/>
                <w:sz w:val="18"/>
                <w:szCs w:val="18"/>
                <w:lang w:eastAsia="sk-SK"/>
              </w:rPr>
              <w:t>gastro</w:t>
            </w:r>
            <w:proofErr w:type="spellEnd"/>
          </w:p>
        </w:tc>
        <w:tc>
          <w:tcPr>
            <w:tcW w:w="1701" w:type="dxa"/>
            <w:gridSpan w:val="2"/>
            <w:tcBorders>
              <w:top w:val="nil"/>
              <w:left w:val="nil"/>
              <w:bottom w:val="nil"/>
              <w:right w:val="nil"/>
            </w:tcBorders>
            <w:shd w:val="clear" w:color="auto" w:fill="auto"/>
            <w:vAlign w:val="center"/>
            <w:hideMark/>
          </w:tcPr>
          <w:p w14:paraId="3CDB6DED"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-6</w:t>
            </w:r>
          </w:p>
        </w:tc>
      </w:tr>
      <w:tr w:rsidR="000B776B" w:rsidRPr="003E281C" w14:paraId="0573A019"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bottom"/>
            <w:hideMark/>
          </w:tcPr>
          <w:p w14:paraId="4388EFEA" w14:textId="77777777" w:rsidR="000B776B" w:rsidRPr="003E281C" w:rsidRDefault="000B776B" w:rsidP="007B548A">
            <w:pPr>
              <w:spacing w:after="0" w:line="240" w:lineRule="auto"/>
              <w:rPr>
                <w:rFonts w:cs="Calibri"/>
                <w:color w:val="000000"/>
                <w:sz w:val="18"/>
                <w:szCs w:val="18"/>
                <w:lang w:eastAsia="sk-SK"/>
              </w:rPr>
            </w:pPr>
            <w:r w:rsidRPr="003E281C">
              <w:rPr>
                <w:rFonts w:cs="Calibri"/>
                <w:color w:val="000000"/>
                <w:sz w:val="18"/>
                <w:szCs w:val="18"/>
                <w:lang w:eastAsia="sk-SK"/>
              </w:rPr>
              <w:t>Preplácanie nájmu</w:t>
            </w:r>
          </w:p>
        </w:tc>
        <w:tc>
          <w:tcPr>
            <w:tcW w:w="1701" w:type="dxa"/>
            <w:gridSpan w:val="2"/>
            <w:tcBorders>
              <w:top w:val="nil"/>
              <w:left w:val="nil"/>
              <w:bottom w:val="nil"/>
              <w:right w:val="nil"/>
            </w:tcBorders>
            <w:shd w:val="clear" w:color="auto" w:fill="auto"/>
            <w:noWrap/>
            <w:vAlign w:val="center"/>
            <w:hideMark/>
          </w:tcPr>
          <w:p w14:paraId="7768AAF6"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-40</w:t>
            </w:r>
          </w:p>
        </w:tc>
      </w:tr>
      <w:tr w:rsidR="000B776B" w:rsidRPr="003E281C" w14:paraId="17126EA8"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bottom"/>
            <w:hideMark/>
          </w:tcPr>
          <w:p w14:paraId="3FD194F5" w14:textId="77777777" w:rsidR="000B776B" w:rsidRPr="003E281C" w:rsidRDefault="000B776B" w:rsidP="007B548A">
            <w:pPr>
              <w:spacing w:after="0" w:line="240" w:lineRule="auto"/>
              <w:rPr>
                <w:rFonts w:cs="Calibri"/>
                <w:sz w:val="18"/>
                <w:szCs w:val="18"/>
                <w:lang w:eastAsia="sk-SK"/>
              </w:rPr>
            </w:pPr>
            <w:r w:rsidRPr="003E281C">
              <w:rPr>
                <w:rFonts w:cs="Calibri"/>
                <w:sz w:val="18"/>
                <w:szCs w:val="18"/>
                <w:lang w:eastAsia="sk-SK"/>
              </w:rPr>
              <w:t xml:space="preserve">Podpora uchádzačov o zamestnanie </w:t>
            </w:r>
          </w:p>
        </w:tc>
        <w:tc>
          <w:tcPr>
            <w:tcW w:w="1701" w:type="dxa"/>
            <w:gridSpan w:val="2"/>
            <w:tcBorders>
              <w:top w:val="nil"/>
              <w:left w:val="nil"/>
              <w:bottom w:val="nil"/>
              <w:right w:val="nil"/>
            </w:tcBorders>
            <w:shd w:val="clear" w:color="auto" w:fill="auto"/>
            <w:noWrap/>
            <w:vAlign w:val="center"/>
            <w:hideMark/>
          </w:tcPr>
          <w:p w14:paraId="664C457B"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-49</w:t>
            </w:r>
          </w:p>
        </w:tc>
      </w:tr>
      <w:tr w:rsidR="000B776B" w:rsidRPr="003E281C" w14:paraId="52FC0466"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center"/>
            <w:hideMark/>
          </w:tcPr>
          <w:p w14:paraId="392BD6E2" w14:textId="77777777" w:rsidR="000B776B" w:rsidRPr="003E281C" w:rsidRDefault="000B776B" w:rsidP="007B548A">
            <w:pPr>
              <w:spacing w:after="0" w:line="240" w:lineRule="auto"/>
              <w:rPr>
                <w:rFonts w:cs="Calibri"/>
                <w:color w:val="000000"/>
                <w:sz w:val="18"/>
                <w:szCs w:val="18"/>
                <w:lang w:eastAsia="sk-SK"/>
              </w:rPr>
            </w:pPr>
            <w:r w:rsidRPr="003E281C">
              <w:rPr>
                <w:rFonts w:cs="Calibri"/>
                <w:color w:val="000000"/>
                <w:sz w:val="18"/>
                <w:szCs w:val="18"/>
                <w:lang w:eastAsia="sk-SK"/>
              </w:rPr>
              <w:t xml:space="preserve">SOS príspevok </w:t>
            </w:r>
          </w:p>
        </w:tc>
        <w:tc>
          <w:tcPr>
            <w:tcW w:w="1701" w:type="dxa"/>
            <w:gridSpan w:val="2"/>
            <w:tcBorders>
              <w:top w:val="nil"/>
              <w:left w:val="nil"/>
              <w:bottom w:val="nil"/>
              <w:right w:val="nil"/>
            </w:tcBorders>
            <w:shd w:val="clear" w:color="auto" w:fill="auto"/>
            <w:noWrap/>
            <w:vAlign w:val="center"/>
            <w:hideMark/>
          </w:tcPr>
          <w:p w14:paraId="61DF6A40"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-15</w:t>
            </w:r>
          </w:p>
        </w:tc>
      </w:tr>
      <w:tr w:rsidR="000B776B" w:rsidRPr="003E281C" w14:paraId="34D451E4"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center"/>
            <w:hideMark/>
          </w:tcPr>
          <w:p w14:paraId="29418D28" w14:textId="77777777" w:rsidR="000B776B" w:rsidRPr="003E281C" w:rsidRDefault="000B776B" w:rsidP="007B548A">
            <w:pPr>
              <w:spacing w:after="0" w:line="240" w:lineRule="auto"/>
              <w:rPr>
                <w:rFonts w:cs="Calibri"/>
                <w:color w:val="000000"/>
                <w:sz w:val="18"/>
                <w:szCs w:val="18"/>
                <w:lang w:eastAsia="sk-SK"/>
              </w:rPr>
            </w:pPr>
            <w:r w:rsidRPr="003E281C">
              <w:rPr>
                <w:rFonts w:cs="Calibri"/>
                <w:color w:val="000000"/>
                <w:sz w:val="18"/>
                <w:szCs w:val="18"/>
                <w:lang w:eastAsia="sk-SK"/>
              </w:rPr>
              <w:t>Rodičovský príspevok (predĺženie počas obdobia mimoriadneho stavu)</w:t>
            </w:r>
          </w:p>
        </w:tc>
        <w:tc>
          <w:tcPr>
            <w:tcW w:w="1701" w:type="dxa"/>
            <w:gridSpan w:val="2"/>
            <w:tcBorders>
              <w:top w:val="nil"/>
              <w:left w:val="nil"/>
              <w:bottom w:val="nil"/>
              <w:right w:val="nil"/>
            </w:tcBorders>
            <w:shd w:val="clear" w:color="auto" w:fill="auto"/>
            <w:noWrap/>
            <w:vAlign w:val="center"/>
            <w:hideMark/>
          </w:tcPr>
          <w:p w14:paraId="52D0F1AD"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-13</w:t>
            </w:r>
          </w:p>
        </w:tc>
      </w:tr>
      <w:tr w:rsidR="000B776B" w:rsidRPr="003E281C" w14:paraId="2A9CD92C"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center"/>
            <w:hideMark/>
          </w:tcPr>
          <w:p w14:paraId="50565BB6" w14:textId="77777777" w:rsidR="000B776B" w:rsidRPr="003E281C" w:rsidRDefault="000B776B" w:rsidP="007B548A">
            <w:pPr>
              <w:spacing w:after="0" w:line="240" w:lineRule="auto"/>
              <w:rPr>
                <w:rFonts w:cs="Calibri"/>
                <w:color w:val="000000"/>
                <w:sz w:val="18"/>
                <w:szCs w:val="18"/>
                <w:lang w:eastAsia="sk-SK"/>
              </w:rPr>
            </w:pPr>
            <w:r w:rsidRPr="003E281C">
              <w:rPr>
                <w:rFonts w:cs="Calibri"/>
                <w:color w:val="000000"/>
                <w:sz w:val="18"/>
                <w:szCs w:val="18"/>
                <w:lang w:eastAsia="sk-SK"/>
              </w:rPr>
              <w:t>Dávka v nezamestnanosti (predĺženie obdobia poberania)</w:t>
            </w:r>
          </w:p>
        </w:tc>
        <w:tc>
          <w:tcPr>
            <w:tcW w:w="1701" w:type="dxa"/>
            <w:gridSpan w:val="2"/>
            <w:tcBorders>
              <w:top w:val="nil"/>
              <w:left w:val="nil"/>
              <w:bottom w:val="nil"/>
              <w:right w:val="nil"/>
            </w:tcBorders>
            <w:shd w:val="clear" w:color="auto" w:fill="auto"/>
            <w:noWrap/>
            <w:vAlign w:val="center"/>
            <w:hideMark/>
          </w:tcPr>
          <w:p w14:paraId="1C0944B0"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-32</w:t>
            </w:r>
          </w:p>
        </w:tc>
      </w:tr>
      <w:tr w:rsidR="000B776B" w:rsidRPr="003E281C" w14:paraId="090C30BB"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bottom"/>
            <w:hideMark/>
          </w:tcPr>
          <w:p w14:paraId="5E444087" w14:textId="77777777" w:rsidR="000B776B" w:rsidRPr="003E281C" w:rsidRDefault="000B776B" w:rsidP="007B548A">
            <w:pPr>
              <w:spacing w:after="0" w:line="240" w:lineRule="auto"/>
              <w:rPr>
                <w:rFonts w:cs="Calibri"/>
                <w:color w:val="000000"/>
                <w:sz w:val="18"/>
                <w:szCs w:val="18"/>
                <w:lang w:eastAsia="sk-SK"/>
              </w:rPr>
            </w:pPr>
            <w:r w:rsidRPr="003E281C">
              <w:rPr>
                <w:rFonts w:cs="Calibri"/>
                <w:color w:val="000000"/>
                <w:sz w:val="18"/>
                <w:szCs w:val="18"/>
                <w:lang w:eastAsia="sk-SK"/>
              </w:rPr>
              <w:t>Nemocenské (PN) - dávky vyplatené nad úrovňou minulého roka</w:t>
            </w:r>
          </w:p>
        </w:tc>
        <w:tc>
          <w:tcPr>
            <w:tcW w:w="1701" w:type="dxa"/>
            <w:gridSpan w:val="2"/>
            <w:tcBorders>
              <w:top w:val="nil"/>
              <w:left w:val="nil"/>
              <w:bottom w:val="nil"/>
              <w:right w:val="nil"/>
            </w:tcBorders>
            <w:shd w:val="clear" w:color="auto" w:fill="auto"/>
            <w:noWrap/>
            <w:vAlign w:val="center"/>
            <w:hideMark/>
          </w:tcPr>
          <w:p w14:paraId="7B6C692F"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-106</w:t>
            </w:r>
          </w:p>
        </w:tc>
      </w:tr>
      <w:tr w:rsidR="000B776B" w:rsidRPr="003E281C" w14:paraId="29B6F019"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bottom"/>
            <w:hideMark/>
          </w:tcPr>
          <w:p w14:paraId="33B624C4" w14:textId="77777777" w:rsidR="000B776B" w:rsidRPr="003E281C" w:rsidRDefault="000B776B" w:rsidP="007B548A">
            <w:pPr>
              <w:spacing w:after="0" w:line="240" w:lineRule="auto"/>
              <w:rPr>
                <w:rFonts w:cs="Calibri"/>
                <w:color w:val="000000"/>
                <w:sz w:val="18"/>
                <w:szCs w:val="18"/>
                <w:lang w:eastAsia="sk-SK"/>
              </w:rPr>
            </w:pPr>
            <w:r w:rsidRPr="003E281C">
              <w:rPr>
                <w:rFonts w:cs="Calibri"/>
                <w:color w:val="000000"/>
                <w:sz w:val="18"/>
                <w:szCs w:val="18"/>
                <w:lang w:eastAsia="sk-SK"/>
              </w:rPr>
              <w:t>Ošetrovné (OČR) - dávky vyplatené nad úrovňou minulého roka</w:t>
            </w:r>
          </w:p>
        </w:tc>
        <w:tc>
          <w:tcPr>
            <w:tcW w:w="1701" w:type="dxa"/>
            <w:gridSpan w:val="2"/>
            <w:tcBorders>
              <w:top w:val="nil"/>
              <w:left w:val="nil"/>
              <w:bottom w:val="nil"/>
              <w:right w:val="nil"/>
            </w:tcBorders>
            <w:shd w:val="clear" w:color="auto" w:fill="auto"/>
            <w:noWrap/>
            <w:vAlign w:val="center"/>
            <w:hideMark/>
          </w:tcPr>
          <w:p w14:paraId="6DAD3AD5"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-133</w:t>
            </w:r>
          </w:p>
        </w:tc>
      </w:tr>
      <w:tr w:rsidR="000B776B" w:rsidRPr="003E281C" w14:paraId="37499CE7"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bottom"/>
            <w:hideMark/>
          </w:tcPr>
          <w:p w14:paraId="6A25A627" w14:textId="77777777" w:rsidR="000B776B" w:rsidRPr="003E281C" w:rsidRDefault="000B776B" w:rsidP="007B548A">
            <w:pPr>
              <w:spacing w:after="0" w:line="240" w:lineRule="auto"/>
              <w:rPr>
                <w:rFonts w:cs="Calibri"/>
                <w:color w:val="000000"/>
                <w:sz w:val="18"/>
                <w:szCs w:val="18"/>
                <w:lang w:eastAsia="sk-SK"/>
              </w:rPr>
            </w:pPr>
            <w:r w:rsidRPr="003E281C">
              <w:rPr>
                <w:rFonts w:cs="Calibri"/>
                <w:color w:val="000000"/>
                <w:sz w:val="18"/>
                <w:szCs w:val="18"/>
                <w:lang w:eastAsia="sk-SK"/>
              </w:rPr>
              <w:t>Odpustenie sociálnych odvodov za apríl</w:t>
            </w:r>
          </w:p>
        </w:tc>
        <w:tc>
          <w:tcPr>
            <w:tcW w:w="1701" w:type="dxa"/>
            <w:gridSpan w:val="2"/>
            <w:tcBorders>
              <w:top w:val="nil"/>
              <w:left w:val="nil"/>
              <w:bottom w:val="nil"/>
              <w:right w:val="nil"/>
            </w:tcBorders>
            <w:shd w:val="clear" w:color="auto" w:fill="auto"/>
            <w:noWrap/>
            <w:vAlign w:val="center"/>
            <w:hideMark/>
          </w:tcPr>
          <w:p w14:paraId="4164136A"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-57</w:t>
            </w:r>
          </w:p>
        </w:tc>
      </w:tr>
      <w:tr w:rsidR="000B776B" w:rsidRPr="003E281C" w14:paraId="24F302E7"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bottom"/>
            <w:hideMark/>
          </w:tcPr>
          <w:p w14:paraId="1E152A21" w14:textId="77777777" w:rsidR="000B776B" w:rsidRPr="003E281C" w:rsidRDefault="000B776B" w:rsidP="007B548A">
            <w:pPr>
              <w:spacing w:after="0" w:line="240" w:lineRule="auto"/>
              <w:rPr>
                <w:rFonts w:cs="Calibri"/>
                <w:color w:val="000000"/>
                <w:sz w:val="18"/>
                <w:szCs w:val="18"/>
                <w:lang w:eastAsia="sk-SK"/>
              </w:rPr>
            </w:pPr>
            <w:r w:rsidRPr="003E281C">
              <w:rPr>
                <w:rFonts w:cs="Calibri"/>
                <w:color w:val="000000"/>
                <w:sz w:val="18"/>
                <w:szCs w:val="18"/>
                <w:lang w:eastAsia="sk-SK"/>
              </w:rPr>
              <w:t xml:space="preserve">Odpočet firemných strát z rokov 2015-18 </w:t>
            </w:r>
          </w:p>
        </w:tc>
        <w:tc>
          <w:tcPr>
            <w:tcW w:w="1701" w:type="dxa"/>
            <w:gridSpan w:val="2"/>
            <w:tcBorders>
              <w:top w:val="nil"/>
              <w:left w:val="nil"/>
              <w:bottom w:val="nil"/>
              <w:right w:val="nil"/>
            </w:tcBorders>
            <w:shd w:val="clear" w:color="auto" w:fill="auto"/>
            <w:noWrap/>
            <w:vAlign w:val="center"/>
            <w:hideMark/>
          </w:tcPr>
          <w:p w14:paraId="2CFDF028"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-28</w:t>
            </w:r>
          </w:p>
        </w:tc>
      </w:tr>
      <w:tr w:rsidR="000B776B" w:rsidRPr="003E281C" w14:paraId="5700BEA7"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bottom"/>
            <w:hideMark/>
          </w:tcPr>
          <w:p w14:paraId="19C31FA1" w14:textId="77777777" w:rsidR="000B776B" w:rsidRPr="003E281C" w:rsidRDefault="000B776B" w:rsidP="007B548A">
            <w:pPr>
              <w:spacing w:after="0" w:line="240" w:lineRule="auto"/>
              <w:rPr>
                <w:rFonts w:cs="Calibri"/>
                <w:color w:val="000000"/>
                <w:sz w:val="18"/>
                <w:szCs w:val="18"/>
                <w:lang w:eastAsia="sk-SK"/>
              </w:rPr>
            </w:pPr>
            <w:r w:rsidRPr="003E281C">
              <w:rPr>
                <w:rFonts w:cs="Calibri"/>
                <w:color w:val="000000"/>
                <w:sz w:val="18"/>
                <w:szCs w:val="18"/>
                <w:lang w:eastAsia="sk-SK"/>
              </w:rPr>
              <w:t>Nesplatenie časti odložených odvodov</w:t>
            </w:r>
          </w:p>
        </w:tc>
        <w:tc>
          <w:tcPr>
            <w:tcW w:w="1701" w:type="dxa"/>
            <w:gridSpan w:val="2"/>
            <w:tcBorders>
              <w:top w:val="nil"/>
              <w:left w:val="nil"/>
              <w:bottom w:val="nil"/>
              <w:right w:val="nil"/>
            </w:tcBorders>
            <w:shd w:val="clear" w:color="auto" w:fill="auto"/>
            <w:noWrap/>
            <w:vAlign w:val="center"/>
            <w:hideMark/>
          </w:tcPr>
          <w:p w14:paraId="6DA11071"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-3,6</w:t>
            </w:r>
          </w:p>
        </w:tc>
      </w:tr>
      <w:tr w:rsidR="000B776B" w:rsidRPr="003E281C" w14:paraId="2112A824"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center"/>
            <w:hideMark/>
          </w:tcPr>
          <w:p w14:paraId="529EF365" w14:textId="77777777" w:rsidR="000B776B" w:rsidRPr="003E281C" w:rsidRDefault="000B776B" w:rsidP="007B548A">
            <w:pPr>
              <w:spacing w:after="0" w:line="240" w:lineRule="auto"/>
              <w:rPr>
                <w:rFonts w:cs="Calibri"/>
                <w:color w:val="000000"/>
                <w:sz w:val="18"/>
                <w:szCs w:val="18"/>
                <w:lang w:eastAsia="sk-SK"/>
              </w:rPr>
            </w:pPr>
            <w:r w:rsidRPr="003E281C">
              <w:rPr>
                <w:rFonts w:cs="Calibri"/>
                <w:color w:val="000000"/>
                <w:sz w:val="18"/>
                <w:szCs w:val="18"/>
                <w:lang w:eastAsia="sk-SK"/>
              </w:rPr>
              <w:t>Odmeny pracovníkom v zdravotníctve</w:t>
            </w:r>
          </w:p>
        </w:tc>
        <w:tc>
          <w:tcPr>
            <w:tcW w:w="1701" w:type="dxa"/>
            <w:gridSpan w:val="2"/>
            <w:tcBorders>
              <w:top w:val="nil"/>
              <w:left w:val="nil"/>
              <w:bottom w:val="nil"/>
              <w:right w:val="nil"/>
            </w:tcBorders>
            <w:shd w:val="clear" w:color="auto" w:fill="auto"/>
            <w:noWrap/>
            <w:vAlign w:val="center"/>
            <w:hideMark/>
          </w:tcPr>
          <w:p w14:paraId="36EC44A8"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-13</w:t>
            </w:r>
          </w:p>
        </w:tc>
      </w:tr>
      <w:tr w:rsidR="000B776B" w:rsidRPr="003E281C" w14:paraId="5ECFC743"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center"/>
            <w:hideMark/>
          </w:tcPr>
          <w:p w14:paraId="63C92F03" w14:textId="77777777" w:rsidR="000B776B" w:rsidRPr="003E281C" w:rsidRDefault="000B776B" w:rsidP="007B548A">
            <w:pPr>
              <w:spacing w:after="0" w:line="240" w:lineRule="auto"/>
              <w:rPr>
                <w:rFonts w:cs="Calibri"/>
                <w:color w:val="000000"/>
                <w:sz w:val="18"/>
                <w:szCs w:val="18"/>
                <w:lang w:eastAsia="sk-SK"/>
              </w:rPr>
            </w:pPr>
            <w:r w:rsidRPr="003E281C">
              <w:rPr>
                <w:rFonts w:cs="Calibri"/>
                <w:color w:val="000000"/>
                <w:sz w:val="18"/>
                <w:szCs w:val="18"/>
                <w:lang w:eastAsia="sk-SK"/>
              </w:rPr>
              <w:t>Platba doktorom špecialistom</w:t>
            </w:r>
          </w:p>
        </w:tc>
        <w:tc>
          <w:tcPr>
            <w:tcW w:w="1701" w:type="dxa"/>
            <w:gridSpan w:val="2"/>
            <w:tcBorders>
              <w:top w:val="nil"/>
              <w:left w:val="nil"/>
              <w:bottom w:val="nil"/>
              <w:right w:val="nil"/>
            </w:tcBorders>
            <w:shd w:val="clear" w:color="auto" w:fill="auto"/>
            <w:noWrap/>
            <w:vAlign w:val="center"/>
            <w:hideMark/>
          </w:tcPr>
          <w:p w14:paraId="381D804C"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-138</w:t>
            </w:r>
          </w:p>
        </w:tc>
      </w:tr>
      <w:tr w:rsidR="000B776B" w:rsidRPr="003E281C" w14:paraId="3613D169"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center"/>
            <w:hideMark/>
          </w:tcPr>
          <w:p w14:paraId="641C4581" w14:textId="77777777" w:rsidR="000B776B" w:rsidRPr="003E281C" w:rsidRDefault="000B776B" w:rsidP="007B548A">
            <w:pPr>
              <w:spacing w:after="0" w:line="240" w:lineRule="auto"/>
              <w:rPr>
                <w:rFonts w:cs="Calibri"/>
                <w:color w:val="000000"/>
                <w:sz w:val="18"/>
                <w:szCs w:val="18"/>
                <w:lang w:eastAsia="sk-SK"/>
              </w:rPr>
            </w:pPr>
            <w:r w:rsidRPr="003E281C">
              <w:rPr>
                <w:rFonts w:cs="Calibri"/>
                <w:color w:val="000000"/>
                <w:sz w:val="18"/>
                <w:szCs w:val="18"/>
                <w:lang w:eastAsia="sk-SK"/>
              </w:rPr>
              <w:t>Zvýšené výdavky - ventilátory a iné</w:t>
            </w:r>
          </w:p>
        </w:tc>
        <w:tc>
          <w:tcPr>
            <w:tcW w:w="1701" w:type="dxa"/>
            <w:gridSpan w:val="2"/>
            <w:tcBorders>
              <w:top w:val="nil"/>
              <w:left w:val="nil"/>
              <w:bottom w:val="nil"/>
              <w:right w:val="nil"/>
            </w:tcBorders>
            <w:shd w:val="clear" w:color="auto" w:fill="auto"/>
            <w:noWrap/>
            <w:vAlign w:val="center"/>
            <w:hideMark/>
          </w:tcPr>
          <w:p w14:paraId="2BA362D8"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-39</w:t>
            </w:r>
          </w:p>
        </w:tc>
      </w:tr>
      <w:tr w:rsidR="000B776B" w:rsidRPr="003E281C" w14:paraId="44674CB6"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bottom"/>
            <w:hideMark/>
          </w:tcPr>
          <w:p w14:paraId="315573ED" w14:textId="77777777" w:rsidR="000B776B" w:rsidRPr="003E281C" w:rsidRDefault="000B776B" w:rsidP="007B548A">
            <w:pPr>
              <w:spacing w:after="0" w:line="240" w:lineRule="auto"/>
              <w:rPr>
                <w:rFonts w:cs="Calibri"/>
                <w:sz w:val="18"/>
                <w:szCs w:val="18"/>
                <w:lang w:eastAsia="sk-SK"/>
              </w:rPr>
            </w:pPr>
            <w:r w:rsidRPr="003E281C">
              <w:rPr>
                <w:rFonts w:cs="Calibri"/>
                <w:sz w:val="18"/>
                <w:szCs w:val="18"/>
                <w:lang w:eastAsia="sk-SK"/>
              </w:rPr>
              <w:t>Výdavky na testovanie</w:t>
            </w:r>
          </w:p>
        </w:tc>
        <w:tc>
          <w:tcPr>
            <w:tcW w:w="1701" w:type="dxa"/>
            <w:gridSpan w:val="2"/>
            <w:tcBorders>
              <w:top w:val="nil"/>
              <w:left w:val="nil"/>
              <w:bottom w:val="nil"/>
              <w:right w:val="nil"/>
            </w:tcBorders>
            <w:shd w:val="clear" w:color="auto" w:fill="auto"/>
            <w:noWrap/>
            <w:vAlign w:val="center"/>
            <w:hideMark/>
          </w:tcPr>
          <w:p w14:paraId="364D0937"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-124</w:t>
            </w:r>
          </w:p>
        </w:tc>
      </w:tr>
      <w:tr w:rsidR="000B776B" w:rsidRPr="003E281C" w14:paraId="00B4C01C"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bottom"/>
            <w:hideMark/>
          </w:tcPr>
          <w:p w14:paraId="49F6B1C4" w14:textId="77777777" w:rsidR="000B776B" w:rsidRPr="003E281C" w:rsidRDefault="000B776B" w:rsidP="007B548A">
            <w:pPr>
              <w:spacing w:after="0" w:line="240" w:lineRule="auto"/>
              <w:rPr>
                <w:rFonts w:cs="Calibri"/>
                <w:sz w:val="18"/>
                <w:szCs w:val="18"/>
                <w:lang w:eastAsia="sk-SK"/>
              </w:rPr>
            </w:pPr>
            <w:r w:rsidRPr="003E281C">
              <w:rPr>
                <w:rFonts w:cs="Calibri"/>
                <w:sz w:val="18"/>
                <w:szCs w:val="18"/>
                <w:lang w:eastAsia="sk-SK"/>
              </w:rPr>
              <w:t>Zariadenie a iné výdavky ZZ</w:t>
            </w:r>
          </w:p>
        </w:tc>
        <w:tc>
          <w:tcPr>
            <w:tcW w:w="1701" w:type="dxa"/>
            <w:gridSpan w:val="2"/>
            <w:tcBorders>
              <w:top w:val="nil"/>
              <w:left w:val="nil"/>
              <w:bottom w:val="nil"/>
              <w:right w:val="nil"/>
            </w:tcBorders>
            <w:shd w:val="clear" w:color="auto" w:fill="auto"/>
            <w:noWrap/>
            <w:vAlign w:val="center"/>
            <w:hideMark/>
          </w:tcPr>
          <w:p w14:paraId="180E8944"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-63</w:t>
            </w:r>
          </w:p>
        </w:tc>
      </w:tr>
      <w:tr w:rsidR="000B776B" w:rsidRPr="003E281C" w14:paraId="0802630D"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bottom"/>
            <w:hideMark/>
          </w:tcPr>
          <w:p w14:paraId="313AB3CF" w14:textId="77777777" w:rsidR="000B776B" w:rsidRPr="003E281C" w:rsidRDefault="000B776B" w:rsidP="007B548A">
            <w:pPr>
              <w:spacing w:after="0" w:line="240" w:lineRule="auto"/>
              <w:rPr>
                <w:rFonts w:cs="Calibri"/>
                <w:sz w:val="18"/>
                <w:szCs w:val="18"/>
                <w:lang w:eastAsia="sk-SK"/>
              </w:rPr>
            </w:pPr>
            <w:r w:rsidRPr="003E281C">
              <w:rPr>
                <w:rFonts w:cs="Calibri"/>
                <w:sz w:val="18"/>
                <w:szCs w:val="18"/>
                <w:lang w:eastAsia="sk-SK"/>
              </w:rPr>
              <w:t>Tvorba pohotovostných zásob (mimo testov)</w:t>
            </w:r>
          </w:p>
        </w:tc>
        <w:tc>
          <w:tcPr>
            <w:tcW w:w="1701" w:type="dxa"/>
            <w:gridSpan w:val="2"/>
            <w:tcBorders>
              <w:top w:val="nil"/>
              <w:left w:val="nil"/>
              <w:bottom w:val="nil"/>
              <w:right w:val="nil"/>
            </w:tcBorders>
            <w:shd w:val="clear" w:color="auto" w:fill="auto"/>
            <w:noWrap/>
            <w:vAlign w:val="center"/>
            <w:hideMark/>
          </w:tcPr>
          <w:p w14:paraId="3410EA89"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-33</w:t>
            </w:r>
          </w:p>
        </w:tc>
      </w:tr>
      <w:tr w:rsidR="000B776B" w:rsidRPr="003E281C" w14:paraId="6CE2B416"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bottom"/>
            <w:hideMark/>
          </w:tcPr>
          <w:p w14:paraId="5E9E9A50" w14:textId="77777777" w:rsidR="000B776B" w:rsidRPr="003E281C" w:rsidRDefault="000B776B" w:rsidP="007B548A">
            <w:pPr>
              <w:spacing w:after="0" w:line="240" w:lineRule="auto"/>
              <w:rPr>
                <w:rFonts w:cs="Calibri"/>
                <w:sz w:val="18"/>
                <w:szCs w:val="18"/>
                <w:lang w:eastAsia="sk-SK"/>
              </w:rPr>
            </w:pPr>
            <w:r w:rsidRPr="003E281C">
              <w:rPr>
                <w:rFonts w:cs="Calibri"/>
                <w:sz w:val="18"/>
                <w:szCs w:val="18"/>
                <w:lang w:eastAsia="sk-SK"/>
              </w:rPr>
              <w:t>Odmeny pracovníkom v prvej línii (mimo MZ)</w:t>
            </w:r>
          </w:p>
        </w:tc>
        <w:tc>
          <w:tcPr>
            <w:tcW w:w="1701" w:type="dxa"/>
            <w:gridSpan w:val="2"/>
            <w:tcBorders>
              <w:top w:val="nil"/>
              <w:left w:val="nil"/>
              <w:bottom w:val="nil"/>
              <w:right w:val="nil"/>
            </w:tcBorders>
            <w:shd w:val="clear" w:color="auto" w:fill="auto"/>
            <w:noWrap/>
            <w:vAlign w:val="center"/>
            <w:hideMark/>
          </w:tcPr>
          <w:p w14:paraId="0592D42F"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-64</w:t>
            </w:r>
          </w:p>
        </w:tc>
      </w:tr>
      <w:tr w:rsidR="000B776B" w:rsidRPr="003E281C" w14:paraId="184A9918"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bottom"/>
            <w:hideMark/>
          </w:tcPr>
          <w:p w14:paraId="5023A5DB" w14:textId="77777777" w:rsidR="000B776B" w:rsidRPr="003E281C" w:rsidRDefault="000B776B" w:rsidP="007B548A">
            <w:pPr>
              <w:spacing w:after="0" w:line="240" w:lineRule="auto"/>
              <w:rPr>
                <w:rFonts w:cs="Calibri"/>
                <w:sz w:val="18"/>
                <w:szCs w:val="18"/>
                <w:lang w:eastAsia="sk-SK"/>
              </w:rPr>
            </w:pPr>
            <w:r w:rsidRPr="003E281C">
              <w:rPr>
                <w:rFonts w:cs="Calibri"/>
                <w:sz w:val="18"/>
                <w:szCs w:val="18"/>
                <w:lang w:eastAsia="sk-SK"/>
              </w:rPr>
              <w:t>Tovary a služby súvisiace s COVID-19 (dezinfekcia, iné)</w:t>
            </w:r>
          </w:p>
        </w:tc>
        <w:tc>
          <w:tcPr>
            <w:tcW w:w="1701" w:type="dxa"/>
            <w:gridSpan w:val="2"/>
            <w:tcBorders>
              <w:top w:val="nil"/>
              <w:left w:val="nil"/>
              <w:bottom w:val="nil"/>
              <w:right w:val="nil"/>
            </w:tcBorders>
            <w:shd w:val="clear" w:color="auto" w:fill="auto"/>
            <w:noWrap/>
            <w:vAlign w:val="center"/>
            <w:hideMark/>
          </w:tcPr>
          <w:p w14:paraId="029E91C3"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-22</w:t>
            </w:r>
          </w:p>
        </w:tc>
      </w:tr>
      <w:tr w:rsidR="000B776B" w:rsidRPr="003E281C" w14:paraId="3ABA09DF"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bottom"/>
            <w:hideMark/>
          </w:tcPr>
          <w:p w14:paraId="00DFEA7E" w14:textId="77777777" w:rsidR="000B776B" w:rsidRPr="003E281C" w:rsidRDefault="000B776B" w:rsidP="007B548A">
            <w:pPr>
              <w:spacing w:after="0" w:line="240" w:lineRule="auto"/>
              <w:rPr>
                <w:rFonts w:cs="Calibri"/>
                <w:sz w:val="18"/>
                <w:szCs w:val="18"/>
                <w:lang w:eastAsia="sk-SK"/>
              </w:rPr>
            </w:pPr>
            <w:r w:rsidRPr="003E281C">
              <w:rPr>
                <w:rFonts w:cs="Calibri"/>
                <w:sz w:val="18"/>
                <w:szCs w:val="18"/>
                <w:lang w:eastAsia="sk-SK"/>
              </w:rPr>
              <w:t>Dotačné schémy rôznym sektorom / subjektom</w:t>
            </w:r>
          </w:p>
        </w:tc>
        <w:tc>
          <w:tcPr>
            <w:tcW w:w="1701" w:type="dxa"/>
            <w:gridSpan w:val="2"/>
            <w:tcBorders>
              <w:top w:val="nil"/>
              <w:left w:val="nil"/>
              <w:bottom w:val="nil"/>
              <w:right w:val="nil"/>
            </w:tcBorders>
            <w:shd w:val="clear" w:color="auto" w:fill="auto"/>
            <w:noWrap/>
            <w:vAlign w:val="center"/>
            <w:hideMark/>
          </w:tcPr>
          <w:p w14:paraId="293393CE"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-16</w:t>
            </w:r>
          </w:p>
        </w:tc>
      </w:tr>
      <w:tr w:rsidR="000B776B" w:rsidRPr="003E281C" w14:paraId="7BA0C51F"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bottom"/>
            <w:hideMark/>
          </w:tcPr>
          <w:p w14:paraId="0E1992A8" w14:textId="77777777" w:rsidR="000B776B" w:rsidRPr="003E281C" w:rsidRDefault="000B776B" w:rsidP="007B548A">
            <w:pPr>
              <w:spacing w:after="0" w:line="240" w:lineRule="auto"/>
              <w:rPr>
                <w:rFonts w:cs="Calibri"/>
                <w:color w:val="000000"/>
                <w:sz w:val="18"/>
                <w:szCs w:val="18"/>
                <w:lang w:eastAsia="sk-SK"/>
              </w:rPr>
            </w:pPr>
            <w:r w:rsidRPr="003E281C">
              <w:rPr>
                <w:rFonts w:cs="Calibri"/>
                <w:color w:val="000000"/>
                <w:sz w:val="18"/>
                <w:szCs w:val="18"/>
                <w:lang w:eastAsia="sk-SK"/>
              </w:rPr>
              <w:t>Opatrenia hospodárskej mobilizácie</w:t>
            </w:r>
          </w:p>
        </w:tc>
        <w:tc>
          <w:tcPr>
            <w:tcW w:w="1701" w:type="dxa"/>
            <w:gridSpan w:val="2"/>
            <w:tcBorders>
              <w:top w:val="nil"/>
              <w:left w:val="nil"/>
              <w:bottom w:val="nil"/>
              <w:right w:val="nil"/>
            </w:tcBorders>
            <w:shd w:val="clear" w:color="auto" w:fill="auto"/>
            <w:noWrap/>
            <w:vAlign w:val="center"/>
            <w:hideMark/>
          </w:tcPr>
          <w:p w14:paraId="061C02B6"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-24</w:t>
            </w:r>
          </w:p>
        </w:tc>
      </w:tr>
      <w:tr w:rsidR="000B776B" w:rsidRPr="003E281C" w14:paraId="76A8CD03"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bottom"/>
            <w:hideMark/>
          </w:tcPr>
          <w:p w14:paraId="61B741A0" w14:textId="77777777" w:rsidR="000B776B" w:rsidRPr="003E281C" w:rsidRDefault="000B776B" w:rsidP="007B548A">
            <w:pPr>
              <w:spacing w:after="0" w:line="240" w:lineRule="auto"/>
              <w:rPr>
                <w:rFonts w:cs="Calibri"/>
                <w:color w:val="000000"/>
                <w:sz w:val="18"/>
                <w:szCs w:val="18"/>
                <w:lang w:eastAsia="sk-SK"/>
              </w:rPr>
            </w:pPr>
            <w:r w:rsidRPr="003E281C">
              <w:rPr>
                <w:rFonts w:cs="Calibri"/>
                <w:color w:val="000000"/>
                <w:sz w:val="18"/>
                <w:szCs w:val="18"/>
                <w:lang w:eastAsia="sk-SK"/>
              </w:rPr>
              <w:t>Vklad do základného imania Slovenskej záručnej a rozvojovej banky</w:t>
            </w:r>
          </w:p>
        </w:tc>
        <w:tc>
          <w:tcPr>
            <w:tcW w:w="1701" w:type="dxa"/>
            <w:gridSpan w:val="2"/>
            <w:tcBorders>
              <w:top w:val="nil"/>
              <w:left w:val="nil"/>
              <w:bottom w:val="nil"/>
              <w:right w:val="nil"/>
            </w:tcBorders>
            <w:shd w:val="clear" w:color="auto" w:fill="auto"/>
            <w:noWrap/>
            <w:vAlign w:val="center"/>
            <w:hideMark/>
          </w:tcPr>
          <w:p w14:paraId="4E5D91A2"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-50</w:t>
            </w:r>
          </w:p>
        </w:tc>
      </w:tr>
      <w:tr w:rsidR="000B776B" w:rsidRPr="003E281C" w14:paraId="3F62961A"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bottom"/>
            <w:hideMark/>
          </w:tcPr>
          <w:p w14:paraId="44CDF223" w14:textId="77777777" w:rsidR="000B776B" w:rsidRPr="003E281C" w:rsidRDefault="000B776B" w:rsidP="007B548A">
            <w:pPr>
              <w:spacing w:after="0" w:line="240" w:lineRule="auto"/>
              <w:rPr>
                <w:rFonts w:cs="Calibri"/>
                <w:color w:val="000000"/>
                <w:sz w:val="18"/>
                <w:szCs w:val="18"/>
                <w:lang w:eastAsia="sk-SK"/>
              </w:rPr>
            </w:pPr>
            <w:r w:rsidRPr="003E281C">
              <w:rPr>
                <w:rFonts w:cs="Calibri"/>
                <w:color w:val="000000"/>
                <w:sz w:val="18"/>
                <w:szCs w:val="18"/>
                <w:lang w:eastAsia="sk-SK"/>
              </w:rPr>
              <w:t>Vklad do základného imania Letových prevádzkových služieb</w:t>
            </w:r>
          </w:p>
        </w:tc>
        <w:tc>
          <w:tcPr>
            <w:tcW w:w="1701" w:type="dxa"/>
            <w:gridSpan w:val="2"/>
            <w:tcBorders>
              <w:top w:val="nil"/>
              <w:left w:val="nil"/>
              <w:bottom w:val="nil"/>
              <w:right w:val="nil"/>
            </w:tcBorders>
            <w:shd w:val="clear" w:color="auto" w:fill="auto"/>
            <w:noWrap/>
            <w:vAlign w:val="center"/>
            <w:hideMark/>
          </w:tcPr>
          <w:p w14:paraId="2BCF00E8"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-13</w:t>
            </w:r>
          </w:p>
        </w:tc>
      </w:tr>
      <w:tr w:rsidR="000B776B" w:rsidRPr="003E281C" w14:paraId="054A0483"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bottom"/>
            <w:hideMark/>
          </w:tcPr>
          <w:p w14:paraId="44254AC6" w14:textId="77777777" w:rsidR="000B776B" w:rsidRPr="003E281C" w:rsidRDefault="000B776B" w:rsidP="007B548A">
            <w:pPr>
              <w:spacing w:after="0" w:line="240" w:lineRule="auto"/>
              <w:rPr>
                <w:rFonts w:cs="Calibri"/>
                <w:color w:val="000000"/>
                <w:sz w:val="18"/>
                <w:szCs w:val="18"/>
                <w:lang w:eastAsia="sk-SK"/>
              </w:rPr>
            </w:pPr>
            <w:r w:rsidRPr="003E281C">
              <w:rPr>
                <w:rFonts w:cs="Calibri"/>
                <w:color w:val="000000"/>
                <w:sz w:val="18"/>
                <w:szCs w:val="18"/>
                <w:lang w:eastAsia="sk-SK"/>
              </w:rPr>
              <w:t>Vyvolané COVID záruky</w:t>
            </w:r>
          </w:p>
        </w:tc>
        <w:tc>
          <w:tcPr>
            <w:tcW w:w="1701" w:type="dxa"/>
            <w:gridSpan w:val="2"/>
            <w:tcBorders>
              <w:top w:val="nil"/>
              <w:left w:val="nil"/>
              <w:bottom w:val="nil"/>
              <w:right w:val="nil"/>
            </w:tcBorders>
            <w:shd w:val="clear" w:color="auto" w:fill="auto"/>
            <w:noWrap/>
            <w:vAlign w:val="center"/>
            <w:hideMark/>
          </w:tcPr>
          <w:p w14:paraId="65B253E9"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-25</w:t>
            </w:r>
          </w:p>
        </w:tc>
      </w:tr>
      <w:tr w:rsidR="000B776B" w:rsidRPr="003E281C" w14:paraId="655C58BE"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bottom"/>
            <w:hideMark/>
          </w:tcPr>
          <w:p w14:paraId="039BDA87" w14:textId="77777777" w:rsidR="000B776B" w:rsidRPr="003E281C" w:rsidRDefault="000B776B" w:rsidP="007B548A">
            <w:pPr>
              <w:spacing w:after="0" w:line="240" w:lineRule="auto"/>
              <w:rPr>
                <w:rFonts w:cs="Calibri"/>
                <w:color w:val="000000"/>
                <w:sz w:val="18"/>
                <w:szCs w:val="18"/>
                <w:lang w:eastAsia="sk-SK"/>
              </w:rPr>
            </w:pPr>
            <w:r w:rsidRPr="003E281C">
              <w:rPr>
                <w:rFonts w:cs="Calibri"/>
                <w:color w:val="000000"/>
                <w:sz w:val="18"/>
                <w:szCs w:val="18"/>
                <w:lang w:eastAsia="sk-SK"/>
              </w:rPr>
              <w:t xml:space="preserve">Ostatné </w:t>
            </w:r>
            <w:r>
              <w:rPr>
                <w:rFonts w:cs="Calibri"/>
                <w:color w:val="000000"/>
                <w:sz w:val="18"/>
                <w:szCs w:val="18"/>
                <w:lang w:eastAsia="sk-SK"/>
              </w:rPr>
              <w:t>COVID-19 opatrenia</w:t>
            </w:r>
          </w:p>
        </w:tc>
        <w:tc>
          <w:tcPr>
            <w:tcW w:w="1701" w:type="dxa"/>
            <w:gridSpan w:val="2"/>
            <w:tcBorders>
              <w:top w:val="nil"/>
              <w:left w:val="nil"/>
              <w:bottom w:val="nil"/>
              <w:right w:val="nil"/>
            </w:tcBorders>
            <w:shd w:val="clear" w:color="auto" w:fill="auto"/>
            <w:noWrap/>
            <w:vAlign w:val="center"/>
            <w:hideMark/>
          </w:tcPr>
          <w:p w14:paraId="0D1B24B8"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-18</w:t>
            </w:r>
          </w:p>
        </w:tc>
      </w:tr>
      <w:tr w:rsidR="000B776B" w:rsidRPr="003E281C" w14:paraId="7BDE7AF1" w14:textId="77777777" w:rsidTr="007B548A">
        <w:tblPrEx>
          <w:tblCellMar>
            <w:left w:w="70" w:type="dxa"/>
            <w:right w:w="70" w:type="dxa"/>
          </w:tblCellMar>
        </w:tblPrEx>
        <w:trPr>
          <w:trHeight w:val="300"/>
        </w:trPr>
        <w:tc>
          <w:tcPr>
            <w:tcW w:w="7371" w:type="dxa"/>
            <w:tcBorders>
              <w:top w:val="nil"/>
              <w:left w:val="nil"/>
              <w:bottom w:val="nil"/>
              <w:right w:val="nil"/>
            </w:tcBorders>
            <w:shd w:val="clear" w:color="auto" w:fill="auto"/>
            <w:noWrap/>
            <w:vAlign w:val="bottom"/>
            <w:hideMark/>
          </w:tcPr>
          <w:p w14:paraId="22C5702E" w14:textId="77777777" w:rsidR="000B776B" w:rsidRPr="003E281C" w:rsidRDefault="000B776B" w:rsidP="007B548A">
            <w:pPr>
              <w:spacing w:after="0" w:line="240" w:lineRule="auto"/>
              <w:rPr>
                <w:rFonts w:cs="Calibri"/>
                <w:color w:val="000000"/>
                <w:sz w:val="18"/>
                <w:szCs w:val="18"/>
                <w:lang w:eastAsia="sk-SK"/>
              </w:rPr>
            </w:pPr>
            <w:r w:rsidRPr="003E281C">
              <w:rPr>
                <w:rFonts w:cs="Calibri"/>
                <w:color w:val="000000"/>
                <w:sz w:val="18"/>
                <w:szCs w:val="18"/>
                <w:lang w:eastAsia="sk-SK"/>
              </w:rPr>
              <w:t>Financovanie z EU zdrojov</w:t>
            </w:r>
          </w:p>
        </w:tc>
        <w:tc>
          <w:tcPr>
            <w:tcW w:w="1701" w:type="dxa"/>
            <w:gridSpan w:val="2"/>
            <w:tcBorders>
              <w:top w:val="nil"/>
              <w:left w:val="nil"/>
              <w:bottom w:val="nil"/>
              <w:right w:val="nil"/>
            </w:tcBorders>
            <w:shd w:val="clear" w:color="auto" w:fill="auto"/>
            <w:noWrap/>
            <w:vAlign w:val="center"/>
            <w:hideMark/>
          </w:tcPr>
          <w:p w14:paraId="0B6D518E"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343</w:t>
            </w:r>
          </w:p>
        </w:tc>
      </w:tr>
      <w:tr w:rsidR="000B776B" w:rsidRPr="003E281C" w14:paraId="472676C0" w14:textId="77777777" w:rsidTr="007B548A">
        <w:tblPrEx>
          <w:tblCellMar>
            <w:left w:w="70" w:type="dxa"/>
            <w:right w:w="70" w:type="dxa"/>
          </w:tblCellMar>
        </w:tblPrEx>
        <w:trPr>
          <w:trHeight w:val="300"/>
        </w:trPr>
        <w:tc>
          <w:tcPr>
            <w:tcW w:w="7371" w:type="dxa"/>
            <w:tcBorders>
              <w:top w:val="nil"/>
              <w:left w:val="nil"/>
              <w:bottom w:val="single" w:sz="4" w:space="0" w:color="auto"/>
              <w:right w:val="nil"/>
            </w:tcBorders>
            <w:shd w:val="clear" w:color="auto" w:fill="auto"/>
            <w:vAlign w:val="center"/>
            <w:hideMark/>
          </w:tcPr>
          <w:p w14:paraId="211F5EE5" w14:textId="77777777" w:rsidR="000B776B" w:rsidRPr="003E281C" w:rsidRDefault="000B776B" w:rsidP="007B548A">
            <w:pPr>
              <w:spacing w:after="0" w:line="240" w:lineRule="auto"/>
              <w:rPr>
                <w:rFonts w:cs="Calibri"/>
                <w:color w:val="000000"/>
                <w:sz w:val="18"/>
                <w:szCs w:val="18"/>
                <w:lang w:eastAsia="sk-SK"/>
              </w:rPr>
            </w:pPr>
            <w:r w:rsidRPr="003E281C">
              <w:rPr>
                <w:rFonts w:cs="Calibri"/>
                <w:color w:val="000000"/>
                <w:sz w:val="18"/>
                <w:szCs w:val="18"/>
                <w:lang w:eastAsia="sk-SK"/>
              </w:rPr>
              <w:t>Platba DPH koncesionára stavby D4/R7</w:t>
            </w:r>
          </w:p>
        </w:tc>
        <w:tc>
          <w:tcPr>
            <w:tcW w:w="1701" w:type="dxa"/>
            <w:gridSpan w:val="2"/>
            <w:tcBorders>
              <w:top w:val="nil"/>
              <w:left w:val="nil"/>
              <w:bottom w:val="single" w:sz="4" w:space="0" w:color="auto"/>
              <w:right w:val="nil"/>
            </w:tcBorders>
            <w:shd w:val="clear" w:color="auto" w:fill="auto"/>
            <w:vAlign w:val="center"/>
            <w:hideMark/>
          </w:tcPr>
          <w:p w14:paraId="4B884E08" w14:textId="77777777" w:rsidR="000B776B" w:rsidRPr="003E281C" w:rsidRDefault="000B776B" w:rsidP="007B548A">
            <w:pPr>
              <w:spacing w:after="0" w:line="240" w:lineRule="auto"/>
              <w:jc w:val="center"/>
              <w:rPr>
                <w:rFonts w:cs="Calibri"/>
                <w:color w:val="000000"/>
                <w:sz w:val="18"/>
                <w:szCs w:val="18"/>
                <w:lang w:eastAsia="sk-SK"/>
              </w:rPr>
            </w:pPr>
            <w:r w:rsidRPr="003E281C">
              <w:rPr>
                <w:rFonts w:cs="Calibri"/>
                <w:color w:val="000000"/>
                <w:sz w:val="18"/>
                <w:szCs w:val="18"/>
                <w:lang w:eastAsia="sk-SK"/>
              </w:rPr>
              <w:t>71</w:t>
            </w:r>
          </w:p>
        </w:tc>
      </w:tr>
      <w:tr w:rsidR="000B776B" w:rsidRPr="003E281C" w14:paraId="7F170777" w14:textId="77777777" w:rsidTr="00B53AE7">
        <w:tblPrEx>
          <w:tblCellMar>
            <w:left w:w="70" w:type="dxa"/>
            <w:right w:w="70" w:type="dxa"/>
          </w:tblCellMar>
        </w:tblPrEx>
        <w:trPr>
          <w:trHeight w:val="315"/>
        </w:trPr>
        <w:tc>
          <w:tcPr>
            <w:tcW w:w="7371" w:type="dxa"/>
            <w:tcBorders>
              <w:top w:val="nil"/>
              <w:left w:val="nil"/>
              <w:bottom w:val="single" w:sz="8" w:space="0" w:color="auto"/>
              <w:right w:val="nil"/>
            </w:tcBorders>
            <w:shd w:val="clear" w:color="auto" w:fill="D9D9D9" w:themeFill="background1" w:themeFillShade="D9"/>
            <w:noWrap/>
            <w:vAlign w:val="bottom"/>
            <w:hideMark/>
          </w:tcPr>
          <w:p w14:paraId="29A68888" w14:textId="77777777" w:rsidR="000B776B" w:rsidRPr="003E281C" w:rsidRDefault="000B776B" w:rsidP="007B548A">
            <w:pPr>
              <w:spacing w:after="0" w:line="240" w:lineRule="auto"/>
              <w:rPr>
                <w:rFonts w:cs="Calibri"/>
                <w:b/>
                <w:bCs/>
                <w:color w:val="000000"/>
                <w:sz w:val="18"/>
                <w:szCs w:val="18"/>
                <w:lang w:eastAsia="sk-SK"/>
              </w:rPr>
            </w:pPr>
            <w:r w:rsidRPr="003E281C">
              <w:rPr>
                <w:rFonts w:cs="Calibri"/>
                <w:b/>
                <w:bCs/>
                <w:color w:val="000000"/>
                <w:sz w:val="18"/>
                <w:szCs w:val="18"/>
                <w:lang w:eastAsia="sk-SK"/>
              </w:rPr>
              <w:t xml:space="preserve">Spolu  </w:t>
            </w:r>
          </w:p>
        </w:tc>
        <w:tc>
          <w:tcPr>
            <w:tcW w:w="1701" w:type="dxa"/>
            <w:gridSpan w:val="2"/>
            <w:tcBorders>
              <w:top w:val="nil"/>
              <w:left w:val="nil"/>
              <w:bottom w:val="single" w:sz="8" w:space="0" w:color="auto"/>
              <w:right w:val="nil"/>
            </w:tcBorders>
            <w:shd w:val="clear" w:color="auto" w:fill="D9D9D9" w:themeFill="background1" w:themeFillShade="D9"/>
            <w:noWrap/>
            <w:vAlign w:val="bottom"/>
            <w:hideMark/>
          </w:tcPr>
          <w:p w14:paraId="74D088A5" w14:textId="77777777" w:rsidR="000B776B" w:rsidRPr="003E281C" w:rsidRDefault="000B776B" w:rsidP="007B548A">
            <w:pPr>
              <w:spacing w:after="0" w:line="240" w:lineRule="auto"/>
              <w:jc w:val="center"/>
              <w:rPr>
                <w:rFonts w:cs="Calibri"/>
                <w:b/>
                <w:bCs/>
                <w:color w:val="000000"/>
                <w:sz w:val="18"/>
                <w:szCs w:val="18"/>
                <w:lang w:eastAsia="sk-SK"/>
              </w:rPr>
            </w:pPr>
            <w:r w:rsidRPr="003E281C">
              <w:rPr>
                <w:rFonts w:cs="Calibri"/>
                <w:b/>
                <w:bCs/>
                <w:color w:val="000000"/>
                <w:sz w:val="18"/>
                <w:szCs w:val="18"/>
                <w:lang w:eastAsia="sk-SK"/>
              </w:rPr>
              <w:t>-1543</w:t>
            </w:r>
          </w:p>
        </w:tc>
      </w:tr>
    </w:tbl>
    <w:p w14:paraId="0FDCEC8A" w14:textId="53163A55" w:rsidR="007962C8" w:rsidRDefault="007962C8" w:rsidP="000B776B">
      <w:pPr>
        <w:pStyle w:val="NormalList"/>
        <w:spacing w:after="120" w:line="276" w:lineRule="auto"/>
        <w:rPr>
          <w:rFonts w:cs="Times New Roman"/>
        </w:rPr>
      </w:pPr>
    </w:p>
    <w:p w14:paraId="16C8B89B" w14:textId="77777777" w:rsidR="007962C8" w:rsidRDefault="007962C8">
      <w:pPr>
        <w:rPr>
          <w:szCs w:val="22"/>
        </w:rPr>
      </w:pPr>
      <w:r>
        <w:br w:type="page"/>
      </w:r>
    </w:p>
    <w:p w14:paraId="0134562E" w14:textId="7F032E8F" w:rsidR="00215BC5" w:rsidRPr="0064462E" w:rsidRDefault="00215BC5" w:rsidP="0064462E">
      <w:pPr>
        <w:pStyle w:val="Nadpis2"/>
        <w:numPr>
          <w:ilvl w:val="1"/>
          <w:numId w:val="3"/>
        </w:numPr>
        <w:spacing w:before="120" w:after="0"/>
        <w:jc w:val="center"/>
      </w:pPr>
      <w:bookmarkStart w:id="43" w:name="_Toc85718903"/>
      <w:bookmarkStart w:id="44" w:name="_Toc399324369"/>
      <w:r w:rsidRPr="0064462E">
        <w:lastRenderedPageBreak/>
        <w:t>Vyhodnotenie plnenia cieľov stratégie riadenia štátneho dlhu</w:t>
      </w:r>
      <w:bookmarkEnd w:id="43"/>
    </w:p>
    <w:p w14:paraId="09EE139D" w14:textId="08E57F9D" w:rsidR="0064462E" w:rsidRPr="006B33FF" w:rsidRDefault="0064462E" w:rsidP="0064462E">
      <w:pPr>
        <w:spacing w:before="120" w:line="240" w:lineRule="auto"/>
        <w:jc w:val="both"/>
      </w:pPr>
      <w:r w:rsidRPr="006B33FF">
        <w:t xml:space="preserve">Vývoj na finančných trhoch v roku 2020 významným spôsobom ovplyvnila pandémia </w:t>
      </w:r>
      <w:proofErr w:type="spellStart"/>
      <w:r w:rsidRPr="006B33FF">
        <w:t>koronavírusu</w:t>
      </w:r>
      <w:proofErr w:type="spellEnd"/>
      <w:r w:rsidRPr="006B33FF">
        <w:t xml:space="preserve">. Opatrenia na spomalenie šírenia vírusu spôsobili, že sa niektoré sektory viacerých ekonomík čiastočne alebo úplne vypli v prvom polroku. Šok vyvolaný pandémiou sa prejavil v masívnych prepadoch na akciových trhoch aj v prudkom poklese cien ropy, keďže dopyt po komodite dočasne zmizol. Prerušenie dodávateľských reťazcov spôsobilo obavy z neschopnosti dlžníkov splácať veriteľom svoje záväzky. Výsledkom bol nárast kreditných prirážok viacerých európskych krajín, ktorí sa premietol do nárastu výnosovosti štátnych dlhopisov. </w:t>
      </w:r>
    </w:p>
    <w:p w14:paraId="0D733512" w14:textId="77777777" w:rsidR="0064462E" w:rsidRPr="006B33FF" w:rsidRDefault="0064462E" w:rsidP="0064462E">
      <w:pPr>
        <w:spacing w:before="120" w:line="240" w:lineRule="auto"/>
        <w:jc w:val="both"/>
      </w:pPr>
      <w:r w:rsidRPr="006B33FF">
        <w:t xml:space="preserve">Prvotný šok z pandémie na finančných trhoch upokojili pohotové opatrenia centrálnych bánk ako aj fiškálne stimuly.  Európska centrálna banka reagovala rozsiahlym </w:t>
      </w:r>
      <w:proofErr w:type="spellStart"/>
      <w:r w:rsidRPr="006B33FF">
        <w:t>pandemickým</w:t>
      </w:r>
      <w:proofErr w:type="spellEnd"/>
      <w:r w:rsidRPr="006B33FF">
        <w:t xml:space="preserve"> programom nákupov aktív (PEPP) a prísľubom ponechania uvoľnených monetárnych podmienok v dostatočne dlhom časovom horizonte. K upokojeniu situácie prispeli aj prísľuby rozsiahlych fiškálnych balíkov </w:t>
      </w:r>
      <w:proofErr w:type="spellStart"/>
      <w:r w:rsidRPr="006B33FF">
        <w:t>cieľujúce</w:t>
      </w:r>
      <w:proofErr w:type="spellEnd"/>
      <w:r w:rsidRPr="006B33FF">
        <w:t xml:space="preserve"> transfermi zasiahnuté skupiny obyvateľstva. Monetárne a fiškálne stimuly pomohli znížiť dlhopisové výnosy v jednotlivých európskych krajinách, čo podporilo dôveru na akciových trhoch, ktoré sa po prvotnom prepade pomerne rýchlo zotavilo. Indikátory neistoty sa stabilizovali aj napriek jesennému nárastu denného počtu nakazených vo viacerých regiónoch, prezidentským voľbám v USA, či rizikám vyvolaných </w:t>
      </w:r>
      <w:proofErr w:type="spellStart"/>
      <w:r w:rsidRPr="006B33FF">
        <w:t>Brexitom</w:t>
      </w:r>
      <w:proofErr w:type="spellEnd"/>
      <w:r w:rsidRPr="006B33FF">
        <w:t xml:space="preserve">. Relatívne rýchle oživenie v Európe pravdepodobne prispelo k posilneniu spoločnej európskej meny v roku 2020. Cena ropy </w:t>
      </w:r>
      <w:proofErr w:type="spellStart"/>
      <w:r w:rsidRPr="006B33FF">
        <w:t>Brent</w:t>
      </w:r>
      <w:proofErr w:type="spellEnd"/>
      <w:r w:rsidRPr="006B33FF">
        <w:t xml:space="preserve"> po počiatočnom kolapse vzrástla k 46 USD/</w:t>
      </w:r>
      <w:proofErr w:type="spellStart"/>
      <w:r w:rsidRPr="006B33FF">
        <w:t>bl</w:t>
      </w:r>
      <w:proofErr w:type="spellEnd"/>
      <w:r w:rsidRPr="006B33FF">
        <w:t>, naďalej však ostala na nízkych hodnotách.</w:t>
      </w:r>
    </w:p>
    <w:p w14:paraId="17C7AE83" w14:textId="77777777" w:rsidR="0064462E" w:rsidRPr="006B33FF" w:rsidRDefault="0064462E" w:rsidP="0064462E">
      <w:pPr>
        <w:spacing w:before="120" w:line="240" w:lineRule="auto"/>
        <w:jc w:val="both"/>
      </w:pPr>
      <w:r w:rsidRPr="006B33FF">
        <w:t xml:space="preserve">Financovanie slovenského štátneho dlhu v roku 2020 zabezpečovala Agentúra pre riadenie dlhu a likvidity v mene MF SR bez nutnosti použitia menej tradičných foriem financovania. Úrokové sadzby sa aj v roku 2020 držali na nízkych úrovniach, čo umožnilo zlepšovať rizikové parametre portfólia štátneho dlhu pri súčasnom poklese úrokových nákladov aj napriek rastu nominálneho dlhu. Priemerná splatnosť portfólia klesla na 8,2 roka. </w:t>
      </w:r>
    </w:p>
    <w:tbl>
      <w:tblPr>
        <w:tblpPr w:leftFromText="141" w:rightFromText="141" w:vertAnchor="text" w:horzAnchor="margin" w:tblpY="113"/>
        <w:tblW w:w="9142" w:type="dxa"/>
        <w:tblCellMar>
          <w:left w:w="70" w:type="dxa"/>
          <w:right w:w="70" w:type="dxa"/>
        </w:tblCellMar>
        <w:tblLook w:val="04A0" w:firstRow="1" w:lastRow="0" w:firstColumn="1" w:lastColumn="0" w:noHBand="0" w:noVBand="1"/>
      </w:tblPr>
      <w:tblGrid>
        <w:gridCol w:w="9142"/>
      </w:tblGrid>
      <w:tr w:rsidR="0064462E" w:rsidRPr="00962CAD" w14:paraId="69A9F2F4" w14:textId="77777777" w:rsidTr="007B548A">
        <w:trPr>
          <w:trHeight w:val="226"/>
        </w:trPr>
        <w:tc>
          <w:tcPr>
            <w:tcW w:w="9142" w:type="dxa"/>
            <w:tcBorders>
              <w:top w:val="nil"/>
              <w:left w:val="nil"/>
              <w:right w:val="nil"/>
            </w:tcBorders>
            <w:shd w:val="clear" w:color="000000" w:fill="000000"/>
            <w:noWrap/>
            <w:vAlign w:val="center"/>
            <w:hideMark/>
          </w:tcPr>
          <w:p w14:paraId="627E8931" w14:textId="2FFF945F" w:rsidR="0064462E" w:rsidRPr="00962CAD" w:rsidRDefault="00EC6C1E" w:rsidP="007B548A">
            <w:pPr>
              <w:spacing w:after="0" w:line="240" w:lineRule="auto"/>
              <w:rPr>
                <w:b/>
                <w:sz w:val="20"/>
                <w:szCs w:val="20"/>
              </w:rPr>
            </w:pPr>
            <w:r>
              <w:rPr>
                <w:b/>
                <w:sz w:val="20"/>
                <w:szCs w:val="20"/>
              </w:rPr>
              <w:t xml:space="preserve">Graf 7: </w:t>
            </w:r>
            <w:r w:rsidR="0064462E" w:rsidRPr="00962CAD">
              <w:rPr>
                <w:b/>
                <w:sz w:val="20"/>
                <w:szCs w:val="20"/>
              </w:rPr>
              <w:t xml:space="preserve">Výnosy vybraných slovenských vládnych dlhopisov a riziková prirážka voči nemeckým </w:t>
            </w:r>
          </w:p>
          <w:p w14:paraId="2B620015" w14:textId="77777777" w:rsidR="0064462E" w:rsidRPr="00962CAD" w:rsidRDefault="0064462E" w:rsidP="007B548A">
            <w:pPr>
              <w:spacing w:after="0" w:line="240" w:lineRule="auto"/>
              <w:rPr>
                <w:b/>
                <w:sz w:val="20"/>
                <w:szCs w:val="20"/>
              </w:rPr>
            </w:pPr>
            <w:r w:rsidRPr="00962CAD">
              <w:rPr>
                <w:b/>
                <w:sz w:val="20"/>
                <w:szCs w:val="20"/>
              </w:rPr>
              <w:t>10-ročným štátnym dlhopisom (v % a </w:t>
            </w:r>
            <w:proofErr w:type="spellStart"/>
            <w:r w:rsidRPr="00962CAD">
              <w:rPr>
                <w:b/>
                <w:sz w:val="20"/>
                <w:szCs w:val="20"/>
              </w:rPr>
              <w:t>p.b</w:t>
            </w:r>
            <w:proofErr w:type="spellEnd"/>
            <w:r w:rsidRPr="00962CAD">
              <w:rPr>
                <w:b/>
                <w:sz w:val="20"/>
                <w:szCs w:val="20"/>
              </w:rPr>
              <w:t>.)</w:t>
            </w:r>
          </w:p>
        </w:tc>
      </w:tr>
      <w:tr w:rsidR="0064462E" w:rsidRPr="00962CAD" w14:paraId="3F34A715" w14:textId="77777777" w:rsidTr="007B548A">
        <w:trPr>
          <w:trHeight w:val="490"/>
        </w:trPr>
        <w:tc>
          <w:tcPr>
            <w:tcW w:w="9142" w:type="dxa"/>
            <w:vMerge w:val="restart"/>
            <w:tcBorders>
              <w:top w:val="nil"/>
              <w:left w:val="nil"/>
              <w:bottom w:val="single" w:sz="4" w:space="0" w:color="auto"/>
              <w:right w:val="nil"/>
            </w:tcBorders>
            <w:shd w:val="clear" w:color="auto" w:fill="auto"/>
            <w:noWrap/>
            <w:vAlign w:val="bottom"/>
            <w:hideMark/>
          </w:tcPr>
          <w:p w14:paraId="37DA65DD" w14:textId="77777777" w:rsidR="0064462E" w:rsidRPr="00962CAD" w:rsidRDefault="0064462E" w:rsidP="007B548A">
            <w:pPr>
              <w:spacing w:after="0" w:line="240" w:lineRule="auto"/>
              <w:jc w:val="center"/>
              <w:rPr>
                <w:color w:val="FF0000"/>
                <w:sz w:val="20"/>
                <w:szCs w:val="20"/>
                <w:lang w:eastAsia="sk-SK"/>
              </w:rPr>
            </w:pPr>
            <w:r>
              <w:rPr>
                <w:noProof/>
                <w:lang w:eastAsia="sk-SK"/>
              </w:rPr>
              <w:drawing>
                <wp:inline distT="0" distB="0" distL="0" distR="0" wp14:anchorId="053A6B42" wp14:editId="2D3163DF">
                  <wp:extent cx="5683885" cy="2589580"/>
                  <wp:effectExtent l="0" t="0" r="0" b="127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82A65A" w14:textId="77777777" w:rsidR="0064462E" w:rsidRPr="00962CAD" w:rsidRDefault="0064462E" w:rsidP="007B548A">
            <w:pPr>
              <w:spacing w:after="0" w:line="240" w:lineRule="auto"/>
              <w:jc w:val="center"/>
              <w:rPr>
                <w:color w:val="FF0000"/>
                <w:sz w:val="20"/>
                <w:szCs w:val="20"/>
                <w:lang w:eastAsia="sk-SK"/>
              </w:rPr>
            </w:pPr>
          </w:p>
        </w:tc>
      </w:tr>
      <w:tr w:rsidR="0064462E" w:rsidRPr="00962CAD" w14:paraId="6833F1B8" w14:textId="77777777" w:rsidTr="007B548A">
        <w:trPr>
          <w:trHeight w:val="491"/>
        </w:trPr>
        <w:tc>
          <w:tcPr>
            <w:tcW w:w="9142" w:type="dxa"/>
            <w:vMerge/>
            <w:tcBorders>
              <w:top w:val="nil"/>
              <w:left w:val="nil"/>
              <w:bottom w:val="single" w:sz="4" w:space="0" w:color="auto"/>
              <w:right w:val="nil"/>
            </w:tcBorders>
            <w:vAlign w:val="center"/>
            <w:hideMark/>
          </w:tcPr>
          <w:p w14:paraId="61FAA90B" w14:textId="77777777" w:rsidR="0064462E" w:rsidRPr="00962CAD" w:rsidRDefault="0064462E" w:rsidP="007B548A">
            <w:pPr>
              <w:spacing w:after="0" w:line="240" w:lineRule="auto"/>
              <w:rPr>
                <w:color w:val="000000"/>
                <w:sz w:val="20"/>
                <w:szCs w:val="20"/>
                <w:lang w:eastAsia="sk-SK"/>
              </w:rPr>
            </w:pPr>
          </w:p>
        </w:tc>
      </w:tr>
      <w:tr w:rsidR="0064462E" w:rsidRPr="00962CAD" w14:paraId="777E5C17" w14:textId="77777777" w:rsidTr="007B548A">
        <w:trPr>
          <w:trHeight w:val="491"/>
        </w:trPr>
        <w:tc>
          <w:tcPr>
            <w:tcW w:w="9142" w:type="dxa"/>
            <w:vMerge/>
            <w:tcBorders>
              <w:top w:val="nil"/>
              <w:left w:val="nil"/>
              <w:bottom w:val="single" w:sz="4" w:space="0" w:color="auto"/>
              <w:right w:val="nil"/>
            </w:tcBorders>
            <w:vAlign w:val="center"/>
            <w:hideMark/>
          </w:tcPr>
          <w:p w14:paraId="2BCD212C" w14:textId="77777777" w:rsidR="0064462E" w:rsidRPr="00962CAD" w:rsidRDefault="0064462E" w:rsidP="007B548A">
            <w:pPr>
              <w:spacing w:after="0" w:line="240" w:lineRule="auto"/>
              <w:rPr>
                <w:color w:val="000000"/>
                <w:sz w:val="20"/>
                <w:szCs w:val="20"/>
                <w:lang w:eastAsia="sk-SK"/>
              </w:rPr>
            </w:pPr>
          </w:p>
        </w:tc>
      </w:tr>
      <w:tr w:rsidR="0064462E" w:rsidRPr="00962CAD" w14:paraId="1D94EEE1" w14:textId="77777777" w:rsidTr="007B548A">
        <w:trPr>
          <w:trHeight w:val="491"/>
        </w:trPr>
        <w:tc>
          <w:tcPr>
            <w:tcW w:w="9142" w:type="dxa"/>
            <w:vMerge/>
            <w:tcBorders>
              <w:top w:val="nil"/>
              <w:left w:val="nil"/>
              <w:bottom w:val="single" w:sz="4" w:space="0" w:color="auto"/>
              <w:right w:val="nil"/>
            </w:tcBorders>
            <w:vAlign w:val="center"/>
            <w:hideMark/>
          </w:tcPr>
          <w:p w14:paraId="459FC6A8" w14:textId="77777777" w:rsidR="0064462E" w:rsidRPr="00962CAD" w:rsidRDefault="0064462E" w:rsidP="007B548A">
            <w:pPr>
              <w:spacing w:after="0" w:line="240" w:lineRule="auto"/>
              <w:rPr>
                <w:color w:val="000000"/>
                <w:sz w:val="20"/>
                <w:szCs w:val="20"/>
                <w:lang w:eastAsia="sk-SK"/>
              </w:rPr>
            </w:pPr>
          </w:p>
        </w:tc>
      </w:tr>
      <w:tr w:rsidR="0064462E" w:rsidRPr="00962CAD" w14:paraId="1FF15BB7" w14:textId="77777777" w:rsidTr="007B548A">
        <w:trPr>
          <w:trHeight w:val="491"/>
        </w:trPr>
        <w:tc>
          <w:tcPr>
            <w:tcW w:w="9142" w:type="dxa"/>
            <w:vMerge/>
            <w:tcBorders>
              <w:top w:val="nil"/>
              <w:left w:val="nil"/>
              <w:bottom w:val="single" w:sz="4" w:space="0" w:color="auto"/>
              <w:right w:val="nil"/>
            </w:tcBorders>
            <w:vAlign w:val="center"/>
            <w:hideMark/>
          </w:tcPr>
          <w:p w14:paraId="759CEB07" w14:textId="77777777" w:rsidR="0064462E" w:rsidRPr="00962CAD" w:rsidRDefault="0064462E" w:rsidP="007B548A">
            <w:pPr>
              <w:spacing w:after="0" w:line="240" w:lineRule="auto"/>
              <w:rPr>
                <w:color w:val="000000"/>
                <w:sz w:val="20"/>
                <w:szCs w:val="20"/>
                <w:lang w:eastAsia="sk-SK"/>
              </w:rPr>
            </w:pPr>
          </w:p>
        </w:tc>
      </w:tr>
      <w:tr w:rsidR="0064462E" w:rsidRPr="00962CAD" w14:paraId="1695841C" w14:textId="77777777" w:rsidTr="007B548A">
        <w:trPr>
          <w:trHeight w:val="491"/>
        </w:trPr>
        <w:tc>
          <w:tcPr>
            <w:tcW w:w="9142" w:type="dxa"/>
            <w:vMerge/>
            <w:tcBorders>
              <w:top w:val="nil"/>
              <w:left w:val="nil"/>
              <w:bottom w:val="single" w:sz="4" w:space="0" w:color="auto"/>
              <w:right w:val="nil"/>
            </w:tcBorders>
            <w:vAlign w:val="center"/>
            <w:hideMark/>
          </w:tcPr>
          <w:p w14:paraId="09582BD0" w14:textId="77777777" w:rsidR="0064462E" w:rsidRPr="00962CAD" w:rsidRDefault="0064462E" w:rsidP="007B548A">
            <w:pPr>
              <w:spacing w:after="0" w:line="240" w:lineRule="auto"/>
              <w:rPr>
                <w:color w:val="000000"/>
                <w:sz w:val="20"/>
                <w:szCs w:val="20"/>
                <w:lang w:eastAsia="sk-SK"/>
              </w:rPr>
            </w:pPr>
          </w:p>
        </w:tc>
      </w:tr>
      <w:tr w:rsidR="0064462E" w:rsidRPr="00962CAD" w14:paraId="0EFF65DF" w14:textId="77777777" w:rsidTr="007B548A">
        <w:trPr>
          <w:trHeight w:val="491"/>
        </w:trPr>
        <w:tc>
          <w:tcPr>
            <w:tcW w:w="9142" w:type="dxa"/>
            <w:vMerge/>
            <w:tcBorders>
              <w:top w:val="nil"/>
              <w:left w:val="nil"/>
              <w:bottom w:val="single" w:sz="4" w:space="0" w:color="auto"/>
              <w:right w:val="nil"/>
            </w:tcBorders>
            <w:vAlign w:val="center"/>
            <w:hideMark/>
          </w:tcPr>
          <w:p w14:paraId="00F9ECD5" w14:textId="77777777" w:rsidR="0064462E" w:rsidRPr="00962CAD" w:rsidRDefault="0064462E" w:rsidP="007B548A">
            <w:pPr>
              <w:spacing w:after="0" w:line="240" w:lineRule="auto"/>
              <w:rPr>
                <w:color w:val="000000"/>
                <w:sz w:val="20"/>
                <w:szCs w:val="20"/>
                <w:lang w:eastAsia="sk-SK"/>
              </w:rPr>
            </w:pPr>
          </w:p>
        </w:tc>
      </w:tr>
    </w:tbl>
    <w:p w14:paraId="5DBE44FE" w14:textId="76F3E238" w:rsidR="00893D48" w:rsidRPr="00643889" w:rsidRDefault="0064462E">
      <w:pPr>
        <w:rPr>
          <w:sz w:val="16"/>
          <w:szCs w:val="16"/>
          <w:highlight w:val="yellow"/>
        </w:rPr>
      </w:pPr>
      <w:r w:rsidRPr="00643889">
        <w:rPr>
          <w:sz w:val="16"/>
          <w:szCs w:val="16"/>
        </w:rPr>
        <w:t xml:space="preserve">Zdroj: NBS, </w:t>
      </w:r>
      <w:proofErr w:type="spellStart"/>
      <w:r w:rsidRPr="00643889">
        <w:rPr>
          <w:sz w:val="16"/>
          <w:szCs w:val="16"/>
        </w:rPr>
        <w:t>Deutche</w:t>
      </w:r>
      <w:proofErr w:type="spellEnd"/>
      <w:r w:rsidRPr="00643889">
        <w:rPr>
          <w:sz w:val="16"/>
          <w:szCs w:val="16"/>
        </w:rPr>
        <w:t xml:space="preserve"> </w:t>
      </w:r>
      <w:proofErr w:type="spellStart"/>
      <w:r w:rsidRPr="00643889">
        <w:rPr>
          <w:sz w:val="16"/>
          <w:szCs w:val="16"/>
        </w:rPr>
        <w:t>Bundesbank</w:t>
      </w:r>
      <w:proofErr w:type="spellEnd"/>
    </w:p>
    <w:p w14:paraId="0537E3CB" w14:textId="77777777" w:rsidR="002923F1" w:rsidRDefault="002923F1">
      <w:pPr>
        <w:rPr>
          <w:rFonts w:eastAsiaTheme="majorEastAsia"/>
          <w:b/>
          <w:szCs w:val="22"/>
        </w:rPr>
      </w:pPr>
      <w:r>
        <w:br w:type="page"/>
      </w:r>
    </w:p>
    <w:p w14:paraId="2745F61F" w14:textId="350468DE" w:rsidR="00AD6AC1" w:rsidRPr="0033291C" w:rsidRDefault="00AD6AC1" w:rsidP="004E5304">
      <w:pPr>
        <w:pStyle w:val="Nadpis3"/>
        <w:numPr>
          <w:ilvl w:val="2"/>
          <w:numId w:val="18"/>
        </w:numPr>
        <w:spacing w:before="120"/>
      </w:pPr>
      <w:bookmarkStart w:id="45" w:name="_Toc85718904"/>
      <w:r w:rsidRPr="0033291C">
        <w:lastRenderedPageBreak/>
        <w:t>Vyhodnotenie plnenia cieľov stratégie riadenia štátneho dlhu</w:t>
      </w:r>
      <w:bookmarkEnd w:id="45"/>
    </w:p>
    <w:p w14:paraId="04012C8C" w14:textId="77777777" w:rsidR="006B33FF" w:rsidRPr="006D2CAA" w:rsidRDefault="006B33FF" w:rsidP="006B33FF">
      <w:pPr>
        <w:spacing w:after="120" w:line="240" w:lineRule="auto"/>
        <w:jc w:val="both"/>
        <w:rPr>
          <w:szCs w:val="22"/>
        </w:rPr>
      </w:pPr>
      <w:r w:rsidRPr="006D2CAA">
        <w:rPr>
          <w:szCs w:val="22"/>
        </w:rPr>
        <w:t>V rámci stratégie riadenia štátneho dlhu sú stanovené kvantitatívne limity pre refinančné a úrokové riziko. Cieľom riadenia dlhu je dosiahnutie tesného priblíženia sa k stanoveným hodnotám, resp. udržanie parametrov dlhu čo najbližšie k stanoveným hodnotám.</w:t>
      </w:r>
    </w:p>
    <w:p w14:paraId="3C16ABD6" w14:textId="364CC228" w:rsidR="006B33FF" w:rsidRDefault="006B33FF" w:rsidP="006B33FF">
      <w:pPr>
        <w:pStyle w:val="Odsekzoznamu"/>
        <w:numPr>
          <w:ilvl w:val="0"/>
          <w:numId w:val="1"/>
        </w:numPr>
        <w:spacing w:after="120"/>
        <w:ind w:left="360"/>
        <w:jc w:val="both"/>
        <w:rPr>
          <w:rFonts w:cs="Times New Roman"/>
        </w:rPr>
      </w:pPr>
      <w:r w:rsidRPr="00A740F0">
        <w:rPr>
          <w:rFonts w:cs="Times New Roman"/>
        </w:rPr>
        <w:t xml:space="preserve">Hodnota </w:t>
      </w:r>
      <w:r w:rsidRPr="00A740F0">
        <w:rPr>
          <w:rFonts w:cs="Times New Roman"/>
          <w:b/>
        </w:rPr>
        <w:t>refinančného rizika</w:t>
      </w:r>
      <w:r w:rsidRPr="00A740F0">
        <w:rPr>
          <w:rFonts w:cs="Times New Roman"/>
        </w:rPr>
        <w:t xml:space="preserve"> kumulatívnej splatnosti aktív a pasív do jedného roka bola stanovená na úrovni 20 % kumulatívnej splatnosti aktív a pasív splatných </w:t>
      </w:r>
      <w:r w:rsidRPr="00A740F0">
        <w:rPr>
          <w:rFonts w:cs="Times New Roman"/>
          <w:b/>
        </w:rPr>
        <w:t>do jedného roka</w:t>
      </w:r>
      <w:r w:rsidRPr="00A740F0">
        <w:rPr>
          <w:rFonts w:cs="Times New Roman"/>
        </w:rPr>
        <w:t xml:space="preserve"> ku celkovému kumulatívnemu saldu aktív a pasív. Hodnota tohto kritéria ku koncu roka </w:t>
      </w:r>
      <w:r>
        <w:rPr>
          <w:rFonts w:cs="Times New Roman"/>
        </w:rPr>
        <w:t>2020</w:t>
      </w:r>
      <w:r w:rsidRPr="00A740F0">
        <w:rPr>
          <w:rFonts w:cs="Times New Roman"/>
        </w:rPr>
        <w:t xml:space="preserve"> medziročne </w:t>
      </w:r>
      <w:r>
        <w:rPr>
          <w:rFonts w:cs="Times New Roman"/>
        </w:rPr>
        <w:t>klesla</w:t>
      </w:r>
      <w:r w:rsidRPr="00A740F0">
        <w:rPr>
          <w:rFonts w:cs="Times New Roman"/>
        </w:rPr>
        <w:t xml:space="preserve"> o asi </w:t>
      </w:r>
      <w:r>
        <w:rPr>
          <w:rFonts w:cs="Times New Roman"/>
        </w:rPr>
        <w:t>8</w:t>
      </w:r>
      <w:r w:rsidRPr="00A740F0">
        <w:rPr>
          <w:rFonts w:cs="Times New Roman"/>
        </w:rPr>
        <w:t xml:space="preserve"> </w:t>
      </w:r>
      <w:r>
        <w:rPr>
          <w:rFonts w:cs="Times New Roman"/>
        </w:rPr>
        <w:t>percent</w:t>
      </w:r>
      <w:r w:rsidRPr="00A740F0">
        <w:rPr>
          <w:rFonts w:cs="Times New Roman"/>
        </w:rPr>
        <w:t xml:space="preserve"> z hodnoty </w:t>
      </w:r>
      <w:r>
        <w:rPr>
          <w:rFonts w:cs="Times New Roman"/>
        </w:rPr>
        <w:t>19</w:t>
      </w:r>
      <w:r w:rsidRPr="00A740F0">
        <w:rPr>
          <w:rFonts w:cs="Times New Roman"/>
        </w:rPr>
        <w:t>,</w:t>
      </w:r>
      <w:r>
        <w:rPr>
          <w:rFonts w:cs="Times New Roman"/>
        </w:rPr>
        <w:t>2</w:t>
      </w:r>
      <w:r w:rsidRPr="00A740F0">
        <w:rPr>
          <w:rFonts w:cs="Times New Roman"/>
        </w:rPr>
        <w:t xml:space="preserve"> % vykázanej ku koncu roka 201</w:t>
      </w:r>
      <w:r>
        <w:rPr>
          <w:rFonts w:cs="Times New Roman"/>
        </w:rPr>
        <w:t>9</w:t>
      </w:r>
      <w:r w:rsidRPr="00A740F0">
        <w:rPr>
          <w:rFonts w:cs="Times New Roman"/>
        </w:rPr>
        <w:t xml:space="preserve"> na úroveň </w:t>
      </w:r>
      <w:r>
        <w:rPr>
          <w:rFonts w:cs="Times New Roman"/>
        </w:rPr>
        <w:t>11,4</w:t>
      </w:r>
      <w:r w:rsidRPr="00A740F0">
        <w:rPr>
          <w:rFonts w:cs="Times New Roman"/>
        </w:rPr>
        <w:t xml:space="preserve"> %. </w:t>
      </w:r>
      <w:r>
        <w:rPr>
          <w:rFonts w:cs="Times New Roman"/>
        </w:rPr>
        <w:t xml:space="preserve">Dôvodom poklesu je špecificky nízka hodnota plánovaných splatností na roky 2021 a 2022. </w:t>
      </w:r>
      <w:r w:rsidRPr="00A740F0">
        <w:rPr>
          <w:rFonts w:cs="Times New Roman"/>
        </w:rPr>
        <w:t xml:space="preserve">Hodnota refinančného rizika kumulatívnej splatnosti aktív a pasív </w:t>
      </w:r>
      <w:r w:rsidRPr="00A740F0">
        <w:rPr>
          <w:rFonts w:cs="Times New Roman"/>
          <w:b/>
        </w:rPr>
        <w:t>do piatich rokov</w:t>
      </w:r>
      <w:r w:rsidRPr="00A740F0">
        <w:rPr>
          <w:rFonts w:cs="Times New Roman"/>
        </w:rPr>
        <w:t xml:space="preserve"> bola stanovená na úrovni 55 % kumulatívnej splatnosti aktív a pasív splatných do piatich rokov ku celkovému kumulatívnemu saldu aktív a pasív. Hodnota tohto kritéria </w:t>
      </w:r>
      <w:r>
        <w:rPr>
          <w:rFonts w:cs="Times New Roman"/>
        </w:rPr>
        <w:t>bola</w:t>
      </w:r>
      <w:r w:rsidRPr="00A740F0">
        <w:rPr>
          <w:rFonts w:cs="Times New Roman"/>
        </w:rPr>
        <w:t xml:space="preserve"> </w:t>
      </w:r>
      <w:r>
        <w:rPr>
          <w:rFonts w:cs="Times New Roman"/>
        </w:rPr>
        <w:t>približne</w:t>
      </w:r>
      <w:r w:rsidRPr="00A740F0">
        <w:rPr>
          <w:rFonts w:cs="Times New Roman"/>
        </w:rPr>
        <w:t xml:space="preserve"> </w:t>
      </w:r>
      <w:r>
        <w:rPr>
          <w:rFonts w:cs="Times New Roman"/>
        </w:rPr>
        <w:t>39,5</w:t>
      </w:r>
      <w:r w:rsidRPr="00A740F0">
        <w:rPr>
          <w:rFonts w:cs="Times New Roman"/>
        </w:rPr>
        <w:t xml:space="preserve"> % na konci roka 2</w:t>
      </w:r>
      <w:r>
        <w:rPr>
          <w:rFonts w:cs="Times New Roman"/>
        </w:rPr>
        <w:t>020</w:t>
      </w:r>
      <w:r w:rsidRPr="00A740F0">
        <w:rPr>
          <w:rFonts w:cs="Times New Roman"/>
        </w:rPr>
        <w:t>. V porovnaní s rovnakým obdobím minulého roka došlo k </w:t>
      </w:r>
      <w:r>
        <w:rPr>
          <w:rFonts w:cs="Times New Roman"/>
        </w:rPr>
        <w:t>poklesu</w:t>
      </w:r>
      <w:r w:rsidRPr="00A740F0">
        <w:rPr>
          <w:rFonts w:cs="Times New Roman"/>
        </w:rPr>
        <w:t xml:space="preserve"> približne o </w:t>
      </w:r>
      <w:r>
        <w:rPr>
          <w:rFonts w:cs="Times New Roman"/>
        </w:rPr>
        <w:t>2 p.</w:t>
      </w:r>
      <w:r w:rsidR="009357B0">
        <w:rPr>
          <w:rFonts w:cs="Times New Roman"/>
        </w:rPr>
        <w:t xml:space="preserve"> </w:t>
      </w:r>
      <w:r>
        <w:rPr>
          <w:rFonts w:cs="Times New Roman"/>
        </w:rPr>
        <w:t>b.</w:t>
      </w:r>
      <w:r w:rsidRPr="00A740F0">
        <w:rPr>
          <w:rFonts w:cs="Times New Roman"/>
        </w:rPr>
        <w:t xml:space="preserve"> z hodnoty </w:t>
      </w:r>
      <w:r>
        <w:rPr>
          <w:rFonts w:cs="Times New Roman"/>
        </w:rPr>
        <w:t>41</w:t>
      </w:r>
      <w:r w:rsidRPr="00A740F0">
        <w:rPr>
          <w:rFonts w:cs="Times New Roman"/>
        </w:rPr>
        <w:t>,</w:t>
      </w:r>
      <w:r>
        <w:rPr>
          <w:rFonts w:cs="Times New Roman"/>
        </w:rPr>
        <w:t>4</w:t>
      </w:r>
      <w:r w:rsidRPr="00A740F0">
        <w:rPr>
          <w:rFonts w:cs="Times New Roman"/>
        </w:rPr>
        <w:t xml:space="preserve"> %. </w:t>
      </w:r>
    </w:p>
    <w:p w14:paraId="4C985591" w14:textId="77777777" w:rsidR="006B33FF" w:rsidRPr="00332908" w:rsidRDefault="006B33FF" w:rsidP="006B33FF">
      <w:pPr>
        <w:pStyle w:val="Odsekzoznamu"/>
        <w:spacing w:after="120"/>
        <w:ind w:left="360"/>
        <w:jc w:val="both"/>
        <w:rPr>
          <w:rFonts w:cs="Times New Roman"/>
        </w:rPr>
      </w:pPr>
    </w:p>
    <w:p w14:paraId="4CCAF454" w14:textId="2CB36D47" w:rsidR="006B33FF" w:rsidRDefault="006B33FF" w:rsidP="006B33FF">
      <w:pPr>
        <w:pStyle w:val="Odsekzoznamu"/>
        <w:numPr>
          <w:ilvl w:val="0"/>
          <w:numId w:val="1"/>
        </w:numPr>
        <w:spacing w:after="120"/>
        <w:ind w:left="360"/>
        <w:jc w:val="both"/>
        <w:rPr>
          <w:rFonts w:cs="Times New Roman"/>
        </w:rPr>
      </w:pPr>
      <w:r w:rsidRPr="00332908">
        <w:rPr>
          <w:rFonts w:cs="Times New Roman"/>
        </w:rPr>
        <w:t xml:space="preserve">Hodnota </w:t>
      </w:r>
      <w:r w:rsidRPr="00332908">
        <w:rPr>
          <w:rFonts w:cs="Times New Roman"/>
          <w:b/>
        </w:rPr>
        <w:t>úrokového rizika</w:t>
      </w:r>
      <w:r w:rsidRPr="00332908">
        <w:rPr>
          <w:rFonts w:cs="Times New Roman"/>
        </w:rPr>
        <w:t xml:space="preserve"> kumulatívnej </w:t>
      </w:r>
      <w:proofErr w:type="spellStart"/>
      <w:r w:rsidRPr="00332908">
        <w:rPr>
          <w:rFonts w:cs="Times New Roman"/>
        </w:rPr>
        <w:t>refixácie</w:t>
      </w:r>
      <w:proofErr w:type="spellEnd"/>
      <w:r w:rsidRPr="00332908">
        <w:rPr>
          <w:rFonts w:cs="Times New Roman"/>
        </w:rPr>
        <w:t xml:space="preserve"> aktív a pasív </w:t>
      </w:r>
      <w:r w:rsidRPr="00332908">
        <w:rPr>
          <w:rFonts w:cs="Times New Roman"/>
          <w:b/>
        </w:rPr>
        <w:t>do jedného roka</w:t>
      </w:r>
      <w:r w:rsidRPr="00332908">
        <w:rPr>
          <w:rFonts w:cs="Times New Roman"/>
        </w:rPr>
        <w:t xml:space="preserve"> bola stanovená na úrovni 25 % kumulatívnej splatnosti aktív a pasív </w:t>
      </w:r>
      <w:proofErr w:type="spellStart"/>
      <w:r w:rsidRPr="00332908">
        <w:rPr>
          <w:rFonts w:cs="Times New Roman"/>
        </w:rPr>
        <w:t>refixovaných</w:t>
      </w:r>
      <w:proofErr w:type="spellEnd"/>
      <w:r w:rsidRPr="00332908">
        <w:rPr>
          <w:rFonts w:cs="Times New Roman"/>
        </w:rPr>
        <w:t xml:space="preserve"> do jedného roka ku celkovému kumulatívnemu saldu aktív a pasív. Hodnota tohto kritéria bola na úrov</w:t>
      </w:r>
      <w:r>
        <w:rPr>
          <w:rFonts w:cs="Times New Roman"/>
        </w:rPr>
        <w:t>ni 11,4 % ku koncu roka 2020 (19,3</w:t>
      </w:r>
      <w:r w:rsidRPr="00332908">
        <w:rPr>
          <w:rFonts w:cs="Times New Roman"/>
        </w:rPr>
        <w:t xml:space="preserve"> % ku koncu rok</w:t>
      </w:r>
      <w:r>
        <w:rPr>
          <w:rFonts w:cs="Times New Roman"/>
        </w:rPr>
        <w:t>a 2019</w:t>
      </w:r>
      <w:r w:rsidRPr="00332908">
        <w:rPr>
          <w:rFonts w:cs="Times New Roman"/>
        </w:rPr>
        <w:t xml:space="preserve">). Hodnota úrokového rizika kumulatívnej </w:t>
      </w:r>
      <w:proofErr w:type="spellStart"/>
      <w:r w:rsidRPr="00332908">
        <w:rPr>
          <w:rFonts w:cs="Times New Roman"/>
        </w:rPr>
        <w:t>refixácie</w:t>
      </w:r>
      <w:proofErr w:type="spellEnd"/>
      <w:r w:rsidRPr="00332908">
        <w:rPr>
          <w:rFonts w:cs="Times New Roman"/>
        </w:rPr>
        <w:t xml:space="preserve"> aktív a pasív </w:t>
      </w:r>
      <w:r w:rsidRPr="00332908">
        <w:rPr>
          <w:rFonts w:cs="Times New Roman"/>
          <w:b/>
        </w:rPr>
        <w:t>do piatich rokov</w:t>
      </w:r>
      <w:r w:rsidRPr="00332908">
        <w:rPr>
          <w:rFonts w:cs="Times New Roman"/>
        </w:rPr>
        <w:t xml:space="preserve"> bola stanovená na úrovni 55 % kumulatívnej splatnosti aktív a pasív </w:t>
      </w:r>
      <w:proofErr w:type="spellStart"/>
      <w:r w:rsidRPr="00332908">
        <w:rPr>
          <w:rFonts w:cs="Times New Roman"/>
        </w:rPr>
        <w:t>refixovaných</w:t>
      </w:r>
      <w:proofErr w:type="spellEnd"/>
      <w:r w:rsidRPr="00332908">
        <w:rPr>
          <w:rFonts w:cs="Times New Roman"/>
        </w:rPr>
        <w:t xml:space="preserve"> do piatich rokov ku celkovému kumulatívnemu saldu aktív a pasív. Hodnota tohto kritéria bola na úrovni </w:t>
      </w:r>
      <w:r>
        <w:rPr>
          <w:rFonts w:cs="Times New Roman"/>
        </w:rPr>
        <w:t>39,5</w:t>
      </w:r>
      <w:r w:rsidRPr="00332908">
        <w:rPr>
          <w:rFonts w:cs="Times New Roman"/>
        </w:rPr>
        <w:t> % ku koncu roka 20</w:t>
      </w:r>
      <w:r>
        <w:rPr>
          <w:rFonts w:cs="Times New Roman"/>
        </w:rPr>
        <w:t>20</w:t>
      </w:r>
      <w:r w:rsidRPr="00332908">
        <w:rPr>
          <w:rFonts w:cs="Times New Roman"/>
        </w:rPr>
        <w:t xml:space="preserve"> (</w:t>
      </w:r>
      <w:r>
        <w:rPr>
          <w:rFonts w:cs="Times New Roman"/>
        </w:rPr>
        <w:t>41,0</w:t>
      </w:r>
      <w:r w:rsidRPr="00332908">
        <w:rPr>
          <w:rFonts w:cs="Times New Roman"/>
        </w:rPr>
        <w:t> % ku koncu roka 201</w:t>
      </w:r>
      <w:r>
        <w:rPr>
          <w:rFonts w:cs="Times New Roman"/>
        </w:rPr>
        <w:t>9</w:t>
      </w:r>
      <w:r w:rsidRPr="00332908">
        <w:rPr>
          <w:rFonts w:cs="Times New Roman"/>
        </w:rPr>
        <w:t xml:space="preserve">). </w:t>
      </w:r>
    </w:p>
    <w:p w14:paraId="7A7413C8" w14:textId="77777777" w:rsidR="006B33FF" w:rsidRPr="00332908" w:rsidRDefault="006B33FF" w:rsidP="006B33FF">
      <w:pPr>
        <w:pStyle w:val="Odsekzoznamu"/>
        <w:spacing w:after="120"/>
        <w:ind w:left="360"/>
        <w:jc w:val="both"/>
        <w:rPr>
          <w:rFonts w:cs="Times New Roman"/>
        </w:rPr>
      </w:pPr>
    </w:p>
    <w:p w14:paraId="210C0E36" w14:textId="0728B5E6" w:rsidR="006B33FF" w:rsidRDefault="006B33FF" w:rsidP="006B33FF">
      <w:pPr>
        <w:pStyle w:val="Odsekzoznamu"/>
        <w:numPr>
          <w:ilvl w:val="0"/>
          <w:numId w:val="1"/>
        </w:numPr>
        <w:ind w:left="357" w:hanging="357"/>
        <w:contextualSpacing w:val="0"/>
        <w:jc w:val="both"/>
        <w:rPr>
          <w:rFonts w:cs="Times New Roman"/>
        </w:rPr>
      </w:pPr>
      <w:r w:rsidRPr="00962141">
        <w:rPr>
          <w:rFonts w:cs="Times New Roman"/>
        </w:rPr>
        <w:t xml:space="preserve">V roku </w:t>
      </w:r>
      <w:r>
        <w:rPr>
          <w:rFonts w:cs="Times New Roman"/>
        </w:rPr>
        <w:t>2020</w:t>
      </w:r>
      <w:r w:rsidRPr="00962141">
        <w:rPr>
          <w:rFonts w:cs="Times New Roman"/>
        </w:rPr>
        <w:t xml:space="preserve"> bol</w:t>
      </w:r>
      <w:r>
        <w:rPr>
          <w:rFonts w:cs="Times New Roman"/>
        </w:rPr>
        <w:t>o</w:t>
      </w:r>
      <w:r w:rsidRPr="00962141">
        <w:rPr>
          <w:rFonts w:cs="Times New Roman"/>
        </w:rPr>
        <w:t xml:space="preserve"> otvoren</w:t>
      </w:r>
      <w:r>
        <w:rPr>
          <w:rFonts w:cs="Times New Roman"/>
        </w:rPr>
        <w:t>ých</w:t>
      </w:r>
      <w:r w:rsidRPr="00962141">
        <w:rPr>
          <w:rFonts w:cs="Times New Roman"/>
        </w:rPr>
        <w:t xml:space="preserve"> </w:t>
      </w:r>
      <w:r>
        <w:rPr>
          <w:rFonts w:cs="Times New Roman"/>
        </w:rPr>
        <w:t>päť nových</w:t>
      </w:r>
      <w:r w:rsidRPr="00962141">
        <w:rPr>
          <w:rFonts w:cs="Times New Roman"/>
        </w:rPr>
        <w:t xml:space="preserve"> líni</w:t>
      </w:r>
      <w:r>
        <w:rPr>
          <w:rFonts w:cs="Times New Roman"/>
        </w:rPr>
        <w:t>í</w:t>
      </w:r>
      <w:r w:rsidRPr="00962141">
        <w:rPr>
          <w:rFonts w:cs="Times New Roman"/>
        </w:rPr>
        <w:t xml:space="preserve"> dlhopisov so </w:t>
      </w:r>
      <w:r>
        <w:rPr>
          <w:rFonts w:cs="Times New Roman"/>
        </w:rPr>
        <w:t>splatnosťami od 4 do 12 rokov</w:t>
      </w:r>
      <w:r w:rsidRPr="00962141">
        <w:rPr>
          <w:rFonts w:cs="Times New Roman"/>
        </w:rPr>
        <w:t xml:space="preserve">. </w:t>
      </w:r>
      <w:r>
        <w:rPr>
          <w:rFonts w:cs="Times New Roman"/>
        </w:rPr>
        <w:t>10</w:t>
      </w:r>
      <w:r w:rsidRPr="00962141">
        <w:rPr>
          <w:rFonts w:cs="Times New Roman"/>
        </w:rPr>
        <w:t xml:space="preserve">-ročný dlhopis so splatnosťou v roku 2030 bol predaný prostredníctvom syndikátu vybraných primárnych dealerov s kupónovým výnosom </w:t>
      </w:r>
      <w:r>
        <w:rPr>
          <w:rFonts w:cs="Times New Roman"/>
        </w:rPr>
        <w:t>1,00</w:t>
      </w:r>
      <w:r w:rsidRPr="00962141">
        <w:rPr>
          <w:rFonts w:cs="Times New Roman"/>
        </w:rPr>
        <w:t>% v menovitej hodnote 1</w:t>
      </w:r>
      <w:r>
        <w:rPr>
          <w:rFonts w:cs="Times New Roman"/>
        </w:rPr>
        <w:t>,5</w:t>
      </w:r>
      <w:r w:rsidRPr="00962141">
        <w:rPr>
          <w:rFonts w:cs="Times New Roman"/>
        </w:rPr>
        <w:t xml:space="preserve"> mld. euro a tiež bol predávaný formou aukčného predaja. </w:t>
      </w:r>
      <w:r>
        <w:rPr>
          <w:rFonts w:cs="Times New Roman"/>
        </w:rPr>
        <w:tab/>
      </w:r>
      <w:r>
        <w:rPr>
          <w:rFonts w:cs="Times New Roman"/>
        </w:rPr>
        <w:br/>
        <w:t>12-ročný dlhopis so splatnosťou v roku 2032 bol rovnako predaný prostredníctvom syndikátu vybraných primárnych dealerov s kupónovým výnosom 1,00% v menovitej hodnote 2 mld. euro.</w:t>
      </w:r>
    </w:p>
    <w:p w14:paraId="3FD6E6F0" w14:textId="18B4AEB8" w:rsidR="006B33FF" w:rsidRPr="006B33FF" w:rsidRDefault="006B33FF" w:rsidP="006B33FF">
      <w:pPr>
        <w:spacing w:after="0" w:line="240" w:lineRule="auto"/>
        <w:jc w:val="both"/>
      </w:pPr>
    </w:p>
    <w:p w14:paraId="668A0355" w14:textId="59E2D365" w:rsidR="006B33FF" w:rsidRDefault="006B33FF" w:rsidP="006B33FF">
      <w:pPr>
        <w:pStyle w:val="Odsekzoznamu"/>
        <w:numPr>
          <w:ilvl w:val="0"/>
          <w:numId w:val="1"/>
        </w:numPr>
        <w:spacing w:after="120"/>
        <w:ind w:left="360"/>
        <w:contextualSpacing w:val="0"/>
        <w:jc w:val="both"/>
        <w:rPr>
          <w:rFonts w:cs="Times New Roman"/>
        </w:rPr>
      </w:pPr>
      <w:r w:rsidRPr="00D82BE0">
        <w:rPr>
          <w:rFonts w:cs="Times New Roman"/>
        </w:rPr>
        <w:t>V uvedenom roku bola splatená jedna emisia registrovaná na Slovensku denominovaná v eure. K 31.12.2020 malo MF SR „živých“ celkovo 30 emisií (z toho 7 emisií registrovaných v zahraničí). Okrem meny EUR boli k </w:t>
      </w:r>
      <w:proofErr w:type="spellStart"/>
      <w:r w:rsidRPr="00D82BE0">
        <w:rPr>
          <w:rFonts w:cs="Times New Roman"/>
        </w:rPr>
        <w:t>ultimu</w:t>
      </w:r>
      <w:proofErr w:type="spellEnd"/>
      <w:r w:rsidRPr="00D82BE0">
        <w:rPr>
          <w:rFonts w:cs="Times New Roman"/>
        </w:rPr>
        <w:t xml:space="preserve"> roka 2020 emitované slovenské štátne dlhopisy aj v menách USD, CHF a NOK. </w:t>
      </w:r>
    </w:p>
    <w:p w14:paraId="04D91509" w14:textId="77777777" w:rsidR="00024B0D" w:rsidRPr="00024B0D" w:rsidRDefault="00024B0D" w:rsidP="00024B0D">
      <w:pPr>
        <w:pStyle w:val="Odsekzoznamu"/>
        <w:rPr>
          <w:rFonts w:cs="Times New Roman"/>
        </w:rPr>
      </w:pPr>
    </w:p>
    <w:p w14:paraId="2C1A3291" w14:textId="7B3B5DE2" w:rsidR="007A47DD" w:rsidRPr="0033291C" w:rsidRDefault="007A47DD" w:rsidP="004E5304">
      <w:pPr>
        <w:pStyle w:val="Nadpis3"/>
        <w:numPr>
          <w:ilvl w:val="2"/>
          <w:numId w:val="18"/>
        </w:numPr>
        <w:spacing w:before="120"/>
      </w:pPr>
      <w:bookmarkStart w:id="46" w:name="_Toc85718905"/>
      <w:r w:rsidRPr="0033291C">
        <w:t>Riadenie štátneho dlhu v roku 20</w:t>
      </w:r>
      <w:r w:rsidR="00024B0D">
        <w:t>20</w:t>
      </w:r>
      <w:bookmarkEnd w:id="46"/>
    </w:p>
    <w:p w14:paraId="2270F46F" w14:textId="1D0C45B2" w:rsidR="00024B0D" w:rsidRDefault="00024B0D" w:rsidP="00024B0D">
      <w:pPr>
        <w:spacing w:after="120" w:line="240" w:lineRule="auto"/>
        <w:jc w:val="both"/>
      </w:pPr>
      <w:bookmarkStart w:id="47" w:name="_Toc401920023"/>
      <w:bookmarkStart w:id="48" w:name="_Toc465255024"/>
      <w:bookmarkStart w:id="49" w:name="_Toc495990492"/>
      <w:r w:rsidRPr="002D54E0">
        <w:t xml:space="preserve">Agentúra pre riadene dlhu a likvidity emitovala v mene MF SR v roku </w:t>
      </w:r>
      <w:r>
        <w:t>2020</w:t>
      </w:r>
      <w:r w:rsidRPr="002D54E0">
        <w:t xml:space="preserve"> cenné papiere v celkovej hodnote </w:t>
      </w:r>
      <w:r>
        <w:t>9 995 700</w:t>
      </w:r>
      <w:r w:rsidRPr="002D54E0">
        <w:t xml:space="preserve"> tis. eur</w:t>
      </w:r>
      <w:r>
        <w:t>, pričom</w:t>
      </w:r>
      <w:r w:rsidRPr="002D54E0">
        <w:t xml:space="preserve"> vydala dlhopisy denominované len v mene </w:t>
      </w:r>
      <w:r>
        <w:t>EUR</w:t>
      </w:r>
      <w:r w:rsidRPr="002D54E0">
        <w:t xml:space="preserve"> s fixnou úrokovou sadzbou</w:t>
      </w:r>
      <w:r>
        <w:t xml:space="preserve"> s priemernou splatnosťou </w:t>
      </w:r>
      <w:r w:rsidRPr="004C16B1">
        <w:t>9,6 rokov</w:t>
      </w:r>
      <w:r>
        <w:t xml:space="preserve">. V roku 2020 boli vydané štátne pokladničné poukážky spolu v menovitej hodnote 3 200 000 tis. eur, z toho splatené v tom istom roku boli štátne pokladničné poukážky v menovitej hodnote 1 700 000 tis. eur. </w:t>
      </w:r>
      <w:r w:rsidRPr="00B2474A">
        <w:t xml:space="preserve">Okrem cenných papierov boli na krytie dlhu prijaté úvery v nominálnej hodnote </w:t>
      </w:r>
      <w:r>
        <w:t>1 127</w:t>
      </w:r>
      <w:r w:rsidRPr="00B2474A">
        <w:t xml:space="preserve"> </w:t>
      </w:r>
      <w:r>
        <w:t>970</w:t>
      </w:r>
      <w:r w:rsidRPr="00B2474A">
        <w:t xml:space="preserve"> tis. eur s priemernou váženou úrokovou </w:t>
      </w:r>
      <w:r w:rsidRPr="00C552E2">
        <w:t>sadzbou 0,1%</w:t>
      </w:r>
      <w:r w:rsidRPr="0012100C">
        <w:t xml:space="preserve"> a s priemernou váženou splatnosťou </w:t>
      </w:r>
      <w:r>
        <w:t>9</w:t>
      </w:r>
      <w:r w:rsidRPr="0012100C">
        <w:t xml:space="preserve"> rokov.</w:t>
      </w:r>
    </w:p>
    <w:p w14:paraId="36FD39D4" w14:textId="77777777" w:rsidR="00FD0E0D" w:rsidRDefault="00024B0D" w:rsidP="00024B0D">
      <w:pPr>
        <w:spacing w:after="120" w:line="240" w:lineRule="auto"/>
        <w:jc w:val="both"/>
      </w:pPr>
      <w:r w:rsidRPr="002D54E0">
        <w:t xml:space="preserve">Nasledujúca tabuľka </w:t>
      </w:r>
      <w:r>
        <w:t>prezentuje</w:t>
      </w:r>
      <w:r w:rsidRPr="002D54E0">
        <w:t xml:space="preserve"> základné kvantitatívne parametre riadenia štátneho dlhu v roku </w:t>
      </w:r>
      <w:r>
        <w:t>2020</w:t>
      </w:r>
      <w:r w:rsidRPr="002D54E0">
        <w:t xml:space="preserve">. </w:t>
      </w:r>
      <w:r>
        <w:t>Štruktúra t</w:t>
      </w:r>
      <w:r w:rsidRPr="002D54E0">
        <w:t>abuľk</w:t>
      </w:r>
      <w:r>
        <w:t>y</w:t>
      </w:r>
      <w:r w:rsidRPr="002D54E0">
        <w:t xml:space="preserve"> </w:t>
      </w:r>
      <w:r>
        <w:t>obsahuje</w:t>
      </w:r>
      <w:r w:rsidRPr="002D54E0">
        <w:t xml:space="preserve"> priemernú úrokovú sadzbu a splatnosť pri novom vydanom (emitovanom) dlhu.</w:t>
      </w:r>
    </w:p>
    <w:p w14:paraId="3E73649D" w14:textId="77777777" w:rsidR="00FD0E0D" w:rsidRDefault="00FD0E0D">
      <w:r>
        <w:br w:type="page"/>
      </w:r>
    </w:p>
    <w:tbl>
      <w:tblPr>
        <w:tblW w:w="9142" w:type="dxa"/>
        <w:tblCellMar>
          <w:left w:w="70" w:type="dxa"/>
          <w:right w:w="70" w:type="dxa"/>
        </w:tblCellMar>
        <w:tblLook w:val="04A0" w:firstRow="1" w:lastRow="0" w:firstColumn="1" w:lastColumn="0" w:noHBand="0" w:noVBand="1"/>
      </w:tblPr>
      <w:tblGrid>
        <w:gridCol w:w="2977"/>
        <w:gridCol w:w="1276"/>
        <w:gridCol w:w="1821"/>
        <w:gridCol w:w="1589"/>
        <w:gridCol w:w="1479"/>
      </w:tblGrid>
      <w:tr w:rsidR="00024B0D" w:rsidRPr="002D54E0" w14:paraId="192F8974" w14:textId="77777777" w:rsidTr="007B548A">
        <w:trPr>
          <w:trHeight w:val="390"/>
        </w:trPr>
        <w:tc>
          <w:tcPr>
            <w:tcW w:w="0" w:type="auto"/>
            <w:gridSpan w:val="3"/>
            <w:tcBorders>
              <w:top w:val="nil"/>
              <w:left w:val="nil"/>
              <w:bottom w:val="nil"/>
              <w:right w:val="nil"/>
            </w:tcBorders>
            <w:shd w:val="clear" w:color="000000" w:fill="000000"/>
            <w:noWrap/>
            <w:vAlign w:val="center"/>
            <w:hideMark/>
          </w:tcPr>
          <w:p w14:paraId="4AB51A1A" w14:textId="098A2A5C" w:rsidR="00024B0D" w:rsidRPr="002D54E0" w:rsidRDefault="00EC45CA" w:rsidP="00EC45CA">
            <w:pPr>
              <w:pStyle w:val="popistabuliek"/>
            </w:pPr>
            <w:r w:rsidRPr="00884682">
              <w:lastRenderedPageBreak/>
              <w:t xml:space="preserve">Tab. </w:t>
            </w:r>
            <w:r>
              <w:t>14</w:t>
            </w:r>
            <w:r w:rsidRPr="00884682">
              <w:t xml:space="preserve"> - </w:t>
            </w:r>
            <w:r w:rsidR="00024B0D" w:rsidRPr="002D54E0">
              <w:t xml:space="preserve">Štátny dlh realizovaný v roku </w:t>
            </w:r>
            <w:r w:rsidR="00024B0D">
              <w:t>2020</w:t>
            </w:r>
            <w:r w:rsidR="00024B0D" w:rsidRPr="002D54E0">
              <w:t xml:space="preserve"> </w:t>
            </w:r>
            <w:r w:rsidR="00453CA1">
              <w:t xml:space="preserve"> </w:t>
            </w:r>
            <w:r w:rsidR="00024B0D" w:rsidRPr="002D54E0">
              <w:t>(tis. eur)</w:t>
            </w:r>
          </w:p>
        </w:tc>
        <w:tc>
          <w:tcPr>
            <w:tcW w:w="0" w:type="auto"/>
            <w:tcBorders>
              <w:top w:val="nil"/>
              <w:left w:val="nil"/>
              <w:bottom w:val="nil"/>
              <w:right w:val="nil"/>
            </w:tcBorders>
            <w:shd w:val="clear" w:color="000000" w:fill="000000"/>
            <w:noWrap/>
            <w:vAlign w:val="center"/>
            <w:hideMark/>
          </w:tcPr>
          <w:p w14:paraId="20B72992" w14:textId="77777777" w:rsidR="00024B0D" w:rsidRPr="002D54E0" w:rsidRDefault="00024B0D" w:rsidP="00EC45CA">
            <w:pPr>
              <w:pStyle w:val="popistabuliek"/>
            </w:pPr>
            <w:r w:rsidRPr="002D54E0">
              <w:t> </w:t>
            </w:r>
          </w:p>
        </w:tc>
        <w:tc>
          <w:tcPr>
            <w:tcW w:w="0" w:type="auto"/>
            <w:tcBorders>
              <w:top w:val="nil"/>
              <w:left w:val="nil"/>
              <w:bottom w:val="nil"/>
              <w:right w:val="nil"/>
            </w:tcBorders>
            <w:shd w:val="clear" w:color="000000" w:fill="000000"/>
            <w:noWrap/>
            <w:vAlign w:val="center"/>
            <w:hideMark/>
          </w:tcPr>
          <w:p w14:paraId="2DC27C83" w14:textId="77777777" w:rsidR="00024B0D" w:rsidRPr="002D54E0" w:rsidRDefault="00024B0D" w:rsidP="00EC45CA">
            <w:pPr>
              <w:pStyle w:val="popistabuliek"/>
            </w:pPr>
            <w:r w:rsidRPr="002D54E0">
              <w:t> </w:t>
            </w:r>
          </w:p>
        </w:tc>
      </w:tr>
      <w:tr w:rsidR="00024B0D" w:rsidRPr="002D54E0" w14:paraId="3ED6E63C" w14:textId="77777777" w:rsidTr="001A2E34">
        <w:trPr>
          <w:trHeight w:val="454"/>
        </w:trPr>
        <w:tc>
          <w:tcPr>
            <w:tcW w:w="2977" w:type="dxa"/>
            <w:tcBorders>
              <w:top w:val="nil"/>
              <w:left w:val="nil"/>
              <w:bottom w:val="nil"/>
              <w:right w:val="nil"/>
            </w:tcBorders>
            <w:shd w:val="clear" w:color="000000" w:fill="BFBFBF"/>
            <w:vAlign w:val="center"/>
            <w:hideMark/>
          </w:tcPr>
          <w:p w14:paraId="4FB8F524" w14:textId="77777777" w:rsidR="00024B0D" w:rsidRPr="002D54E0" w:rsidRDefault="00024B0D" w:rsidP="007B548A">
            <w:pPr>
              <w:spacing w:after="0" w:line="240" w:lineRule="auto"/>
              <w:jc w:val="center"/>
              <w:rPr>
                <w:color w:val="000000"/>
                <w:sz w:val="20"/>
                <w:szCs w:val="20"/>
                <w:lang w:eastAsia="sk-SK"/>
              </w:rPr>
            </w:pPr>
            <w:r w:rsidRPr="002D54E0">
              <w:rPr>
                <w:color w:val="000000"/>
                <w:sz w:val="20"/>
                <w:szCs w:val="20"/>
                <w:lang w:eastAsia="sk-SK"/>
              </w:rPr>
              <w:t>Typ cenného papiera</w:t>
            </w:r>
          </w:p>
        </w:tc>
        <w:tc>
          <w:tcPr>
            <w:tcW w:w="1276" w:type="dxa"/>
            <w:tcBorders>
              <w:top w:val="nil"/>
              <w:left w:val="nil"/>
              <w:bottom w:val="nil"/>
              <w:right w:val="nil"/>
            </w:tcBorders>
            <w:shd w:val="clear" w:color="000000" w:fill="BFBFBF"/>
            <w:vAlign w:val="center"/>
            <w:hideMark/>
          </w:tcPr>
          <w:p w14:paraId="05A1434B" w14:textId="77777777" w:rsidR="00024B0D" w:rsidRPr="002D54E0" w:rsidRDefault="00024B0D" w:rsidP="007B548A">
            <w:pPr>
              <w:spacing w:after="0" w:line="240" w:lineRule="auto"/>
              <w:jc w:val="center"/>
              <w:rPr>
                <w:color w:val="000000"/>
                <w:sz w:val="20"/>
                <w:szCs w:val="20"/>
                <w:lang w:eastAsia="sk-SK"/>
              </w:rPr>
            </w:pPr>
            <w:r w:rsidRPr="002D54E0">
              <w:rPr>
                <w:color w:val="000000"/>
                <w:sz w:val="20"/>
                <w:szCs w:val="20"/>
                <w:lang w:eastAsia="sk-SK"/>
              </w:rPr>
              <w:t>Nominálna hodnota</w:t>
            </w:r>
          </w:p>
        </w:tc>
        <w:tc>
          <w:tcPr>
            <w:tcW w:w="1821" w:type="dxa"/>
            <w:tcBorders>
              <w:top w:val="nil"/>
              <w:left w:val="nil"/>
              <w:bottom w:val="nil"/>
              <w:right w:val="nil"/>
            </w:tcBorders>
            <w:shd w:val="clear" w:color="000000" w:fill="BFBFBF"/>
            <w:vAlign w:val="center"/>
            <w:hideMark/>
          </w:tcPr>
          <w:p w14:paraId="169F463A" w14:textId="77777777" w:rsidR="00024B0D" w:rsidRPr="002D54E0" w:rsidRDefault="00024B0D" w:rsidP="007B548A">
            <w:pPr>
              <w:spacing w:after="0" w:line="240" w:lineRule="auto"/>
              <w:jc w:val="center"/>
              <w:rPr>
                <w:color w:val="000000"/>
                <w:sz w:val="20"/>
                <w:szCs w:val="20"/>
                <w:lang w:eastAsia="sk-SK"/>
              </w:rPr>
            </w:pPr>
            <w:r w:rsidRPr="002D54E0">
              <w:rPr>
                <w:color w:val="000000"/>
                <w:sz w:val="20"/>
                <w:szCs w:val="20"/>
                <w:lang w:eastAsia="sk-SK"/>
              </w:rPr>
              <w:t xml:space="preserve">Priemerný úrok / prirážka (ŠD </w:t>
            </w:r>
            <w:proofErr w:type="spellStart"/>
            <w:r w:rsidRPr="002D54E0">
              <w:rPr>
                <w:color w:val="000000"/>
                <w:sz w:val="20"/>
                <w:szCs w:val="20"/>
                <w:lang w:eastAsia="sk-SK"/>
              </w:rPr>
              <w:t>float</w:t>
            </w:r>
            <w:proofErr w:type="spellEnd"/>
            <w:r w:rsidRPr="002D54E0">
              <w:rPr>
                <w:color w:val="000000"/>
                <w:sz w:val="20"/>
                <w:szCs w:val="20"/>
                <w:lang w:eastAsia="sk-SK"/>
              </w:rPr>
              <w:t>)</w:t>
            </w:r>
          </w:p>
        </w:tc>
        <w:tc>
          <w:tcPr>
            <w:tcW w:w="0" w:type="auto"/>
            <w:tcBorders>
              <w:top w:val="nil"/>
              <w:left w:val="nil"/>
              <w:bottom w:val="nil"/>
              <w:right w:val="nil"/>
            </w:tcBorders>
            <w:shd w:val="clear" w:color="000000" w:fill="BFBFBF"/>
            <w:vAlign w:val="center"/>
            <w:hideMark/>
          </w:tcPr>
          <w:p w14:paraId="7755D876" w14:textId="77777777" w:rsidR="00024B0D" w:rsidRPr="002D54E0" w:rsidRDefault="00024B0D" w:rsidP="007B548A">
            <w:pPr>
              <w:spacing w:after="0" w:line="240" w:lineRule="auto"/>
              <w:jc w:val="center"/>
              <w:rPr>
                <w:color w:val="000000"/>
                <w:sz w:val="20"/>
                <w:szCs w:val="20"/>
                <w:lang w:eastAsia="sk-SK"/>
              </w:rPr>
            </w:pPr>
            <w:r w:rsidRPr="002D54E0">
              <w:rPr>
                <w:color w:val="000000"/>
                <w:sz w:val="20"/>
                <w:szCs w:val="20"/>
                <w:lang w:eastAsia="sk-SK"/>
              </w:rPr>
              <w:t>Priemerná splatnosť (rok)</w:t>
            </w:r>
          </w:p>
        </w:tc>
        <w:tc>
          <w:tcPr>
            <w:tcW w:w="0" w:type="auto"/>
            <w:tcBorders>
              <w:top w:val="nil"/>
              <w:left w:val="nil"/>
              <w:bottom w:val="nil"/>
              <w:right w:val="nil"/>
            </w:tcBorders>
            <w:shd w:val="clear" w:color="000000" w:fill="BFBFBF"/>
            <w:vAlign w:val="center"/>
            <w:hideMark/>
          </w:tcPr>
          <w:p w14:paraId="335E2C51" w14:textId="77777777" w:rsidR="00024B0D" w:rsidRPr="002D54E0" w:rsidRDefault="00024B0D" w:rsidP="007B548A">
            <w:pPr>
              <w:spacing w:after="0" w:line="240" w:lineRule="auto"/>
              <w:jc w:val="center"/>
              <w:rPr>
                <w:color w:val="000000"/>
                <w:sz w:val="20"/>
                <w:szCs w:val="20"/>
                <w:lang w:eastAsia="sk-SK"/>
              </w:rPr>
            </w:pPr>
            <w:r w:rsidRPr="002D54E0">
              <w:rPr>
                <w:color w:val="000000"/>
                <w:sz w:val="20"/>
                <w:szCs w:val="20"/>
                <w:lang w:eastAsia="sk-SK"/>
              </w:rPr>
              <w:t>Typ kupónovej sadzby</w:t>
            </w:r>
          </w:p>
        </w:tc>
      </w:tr>
      <w:tr w:rsidR="00024B0D" w:rsidRPr="006B7806" w14:paraId="0B15F8A9" w14:textId="77777777" w:rsidTr="007B548A">
        <w:trPr>
          <w:trHeight w:val="20"/>
        </w:trPr>
        <w:tc>
          <w:tcPr>
            <w:tcW w:w="2977" w:type="dxa"/>
            <w:tcBorders>
              <w:top w:val="single" w:sz="4" w:space="0" w:color="auto"/>
              <w:left w:val="nil"/>
              <w:bottom w:val="nil"/>
              <w:right w:val="nil"/>
            </w:tcBorders>
            <w:shd w:val="clear" w:color="auto" w:fill="auto"/>
            <w:noWrap/>
            <w:vAlign w:val="bottom"/>
            <w:hideMark/>
          </w:tcPr>
          <w:p w14:paraId="554B5839" w14:textId="77777777" w:rsidR="00024B0D" w:rsidRPr="0019001C" w:rsidRDefault="00024B0D" w:rsidP="007B548A">
            <w:pPr>
              <w:spacing w:after="0" w:line="240" w:lineRule="auto"/>
              <w:ind w:firstLineChars="100" w:firstLine="200"/>
              <w:rPr>
                <w:color w:val="000000"/>
                <w:sz w:val="20"/>
                <w:szCs w:val="20"/>
              </w:rPr>
            </w:pPr>
            <w:r w:rsidRPr="0019001C">
              <w:rPr>
                <w:color w:val="000000"/>
                <w:sz w:val="20"/>
                <w:szCs w:val="20"/>
              </w:rPr>
              <w:t>ŠD fix</w:t>
            </w:r>
          </w:p>
        </w:tc>
        <w:tc>
          <w:tcPr>
            <w:tcW w:w="1276" w:type="dxa"/>
            <w:tcBorders>
              <w:top w:val="single" w:sz="4" w:space="0" w:color="auto"/>
              <w:left w:val="nil"/>
              <w:bottom w:val="nil"/>
              <w:right w:val="nil"/>
            </w:tcBorders>
            <w:shd w:val="clear" w:color="auto" w:fill="auto"/>
            <w:noWrap/>
            <w:hideMark/>
          </w:tcPr>
          <w:p w14:paraId="46846709" w14:textId="77777777" w:rsidR="00024B0D" w:rsidRPr="0019001C" w:rsidRDefault="00024B0D" w:rsidP="007B548A">
            <w:pPr>
              <w:spacing w:after="0" w:line="240" w:lineRule="auto"/>
              <w:jc w:val="right"/>
              <w:rPr>
                <w:color w:val="000000"/>
                <w:sz w:val="20"/>
                <w:szCs w:val="20"/>
              </w:rPr>
            </w:pPr>
            <w:r w:rsidRPr="0019001C">
              <w:rPr>
                <w:color w:val="000000"/>
                <w:sz w:val="20"/>
                <w:szCs w:val="20"/>
              </w:rPr>
              <w:t>9 995 700</w:t>
            </w:r>
          </w:p>
        </w:tc>
        <w:tc>
          <w:tcPr>
            <w:tcW w:w="1821" w:type="dxa"/>
            <w:tcBorders>
              <w:top w:val="single" w:sz="4" w:space="0" w:color="auto"/>
              <w:left w:val="nil"/>
              <w:bottom w:val="nil"/>
              <w:right w:val="nil"/>
            </w:tcBorders>
            <w:shd w:val="clear" w:color="auto" w:fill="auto"/>
            <w:noWrap/>
            <w:vAlign w:val="center"/>
            <w:hideMark/>
          </w:tcPr>
          <w:p w14:paraId="6071A66D" w14:textId="77777777" w:rsidR="00024B0D" w:rsidRPr="0019001C" w:rsidRDefault="00024B0D" w:rsidP="007B548A">
            <w:pPr>
              <w:spacing w:after="0" w:line="240" w:lineRule="auto"/>
              <w:jc w:val="center"/>
              <w:rPr>
                <w:b/>
                <w:color w:val="000000"/>
                <w:sz w:val="20"/>
                <w:szCs w:val="20"/>
                <w:lang w:eastAsia="sk-SK"/>
              </w:rPr>
            </w:pPr>
            <w:r w:rsidRPr="0019001C">
              <w:rPr>
                <w:color w:val="000000"/>
                <w:sz w:val="20"/>
                <w:szCs w:val="20"/>
              </w:rPr>
              <w:t>0,5%</w:t>
            </w:r>
          </w:p>
        </w:tc>
        <w:tc>
          <w:tcPr>
            <w:tcW w:w="0" w:type="auto"/>
            <w:tcBorders>
              <w:top w:val="single" w:sz="4" w:space="0" w:color="auto"/>
              <w:left w:val="nil"/>
              <w:bottom w:val="nil"/>
              <w:right w:val="nil"/>
            </w:tcBorders>
            <w:shd w:val="clear" w:color="auto" w:fill="auto"/>
            <w:noWrap/>
            <w:vAlign w:val="center"/>
            <w:hideMark/>
          </w:tcPr>
          <w:p w14:paraId="030A7B7E" w14:textId="77777777" w:rsidR="00024B0D" w:rsidRPr="0019001C" w:rsidRDefault="00024B0D" w:rsidP="007B548A">
            <w:pPr>
              <w:spacing w:after="0" w:line="240" w:lineRule="auto"/>
              <w:jc w:val="center"/>
              <w:rPr>
                <w:color w:val="000000"/>
                <w:sz w:val="20"/>
                <w:szCs w:val="20"/>
                <w:lang w:eastAsia="sk-SK"/>
              </w:rPr>
            </w:pPr>
            <w:r w:rsidRPr="0019001C">
              <w:rPr>
                <w:color w:val="000000"/>
                <w:sz w:val="20"/>
                <w:szCs w:val="20"/>
                <w:lang w:eastAsia="sk-SK"/>
              </w:rPr>
              <w:t>9,6</w:t>
            </w:r>
          </w:p>
        </w:tc>
        <w:tc>
          <w:tcPr>
            <w:tcW w:w="0" w:type="auto"/>
            <w:tcBorders>
              <w:top w:val="single" w:sz="4" w:space="0" w:color="auto"/>
              <w:left w:val="nil"/>
              <w:bottom w:val="nil"/>
              <w:right w:val="nil"/>
            </w:tcBorders>
            <w:shd w:val="clear" w:color="auto" w:fill="auto"/>
            <w:noWrap/>
            <w:vAlign w:val="center"/>
            <w:hideMark/>
          </w:tcPr>
          <w:p w14:paraId="443046B9" w14:textId="77777777" w:rsidR="00024B0D" w:rsidRPr="0019001C" w:rsidRDefault="00024B0D" w:rsidP="007B548A">
            <w:pPr>
              <w:spacing w:after="0" w:line="240" w:lineRule="auto"/>
              <w:jc w:val="center"/>
              <w:rPr>
                <w:color w:val="000000"/>
                <w:sz w:val="20"/>
                <w:szCs w:val="20"/>
                <w:lang w:eastAsia="sk-SK"/>
              </w:rPr>
            </w:pPr>
            <w:r w:rsidRPr="0019001C">
              <w:rPr>
                <w:color w:val="000000"/>
                <w:sz w:val="20"/>
                <w:szCs w:val="20"/>
                <w:lang w:eastAsia="sk-SK"/>
              </w:rPr>
              <w:t>fixná</w:t>
            </w:r>
          </w:p>
        </w:tc>
      </w:tr>
      <w:tr w:rsidR="00024B0D" w:rsidRPr="006B7806" w14:paraId="36A2CD23" w14:textId="77777777" w:rsidTr="007B548A">
        <w:trPr>
          <w:trHeight w:val="20"/>
        </w:trPr>
        <w:tc>
          <w:tcPr>
            <w:tcW w:w="2977" w:type="dxa"/>
            <w:tcBorders>
              <w:top w:val="nil"/>
              <w:left w:val="nil"/>
              <w:bottom w:val="nil"/>
              <w:right w:val="nil"/>
            </w:tcBorders>
            <w:shd w:val="clear" w:color="auto" w:fill="auto"/>
            <w:noWrap/>
            <w:vAlign w:val="bottom"/>
            <w:hideMark/>
          </w:tcPr>
          <w:p w14:paraId="64F12084" w14:textId="77777777" w:rsidR="00024B0D" w:rsidRPr="0019001C" w:rsidRDefault="00024B0D" w:rsidP="007B548A">
            <w:pPr>
              <w:spacing w:after="0" w:line="240" w:lineRule="auto"/>
              <w:ind w:firstLineChars="100" w:firstLine="200"/>
              <w:rPr>
                <w:color w:val="000000"/>
                <w:sz w:val="20"/>
                <w:szCs w:val="20"/>
              </w:rPr>
            </w:pPr>
            <w:r w:rsidRPr="0019001C">
              <w:rPr>
                <w:color w:val="000000"/>
                <w:sz w:val="20"/>
                <w:szCs w:val="20"/>
              </w:rPr>
              <w:t xml:space="preserve">ŠD </w:t>
            </w:r>
            <w:proofErr w:type="spellStart"/>
            <w:r w:rsidRPr="0019001C">
              <w:rPr>
                <w:color w:val="000000"/>
                <w:sz w:val="20"/>
                <w:szCs w:val="20"/>
              </w:rPr>
              <w:t>float</w:t>
            </w:r>
            <w:proofErr w:type="spellEnd"/>
          </w:p>
        </w:tc>
        <w:tc>
          <w:tcPr>
            <w:tcW w:w="1276" w:type="dxa"/>
            <w:tcBorders>
              <w:top w:val="nil"/>
              <w:left w:val="nil"/>
              <w:bottom w:val="nil"/>
              <w:right w:val="nil"/>
            </w:tcBorders>
            <w:shd w:val="clear" w:color="auto" w:fill="auto"/>
            <w:noWrap/>
            <w:hideMark/>
          </w:tcPr>
          <w:p w14:paraId="11795FD7" w14:textId="77777777" w:rsidR="00024B0D" w:rsidRPr="0019001C" w:rsidRDefault="00024B0D" w:rsidP="007B548A">
            <w:pPr>
              <w:spacing w:after="0" w:line="240" w:lineRule="auto"/>
              <w:jc w:val="right"/>
              <w:rPr>
                <w:color w:val="000000"/>
                <w:sz w:val="20"/>
                <w:szCs w:val="20"/>
              </w:rPr>
            </w:pPr>
            <w:r w:rsidRPr="0019001C">
              <w:rPr>
                <w:color w:val="000000"/>
                <w:sz w:val="20"/>
                <w:szCs w:val="20"/>
              </w:rPr>
              <w:t>0</w:t>
            </w:r>
          </w:p>
        </w:tc>
        <w:tc>
          <w:tcPr>
            <w:tcW w:w="1821" w:type="dxa"/>
            <w:tcBorders>
              <w:top w:val="nil"/>
              <w:left w:val="nil"/>
              <w:bottom w:val="nil"/>
              <w:right w:val="nil"/>
            </w:tcBorders>
            <w:shd w:val="clear" w:color="auto" w:fill="auto"/>
            <w:noWrap/>
            <w:vAlign w:val="center"/>
            <w:hideMark/>
          </w:tcPr>
          <w:p w14:paraId="785E868E" w14:textId="77777777" w:rsidR="00024B0D" w:rsidRPr="0019001C" w:rsidRDefault="00024B0D" w:rsidP="007B548A">
            <w:pPr>
              <w:spacing w:after="0" w:line="240" w:lineRule="auto"/>
              <w:jc w:val="center"/>
              <w:rPr>
                <w:color w:val="000000"/>
                <w:sz w:val="20"/>
                <w:szCs w:val="20"/>
              </w:rPr>
            </w:pPr>
            <w:r w:rsidRPr="0019001C">
              <w:rPr>
                <w:color w:val="000000"/>
                <w:sz w:val="20"/>
                <w:szCs w:val="20"/>
              </w:rPr>
              <w:t>-</w:t>
            </w:r>
          </w:p>
        </w:tc>
        <w:tc>
          <w:tcPr>
            <w:tcW w:w="0" w:type="auto"/>
            <w:tcBorders>
              <w:top w:val="nil"/>
              <w:left w:val="nil"/>
              <w:bottom w:val="nil"/>
              <w:right w:val="nil"/>
            </w:tcBorders>
            <w:shd w:val="clear" w:color="auto" w:fill="auto"/>
            <w:noWrap/>
            <w:vAlign w:val="center"/>
            <w:hideMark/>
          </w:tcPr>
          <w:p w14:paraId="5D5CF26A" w14:textId="77777777" w:rsidR="00024B0D" w:rsidRPr="0019001C" w:rsidRDefault="00024B0D" w:rsidP="007B548A">
            <w:pPr>
              <w:spacing w:after="0" w:line="240" w:lineRule="auto"/>
              <w:jc w:val="center"/>
              <w:rPr>
                <w:color w:val="000000"/>
                <w:sz w:val="20"/>
                <w:szCs w:val="20"/>
              </w:rPr>
            </w:pPr>
            <w:r w:rsidRPr="0019001C">
              <w:rPr>
                <w:color w:val="000000"/>
                <w:sz w:val="20"/>
                <w:szCs w:val="20"/>
              </w:rPr>
              <w:t>-</w:t>
            </w:r>
          </w:p>
        </w:tc>
        <w:tc>
          <w:tcPr>
            <w:tcW w:w="0" w:type="auto"/>
            <w:tcBorders>
              <w:top w:val="nil"/>
              <w:left w:val="nil"/>
              <w:bottom w:val="nil"/>
              <w:right w:val="nil"/>
            </w:tcBorders>
            <w:shd w:val="clear" w:color="auto" w:fill="auto"/>
            <w:noWrap/>
            <w:vAlign w:val="center"/>
            <w:hideMark/>
          </w:tcPr>
          <w:p w14:paraId="51CCBE06" w14:textId="77777777" w:rsidR="00024B0D" w:rsidRPr="0019001C" w:rsidRDefault="00024B0D" w:rsidP="007B548A">
            <w:pPr>
              <w:spacing w:after="0" w:line="240" w:lineRule="auto"/>
              <w:jc w:val="center"/>
              <w:rPr>
                <w:color w:val="000000"/>
                <w:sz w:val="20"/>
                <w:szCs w:val="20"/>
              </w:rPr>
            </w:pPr>
            <w:r w:rsidRPr="0019001C">
              <w:rPr>
                <w:color w:val="000000"/>
                <w:sz w:val="20"/>
                <w:szCs w:val="20"/>
              </w:rPr>
              <w:t>-</w:t>
            </w:r>
          </w:p>
        </w:tc>
      </w:tr>
      <w:tr w:rsidR="00024B0D" w:rsidRPr="006B7806" w14:paraId="4BE8BD68" w14:textId="77777777" w:rsidTr="007B548A">
        <w:trPr>
          <w:trHeight w:val="20"/>
        </w:trPr>
        <w:tc>
          <w:tcPr>
            <w:tcW w:w="2977" w:type="dxa"/>
            <w:tcBorders>
              <w:top w:val="nil"/>
              <w:left w:val="nil"/>
              <w:bottom w:val="nil"/>
              <w:right w:val="nil"/>
            </w:tcBorders>
            <w:shd w:val="clear" w:color="auto" w:fill="auto"/>
            <w:noWrap/>
            <w:vAlign w:val="bottom"/>
            <w:hideMark/>
          </w:tcPr>
          <w:p w14:paraId="1EA49334" w14:textId="77777777" w:rsidR="00024B0D" w:rsidRPr="0019001C" w:rsidRDefault="00024B0D" w:rsidP="007B548A">
            <w:pPr>
              <w:spacing w:after="0" w:line="240" w:lineRule="auto"/>
              <w:ind w:firstLineChars="100" w:firstLine="200"/>
              <w:rPr>
                <w:color w:val="000000"/>
                <w:sz w:val="20"/>
                <w:szCs w:val="20"/>
              </w:rPr>
            </w:pPr>
            <w:r w:rsidRPr="0019001C">
              <w:rPr>
                <w:color w:val="000000"/>
                <w:sz w:val="20"/>
                <w:szCs w:val="20"/>
              </w:rPr>
              <w:t>ŠPP</w:t>
            </w:r>
          </w:p>
        </w:tc>
        <w:tc>
          <w:tcPr>
            <w:tcW w:w="1276" w:type="dxa"/>
            <w:tcBorders>
              <w:top w:val="nil"/>
              <w:left w:val="nil"/>
              <w:bottom w:val="nil"/>
              <w:right w:val="nil"/>
            </w:tcBorders>
            <w:shd w:val="clear" w:color="auto" w:fill="auto"/>
            <w:noWrap/>
            <w:hideMark/>
          </w:tcPr>
          <w:p w14:paraId="2AB0036A" w14:textId="77777777" w:rsidR="00024B0D" w:rsidRPr="0019001C" w:rsidRDefault="00024B0D" w:rsidP="007B548A">
            <w:pPr>
              <w:spacing w:after="0" w:line="240" w:lineRule="auto"/>
              <w:jc w:val="right"/>
              <w:rPr>
                <w:color w:val="000000"/>
                <w:sz w:val="20"/>
                <w:szCs w:val="20"/>
              </w:rPr>
            </w:pPr>
            <w:r>
              <w:rPr>
                <w:color w:val="000000"/>
                <w:sz w:val="20"/>
                <w:szCs w:val="20"/>
              </w:rPr>
              <w:t>1 5</w:t>
            </w:r>
            <w:r w:rsidRPr="0019001C">
              <w:rPr>
                <w:color w:val="000000"/>
                <w:sz w:val="20"/>
                <w:szCs w:val="20"/>
              </w:rPr>
              <w:t>00 000</w:t>
            </w:r>
          </w:p>
        </w:tc>
        <w:tc>
          <w:tcPr>
            <w:tcW w:w="1821" w:type="dxa"/>
            <w:tcBorders>
              <w:top w:val="nil"/>
              <w:left w:val="nil"/>
              <w:bottom w:val="nil"/>
              <w:right w:val="nil"/>
            </w:tcBorders>
            <w:shd w:val="clear" w:color="auto" w:fill="auto"/>
            <w:noWrap/>
            <w:vAlign w:val="center"/>
            <w:hideMark/>
          </w:tcPr>
          <w:p w14:paraId="3D7FC4F6" w14:textId="77777777" w:rsidR="00024B0D" w:rsidRPr="0019001C" w:rsidRDefault="00024B0D" w:rsidP="007B548A">
            <w:pPr>
              <w:spacing w:after="0" w:line="240" w:lineRule="auto"/>
              <w:jc w:val="center"/>
              <w:rPr>
                <w:color w:val="000000"/>
                <w:sz w:val="20"/>
                <w:szCs w:val="20"/>
              </w:rPr>
            </w:pPr>
            <w:r>
              <w:rPr>
                <w:color w:val="000000"/>
                <w:sz w:val="20"/>
                <w:szCs w:val="20"/>
              </w:rPr>
              <w:t>-0,2</w:t>
            </w:r>
            <w:r w:rsidRPr="0019001C">
              <w:rPr>
                <w:color w:val="000000"/>
                <w:sz w:val="20"/>
                <w:szCs w:val="20"/>
              </w:rPr>
              <w:t>%</w:t>
            </w:r>
          </w:p>
        </w:tc>
        <w:tc>
          <w:tcPr>
            <w:tcW w:w="0" w:type="auto"/>
            <w:tcBorders>
              <w:top w:val="nil"/>
              <w:left w:val="nil"/>
              <w:bottom w:val="nil"/>
              <w:right w:val="nil"/>
            </w:tcBorders>
            <w:shd w:val="clear" w:color="auto" w:fill="auto"/>
            <w:noWrap/>
            <w:vAlign w:val="center"/>
            <w:hideMark/>
          </w:tcPr>
          <w:p w14:paraId="69B3E7D5" w14:textId="77777777" w:rsidR="00024B0D" w:rsidRPr="0019001C" w:rsidRDefault="00024B0D" w:rsidP="007B548A">
            <w:pPr>
              <w:spacing w:after="0" w:line="240" w:lineRule="auto"/>
              <w:jc w:val="center"/>
              <w:rPr>
                <w:color w:val="000000"/>
                <w:sz w:val="20"/>
                <w:szCs w:val="20"/>
              </w:rPr>
            </w:pPr>
            <w:r>
              <w:rPr>
                <w:color w:val="000000"/>
                <w:sz w:val="20"/>
                <w:szCs w:val="20"/>
              </w:rPr>
              <w:t>0,9</w:t>
            </w:r>
          </w:p>
        </w:tc>
        <w:tc>
          <w:tcPr>
            <w:tcW w:w="0" w:type="auto"/>
            <w:tcBorders>
              <w:top w:val="nil"/>
              <w:left w:val="nil"/>
              <w:bottom w:val="nil"/>
              <w:right w:val="nil"/>
            </w:tcBorders>
            <w:shd w:val="clear" w:color="auto" w:fill="auto"/>
            <w:noWrap/>
            <w:vAlign w:val="center"/>
            <w:hideMark/>
          </w:tcPr>
          <w:p w14:paraId="35D1C7BF" w14:textId="77777777" w:rsidR="00024B0D" w:rsidRPr="0019001C" w:rsidRDefault="00024B0D" w:rsidP="007B548A">
            <w:pPr>
              <w:spacing w:after="0" w:line="240" w:lineRule="auto"/>
              <w:jc w:val="center"/>
              <w:rPr>
                <w:color w:val="000000"/>
                <w:sz w:val="20"/>
                <w:szCs w:val="20"/>
              </w:rPr>
            </w:pPr>
            <w:r>
              <w:rPr>
                <w:color w:val="000000"/>
                <w:sz w:val="20"/>
                <w:szCs w:val="20"/>
              </w:rPr>
              <w:t>-</w:t>
            </w:r>
          </w:p>
        </w:tc>
      </w:tr>
      <w:tr w:rsidR="00024B0D" w:rsidRPr="006B7806" w14:paraId="1EBF03EE" w14:textId="77777777" w:rsidTr="007B548A">
        <w:trPr>
          <w:trHeight w:val="20"/>
        </w:trPr>
        <w:tc>
          <w:tcPr>
            <w:tcW w:w="2977" w:type="dxa"/>
            <w:tcBorders>
              <w:top w:val="nil"/>
              <w:left w:val="nil"/>
              <w:bottom w:val="nil"/>
              <w:right w:val="nil"/>
            </w:tcBorders>
            <w:shd w:val="clear" w:color="auto" w:fill="auto"/>
            <w:noWrap/>
            <w:vAlign w:val="bottom"/>
            <w:hideMark/>
          </w:tcPr>
          <w:p w14:paraId="3AB72283" w14:textId="77777777" w:rsidR="00024B0D" w:rsidRPr="0019001C" w:rsidRDefault="00024B0D" w:rsidP="007B548A">
            <w:pPr>
              <w:spacing w:after="0" w:line="240" w:lineRule="auto"/>
              <w:ind w:firstLineChars="100" w:firstLine="200"/>
              <w:rPr>
                <w:color w:val="000000"/>
                <w:sz w:val="20"/>
                <w:szCs w:val="20"/>
              </w:rPr>
            </w:pPr>
            <w:r w:rsidRPr="0019001C">
              <w:rPr>
                <w:color w:val="000000"/>
                <w:sz w:val="20"/>
                <w:szCs w:val="20"/>
              </w:rPr>
              <w:t xml:space="preserve">Úvery </w:t>
            </w:r>
          </w:p>
        </w:tc>
        <w:tc>
          <w:tcPr>
            <w:tcW w:w="1276" w:type="dxa"/>
            <w:tcBorders>
              <w:top w:val="nil"/>
              <w:left w:val="nil"/>
              <w:bottom w:val="nil"/>
              <w:right w:val="nil"/>
            </w:tcBorders>
            <w:shd w:val="clear" w:color="auto" w:fill="auto"/>
            <w:noWrap/>
            <w:hideMark/>
          </w:tcPr>
          <w:p w14:paraId="1EB3CC5D" w14:textId="77777777" w:rsidR="00024B0D" w:rsidRPr="0019001C" w:rsidRDefault="00024B0D" w:rsidP="007B548A">
            <w:pPr>
              <w:spacing w:after="0" w:line="240" w:lineRule="auto"/>
              <w:jc w:val="right"/>
              <w:rPr>
                <w:color w:val="000000"/>
                <w:sz w:val="20"/>
                <w:szCs w:val="20"/>
              </w:rPr>
            </w:pPr>
            <w:r w:rsidRPr="0019001C">
              <w:rPr>
                <w:color w:val="000000"/>
                <w:sz w:val="20"/>
                <w:szCs w:val="20"/>
              </w:rPr>
              <w:t>1 127 970</w:t>
            </w:r>
          </w:p>
        </w:tc>
        <w:tc>
          <w:tcPr>
            <w:tcW w:w="1821" w:type="dxa"/>
            <w:tcBorders>
              <w:top w:val="nil"/>
              <w:left w:val="nil"/>
              <w:bottom w:val="nil"/>
              <w:right w:val="nil"/>
            </w:tcBorders>
            <w:shd w:val="clear" w:color="auto" w:fill="auto"/>
            <w:noWrap/>
            <w:vAlign w:val="center"/>
            <w:hideMark/>
          </w:tcPr>
          <w:p w14:paraId="72B3DE47" w14:textId="77777777" w:rsidR="00024B0D" w:rsidRPr="0019001C" w:rsidRDefault="00024B0D" w:rsidP="007B548A">
            <w:pPr>
              <w:spacing w:after="0" w:line="240" w:lineRule="auto"/>
              <w:jc w:val="center"/>
              <w:rPr>
                <w:color w:val="000000"/>
                <w:sz w:val="20"/>
                <w:szCs w:val="20"/>
              </w:rPr>
            </w:pPr>
            <w:r w:rsidRPr="0019001C">
              <w:rPr>
                <w:color w:val="000000"/>
                <w:sz w:val="20"/>
                <w:szCs w:val="20"/>
              </w:rPr>
              <w:t>0,1%</w:t>
            </w:r>
          </w:p>
        </w:tc>
        <w:tc>
          <w:tcPr>
            <w:tcW w:w="0" w:type="auto"/>
            <w:tcBorders>
              <w:top w:val="nil"/>
              <w:left w:val="nil"/>
              <w:bottom w:val="nil"/>
              <w:right w:val="nil"/>
            </w:tcBorders>
            <w:shd w:val="clear" w:color="auto" w:fill="auto"/>
            <w:noWrap/>
            <w:vAlign w:val="center"/>
            <w:hideMark/>
          </w:tcPr>
          <w:p w14:paraId="79634978" w14:textId="77777777" w:rsidR="00024B0D" w:rsidRPr="0019001C" w:rsidRDefault="00024B0D" w:rsidP="007B548A">
            <w:pPr>
              <w:spacing w:after="0" w:line="240" w:lineRule="auto"/>
              <w:jc w:val="center"/>
              <w:rPr>
                <w:color w:val="000000"/>
                <w:sz w:val="20"/>
                <w:szCs w:val="20"/>
              </w:rPr>
            </w:pPr>
            <w:r w:rsidRPr="0019001C">
              <w:rPr>
                <w:color w:val="000000"/>
                <w:sz w:val="20"/>
                <w:szCs w:val="20"/>
              </w:rPr>
              <w:t>9,0</w:t>
            </w:r>
          </w:p>
        </w:tc>
        <w:tc>
          <w:tcPr>
            <w:tcW w:w="0" w:type="auto"/>
            <w:tcBorders>
              <w:top w:val="nil"/>
              <w:left w:val="nil"/>
              <w:bottom w:val="nil"/>
              <w:right w:val="nil"/>
            </w:tcBorders>
            <w:shd w:val="clear" w:color="auto" w:fill="auto"/>
            <w:noWrap/>
            <w:vAlign w:val="center"/>
            <w:hideMark/>
          </w:tcPr>
          <w:p w14:paraId="71066E36" w14:textId="77777777" w:rsidR="00024B0D" w:rsidRPr="0019001C" w:rsidRDefault="00024B0D" w:rsidP="007B548A">
            <w:pPr>
              <w:spacing w:after="0" w:line="240" w:lineRule="auto"/>
              <w:jc w:val="center"/>
              <w:rPr>
                <w:color w:val="000000"/>
                <w:sz w:val="20"/>
                <w:szCs w:val="20"/>
              </w:rPr>
            </w:pPr>
            <w:r w:rsidRPr="0019001C">
              <w:rPr>
                <w:color w:val="000000"/>
                <w:sz w:val="20"/>
                <w:szCs w:val="20"/>
              </w:rPr>
              <w:t>fixná</w:t>
            </w:r>
          </w:p>
        </w:tc>
      </w:tr>
      <w:tr w:rsidR="00024B0D" w:rsidRPr="006B7806" w14:paraId="3F833046" w14:textId="77777777" w:rsidTr="007B548A">
        <w:trPr>
          <w:trHeight w:val="20"/>
        </w:trPr>
        <w:tc>
          <w:tcPr>
            <w:tcW w:w="2977" w:type="dxa"/>
            <w:tcBorders>
              <w:top w:val="nil"/>
              <w:left w:val="nil"/>
              <w:bottom w:val="nil"/>
              <w:right w:val="nil"/>
            </w:tcBorders>
            <w:shd w:val="clear" w:color="auto" w:fill="auto"/>
            <w:noWrap/>
            <w:vAlign w:val="bottom"/>
            <w:hideMark/>
          </w:tcPr>
          <w:p w14:paraId="2106941C" w14:textId="77777777" w:rsidR="00024B0D" w:rsidRPr="0019001C" w:rsidRDefault="00024B0D" w:rsidP="007B548A">
            <w:pPr>
              <w:spacing w:after="0" w:line="240" w:lineRule="auto"/>
              <w:ind w:firstLineChars="100" w:firstLine="200"/>
              <w:rPr>
                <w:b/>
                <w:color w:val="000000"/>
                <w:sz w:val="20"/>
                <w:szCs w:val="20"/>
              </w:rPr>
            </w:pPr>
            <w:r>
              <w:rPr>
                <w:b/>
                <w:color w:val="000000"/>
                <w:sz w:val="20"/>
                <w:szCs w:val="20"/>
              </w:rPr>
              <w:t>Dlh spolu</w:t>
            </w:r>
          </w:p>
        </w:tc>
        <w:tc>
          <w:tcPr>
            <w:tcW w:w="1276" w:type="dxa"/>
            <w:tcBorders>
              <w:top w:val="nil"/>
              <w:left w:val="nil"/>
              <w:bottom w:val="nil"/>
              <w:right w:val="nil"/>
            </w:tcBorders>
            <w:shd w:val="clear" w:color="auto" w:fill="auto"/>
            <w:noWrap/>
            <w:hideMark/>
          </w:tcPr>
          <w:p w14:paraId="146CB710" w14:textId="77777777" w:rsidR="00024B0D" w:rsidRPr="0019001C" w:rsidRDefault="00024B0D" w:rsidP="007B548A">
            <w:pPr>
              <w:spacing w:after="0" w:line="240" w:lineRule="auto"/>
              <w:ind w:firstLine="220"/>
              <w:jc w:val="right"/>
              <w:rPr>
                <w:b/>
                <w:color w:val="000000"/>
                <w:sz w:val="20"/>
                <w:szCs w:val="20"/>
              </w:rPr>
            </w:pPr>
            <w:r>
              <w:rPr>
                <w:b/>
                <w:color w:val="000000"/>
                <w:sz w:val="20"/>
                <w:szCs w:val="20"/>
              </w:rPr>
              <w:t>12</w:t>
            </w:r>
            <w:r w:rsidRPr="0019001C">
              <w:rPr>
                <w:b/>
                <w:color w:val="000000"/>
                <w:sz w:val="20"/>
                <w:szCs w:val="20"/>
              </w:rPr>
              <w:t xml:space="preserve"> </w:t>
            </w:r>
            <w:r>
              <w:rPr>
                <w:b/>
                <w:color w:val="000000"/>
                <w:sz w:val="20"/>
                <w:szCs w:val="20"/>
              </w:rPr>
              <w:t>6</w:t>
            </w:r>
            <w:r w:rsidRPr="0019001C">
              <w:rPr>
                <w:b/>
                <w:color w:val="000000"/>
                <w:sz w:val="20"/>
                <w:szCs w:val="20"/>
              </w:rPr>
              <w:t>23 670</w:t>
            </w:r>
          </w:p>
        </w:tc>
        <w:tc>
          <w:tcPr>
            <w:tcW w:w="1821" w:type="dxa"/>
            <w:tcBorders>
              <w:top w:val="nil"/>
              <w:left w:val="nil"/>
              <w:bottom w:val="nil"/>
              <w:right w:val="nil"/>
            </w:tcBorders>
            <w:shd w:val="clear" w:color="auto" w:fill="auto"/>
            <w:noWrap/>
            <w:vAlign w:val="center"/>
            <w:hideMark/>
          </w:tcPr>
          <w:p w14:paraId="29B79FD4" w14:textId="77777777" w:rsidR="00024B0D" w:rsidRPr="0019001C" w:rsidRDefault="00024B0D" w:rsidP="007B548A">
            <w:pPr>
              <w:spacing w:after="0" w:line="240" w:lineRule="auto"/>
              <w:jc w:val="center"/>
              <w:rPr>
                <w:color w:val="000000"/>
                <w:sz w:val="20"/>
                <w:szCs w:val="20"/>
              </w:rPr>
            </w:pPr>
            <w:r w:rsidRPr="0019001C">
              <w:rPr>
                <w:color w:val="000000"/>
                <w:sz w:val="20"/>
                <w:szCs w:val="20"/>
              </w:rPr>
              <w:t xml:space="preserve">- </w:t>
            </w:r>
          </w:p>
        </w:tc>
        <w:tc>
          <w:tcPr>
            <w:tcW w:w="0" w:type="auto"/>
            <w:tcBorders>
              <w:top w:val="nil"/>
              <w:left w:val="nil"/>
              <w:bottom w:val="nil"/>
              <w:right w:val="nil"/>
            </w:tcBorders>
            <w:shd w:val="clear" w:color="auto" w:fill="auto"/>
            <w:noWrap/>
            <w:vAlign w:val="center"/>
            <w:hideMark/>
          </w:tcPr>
          <w:p w14:paraId="047B58A4" w14:textId="77777777" w:rsidR="00024B0D" w:rsidRPr="0019001C" w:rsidRDefault="00024B0D" w:rsidP="007B548A">
            <w:pPr>
              <w:spacing w:after="0" w:line="240" w:lineRule="auto"/>
              <w:jc w:val="center"/>
              <w:rPr>
                <w:color w:val="000000"/>
                <w:sz w:val="20"/>
                <w:szCs w:val="20"/>
              </w:rPr>
            </w:pPr>
            <w:r w:rsidRPr="0019001C">
              <w:rPr>
                <w:color w:val="000000"/>
                <w:sz w:val="20"/>
                <w:szCs w:val="20"/>
              </w:rPr>
              <w:t xml:space="preserve">-  </w:t>
            </w:r>
          </w:p>
        </w:tc>
        <w:tc>
          <w:tcPr>
            <w:tcW w:w="0" w:type="auto"/>
            <w:tcBorders>
              <w:top w:val="nil"/>
              <w:left w:val="nil"/>
              <w:bottom w:val="nil"/>
              <w:right w:val="nil"/>
            </w:tcBorders>
            <w:shd w:val="clear" w:color="auto" w:fill="auto"/>
            <w:noWrap/>
            <w:vAlign w:val="center"/>
            <w:hideMark/>
          </w:tcPr>
          <w:p w14:paraId="0B045024" w14:textId="77777777" w:rsidR="00024B0D" w:rsidRPr="0019001C" w:rsidRDefault="00024B0D" w:rsidP="007B548A">
            <w:pPr>
              <w:spacing w:after="0" w:line="240" w:lineRule="auto"/>
              <w:jc w:val="center"/>
              <w:rPr>
                <w:color w:val="000000"/>
                <w:sz w:val="20"/>
                <w:szCs w:val="20"/>
              </w:rPr>
            </w:pPr>
            <w:r w:rsidRPr="0019001C">
              <w:rPr>
                <w:color w:val="000000"/>
                <w:sz w:val="20"/>
                <w:szCs w:val="20"/>
              </w:rPr>
              <w:t xml:space="preserve"> - </w:t>
            </w:r>
          </w:p>
        </w:tc>
      </w:tr>
      <w:tr w:rsidR="00024B0D" w:rsidRPr="006B7806" w14:paraId="1DFDF7C9" w14:textId="77777777" w:rsidTr="007B548A">
        <w:trPr>
          <w:trHeight w:val="20"/>
        </w:trPr>
        <w:tc>
          <w:tcPr>
            <w:tcW w:w="2977" w:type="dxa"/>
            <w:tcBorders>
              <w:top w:val="nil"/>
              <w:left w:val="nil"/>
              <w:bottom w:val="nil"/>
              <w:right w:val="nil"/>
            </w:tcBorders>
            <w:shd w:val="clear" w:color="auto" w:fill="auto"/>
            <w:noWrap/>
            <w:vAlign w:val="bottom"/>
            <w:hideMark/>
          </w:tcPr>
          <w:p w14:paraId="26DFB3F0" w14:textId="77777777" w:rsidR="00024B0D" w:rsidRPr="0019001C" w:rsidRDefault="00024B0D" w:rsidP="007B548A">
            <w:pPr>
              <w:spacing w:after="0" w:line="240" w:lineRule="auto"/>
              <w:ind w:firstLineChars="100" w:firstLine="200"/>
              <w:rPr>
                <w:color w:val="000000"/>
                <w:sz w:val="20"/>
                <w:szCs w:val="20"/>
              </w:rPr>
            </w:pPr>
            <w:r w:rsidRPr="0019001C">
              <w:rPr>
                <w:color w:val="000000"/>
                <w:sz w:val="20"/>
                <w:szCs w:val="20"/>
              </w:rPr>
              <w:t xml:space="preserve">ŠD spätný </w:t>
            </w:r>
            <w:proofErr w:type="spellStart"/>
            <w:r w:rsidRPr="0019001C">
              <w:rPr>
                <w:color w:val="000000"/>
                <w:sz w:val="20"/>
                <w:szCs w:val="20"/>
              </w:rPr>
              <w:t>odkup</w:t>
            </w:r>
            <w:proofErr w:type="spellEnd"/>
            <w:r w:rsidRPr="0019001C">
              <w:rPr>
                <w:color w:val="000000"/>
                <w:sz w:val="20"/>
                <w:szCs w:val="20"/>
              </w:rPr>
              <w:t xml:space="preserve"> (2020)</w:t>
            </w:r>
          </w:p>
        </w:tc>
        <w:tc>
          <w:tcPr>
            <w:tcW w:w="1276" w:type="dxa"/>
            <w:tcBorders>
              <w:top w:val="nil"/>
              <w:left w:val="nil"/>
              <w:bottom w:val="nil"/>
              <w:right w:val="nil"/>
            </w:tcBorders>
            <w:shd w:val="clear" w:color="auto" w:fill="auto"/>
            <w:noWrap/>
            <w:hideMark/>
          </w:tcPr>
          <w:p w14:paraId="6F06D51A" w14:textId="77777777" w:rsidR="00024B0D" w:rsidRPr="0019001C" w:rsidRDefault="00024B0D" w:rsidP="007B548A">
            <w:pPr>
              <w:spacing w:after="0" w:line="240" w:lineRule="auto"/>
              <w:jc w:val="right"/>
              <w:rPr>
                <w:color w:val="000000"/>
                <w:sz w:val="20"/>
                <w:szCs w:val="20"/>
              </w:rPr>
            </w:pPr>
            <w:r w:rsidRPr="0019001C">
              <w:rPr>
                <w:color w:val="000000"/>
                <w:sz w:val="20"/>
                <w:szCs w:val="20"/>
              </w:rPr>
              <w:t xml:space="preserve">0 </w:t>
            </w:r>
          </w:p>
        </w:tc>
        <w:tc>
          <w:tcPr>
            <w:tcW w:w="1821" w:type="dxa"/>
            <w:tcBorders>
              <w:top w:val="nil"/>
              <w:left w:val="nil"/>
              <w:bottom w:val="nil"/>
              <w:right w:val="nil"/>
            </w:tcBorders>
            <w:shd w:val="clear" w:color="auto" w:fill="auto"/>
            <w:noWrap/>
            <w:vAlign w:val="center"/>
            <w:hideMark/>
          </w:tcPr>
          <w:p w14:paraId="742A3B41" w14:textId="77777777" w:rsidR="00024B0D" w:rsidRPr="0019001C" w:rsidRDefault="00024B0D" w:rsidP="007B548A">
            <w:pPr>
              <w:spacing w:after="0" w:line="240" w:lineRule="auto"/>
              <w:jc w:val="center"/>
              <w:rPr>
                <w:color w:val="000000"/>
                <w:sz w:val="20"/>
                <w:szCs w:val="20"/>
              </w:rPr>
            </w:pPr>
            <w:r w:rsidRPr="0019001C">
              <w:rPr>
                <w:color w:val="000000"/>
                <w:sz w:val="20"/>
                <w:szCs w:val="20"/>
              </w:rPr>
              <w:t>-</w:t>
            </w:r>
          </w:p>
        </w:tc>
        <w:tc>
          <w:tcPr>
            <w:tcW w:w="0" w:type="auto"/>
            <w:tcBorders>
              <w:top w:val="nil"/>
              <w:left w:val="nil"/>
              <w:bottom w:val="nil"/>
              <w:right w:val="nil"/>
            </w:tcBorders>
            <w:shd w:val="clear" w:color="auto" w:fill="auto"/>
            <w:noWrap/>
            <w:vAlign w:val="center"/>
            <w:hideMark/>
          </w:tcPr>
          <w:p w14:paraId="133033B6" w14:textId="77777777" w:rsidR="00024B0D" w:rsidRPr="0019001C" w:rsidRDefault="00024B0D" w:rsidP="007B548A">
            <w:pPr>
              <w:spacing w:after="0" w:line="240" w:lineRule="auto"/>
              <w:jc w:val="center"/>
              <w:rPr>
                <w:color w:val="000000"/>
                <w:sz w:val="20"/>
                <w:szCs w:val="20"/>
              </w:rPr>
            </w:pPr>
            <w:r w:rsidRPr="0019001C">
              <w:rPr>
                <w:color w:val="000000"/>
                <w:sz w:val="20"/>
                <w:szCs w:val="20"/>
              </w:rPr>
              <w:t>-</w:t>
            </w:r>
          </w:p>
        </w:tc>
        <w:tc>
          <w:tcPr>
            <w:tcW w:w="0" w:type="auto"/>
            <w:tcBorders>
              <w:top w:val="nil"/>
              <w:left w:val="nil"/>
              <w:bottom w:val="nil"/>
              <w:right w:val="nil"/>
            </w:tcBorders>
            <w:shd w:val="clear" w:color="auto" w:fill="auto"/>
            <w:noWrap/>
            <w:vAlign w:val="center"/>
            <w:hideMark/>
          </w:tcPr>
          <w:p w14:paraId="3B3C93C6" w14:textId="77777777" w:rsidR="00024B0D" w:rsidRPr="0019001C" w:rsidRDefault="00024B0D" w:rsidP="007B548A">
            <w:pPr>
              <w:spacing w:after="0" w:line="240" w:lineRule="auto"/>
              <w:ind w:left="55"/>
              <w:jc w:val="center"/>
              <w:rPr>
                <w:color w:val="000000"/>
                <w:sz w:val="20"/>
                <w:szCs w:val="20"/>
              </w:rPr>
            </w:pPr>
            <w:r w:rsidRPr="0019001C">
              <w:rPr>
                <w:color w:val="000000"/>
                <w:sz w:val="20"/>
                <w:szCs w:val="20"/>
              </w:rPr>
              <w:t>-</w:t>
            </w:r>
          </w:p>
        </w:tc>
      </w:tr>
      <w:tr w:rsidR="00024B0D" w:rsidRPr="006B7806" w14:paraId="15428E31" w14:textId="77777777" w:rsidTr="007B548A">
        <w:trPr>
          <w:trHeight w:val="20"/>
        </w:trPr>
        <w:tc>
          <w:tcPr>
            <w:tcW w:w="2977" w:type="dxa"/>
            <w:tcBorders>
              <w:top w:val="nil"/>
              <w:left w:val="nil"/>
              <w:bottom w:val="single" w:sz="4" w:space="0" w:color="auto"/>
              <w:right w:val="nil"/>
            </w:tcBorders>
            <w:shd w:val="clear" w:color="auto" w:fill="auto"/>
            <w:noWrap/>
            <w:vAlign w:val="bottom"/>
            <w:hideMark/>
          </w:tcPr>
          <w:p w14:paraId="3317A03A" w14:textId="77777777" w:rsidR="00024B0D" w:rsidRPr="0019001C" w:rsidRDefault="00024B0D" w:rsidP="007B548A">
            <w:pPr>
              <w:spacing w:after="0" w:line="240" w:lineRule="auto"/>
              <w:ind w:firstLineChars="100" w:firstLine="200"/>
              <w:rPr>
                <w:b/>
                <w:color w:val="000000"/>
                <w:sz w:val="20"/>
                <w:szCs w:val="20"/>
              </w:rPr>
            </w:pPr>
            <w:r>
              <w:rPr>
                <w:b/>
                <w:color w:val="000000"/>
                <w:sz w:val="20"/>
                <w:szCs w:val="20"/>
              </w:rPr>
              <w:t xml:space="preserve">Dlh upravený o spätný </w:t>
            </w:r>
            <w:proofErr w:type="spellStart"/>
            <w:r>
              <w:rPr>
                <w:b/>
                <w:color w:val="000000"/>
                <w:sz w:val="20"/>
                <w:szCs w:val="20"/>
              </w:rPr>
              <w:t>odkup</w:t>
            </w:r>
            <w:proofErr w:type="spellEnd"/>
          </w:p>
        </w:tc>
        <w:tc>
          <w:tcPr>
            <w:tcW w:w="1276" w:type="dxa"/>
            <w:tcBorders>
              <w:top w:val="nil"/>
              <w:left w:val="nil"/>
              <w:bottom w:val="single" w:sz="4" w:space="0" w:color="auto"/>
              <w:right w:val="nil"/>
            </w:tcBorders>
            <w:shd w:val="clear" w:color="auto" w:fill="auto"/>
            <w:noWrap/>
            <w:hideMark/>
          </w:tcPr>
          <w:p w14:paraId="2C6AB27B" w14:textId="77777777" w:rsidR="00024B0D" w:rsidRPr="0019001C" w:rsidRDefault="00024B0D" w:rsidP="007B548A">
            <w:pPr>
              <w:spacing w:after="0" w:line="240" w:lineRule="auto"/>
              <w:ind w:firstLine="220"/>
              <w:jc w:val="right"/>
              <w:rPr>
                <w:b/>
                <w:color w:val="000000"/>
                <w:sz w:val="20"/>
                <w:szCs w:val="20"/>
              </w:rPr>
            </w:pPr>
            <w:r w:rsidRPr="0019001C">
              <w:rPr>
                <w:b/>
                <w:color w:val="000000"/>
                <w:sz w:val="20"/>
                <w:szCs w:val="20"/>
              </w:rPr>
              <w:t>1</w:t>
            </w:r>
            <w:r>
              <w:rPr>
                <w:b/>
                <w:color w:val="000000"/>
                <w:sz w:val="20"/>
                <w:szCs w:val="20"/>
              </w:rPr>
              <w:t>2</w:t>
            </w:r>
            <w:r w:rsidRPr="0019001C">
              <w:rPr>
                <w:b/>
                <w:color w:val="000000"/>
                <w:sz w:val="20"/>
                <w:szCs w:val="20"/>
              </w:rPr>
              <w:t xml:space="preserve"> </w:t>
            </w:r>
            <w:r>
              <w:rPr>
                <w:b/>
                <w:color w:val="000000"/>
                <w:sz w:val="20"/>
                <w:szCs w:val="20"/>
              </w:rPr>
              <w:t>6</w:t>
            </w:r>
            <w:r w:rsidRPr="0019001C">
              <w:rPr>
                <w:b/>
                <w:color w:val="000000"/>
                <w:sz w:val="20"/>
                <w:szCs w:val="20"/>
              </w:rPr>
              <w:t>23 670</w:t>
            </w:r>
          </w:p>
        </w:tc>
        <w:tc>
          <w:tcPr>
            <w:tcW w:w="1821" w:type="dxa"/>
            <w:tcBorders>
              <w:top w:val="nil"/>
              <w:left w:val="nil"/>
              <w:bottom w:val="single" w:sz="4" w:space="0" w:color="auto"/>
              <w:right w:val="nil"/>
            </w:tcBorders>
            <w:shd w:val="clear" w:color="auto" w:fill="auto"/>
            <w:noWrap/>
            <w:vAlign w:val="center"/>
            <w:hideMark/>
          </w:tcPr>
          <w:p w14:paraId="144DD142" w14:textId="77777777" w:rsidR="00024B0D" w:rsidRPr="0019001C" w:rsidRDefault="00024B0D" w:rsidP="007B548A">
            <w:pPr>
              <w:spacing w:after="0" w:line="240" w:lineRule="auto"/>
              <w:jc w:val="center"/>
              <w:rPr>
                <w:color w:val="000000"/>
                <w:sz w:val="20"/>
                <w:szCs w:val="20"/>
              </w:rPr>
            </w:pPr>
            <w:r w:rsidRPr="0019001C">
              <w:rPr>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14:paraId="086189C7" w14:textId="77777777" w:rsidR="00024B0D" w:rsidRPr="0019001C" w:rsidRDefault="00024B0D" w:rsidP="007B548A">
            <w:pPr>
              <w:spacing w:after="0" w:line="240" w:lineRule="auto"/>
              <w:jc w:val="center"/>
              <w:rPr>
                <w:color w:val="000000"/>
                <w:sz w:val="20"/>
                <w:szCs w:val="20"/>
              </w:rPr>
            </w:pPr>
            <w:r w:rsidRPr="0019001C">
              <w:rPr>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14:paraId="20EF3EA2" w14:textId="77777777" w:rsidR="00024B0D" w:rsidRPr="0019001C" w:rsidRDefault="00024B0D" w:rsidP="007B548A">
            <w:pPr>
              <w:spacing w:after="0" w:line="240" w:lineRule="auto"/>
              <w:ind w:firstLine="55"/>
              <w:jc w:val="center"/>
              <w:rPr>
                <w:color w:val="000000"/>
                <w:sz w:val="20"/>
                <w:szCs w:val="20"/>
              </w:rPr>
            </w:pPr>
            <w:r w:rsidRPr="0019001C">
              <w:rPr>
                <w:color w:val="000000"/>
                <w:sz w:val="20"/>
                <w:szCs w:val="20"/>
              </w:rPr>
              <w:t>-</w:t>
            </w:r>
          </w:p>
        </w:tc>
      </w:tr>
    </w:tbl>
    <w:p w14:paraId="3555B043" w14:textId="29EE6812" w:rsidR="00024B0D" w:rsidRDefault="00024B0D" w:rsidP="00024B0D">
      <w:pPr>
        <w:spacing w:before="240" w:after="120" w:line="240" w:lineRule="auto"/>
        <w:jc w:val="both"/>
      </w:pPr>
      <w:r w:rsidRPr="002D54E0">
        <w:t>Štruktúra prezentovaných priemerných úrokov (nákladov) a splatností zodpovedá jednotlivým druhom cenných papierov, ktoré boli v rámci svojej kategórie agregované. „ŠD fix“ označuje dl</w:t>
      </w:r>
      <w:r>
        <w:t>hopis s pevnou úrokovou sadzbou,</w:t>
      </w:r>
      <w:r w:rsidRPr="002D54E0">
        <w:t xml:space="preserve"> „ŠD </w:t>
      </w:r>
      <w:proofErr w:type="spellStart"/>
      <w:r w:rsidRPr="002D54E0">
        <w:t>float</w:t>
      </w:r>
      <w:proofErr w:type="spellEnd"/>
      <w:r w:rsidRPr="002D54E0">
        <w:t>“ dlhopis s plávajúcou úrokovou sadzbou, kde náklad tvorí meniaca sa sadzba (6M EURIBOR) a prirážka. „ŠD spätn</w:t>
      </w:r>
      <w:r>
        <w:t>ý</w:t>
      </w:r>
      <w:r w:rsidRPr="002D54E0">
        <w:t xml:space="preserve"> </w:t>
      </w:r>
      <w:proofErr w:type="spellStart"/>
      <w:r w:rsidRPr="002D54E0">
        <w:t>odkup</w:t>
      </w:r>
      <w:proofErr w:type="spellEnd"/>
      <w:r w:rsidRPr="002D54E0">
        <w:t xml:space="preserve">“ označujú predčasné umorenie štátnych dlhopisov pôvodne splatných v neskoršom období. Tieto transakcie fakticky </w:t>
      </w:r>
      <w:r>
        <w:t xml:space="preserve">môžu </w:t>
      </w:r>
      <w:r w:rsidRPr="002D54E0">
        <w:t>zníži</w:t>
      </w:r>
      <w:r>
        <w:t>ť dlh ku koncu roka 2020 resp. v priebehu roka 2020</w:t>
      </w:r>
      <w:r w:rsidRPr="002D54E0">
        <w:t>.</w:t>
      </w:r>
      <w:r>
        <w:t xml:space="preserve"> </w:t>
      </w:r>
      <w:r w:rsidRPr="004A49AA">
        <w:t>Vážená priemerná úroková sadzba všetkých dlhopisov „živých“ ku koncu roku 20</w:t>
      </w:r>
      <w:r>
        <w:t>20</w:t>
      </w:r>
      <w:r w:rsidRPr="004A49AA">
        <w:t xml:space="preserve"> sa znížila približne o</w:t>
      </w:r>
      <w:r>
        <w:t> </w:t>
      </w:r>
      <w:r w:rsidRPr="0014228A">
        <w:t>0,56%</w:t>
      </w:r>
      <w:r w:rsidRPr="004A49AA">
        <w:t xml:space="preserve"> oproti roku 201</w:t>
      </w:r>
      <w:r>
        <w:t>9</w:t>
      </w:r>
      <w:r w:rsidRPr="004A49AA">
        <w:t xml:space="preserve">, a to na </w:t>
      </w:r>
      <w:r w:rsidRPr="0014228A">
        <w:t>úroveň 1,91 %.</w:t>
      </w:r>
      <w:r w:rsidRPr="004A49AA">
        <w:t xml:space="preserve"> Zmenu spôsobil pokles priemerného nákladového úroku pri dlhopisoch s fixnou úrokovou sadzbou.</w:t>
      </w:r>
    </w:p>
    <w:p w14:paraId="3A1B4E89" w14:textId="77777777" w:rsidR="001A2E34" w:rsidRDefault="001A2E34" w:rsidP="00024B0D">
      <w:pPr>
        <w:spacing w:before="240" w:after="120" w:line="240" w:lineRule="auto"/>
        <w:jc w:val="both"/>
      </w:pPr>
    </w:p>
    <w:p w14:paraId="710AEC9B" w14:textId="37188FC9" w:rsidR="00A544B6" w:rsidRPr="004418C8" w:rsidRDefault="00AE09B9" w:rsidP="00AE09B9">
      <w:pPr>
        <w:pStyle w:val="Nadpis1"/>
        <w:numPr>
          <w:ilvl w:val="0"/>
          <w:numId w:val="0"/>
        </w:numPr>
        <w:ind w:left="1495" w:hanging="360"/>
        <w:rPr>
          <w:rFonts w:eastAsia="Times New Roman"/>
        </w:rPr>
      </w:pPr>
      <w:bookmarkStart w:id="50" w:name="_Toc85718906"/>
      <w:r w:rsidRPr="004418C8">
        <w:rPr>
          <w:rFonts w:eastAsia="Times New Roman"/>
        </w:rPr>
        <w:t xml:space="preserve">3. </w:t>
      </w:r>
      <w:r w:rsidR="00A544B6" w:rsidRPr="004418C8">
        <w:rPr>
          <w:rFonts w:eastAsia="Times New Roman"/>
        </w:rPr>
        <w:t>Čisté bohatstvo</w:t>
      </w:r>
      <w:bookmarkEnd w:id="44"/>
      <w:bookmarkEnd w:id="47"/>
      <w:bookmarkEnd w:id="48"/>
      <w:bookmarkEnd w:id="49"/>
      <w:bookmarkEnd w:id="50"/>
    </w:p>
    <w:p w14:paraId="4B23EA5F" w14:textId="0A66F0D5" w:rsidR="00C25021" w:rsidRPr="004418C8" w:rsidRDefault="007D1AB6" w:rsidP="00BF3111">
      <w:pPr>
        <w:spacing w:after="120" w:line="240" w:lineRule="auto"/>
        <w:jc w:val="both"/>
      </w:pPr>
      <w:r w:rsidRPr="004418C8">
        <w:rPr>
          <w:rFonts w:eastAsia="Cambria"/>
        </w:rPr>
        <w:t>Prvé dve kapitoly súhrnnej výročnej správy hodnotia hospodárenie verejných financií z pohľadu sektora verejnej správy tak, ako ho definuje metodik</w:t>
      </w:r>
      <w:r w:rsidR="004418C8">
        <w:rPr>
          <w:rFonts w:eastAsia="Cambria"/>
        </w:rPr>
        <w:t>a</w:t>
      </w:r>
      <w:r w:rsidRPr="004418C8">
        <w:rPr>
          <w:rFonts w:eastAsia="Cambria"/>
        </w:rPr>
        <w:t xml:space="preserve"> ESA</w:t>
      </w:r>
      <w:r w:rsidR="004418C8">
        <w:rPr>
          <w:rFonts w:eastAsia="Cambria"/>
        </w:rPr>
        <w:t>2010</w:t>
      </w:r>
      <w:r w:rsidRPr="004418C8">
        <w:rPr>
          <w:rFonts w:eastAsia="Cambria"/>
        </w:rPr>
        <w:t>. Tento pohľad je v podmienkach krajín EÚ najviac zaužívaný kvôli tomu, že európske fiškálne pravidlá</w:t>
      </w:r>
      <w:r w:rsidRPr="004418C8">
        <w:rPr>
          <w:rStyle w:val="Odkaznapoznmkupodiarou"/>
        </w:rPr>
        <w:footnoteReference w:id="25"/>
      </w:r>
      <w:r w:rsidRPr="004418C8">
        <w:rPr>
          <w:rFonts w:eastAsia="Cambria"/>
        </w:rPr>
        <w:t xml:space="preserve"> sú formulované pre verejnú správu a národné rozpočty </w:t>
      </w:r>
      <w:r w:rsidR="00D569D9" w:rsidRPr="004418C8">
        <w:rPr>
          <w:rFonts w:eastAsia="Cambria"/>
        </w:rPr>
        <w:t xml:space="preserve">väčšiny krajín sú zostavované </w:t>
      </w:r>
      <w:r w:rsidRPr="004418C8">
        <w:rPr>
          <w:rFonts w:eastAsia="Cambria"/>
        </w:rPr>
        <w:t xml:space="preserve">tiež za okruh verejnej správy a v tejto metodike. </w:t>
      </w:r>
      <w:r w:rsidRPr="004418C8">
        <w:rPr>
          <w:rFonts w:eastAsia="Cambria"/>
          <w:b/>
        </w:rPr>
        <w:t>Táto kapitola rozširuje pohľad na verejné financie z verejnej správy na verejný sektor a jeho hlavný ukazovateľ čisté bohatstvo.</w:t>
      </w:r>
      <w:r w:rsidRPr="004418C8">
        <w:rPr>
          <w:rFonts w:eastAsia="Cambria"/>
        </w:rPr>
        <w:t xml:space="preserve"> Povinnosť prezentovať v súhrnnej výročnej správe čisté bohatstvo a tiež informácie o hospodárení podnikov štátnej správy vyplýva z ústavného zákona o rozpočtovej zodpovednosti, pričom </w:t>
      </w:r>
      <w:r w:rsidRPr="004418C8">
        <w:rPr>
          <w:rFonts w:eastAsia="Cambria"/>
          <w:b/>
        </w:rPr>
        <w:t>dôraz je kladený na vysvetlenie medziročných zmien položiek čistého bohatstva.</w:t>
      </w:r>
    </w:p>
    <w:p w14:paraId="3BE3264A" w14:textId="77777777" w:rsidR="00A544B6" w:rsidRPr="004418C8" w:rsidRDefault="00AE09B9" w:rsidP="00CB04D9">
      <w:pPr>
        <w:pStyle w:val="Nadpis2"/>
        <w:numPr>
          <w:ilvl w:val="1"/>
          <w:numId w:val="17"/>
        </w:numPr>
        <w:spacing w:after="120"/>
        <w:ind w:left="1378" w:hanging="357"/>
      </w:pPr>
      <w:bookmarkStart w:id="51" w:name="_Toc399324370"/>
      <w:bookmarkStart w:id="52" w:name="_Toc401920024"/>
      <w:bookmarkStart w:id="53" w:name="_Toc465255025"/>
      <w:bookmarkStart w:id="54" w:name="_Toc495990493"/>
      <w:r w:rsidRPr="004418C8">
        <w:t xml:space="preserve"> </w:t>
      </w:r>
      <w:bookmarkStart w:id="55" w:name="_Toc85718907"/>
      <w:r w:rsidR="00A544B6" w:rsidRPr="004418C8">
        <w:t>Koncept čistého bohatstva</w:t>
      </w:r>
      <w:bookmarkEnd w:id="51"/>
      <w:bookmarkEnd w:id="52"/>
      <w:bookmarkEnd w:id="53"/>
      <w:bookmarkEnd w:id="54"/>
      <w:bookmarkEnd w:id="55"/>
    </w:p>
    <w:p w14:paraId="106C0D34" w14:textId="6183061B" w:rsidR="007D1AB6" w:rsidRPr="004418C8" w:rsidRDefault="007D1AB6" w:rsidP="006C7F48">
      <w:pPr>
        <w:spacing w:after="120" w:line="240" w:lineRule="auto"/>
        <w:jc w:val="both"/>
        <w:rPr>
          <w:rFonts w:eastAsia="Cambria"/>
          <w:i/>
        </w:rPr>
      </w:pPr>
      <w:r w:rsidRPr="000F5E53">
        <w:rPr>
          <w:rFonts w:eastAsia="Cambria"/>
          <w:b/>
          <w:color w:val="0070C0"/>
        </w:rPr>
        <w:t>Čisté bohatstvo</w:t>
      </w:r>
      <w:r w:rsidRPr="000F5E53">
        <w:rPr>
          <w:rFonts w:eastAsia="Cambria"/>
          <w:color w:val="0070C0"/>
        </w:rPr>
        <w:t xml:space="preserve"> </w:t>
      </w:r>
      <w:r w:rsidRPr="004418C8">
        <w:rPr>
          <w:rFonts w:eastAsia="Cambria"/>
        </w:rPr>
        <w:t>popisuje stav hospodárenia verejného sektora</w:t>
      </w:r>
      <w:r w:rsidR="00D07A45" w:rsidRPr="004418C8">
        <w:rPr>
          <w:rStyle w:val="Odkaznapoznmkupodiarou"/>
          <w:rFonts w:eastAsia="Cambria"/>
        </w:rPr>
        <w:footnoteReference w:id="26"/>
      </w:r>
      <w:r w:rsidRPr="004418C8">
        <w:rPr>
          <w:rFonts w:eastAsia="Cambria"/>
        </w:rPr>
        <w:t xml:space="preserve"> ku koncu roka. </w:t>
      </w:r>
      <w:r w:rsidRPr="004418C8">
        <w:t>P</w:t>
      </w:r>
      <w:r w:rsidRPr="004418C8">
        <w:rPr>
          <w:rFonts w:eastAsia="Cambria"/>
        </w:rPr>
        <w:t xml:space="preserve">odľa ústavného zákona o rozpočtovej zodpovednosti sa pod čistým bohatstvom rozumie: </w:t>
      </w:r>
      <w:r w:rsidRPr="004418C8">
        <w:rPr>
          <w:rFonts w:eastAsia="Cambria"/>
          <w:i/>
        </w:rPr>
        <w:t>súčet vlastného imania subjektov verejnej správy, vlastného imania Národnej banky Slovenska, vlastného imania podnikov</w:t>
      </w:r>
      <w:r w:rsidR="00E44CC8" w:rsidRPr="004418C8">
        <w:rPr>
          <w:rFonts w:eastAsia="Cambria"/>
          <w:i/>
        </w:rPr>
        <w:t xml:space="preserve"> štátnej správy a podnikov </w:t>
      </w:r>
      <w:r w:rsidR="008A3C36" w:rsidRPr="004418C8">
        <w:rPr>
          <w:rFonts w:eastAsia="Cambria"/>
          <w:i/>
        </w:rPr>
        <w:t>územnej</w:t>
      </w:r>
      <w:r w:rsidRPr="004418C8">
        <w:rPr>
          <w:rFonts w:eastAsia="Cambria"/>
          <w:i/>
        </w:rPr>
        <w:t xml:space="preserve"> samosprávy, upravený o implicitné záväzky, iné aktíva a iné pasíva vrátane podmienených záväzkov.</w:t>
      </w:r>
    </w:p>
    <w:p w14:paraId="1C434B13" w14:textId="77777777" w:rsidR="007D1AB6" w:rsidRPr="004418C8" w:rsidRDefault="007D1AB6" w:rsidP="006C7F48">
      <w:pPr>
        <w:spacing w:after="120" w:line="240" w:lineRule="auto"/>
        <w:jc w:val="both"/>
        <w:rPr>
          <w:szCs w:val="22"/>
        </w:rPr>
      </w:pPr>
      <w:r w:rsidRPr="004418C8">
        <w:rPr>
          <w:szCs w:val="22"/>
        </w:rPr>
        <w:t xml:space="preserve">Čisté bohatstvo má špecifickú štruktúru, a preto je veľmi dôležitá jeho správna interpretácia. Pri veľkosti čistého bohatstva má význam analyzovať len jednotlivé zložky jeho štruktúry, ako napríklad vlastné imanie podnikov, podmienené záväzky, či implicitné záväzky, pretože tie majú z ekonomického hľadiska samostatnú vypovedaciu schopnosť. Čisté bohatstvo treba vnímať ako komplex všetkých typov ukazovateľov, ktoré je podstatné sledovať z hľadiska finančnej stability a bohatstva štátu. </w:t>
      </w:r>
    </w:p>
    <w:p w14:paraId="6B01EB59" w14:textId="4D8014A7" w:rsidR="00321687" w:rsidRDefault="007D1AB6" w:rsidP="00CA777E">
      <w:pPr>
        <w:spacing w:after="120" w:line="240" w:lineRule="auto"/>
        <w:jc w:val="both"/>
      </w:pPr>
      <w:r w:rsidRPr="004418C8">
        <w:t xml:space="preserve">Analýza a vysvetlenie medziročných zmien zložiek čistého bohatstva poskytujú dôležité informácie o hospodárení štátu, ktoré nemusí zachytiť tradičný pohľad na saldo a dlh verejnej správy. Existujú totiž politiky a transakcie, ktoré sa z metodických dôvodov nemusia prejaviť na salde a dlhu verejnej správy, ale majú negatívny alebo naopak pozitívny </w:t>
      </w:r>
      <w:r w:rsidR="009C3955" w:rsidRPr="004418C8">
        <w:t>vplyv na čisté bohatstvo štátu.</w:t>
      </w:r>
      <w:r w:rsidR="0009176B" w:rsidRPr="004418C8">
        <w:t xml:space="preserve"> </w:t>
      </w:r>
    </w:p>
    <w:p w14:paraId="549F25C3" w14:textId="56783AA8" w:rsidR="008117A9" w:rsidRPr="00B12E5F" w:rsidRDefault="00AE09B9" w:rsidP="004E5304">
      <w:pPr>
        <w:pStyle w:val="Nadpis2"/>
        <w:numPr>
          <w:ilvl w:val="1"/>
          <w:numId w:val="17"/>
        </w:numPr>
      </w:pPr>
      <w:bookmarkStart w:id="56" w:name="_Toc399324371"/>
      <w:bookmarkStart w:id="57" w:name="_Toc401920025"/>
      <w:bookmarkStart w:id="58" w:name="_Toc495990494"/>
      <w:r w:rsidRPr="004418C8">
        <w:lastRenderedPageBreak/>
        <w:t xml:space="preserve"> </w:t>
      </w:r>
      <w:bookmarkStart w:id="59" w:name="_Toc85718908"/>
      <w:r w:rsidR="008117A9" w:rsidRPr="00B12E5F">
        <w:t>Odhad čistého bohatstva za rok 20</w:t>
      </w:r>
      <w:bookmarkEnd w:id="56"/>
      <w:bookmarkEnd w:id="57"/>
      <w:bookmarkEnd w:id="58"/>
      <w:r w:rsidR="001E7E6F" w:rsidRPr="00B12E5F">
        <w:t>20</w:t>
      </w:r>
      <w:bookmarkEnd w:id="59"/>
    </w:p>
    <w:p w14:paraId="3B3985B7" w14:textId="78121E74" w:rsidR="003704C2" w:rsidRPr="004418C8" w:rsidRDefault="00FB260E" w:rsidP="008D76CE">
      <w:pPr>
        <w:spacing w:after="120" w:line="240" w:lineRule="auto"/>
        <w:jc w:val="both"/>
      </w:pPr>
      <w:r w:rsidRPr="000F5E53">
        <w:rPr>
          <w:b/>
          <w:color w:val="0070C0"/>
        </w:rPr>
        <w:t>Odhadnutá výška čistého bohatstva Slovenskej republiky dosiahla k 31.12.20</w:t>
      </w:r>
      <w:r w:rsidR="00B12E5F" w:rsidRPr="000F5E53">
        <w:rPr>
          <w:b/>
          <w:color w:val="0070C0"/>
        </w:rPr>
        <w:t>20</w:t>
      </w:r>
      <w:r w:rsidRPr="000F5E53">
        <w:rPr>
          <w:b/>
          <w:color w:val="0070C0"/>
        </w:rPr>
        <w:t xml:space="preserve"> zápornú hodnotu</w:t>
      </w:r>
      <w:r w:rsidRPr="000F5E53">
        <w:rPr>
          <w:b/>
          <w:bCs/>
          <w:color w:val="0070C0"/>
        </w:rPr>
        <w:t> </w:t>
      </w:r>
      <w:r w:rsidR="00B12E5F" w:rsidRPr="000F5E53">
        <w:rPr>
          <w:b/>
          <w:bCs/>
          <w:color w:val="0070C0"/>
        </w:rPr>
        <w:t>-379 </w:t>
      </w:r>
      <w:r w:rsidR="001C1A34" w:rsidRPr="000F5E53">
        <w:rPr>
          <w:b/>
          <w:bCs/>
          <w:color w:val="0070C0"/>
        </w:rPr>
        <w:t>606</w:t>
      </w:r>
      <w:r w:rsidR="00B12E5F" w:rsidRPr="000F5E53">
        <w:rPr>
          <w:b/>
          <w:bCs/>
          <w:color w:val="0070C0"/>
        </w:rPr>
        <w:t> </w:t>
      </w:r>
      <w:r w:rsidR="001C1A34" w:rsidRPr="000F5E53">
        <w:rPr>
          <w:b/>
          <w:bCs/>
          <w:color w:val="0070C0"/>
        </w:rPr>
        <w:t>847</w:t>
      </w:r>
      <w:r w:rsidR="00B12E5F" w:rsidRPr="000F5E53">
        <w:rPr>
          <w:b/>
          <w:bCs/>
          <w:color w:val="0070C0"/>
        </w:rPr>
        <w:t xml:space="preserve"> tis. eur</w:t>
      </w:r>
      <w:r w:rsidRPr="000F5E53">
        <w:rPr>
          <w:b/>
          <w:color w:val="0070C0"/>
        </w:rPr>
        <w:t xml:space="preserve"> (-</w:t>
      </w:r>
      <w:r w:rsidR="00B12E5F" w:rsidRPr="000F5E53">
        <w:rPr>
          <w:b/>
          <w:color w:val="0070C0"/>
        </w:rPr>
        <w:t>412,</w:t>
      </w:r>
      <w:r w:rsidR="001C1A34" w:rsidRPr="000F5E53">
        <w:rPr>
          <w:b/>
          <w:color w:val="0070C0"/>
        </w:rPr>
        <w:t>26</w:t>
      </w:r>
      <w:r w:rsidRPr="000F5E53">
        <w:rPr>
          <w:b/>
          <w:color w:val="0070C0"/>
        </w:rPr>
        <w:t> % HDP).</w:t>
      </w:r>
      <w:r w:rsidRPr="000F5E53">
        <w:rPr>
          <w:color w:val="0070C0"/>
        </w:rPr>
        <w:t xml:space="preserve"> </w:t>
      </w:r>
      <w:r w:rsidRPr="00B12E5F">
        <w:t xml:space="preserve">Oproti predchádzajúcemu roku sa hodnota čistého bohatstva </w:t>
      </w:r>
      <w:r w:rsidR="00FD29BF" w:rsidRPr="00B12E5F">
        <w:t xml:space="preserve">výrazne zhoršila, a to </w:t>
      </w:r>
      <w:r w:rsidRPr="00B12E5F">
        <w:t>o</w:t>
      </w:r>
      <w:r w:rsidR="00B12E5F" w:rsidRPr="00B12E5F">
        <w:t> 261</w:t>
      </w:r>
      <w:r w:rsidR="001C1A34">
        <w:t> 551 012</w:t>
      </w:r>
      <w:r w:rsidRPr="00B12E5F">
        <w:t> tis. eur, čím sa zvýšil negatívny podiel na HDP o</w:t>
      </w:r>
      <w:r w:rsidR="00B12E5F" w:rsidRPr="00B12E5F">
        <w:t> 286,</w:t>
      </w:r>
      <w:r w:rsidR="001C1A34">
        <w:t>73</w:t>
      </w:r>
      <w:r w:rsidRPr="00B12E5F">
        <w:t>  p. b.</w:t>
      </w:r>
    </w:p>
    <w:tbl>
      <w:tblPr>
        <w:tblW w:w="5000" w:type="pct"/>
        <w:tblCellMar>
          <w:left w:w="70" w:type="dxa"/>
          <w:right w:w="70" w:type="dxa"/>
        </w:tblCellMar>
        <w:tblLook w:val="04A0" w:firstRow="1" w:lastRow="0" w:firstColumn="1" w:lastColumn="0" w:noHBand="0" w:noVBand="1"/>
      </w:tblPr>
      <w:tblGrid>
        <w:gridCol w:w="4439"/>
        <w:gridCol w:w="1177"/>
        <w:gridCol w:w="1246"/>
        <w:gridCol w:w="1194"/>
        <w:gridCol w:w="1298"/>
      </w:tblGrid>
      <w:tr w:rsidR="00FB260E" w:rsidRPr="004418C8" w14:paraId="179871FC" w14:textId="77777777" w:rsidTr="00F75680">
        <w:trPr>
          <w:trHeight w:val="344"/>
        </w:trPr>
        <w:tc>
          <w:tcPr>
            <w:tcW w:w="5000" w:type="pct"/>
            <w:gridSpan w:val="5"/>
            <w:tcBorders>
              <w:top w:val="nil"/>
              <w:left w:val="nil"/>
              <w:bottom w:val="nil"/>
              <w:right w:val="nil"/>
            </w:tcBorders>
            <w:shd w:val="clear" w:color="000000" w:fill="000000"/>
            <w:vAlign w:val="center"/>
            <w:hideMark/>
          </w:tcPr>
          <w:p w14:paraId="42F6F817" w14:textId="57309391" w:rsidR="00FB260E" w:rsidRPr="004418C8" w:rsidRDefault="00453CA1" w:rsidP="00453CA1">
            <w:pPr>
              <w:spacing w:before="120" w:after="120" w:line="240" w:lineRule="auto"/>
              <w:rPr>
                <w:rFonts w:ascii="Calibri" w:hAnsi="Calibri"/>
                <w:color w:val="000000"/>
                <w:sz w:val="18"/>
                <w:szCs w:val="18"/>
                <w:lang w:eastAsia="sk-SK"/>
              </w:rPr>
            </w:pPr>
            <w:bookmarkStart w:id="60" w:name="OLE_LINK1"/>
            <w:r>
              <w:rPr>
                <w:b/>
                <w:bCs/>
                <w:color w:val="FFFFFF"/>
                <w:sz w:val="18"/>
                <w:szCs w:val="18"/>
                <w:lang w:eastAsia="sk-SK"/>
              </w:rPr>
              <w:t xml:space="preserve">Tab. 15 - </w:t>
            </w:r>
            <w:r w:rsidR="00093C11" w:rsidRPr="004418C8">
              <w:rPr>
                <w:b/>
                <w:bCs/>
                <w:color w:val="FFFFFF"/>
                <w:sz w:val="18"/>
                <w:szCs w:val="18"/>
                <w:lang w:eastAsia="sk-SK"/>
              </w:rPr>
              <w:t>Odhad č</w:t>
            </w:r>
            <w:r w:rsidR="00FB260E" w:rsidRPr="004418C8">
              <w:rPr>
                <w:b/>
                <w:bCs/>
                <w:color w:val="FFFFFF"/>
                <w:sz w:val="18"/>
                <w:szCs w:val="18"/>
                <w:lang w:eastAsia="sk-SK"/>
              </w:rPr>
              <w:t>isté</w:t>
            </w:r>
            <w:r w:rsidR="00093C11" w:rsidRPr="004418C8">
              <w:rPr>
                <w:b/>
                <w:bCs/>
                <w:color w:val="FFFFFF"/>
                <w:sz w:val="18"/>
                <w:szCs w:val="18"/>
                <w:lang w:eastAsia="sk-SK"/>
              </w:rPr>
              <w:t>ho</w:t>
            </w:r>
            <w:r w:rsidR="00FB260E" w:rsidRPr="004418C8">
              <w:rPr>
                <w:b/>
                <w:bCs/>
                <w:color w:val="FFFFFF"/>
                <w:sz w:val="18"/>
                <w:szCs w:val="18"/>
                <w:lang w:eastAsia="sk-SK"/>
              </w:rPr>
              <w:t xml:space="preserve"> bohatstv</w:t>
            </w:r>
            <w:r w:rsidR="00093C11" w:rsidRPr="004418C8">
              <w:rPr>
                <w:b/>
                <w:bCs/>
                <w:color w:val="FFFFFF"/>
                <w:sz w:val="18"/>
                <w:szCs w:val="18"/>
                <w:lang w:eastAsia="sk-SK"/>
              </w:rPr>
              <w:t>a</w:t>
            </w:r>
            <w:r w:rsidR="00FB260E" w:rsidRPr="004418C8">
              <w:rPr>
                <w:b/>
                <w:bCs/>
                <w:color w:val="FFFFFF"/>
                <w:sz w:val="18"/>
                <w:szCs w:val="18"/>
                <w:lang w:eastAsia="sk-SK"/>
              </w:rPr>
              <w:t xml:space="preserve"> S</w:t>
            </w:r>
            <w:r w:rsidR="001E7E6F">
              <w:rPr>
                <w:b/>
                <w:bCs/>
                <w:color w:val="FFFFFF"/>
                <w:sz w:val="18"/>
                <w:szCs w:val="18"/>
                <w:lang w:eastAsia="sk-SK"/>
              </w:rPr>
              <w:t>lovenskej republiky k 31.12.2020</w:t>
            </w:r>
            <w:r w:rsidR="00FB260E" w:rsidRPr="004418C8">
              <w:rPr>
                <w:b/>
                <w:bCs/>
                <w:color w:val="FFFFFF"/>
                <w:sz w:val="18"/>
                <w:szCs w:val="18"/>
                <w:lang w:eastAsia="sk-SK"/>
              </w:rPr>
              <w:t xml:space="preserve">         </w:t>
            </w:r>
            <w:r>
              <w:rPr>
                <w:b/>
                <w:bCs/>
                <w:color w:val="FFFFFF"/>
                <w:sz w:val="18"/>
                <w:szCs w:val="18"/>
                <w:lang w:eastAsia="sk-SK"/>
              </w:rPr>
              <w:t xml:space="preserve">                         </w:t>
            </w:r>
            <w:r w:rsidR="00FB260E" w:rsidRPr="004418C8">
              <w:rPr>
                <w:b/>
                <w:bCs/>
                <w:color w:val="FFFFFF"/>
                <w:sz w:val="18"/>
                <w:szCs w:val="18"/>
                <w:lang w:eastAsia="sk-SK"/>
              </w:rPr>
              <w:t xml:space="preserve">    </w:t>
            </w:r>
            <w:r w:rsidR="00AE3790" w:rsidRPr="004418C8">
              <w:rPr>
                <w:b/>
                <w:bCs/>
                <w:color w:val="FFFFFF"/>
                <w:sz w:val="18"/>
                <w:szCs w:val="18"/>
                <w:lang w:eastAsia="sk-SK"/>
              </w:rPr>
              <w:t xml:space="preserve">           </w:t>
            </w:r>
            <w:r w:rsidR="00FB260E" w:rsidRPr="004418C8">
              <w:rPr>
                <w:b/>
                <w:bCs/>
                <w:color w:val="FFFFFF"/>
                <w:sz w:val="18"/>
                <w:szCs w:val="18"/>
                <w:lang w:eastAsia="sk-SK"/>
              </w:rPr>
              <w:t xml:space="preserve">  </w:t>
            </w:r>
            <w:r w:rsidR="00845918" w:rsidRPr="004418C8">
              <w:rPr>
                <w:b/>
                <w:bCs/>
                <w:color w:val="FFFFFF"/>
                <w:sz w:val="18"/>
                <w:szCs w:val="18"/>
                <w:lang w:eastAsia="sk-SK"/>
              </w:rPr>
              <w:t xml:space="preserve">v % resp. </w:t>
            </w:r>
            <w:r w:rsidR="00093C11" w:rsidRPr="004418C8">
              <w:rPr>
                <w:b/>
                <w:bCs/>
                <w:color w:val="FFFFFF"/>
                <w:sz w:val="18"/>
                <w:szCs w:val="18"/>
                <w:lang w:eastAsia="sk-SK"/>
              </w:rPr>
              <w:t>v tis. eur</w:t>
            </w:r>
            <w:r w:rsidR="00FB260E" w:rsidRPr="004418C8">
              <w:rPr>
                <w:rFonts w:ascii="Calibri" w:hAnsi="Calibri"/>
                <w:color w:val="000000"/>
                <w:sz w:val="18"/>
                <w:szCs w:val="18"/>
                <w:lang w:eastAsia="sk-SK"/>
              </w:rPr>
              <w:t> </w:t>
            </w:r>
          </w:p>
        </w:tc>
      </w:tr>
      <w:tr w:rsidR="001E7E6F" w:rsidRPr="004418C8" w14:paraId="28018D8D" w14:textId="77777777" w:rsidTr="001E7E6F">
        <w:trPr>
          <w:trHeight w:val="300"/>
        </w:trPr>
        <w:tc>
          <w:tcPr>
            <w:tcW w:w="2373" w:type="pct"/>
            <w:tcBorders>
              <w:top w:val="single" w:sz="4" w:space="0" w:color="auto"/>
              <w:left w:val="nil"/>
              <w:bottom w:val="nil"/>
              <w:right w:val="nil"/>
            </w:tcBorders>
            <w:shd w:val="clear" w:color="000000" w:fill="BFBFBF"/>
            <w:vAlign w:val="bottom"/>
            <w:hideMark/>
          </w:tcPr>
          <w:p w14:paraId="4E598C0A" w14:textId="77777777" w:rsidR="001E7E6F" w:rsidRPr="004418C8" w:rsidRDefault="001E7E6F" w:rsidP="001E7E6F">
            <w:pPr>
              <w:spacing w:after="0" w:line="240" w:lineRule="auto"/>
              <w:rPr>
                <w:b/>
                <w:bCs/>
                <w:sz w:val="18"/>
                <w:szCs w:val="18"/>
                <w:lang w:eastAsia="sk-SK"/>
              </w:rPr>
            </w:pPr>
            <w:r w:rsidRPr="004418C8">
              <w:rPr>
                <w:b/>
                <w:bCs/>
                <w:sz w:val="18"/>
                <w:szCs w:val="18"/>
                <w:lang w:eastAsia="sk-SK"/>
              </w:rPr>
              <w:t> </w:t>
            </w:r>
          </w:p>
        </w:tc>
        <w:tc>
          <w:tcPr>
            <w:tcW w:w="629" w:type="pct"/>
            <w:tcBorders>
              <w:top w:val="single" w:sz="4" w:space="0" w:color="auto"/>
              <w:left w:val="nil"/>
              <w:bottom w:val="nil"/>
              <w:right w:val="nil"/>
            </w:tcBorders>
            <w:shd w:val="clear" w:color="000000" w:fill="BFBFBF"/>
            <w:vAlign w:val="bottom"/>
            <w:hideMark/>
          </w:tcPr>
          <w:p w14:paraId="5C5E3E03" w14:textId="0DF4F66D" w:rsidR="001E7E6F" w:rsidRPr="004418C8" w:rsidRDefault="001E7E6F" w:rsidP="001E7E6F">
            <w:pPr>
              <w:spacing w:after="0" w:line="240" w:lineRule="auto"/>
              <w:jc w:val="right"/>
              <w:rPr>
                <w:b/>
                <w:bCs/>
                <w:sz w:val="18"/>
                <w:szCs w:val="18"/>
                <w:lang w:eastAsia="sk-SK"/>
              </w:rPr>
            </w:pPr>
            <w:r w:rsidRPr="004418C8">
              <w:rPr>
                <w:b/>
                <w:bCs/>
                <w:sz w:val="18"/>
                <w:szCs w:val="18"/>
                <w:lang w:eastAsia="sk-SK"/>
              </w:rPr>
              <w:t>31.12.2018</w:t>
            </w:r>
          </w:p>
        </w:tc>
        <w:tc>
          <w:tcPr>
            <w:tcW w:w="666" w:type="pct"/>
            <w:tcBorders>
              <w:top w:val="single" w:sz="4" w:space="0" w:color="auto"/>
              <w:left w:val="nil"/>
              <w:bottom w:val="nil"/>
              <w:right w:val="nil"/>
            </w:tcBorders>
            <w:shd w:val="clear" w:color="000000" w:fill="BFBFBF"/>
            <w:vAlign w:val="bottom"/>
          </w:tcPr>
          <w:p w14:paraId="267DE5E3" w14:textId="099E6AAC" w:rsidR="001E7E6F" w:rsidRPr="004418C8" w:rsidRDefault="001E7E6F" w:rsidP="001E7E6F">
            <w:pPr>
              <w:spacing w:after="0" w:line="240" w:lineRule="auto"/>
              <w:jc w:val="right"/>
              <w:rPr>
                <w:b/>
                <w:bCs/>
                <w:sz w:val="18"/>
                <w:szCs w:val="18"/>
                <w:lang w:eastAsia="sk-SK"/>
              </w:rPr>
            </w:pPr>
            <w:r w:rsidRPr="004418C8">
              <w:rPr>
                <w:b/>
                <w:bCs/>
                <w:sz w:val="18"/>
                <w:szCs w:val="18"/>
                <w:lang w:eastAsia="sk-SK"/>
              </w:rPr>
              <w:t>31.12.2019</w:t>
            </w:r>
          </w:p>
        </w:tc>
        <w:tc>
          <w:tcPr>
            <w:tcW w:w="638" w:type="pct"/>
            <w:tcBorders>
              <w:top w:val="single" w:sz="4" w:space="0" w:color="auto"/>
              <w:left w:val="nil"/>
              <w:bottom w:val="nil"/>
              <w:right w:val="nil"/>
            </w:tcBorders>
            <w:shd w:val="clear" w:color="000000" w:fill="BFBFBF"/>
            <w:vAlign w:val="bottom"/>
          </w:tcPr>
          <w:p w14:paraId="46E9056A" w14:textId="1165D457" w:rsidR="001E7E6F" w:rsidRPr="004418C8" w:rsidRDefault="001E7E6F" w:rsidP="001E7E6F">
            <w:pPr>
              <w:spacing w:after="0" w:line="240" w:lineRule="auto"/>
              <w:jc w:val="right"/>
              <w:rPr>
                <w:b/>
                <w:bCs/>
                <w:sz w:val="18"/>
                <w:szCs w:val="18"/>
                <w:lang w:eastAsia="sk-SK"/>
              </w:rPr>
            </w:pPr>
            <w:r>
              <w:rPr>
                <w:b/>
                <w:bCs/>
                <w:sz w:val="18"/>
                <w:szCs w:val="18"/>
                <w:lang w:eastAsia="sk-SK"/>
              </w:rPr>
              <w:t>31.12.2020</w:t>
            </w:r>
          </w:p>
        </w:tc>
        <w:tc>
          <w:tcPr>
            <w:tcW w:w="694" w:type="pct"/>
            <w:tcBorders>
              <w:top w:val="single" w:sz="4" w:space="0" w:color="auto"/>
              <w:left w:val="nil"/>
              <w:bottom w:val="nil"/>
              <w:right w:val="nil"/>
            </w:tcBorders>
            <w:shd w:val="clear" w:color="000000" w:fill="BFBFBF"/>
            <w:vAlign w:val="bottom"/>
            <w:hideMark/>
          </w:tcPr>
          <w:p w14:paraId="74818613" w14:textId="0D483FAE" w:rsidR="001E7E6F" w:rsidRPr="004418C8" w:rsidRDefault="001E7E6F" w:rsidP="00AF6BB3">
            <w:pPr>
              <w:spacing w:after="0" w:line="240" w:lineRule="auto"/>
              <w:jc w:val="right"/>
              <w:rPr>
                <w:b/>
                <w:bCs/>
                <w:sz w:val="18"/>
                <w:szCs w:val="18"/>
                <w:lang w:eastAsia="sk-SK"/>
              </w:rPr>
            </w:pPr>
            <w:r w:rsidRPr="004418C8">
              <w:rPr>
                <w:b/>
                <w:bCs/>
                <w:sz w:val="18"/>
                <w:szCs w:val="18"/>
                <w:lang w:eastAsia="sk-SK"/>
              </w:rPr>
              <w:t>Δ 20</w:t>
            </w:r>
            <w:r w:rsidR="00AF6BB3">
              <w:rPr>
                <w:b/>
                <w:bCs/>
                <w:sz w:val="18"/>
                <w:szCs w:val="18"/>
                <w:lang w:eastAsia="sk-SK"/>
              </w:rPr>
              <w:t>20</w:t>
            </w:r>
            <w:r w:rsidRPr="004418C8">
              <w:rPr>
                <w:b/>
                <w:bCs/>
                <w:sz w:val="18"/>
                <w:szCs w:val="18"/>
                <w:lang w:eastAsia="sk-SK"/>
              </w:rPr>
              <w:t>-201</w:t>
            </w:r>
            <w:r w:rsidR="00AF6BB3">
              <w:rPr>
                <w:b/>
                <w:bCs/>
                <w:sz w:val="18"/>
                <w:szCs w:val="18"/>
                <w:lang w:eastAsia="sk-SK"/>
              </w:rPr>
              <w:t>9</w:t>
            </w:r>
          </w:p>
        </w:tc>
      </w:tr>
      <w:tr w:rsidR="001E7E6F" w:rsidRPr="004418C8" w14:paraId="282AB9D1" w14:textId="77777777" w:rsidTr="00CB3C46">
        <w:trPr>
          <w:trHeight w:val="300"/>
        </w:trPr>
        <w:tc>
          <w:tcPr>
            <w:tcW w:w="2373" w:type="pct"/>
            <w:tcBorders>
              <w:top w:val="nil"/>
              <w:left w:val="nil"/>
              <w:bottom w:val="nil"/>
              <w:right w:val="nil"/>
            </w:tcBorders>
            <w:shd w:val="clear" w:color="auto" w:fill="auto"/>
            <w:vAlign w:val="bottom"/>
            <w:hideMark/>
          </w:tcPr>
          <w:p w14:paraId="5EA01D6F" w14:textId="77777777" w:rsidR="001E7E6F" w:rsidRPr="004418C8" w:rsidRDefault="001E7E6F" w:rsidP="001E7E6F">
            <w:pPr>
              <w:spacing w:after="0" w:line="240" w:lineRule="auto"/>
              <w:rPr>
                <w:sz w:val="18"/>
                <w:szCs w:val="18"/>
                <w:lang w:eastAsia="sk-SK"/>
              </w:rPr>
            </w:pPr>
            <w:r w:rsidRPr="004418C8">
              <w:rPr>
                <w:sz w:val="18"/>
                <w:szCs w:val="18"/>
                <w:lang w:eastAsia="sk-SK"/>
              </w:rPr>
              <w:t>Vlastné imanie verejného sektora                               (1)</w:t>
            </w:r>
          </w:p>
        </w:tc>
        <w:tc>
          <w:tcPr>
            <w:tcW w:w="629" w:type="pct"/>
            <w:tcBorders>
              <w:top w:val="nil"/>
              <w:left w:val="nil"/>
              <w:bottom w:val="nil"/>
              <w:right w:val="nil"/>
            </w:tcBorders>
            <w:shd w:val="clear" w:color="auto" w:fill="auto"/>
            <w:vAlign w:val="bottom"/>
          </w:tcPr>
          <w:p w14:paraId="3F96028B" w14:textId="1D6F0F5E" w:rsidR="001E7E6F" w:rsidRPr="004418C8" w:rsidRDefault="001E7E6F" w:rsidP="001E7E6F">
            <w:pPr>
              <w:spacing w:after="0" w:line="240" w:lineRule="auto"/>
              <w:jc w:val="right"/>
              <w:rPr>
                <w:sz w:val="18"/>
                <w:szCs w:val="18"/>
                <w:lang w:eastAsia="sk-SK"/>
              </w:rPr>
            </w:pPr>
            <w:r w:rsidRPr="004418C8">
              <w:rPr>
                <w:sz w:val="18"/>
                <w:szCs w:val="18"/>
                <w:lang w:eastAsia="sk-SK"/>
              </w:rPr>
              <w:t>- 26 278 680</w:t>
            </w:r>
          </w:p>
        </w:tc>
        <w:tc>
          <w:tcPr>
            <w:tcW w:w="666" w:type="pct"/>
            <w:tcBorders>
              <w:top w:val="nil"/>
              <w:left w:val="nil"/>
              <w:bottom w:val="nil"/>
              <w:right w:val="nil"/>
            </w:tcBorders>
            <w:shd w:val="clear" w:color="auto" w:fill="auto"/>
            <w:vAlign w:val="bottom"/>
          </w:tcPr>
          <w:p w14:paraId="78EC5274" w14:textId="48AD5C8B" w:rsidR="001E7E6F" w:rsidRPr="004418C8" w:rsidRDefault="001E7E6F" w:rsidP="001E7E6F">
            <w:pPr>
              <w:spacing w:after="0" w:line="240" w:lineRule="auto"/>
              <w:jc w:val="right"/>
              <w:rPr>
                <w:sz w:val="18"/>
                <w:szCs w:val="18"/>
                <w:lang w:eastAsia="sk-SK"/>
              </w:rPr>
            </w:pPr>
            <w:r w:rsidRPr="004418C8">
              <w:rPr>
                <w:sz w:val="18"/>
                <w:szCs w:val="18"/>
                <w:lang w:eastAsia="sk-SK"/>
              </w:rPr>
              <w:t>420 095</w:t>
            </w:r>
          </w:p>
        </w:tc>
        <w:tc>
          <w:tcPr>
            <w:tcW w:w="638" w:type="pct"/>
            <w:tcBorders>
              <w:top w:val="nil"/>
              <w:left w:val="nil"/>
              <w:bottom w:val="nil"/>
              <w:right w:val="nil"/>
            </w:tcBorders>
            <w:shd w:val="clear" w:color="auto" w:fill="BFBFBF" w:themeFill="background1" w:themeFillShade="BF"/>
            <w:vAlign w:val="bottom"/>
          </w:tcPr>
          <w:p w14:paraId="1D2422AE" w14:textId="534DDD84" w:rsidR="001E7E6F" w:rsidRPr="004418C8" w:rsidRDefault="00711CA6" w:rsidP="002F4CFC">
            <w:pPr>
              <w:spacing w:after="0" w:line="240" w:lineRule="auto"/>
              <w:jc w:val="right"/>
              <w:rPr>
                <w:sz w:val="18"/>
                <w:szCs w:val="18"/>
                <w:lang w:eastAsia="sk-SK"/>
              </w:rPr>
            </w:pPr>
            <w:r>
              <w:rPr>
                <w:sz w:val="18"/>
                <w:szCs w:val="18"/>
                <w:lang w:eastAsia="sk-SK"/>
              </w:rPr>
              <w:t>-2 </w:t>
            </w:r>
            <w:r w:rsidR="002F4CFC">
              <w:rPr>
                <w:sz w:val="18"/>
                <w:szCs w:val="18"/>
                <w:lang w:eastAsia="sk-SK"/>
              </w:rPr>
              <w:t>367</w:t>
            </w:r>
            <w:r>
              <w:rPr>
                <w:sz w:val="18"/>
                <w:szCs w:val="18"/>
                <w:lang w:eastAsia="sk-SK"/>
              </w:rPr>
              <w:t xml:space="preserve"> </w:t>
            </w:r>
            <w:r w:rsidR="002F4CFC">
              <w:rPr>
                <w:sz w:val="18"/>
                <w:szCs w:val="18"/>
                <w:lang w:eastAsia="sk-SK"/>
              </w:rPr>
              <w:t>984</w:t>
            </w:r>
          </w:p>
        </w:tc>
        <w:tc>
          <w:tcPr>
            <w:tcW w:w="694" w:type="pct"/>
            <w:tcBorders>
              <w:top w:val="nil"/>
              <w:left w:val="nil"/>
              <w:bottom w:val="nil"/>
              <w:right w:val="nil"/>
            </w:tcBorders>
            <w:shd w:val="clear" w:color="auto" w:fill="auto"/>
            <w:vAlign w:val="bottom"/>
          </w:tcPr>
          <w:p w14:paraId="0E532E7A" w14:textId="598BE418" w:rsidR="001E7E6F" w:rsidRPr="004418C8" w:rsidRDefault="008E498D" w:rsidP="009B2EBF">
            <w:pPr>
              <w:spacing w:after="0" w:line="240" w:lineRule="auto"/>
              <w:jc w:val="right"/>
              <w:rPr>
                <w:sz w:val="18"/>
                <w:szCs w:val="18"/>
                <w:lang w:eastAsia="sk-SK"/>
              </w:rPr>
            </w:pPr>
            <w:r>
              <w:rPr>
                <w:sz w:val="18"/>
                <w:szCs w:val="18"/>
                <w:lang w:eastAsia="sk-SK"/>
              </w:rPr>
              <w:t>-2</w:t>
            </w:r>
            <w:r w:rsidR="002F4CFC">
              <w:rPr>
                <w:sz w:val="18"/>
                <w:szCs w:val="18"/>
                <w:lang w:eastAsia="sk-SK"/>
              </w:rPr>
              <w:t> 78</w:t>
            </w:r>
            <w:r w:rsidR="009B2EBF">
              <w:rPr>
                <w:sz w:val="18"/>
                <w:szCs w:val="18"/>
                <w:lang w:eastAsia="sk-SK"/>
              </w:rPr>
              <w:t>8</w:t>
            </w:r>
            <w:r w:rsidR="002F4CFC">
              <w:rPr>
                <w:sz w:val="18"/>
                <w:szCs w:val="18"/>
                <w:lang w:eastAsia="sk-SK"/>
              </w:rPr>
              <w:t xml:space="preserve"> </w:t>
            </w:r>
            <w:r w:rsidR="009B2EBF">
              <w:rPr>
                <w:sz w:val="18"/>
                <w:szCs w:val="18"/>
                <w:lang w:eastAsia="sk-SK"/>
              </w:rPr>
              <w:t>0</w:t>
            </w:r>
            <w:r w:rsidR="002F4CFC">
              <w:rPr>
                <w:sz w:val="18"/>
                <w:szCs w:val="18"/>
                <w:lang w:eastAsia="sk-SK"/>
              </w:rPr>
              <w:t>79</w:t>
            </w:r>
          </w:p>
        </w:tc>
      </w:tr>
      <w:tr w:rsidR="001E7E6F" w:rsidRPr="004418C8" w14:paraId="29223570" w14:textId="77777777" w:rsidTr="00CB3C46">
        <w:trPr>
          <w:trHeight w:val="300"/>
        </w:trPr>
        <w:tc>
          <w:tcPr>
            <w:tcW w:w="2373" w:type="pct"/>
            <w:tcBorders>
              <w:top w:val="nil"/>
              <w:left w:val="nil"/>
              <w:bottom w:val="nil"/>
              <w:right w:val="nil"/>
            </w:tcBorders>
            <w:shd w:val="clear" w:color="auto" w:fill="auto"/>
            <w:vAlign w:val="bottom"/>
            <w:hideMark/>
          </w:tcPr>
          <w:p w14:paraId="0A2742F2" w14:textId="77777777" w:rsidR="001E7E6F" w:rsidRPr="00DF5AD9" w:rsidRDefault="001E7E6F" w:rsidP="001E7E6F">
            <w:pPr>
              <w:spacing w:after="0" w:line="240" w:lineRule="auto"/>
              <w:ind w:firstLineChars="300" w:firstLine="540"/>
              <w:rPr>
                <w:sz w:val="18"/>
                <w:szCs w:val="18"/>
                <w:lang w:eastAsia="sk-SK"/>
              </w:rPr>
            </w:pPr>
            <w:r w:rsidRPr="00DF5AD9">
              <w:rPr>
                <w:sz w:val="18"/>
                <w:szCs w:val="18"/>
                <w:lang w:eastAsia="sk-SK"/>
              </w:rPr>
              <w:t>VI súhrnného celku verejnej správy</w:t>
            </w:r>
          </w:p>
        </w:tc>
        <w:tc>
          <w:tcPr>
            <w:tcW w:w="629" w:type="pct"/>
            <w:tcBorders>
              <w:top w:val="nil"/>
              <w:left w:val="nil"/>
              <w:bottom w:val="nil"/>
              <w:right w:val="nil"/>
            </w:tcBorders>
            <w:shd w:val="clear" w:color="auto" w:fill="auto"/>
            <w:vAlign w:val="bottom"/>
          </w:tcPr>
          <w:p w14:paraId="1F400459" w14:textId="3DC420B4" w:rsidR="001E7E6F" w:rsidRPr="00DF5AD9" w:rsidRDefault="001E7E6F" w:rsidP="001E7E6F">
            <w:pPr>
              <w:spacing w:after="0" w:line="240" w:lineRule="auto"/>
              <w:jc w:val="right"/>
              <w:rPr>
                <w:sz w:val="18"/>
                <w:szCs w:val="18"/>
                <w:lang w:eastAsia="sk-SK"/>
              </w:rPr>
            </w:pPr>
            <w:r w:rsidRPr="00DF5AD9">
              <w:rPr>
                <w:sz w:val="18"/>
                <w:szCs w:val="18"/>
                <w:lang w:eastAsia="sk-SK"/>
              </w:rPr>
              <w:t>-23 760 933</w:t>
            </w:r>
          </w:p>
        </w:tc>
        <w:tc>
          <w:tcPr>
            <w:tcW w:w="666" w:type="pct"/>
            <w:tcBorders>
              <w:top w:val="nil"/>
              <w:left w:val="nil"/>
              <w:bottom w:val="nil"/>
              <w:right w:val="nil"/>
            </w:tcBorders>
            <w:shd w:val="clear" w:color="auto" w:fill="auto"/>
            <w:vAlign w:val="bottom"/>
          </w:tcPr>
          <w:p w14:paraId="75F39A47" w14:textId="28277BEC" w:rsidR="001E7E6F" w:rsidRPr="00DF5AD9" w:rsidRDefault="001E7E6F" w:rsidP="001E7E6F">
            <w:pPr>
              <w:spacing w:after="0" w:line="240" w:lineRule="auto"/>
              <w:jc w:val="right"/>
              <w:rPr>
                <w:sz w:val="18"/>
                <w:szCs w:val="18"/>
                <w:lang w:eastAsia="sk-SK"/>
              </w:rPr>
            </w:pPr>
            <w:r w:rsidRPr="00DF5AD9">
              <w:rPr>
                <w:sz w:val="18"/>
                <w:szCs w:val="18"/>
                <w:lang w:eastAsia="sk-SK"/>
              </w:rPr>
              <w:t>2 427 333</w:t>
            </w:r>
          </w:p>
        </w:tc>
        <w:tc>
          <w:tcPr>
            <w:tcW w:w="638" w:type="pct"/>
            <w:tcBorders>
              <w:top w:val="nil"/>
              <w:left w:val="nil"/>
              <w:bottom w:val="nil"/>
              <w:right w:val="nil"/>
            </w:tcBorders>
            <w:shd w:val="clear" w:color="auto" w:fill="BFBFBF" w:themeFill="background1" w:themeFillShade="BF"/>
            <w:vAlign w:val="bottom"/>
          </w:tcPr>
          <w:p w14:paraId="1D728EBB" w14:textId="0B521E8D" w:rsidR="001E7E6F" w:rsidRPr="00DF5AD9" w:rsidRDefault="00CB04D9" w:rsidP="002F4CFC">
            <w:pPr>
              <w:spacing w:after="0" w:line="240" w:lineRule="auto"/>
              <w:jc w:val="right"/>
              <w:rPr>
                <w:sz w:val="18"/>
                <w:szCs w:val="18"/>
                <w:lang w:eastAsia="sk-SK"/>
              </w:rPr>
            </w:pPr>
            <w:r w:rsidRPr="00DF5AD9">
              <w:rPr>
                <w:sz w:val="18"/>
                <w:szCs w:val="18"/>
                <w:lang w:eastAsia="sk-SK"/>
              </w:rPr>
              <w:t>-</w:t>
            </w:r>
            <w:r w:rsidR="002F4CFC">
              <w:rPr>
                <w:sz w:val="18"/>
                <w:szCs w:val="18"/>
                <w:lang w:eastAsia="sk-SK"/>
              </w:rPr>
              <w:t>823 941</w:t>
            </w:r>
          </w:p>
        </w:tc>
        <w:tc>
          <w:tcPr>
            <w:tcW w:w="694" w:type="pct"/>
            <w:tcBorders>
              <w:top w:val="nil"/>
              <w:left w:val="nil"/>
              <w:bottom w:val="nil"/>
              <w:right w:val="nil"/>
            </w:tcBorders>
            <w:shd w:val="clear" w:color="auto" w:fill="auto"/>
            <w:vAlign w:val="bottom"/>
          </w:tcPr>
          <w:p w14:paraId="4EDA5601" w14:textId="2634EB9F" w:rsidR="001E7E6F" w:rsidRPr="00DF5AD9" w:rsidRDefault="004222B7" w:rsidP="002F4CFC">
            <w:pPr>
              <w:spacing w:after="0" w:line="240" w:lineRule="auto"/>
              <w:jc w:val="right"/>
              <w:rPr>
                <w:sz w:val="18"/>
                <w:szCs w:val="18"/>
                <w:lang w:eastAsia="sk-SK"/>
              </w:rPr>
            </w:pPr>
            <w:r w:rsidRPr="00DF5AD9">
              <w:rPr>
                <w:sz w:val="18"/>
                <w:szCs w:val="18"/>
                <w:lang w:eastAsia="sk-SK"/>
              </w:rPr>
              <w:t>-</w:t>
            </w:r>
            <w:r w:rsidR="00CB04D9" w:rsidRPr="00DF5AD9">
              <w:rPr>
                <w:sz w:val="18"/>
                <w:szCs w:val="18"/>
                <w:lang w:eastAsia="sk-SK"/>
              </w:rPr>
              <w:t>3</w:t>
            </w:r>
            <w:r w:rsidR="002F4CFC">
              <w:rPr>
                <w:sz w:val="18"/>
                <w:szCs w:val="18"/>
                <w:lang w:eastAsia="sk-SK"/>
              </w:rPr>
              <w:t> 251 274</w:t>
            </w:r>
          </w:p>
        </w:tc>
      </w:tr>
      <w:tr w:rsidR="001E7E6F" w:rsidRPr="004418C8" w14:paraId="7183F324" w14:textId="77777777" w:rsidTr="001E7E6F">
        <w:trPr>
          <w:trHeight w:val="300"/>
        </w:trPr>
        <w:tc>
          <w:tcPr>
            <w:tcW w:w="2373" w:type="pct"/>
            <w:tcBorders>
              <w:top w:val="nil"/>
              <w:left w:val="nil"/>
              <w:bottom w:val="nil"/>
              <w:right w:val="nil"/>
            </w:tcBorders>
            <w:shd w:val="clear" w:color="auto" w:fill="auto"/>
            <w:vAlign w:val="bottom"/>
            <w:hideMark/>
          </w:tcPr>
          <w:p w14:paraId="2068D1B2" w14:textId="77777777" w:rsidR="001E7E6F" w:rsidRPr="002A5EE4" w:rsidRDefault="001E7E6F" w:rsidP="001E7E6F">
            <w:pPr>
              <w:spacing w:after="0" w:line="240" w:lineRule="auto"/>
              <w:ind w:firstLineChars="300" w:firstLine="540"/>
              <w:rPr>
                <w:sz w:val="18"/>
                <w:szCs w:val="18"/>
                <w:lang w:eastAsia="sk-SK"/>
              </w:rPr>
            </w:pPr>
            <w:r w:rsidRPr="002A5EE4">
              <w:rPr>
                <w:sz w:val="18"/>
                <w:szCs w:val="18"/>
                <w:lang w:eastAsia="sk-SK"/>
              </w:rPr>
              <w:t>VI podnikov MH Manažment, a.s.</w:t>
            </w:r>
          </w:p>
        </w:tc>
        <w:tc>
          <w:tcPr>
            <w:tcW w:w="629" w:type="pct"/>
            <w:tcBorders>
              <w:top w:val="nil"/>
              <w:left w:val="nil"/>
              <w:bottom w:val="nil"/>
              <w:right w:val="nil"/>
            </w:tcBorders>
            <w:shd w:val="clear" w:color="auto" w:fill="auto"/>
            <w:vAlign w:val="bottom"/>
          </w:tcPr>
          <w:p w14:paraId="7041627E" w14:textId="0DC9E11B" w:rsidR="001E7E6F" w:rsidRPr="004418C8" w:rsidRDefault="001E7E6F" w:rsidP="001E7E6F">
            <w:pPr>
              <w:spacing w:after="0" w:line="240" w:lineRule="auto"/>
              <w:jc w:val="right"/>
              <w:rPr>
                <w:sz w:val="18"/>
                <w:szCs w:val="18"/>
                <w:lang w:eastAsia="sk-SK"/>
              </w:rPr>
            </w:pPr>
            <w:r w:rsidRPr="004418C8">
              <w:rPr>
                <w:sz w:val="18"/>
                <w:szCs w:val="18"/>
                <w:lang w:eastAsia="sk-SK"/>
              </w:rPr>
              <w:t>274 366</w:t>
            </w:r>
          </w:p>
        </w:tc>
        <w:tc>
          <w:tcPr>
            <w:tcW w:w="666" w:type="pct"/>
            <w:tcBorders>
              <w:top w:val="nil"/>
              <w:left w:val="nil"/>
              <w:bottom w:val="nil"/>
              <w:right w:val="nil"/>
            </w:tcBorders>
            <w:shd w:val="clear" w:color="auto" w:fill="auto"/>
            <w:vAlign w:val="bottom"/>
          </w:tcPr>
          <w:p w14:paraId="176C6AE5" w14:textId="14CD9085" w:rsidR="001E7E6F" w:rsidRPr="004418C8" w:rsidRDefault="001E7E6F" w:rsidP="001E7E6F">
            <w:pPr>
              <w:spacing w:after="0" w:line="240" w:lineRule="auto"/>
              <w:jc w:val="right"/>
              <w:rPr>
                <w:sz w:val="18"/>
                <w:szCs w:val="18"/>
                <w:lang w:eastAsia="sk-SK"/>
              </w:rPr>
            </w:pPr>
            <w:r w:rsidRPr="004418C8">
              <w:rPr>
                <w:sz w:val="18"/>
                <w:szCs w:val="18"/>
                <w:lang w:eastAsia="sk-SK"/>
              </w:rPr>
              <w:t>268 288</w:t>
            </w:r>
          </w:p>
        </w:tc>
        <w:tc>
          <w:tcPr>
            <w:tcW w:w="638" w:type="pct"/>
            <w:tcBorders>
              <w:top w:val="nil"/>
              <w:left w:val="nil"/>
              <w:bottom w:val="nil"/>
              <w:right w:val="nil"/>
            </w:tcBorders>
            <w:shd w:val="clear" w:color="auto" w:fill="BFBFBF" w:themeFill="background1" w:themeFillShade="BF"/>
            <w:vAlign w:val="bottom"/>
          </w:tcPr>
          <w:p w14:paraId="354D950E" w14:textId="456CC5CA" w:rsidR="001E7E6F" w:rsidRPr="004418C8" w:rsidRDefault="00D42AB3" w:rsidP="001E7E6F">
            <w:pPr>
              <w:spacing w:after="0" w:line="240" w:lineRule="auto"/>
              <w:jc w:val="right"/>
              <w:rPr>
                <w:sz w:val="18"/>
                <w:szCs w:val="18"/>
                <w:lang w:eastAsia="sk-SK"/>
              </w:rPr>
            </w:pPr>
            <w:r>
              <w:rPr>
                <w:sz w:val="18"/>
                <w:szCs w:val="18"/>
                <w:lang w:eastAsia="sk-SK"/>
              </w:rPr>
              <w:t>293 624</w:t>
            </w:r>
          </w:p>
        </w:tc>
        <w:tc>
          <w:tcPr>
            <w:tcW w:w="694" w:type="pct"/>
            <w:tcBorders>
              <w:top w:val="nil"/>
              <w:left w:val="nil"/>
              <w:bottom w:val="nil"/>
              <w:right w:val="nil"/>
            </w:tcBorders>
            <w:shd w:val="clear" w:color="auto" w:fill="auto"/>
            <w:vAlign w:val="bottom"/>
          </w:tcPr>
          <w:p w14:paraId="7C5C06F6" w14:textId="1D7C1BB8" w:rsidR="001E7E6F" w:rsidRPr="004418C8" w:rsidRDefault="00BC590F" w:rsidP="001E7E6F">
            <w:pPr>
              <w:spacing w:after="0" w:line="240" w:lineRule="auto"/>
              <w:jc w:val="right"/>
              <w:rPr>
                <w:sz w:val="18"/>
                <w:szCs w:val="18"/>
                <w:lang w:eastAsia="sk-SK"/>
              </w:rPr>
            </w:pPr>
            <w:r>
              <w:rPr>
                <w:sz w:val="18"/>
                <w:szCs w:val="18"/>
                <w:lang w:eastAsia="sk-SK"/>
              </w:rPr>
              <w:t>25 336</w:t>
            </w:r>
          </w:p>
        </w:tc>
      </w:tr>
      <w:tr w:rsidR="001E7E6F" w:rsidRPr="004418C8" w14:paraId="7D974DD7" w14:textId="77777777" w:rsidTr="001E7E6F">
        <w:trPr>
          <w:trHeight w:val="300"/>
        </w:trPr>
        <w:tc>
          <w:tcPr>
            <w:tcW w:w="2373" w:type="pct"/>
            <w:tcBorders>
              <w:top w:val="nil"/>
              <w:left w:val="nil"/>
              <w:bottom w:val="nil"/>
              <w:right w:val="nil"/>
            </w:tcBorders>
            <w:shd w:val="clear" w:color="auto" w:fill="auto"/>
            <w:vAlign w:val="bottom"/>
            <w:hideMark/>
          </w:tcPr>
          <w:p w14:paraId="6E139BF2" w14:textId="77777777" w:rsidR="001E7E6F" w:rsidRPr="002A5EE4" w:rsidRDefault="001E7E6F" w:rsidP="001E7E6F">
            <w:pPr>
              <w:spacing w:after="0" w:line="240" w:lineRule="auto"/>
              <w:ind w:firstLineChars="300" w:firstLine="540"/>
              <w:rPr>
                <w:sz w:val="18"/>
                <w:szCs w:val="18"/>
                <w:lang w:eastAsia="sk-SK"/>
              </w:rPr>
            </w:pPr>
            <w:r w:rsidRPr="002A5EE4">
              <w:rPr>
                <w:sz w:val="18"/>
                <w:szCs w:val="18"/>
                <w:lang w:eastAsia="sk-SK"/>
              </w:rPr>
              <w:t>VI Národnej banky Slovenska</w:t>
            </w:r>
          </w:p>
        </w:tc>
        <w:tc>
          <w:tcPr>
            <w:tcW w:w="629" w:type="pct"/>
            <w:tcBorders>
              <w:top w:val="nil"/>
              <w:left w:val="nil"/>
              <w:bottom w:val="nil"/>
              <w:right w:val="nil"/>
            </w:tcBorders>
            <w:shd w:val="clear" w:color="auto" w:fill="auto"/>
            <w:vAlign w:val="bottom"/>
          </w:tcPr>
          <w:p w14:paraId="0152741A" w14:textId="2D2DEB46" w:rsidR="001E7E6F" w:rsidRPr="004418C8" w:rsidRDefault="001E7E6F" w:rsidP="001E7E6F">
            <w:pPr>
              <w:spacing w:after="0" w:line="240" w:lineRule="auto"/>
              <w:jc w:val="right"/>
              <w:rPr>
                <w:sz w:val="18"/>
                <w:szCs w:val="18"/>
                <w:lang w:eastAsia="sk-SK"/>
              </w:rPr>
            </w:pPr>
            <w:r w:rsidRPr="004418C8">
              <w:rPr>
                <w:sz w:val="18"/>
                <w:szCs w:val="18"/>
                <w:lang w:eastAsia="sk-SK"/>
              </w:rPr>
              <w:t>-2 792 113</w:t>
            </w:r>
          </w:p>
        </w:tc>
        <w:tc>
          <w:tcPr>
            <w:tcW w:w="666" w:type="pct"/>
            <w:tcBorders>
              <w:top w:val="nil"/>
              <w:left w:val="nil"/>
              <w:bottom w:val="nil"/>
              <w:right w:val="nil"/>
            </w:tcBorders>
            <w:shd w:val="clear" w:color="auto" w:fill="auto"/>
            <w:vAlign w:val="bottom"/>
          </w:tcPr>
          <w:p w14:paraId="533CAD2F" w14:textId="55A7B5AB" w:rsidR="001E7E6F" w:rsidRPr="004418C8" w:rsidRDefault="001E7E6F" w:rsidP="001E7E6F">
            <w:pPr>
              <w:spacing w:after="0" w:line="240" w:lineRule="auto"/>
              <w:jc w:val="right"/>
              <w:rPr>
                <w:sz w:val="18"/>
                <w:szCs w:val="18"/>
                <w:lang w:eastAsia="sk-SK"/>
              </w:rPr>
            </w:pPr>
            <w:r w:rsidRPr="004418C8">
              <w:rPr>
                <w:sz w:val="18"/>
                <w:szCs w:val="18"/>
                <w:lang w:eastAsia="sk-SK"/>
              </w:rPr>
              <w:t>-2 275 526</w:t>
            </w:r>
          </w:p>
        </w:tc>
        <w:tc>
          <w:tcPr>
            <w:tcW w:w="638" w:type="pct"/>
            <w:tcBorders>
              <w:top w:val="nil"/>
              <w:left w:val="nil"/>
              <w:bottom w:val="nil"/>
              <w:right w:val="nil"/>
            </w:tcBorders>
            <w:shd w:val="clear" w:color="auto" w:fill="BFBFBF" w:themeFill="background1" w:themeFillShade="BF"/>
            <w:vAlign w:val="bottom"/>
          </w:tcPr>
          <w:p w14:paraId="59CCD691" w14:textId="18A4F79E" w:rsidR="001E7E6F" w:rsidRPr="004418C8" w:rsidRDefault="006669BA" w:rsidP="001E7E6F">
            <w:pPr>
              <w:spacing w:after="0" w:line="240" w:lineRule="auto"/>
              <w:jc w:val="right"/>
              <w:rPr>
                <w:sz w:val="18"/>
                <w:szCs w:val="18"/>
                <w:lang w:eastAsia="sk-SK"/>
              </w:rPr>
            </w:pPr>
            <w:r>
              <w:rPr>
                <w:sz w:val="18"/>
                <w:szCs w:val="18"/>
                <w:lang w:eastAsia="sk-SK"/>
              </w:rPr>
              <w:t>-</w:t>
            </w:r>
            <w:r w:rsidR="009A41CD">
              <w:rPr>
                <w:sz w:val="18"/>
                <w:szCs w:val="18"/>
                <w:lang w:eastAsia="sk-SK"/>
              </w:rPr>
              <w:t>1 837 667</w:t>
            </w:r>
          </w:p>
        </w:tc>
        <w:tc>
          <w:tcPr>
            <w:tcW w:w="694" w:type="pct"/>
            <w:tcBorders>
              <w:top w:val="nil"/>
              <w:left w:val="nil"/>
              <w:bottom w:val="nil"/>
              <w:right w:val="nil"/>
            </w:tcBorders>
            <w:shd w:val="clear" w:color="auto" w:fill="auto"/>
            <w:vAlign w:val="bottom"/>
          </w:tcPr>
          <w:p w14:paraId="22504C99" w14:textId="08EF2E24" w:rsidR="001E7E6F" w:rsidRPr="004418C8" w:rsidRDefault="00BC590F" w:rsidP="001E7E6F">
            <w:pPr>
              <w:spacing w:after="0" w:line="240" w:lineRule="auto"/>
              <w:jc w:val="right"/>
              <w:rPr>
                <w:sz w:val="18"/>
                <w:szCs w:val="18"/>
                <w:lang w:eastAsia="sk-SK"/>
              </w:rPr>
            </w:pPr>
            <w:r>
              <w:rPr>
                <w:sz w:val="18"/>
                <w:szCs w:val="18"/>
                <w:lang w:eastAsia="sk-SK"/>
              </w:rPr>
              <w:t>437 859</w:t>
            </w:r>
          </w:p>
        </w:tc>
      </w:tr>
      <w:tr w:rsidR="001E7E6F" w:rsidRPr="004418C8" w14:paraId="19F5D3D5" w14:textId="77777777" w:rsidTr="001E7E6F">
        <w:trPr>
          <w:trHeight w:val="300"/>
        </w:trPr>
        <w:tc>
          <w:tcPr>
            <w:tcW w:w="2373" w:type="pct"/>
            <w:tcBorders>
              <w:top w:val="nil"/>
              <w:left w:val="nil"/>
              <w:bottom w:val="nil"/>
              <w:right w:val="nil"/>
            </w:tcBorders>
            <w:shd w:val="clear" w:color="auto" w:fill="auto"/>
            <w:vAlign w:val="bottom"/>
            <w:hideMark/>
          </w:tcPr>
          <w:p w14:paraId="30921D27" w14:textId="77777777" w:rsidR="001E7E6F" w:rsidRPr="002A5EE4" w:rsidRDefault="001E7E6F" w:rsidP="001E7E6F">
            <w:pPr>
              <w:spacing w:after="0" w:line="240" w:lineRule="auto"/>
              <w:rPr>
                <w:sz w:val="18"/>
                <w:szCs w:val="18"/>
                <w:lang w:eastAsia="sk-SK"/>
              </w:rPr>
            </w:pPr>
            <w:r w:rsidRPr="002A5EE4">
              <w:rPr>
                <w:sz w:val="18"/>
                <w:szCs w:val="18"/>
                <w:lang w:eastAsia="sk-SK"/>
              </w:rPr>
              <w:t>Implicitné záväzky                                                         (2)</w:t>
            </w:r>
          </w:p>
        </w:tc>
        <w:tc>
          <w:tcPr>
            <w:tcW w:w="629" w:type="pct"/>
            <w:tcBorders>
              <w:top w:val="nil"/>
              <w:left w:val="nil"/>
              <w:bottom w:val="nil"/>
              <w:right w:val="nil"/>
            </w:tcBorders>
            <w:shd w:val="clear" w:color="auto" w:fill="auto"/>
            <w:vAlign w:val="bottom"/>
          </w:tcPr>
          <w:p w14:paraId="7075384F" w14:textId="7B66B9A2" w:rsidR="001E7E6F" w:rsidRPr="00FD0E0D" w:rsidRDefault="00FE3C19" w:rsidP="001E7E6F">
            <w:pPr>
              <w:spacing w:after="0" w:line="240" w:lineRule="auto"/>
              <w:jc w:val="right"/>
              <w:rPr>
                <w:sz w:val="18"/>
                <w:szCs w:val="18"/>
                <w:lang w:eastAsia="sk-SK"/>
              </w:rPr>
            </w:pPr>
            <w:r>
              <w:rPr>
                <w:sz w:val="18"/>
                <w:szCs w:val="18"/>
                <w:lang w:eastAsia="sk-SK"/>
              </w:rPr>
              <w:t>38 130</w:t>
            </w:r>
          </w:p>
        </w:tc>
        <w:tc>
          <w:tcPr>
            <w:tcW w:w="666" w:type="pct"/>
            <w:tcBorders>
              <w:top w:val="nil"/>
              <w:left w:val="nil"/>
              <w:bottom w:val="nil"/>
              <w:right w:val="nil"/>
            </w:tcBorders>
            <w:shd w:val="clear" w:color="auto" w:fill="auto"/>
            <w:vAlign w:val="bottom"/>
          </w:tcPr>
          <w:p w14:paraId="5BFE120E" w14:textId="35405362" w:rsidR="001E7E6F" w:rsidRPr="004418C8" w:rsidRDefault="00DF5AD9" w:rsidP="001E7E6F">
            <w:pPr>
              <w:spacing w:after="0" w:line="240" w:lineRule="auto"/>
              <w:jc w:val="right"/>
              <w:rPr>
                <w:sz w:val="18"/>
                <w:szCs w:val="18"/>
                <w:lang w:eastAsia="sk-SK"/>
              </w:rPr>
            </w:pPr>
            <w:r>
              <w:rPr>
                <w:sz w:val="18"/>
                <w:szCs w:val="18"/>
                <w:lang w:eastAsia="sk-SK"/>
              </w:rPr>
              <w:t>106</w:t>
            </w:r>
            <w:r w:rsidR="003C0B24">
              <w:rPr>
                <w:sz w:val="18"/>
                <w:szCs w:val="18"/>
                <w:lang w:eastAsia="sk-SK"/>
              </w:rPr>
              <w:t> </w:t>
            </w:r>
            <w:r>
              <w:rPr>
                <w:sz w:val="18"/>
                <w:szCs w:val="18"/>
                <w:lang w:eastAsia="sk-SK"/>
              </w:rPr>
              <w:t>078</w:t>
            </w:r>
            <w:r w:rsidR="003C0B24">
              <w:rPr>
                <w:sz w:val="18"/>
                <w:szCs w:val="18"/>
                <w:lang w:eastAsia="sk-SK"/>
              </w:rPr>
              <w:t xml:space="preserve"> 573</w:t>
            </w:r>
          </w:p>
        </w:tc>
        <w:tc>
          <w:tcPr>
            <w:tcW w:w="638" w:type="pct"/>
            <w:tcBorders>
              <w:top w:val="nil"/>
              <w:left w:val="nil"/>
              <w:bottom w:val="nil"/>
              <w:right w:val="nil"/>
            </w:tcBorders>
            <w:shd w:val="clear" w:color="auto" w:fill="BFBFBF" w:themeFill="background1" w:themeFillShade="BF"/>
            <w:vAlign w:val="bottom"/>
          </w:tcPr>
          <w:p w14:paraId="3D077788" w14:textId="1E70D2FF" w:rsidR="001E7E6F" w:rsidRPr="004418C8" w:rsidRDefault="003C0B24" w:rsidP="001E7E6F">
            <w:pPr>
              <w:spacing w:after="0" w:line="240" w:lineRule="auto"/>
              <w:jc w:val="right"/>
              <w:rPr>
                <w:sz w:val="18"/>
                <w:szCs w:val="18"/>
                <w:lang w:eastAsia="sk-SK"/>
              </w:rPr>
            </w:pPr>
            <w:r>
              <w:rPr>
                <w:sz w:val="18"/>
                <w:szCs w:val="18"/>
                <w:lang w:eastAsia="sk-SK"/>
              </w:rPr>
              <w:t>363 440 690</w:t>
            </w:r>
          </w:p>
        </w:tc>
        <w:tc>
          <w:tcPr>
            <w:tcW w:w="694" w:type="pct"/>
            <w:tcBorders>
              <w:top w:val="nil"/>
              <w:left w:val="nil"/>
              <w:bottom w:val="nil"/>
              <w:right w:val="nil"/>
            </w:tcBorders>
            <w:shd w:val="clear" w:color="auto" w:fill="auto"/>
            <w:vAlign w:val="bottom"/>
          </w:tcPr>
          <w:p w14:paraId="62816B14" w14:textId="2DEF5FBB" w:rsidR="001E7E6F" w:rsidRPr="004418C8" w:rsidRDefault="00147917" w:rsidP="001E7E6F">
            <w:pPr>
              <w:spacing w:after="0" w:line="240" w:lineRule="auto"/>
              <w:jc w:val="right"/>
              <w:rPr>
                <w:sz w:val="18"/>
                <w:szCs w:val="18"/>
                <w:lang w:eastAsia="sk-SK"/>
              </w:rPr>
            </w:pPr>
            <w:r>
              <w:rPr>
                <w:sz w:val="18"/>
                <w:szCs w:val="18"/>
                <w:lang w:eastAsia="sk-SK"/>
              </w:rPr>
              <w:t>257 362 117</w:t>
            </w:r>
          </w:p>
        </w:tc>
      </w:tr>
      <w:tr w:rsidR="001E7E6F" w:rsidRPr="004418C8" w14:paraId="686CAC07" w14:textId="77777777" w:rsidTr="001E7E6F">
        <w:trPr>
          <w:trHeight w:val="300"/>
        </w:trPr>
        <w:tc>
          <w:tcPr>
            <w:tcW w:w="2373" w:type="pct"/>
            <w:tcBorders>
              <w:top w:val="nil"/>
              <w:left w:val="nil"/>
              <w:bottom w:val="nil"/>
              <w:right w:val="nil"/>
            </w:tcBorders>
            <w:shd w:val="clear" w:color="auto" w:fill="auto"/>
            <w:vAlign w:val="bottom"/>
            <w:hideMark/>
          </w:tcPr>
          <w:p w14:paraId="06CC45A2" w14:textId="77777777" w:rsidR="001E7E6F" w:rsidRPr="002A5EE4" w:rsidRDefault="001E7E6F" w:rsidP="001E7E6F">
            <w:pPr>
              <w:spacing w:after="0" w:line="240" w:lineRule="auto"/>
              <w:rPr>
                <w:sz w:val="18"/>
                <w:szCs w:val="18"/>
                <w:lang w:eastAsia="sk-SK"/>
              </w:rPr>
            </w:pPr>
            <w:r w:rsidRPr="002A5EE4">
              <w:rPr>
                <w:sz w:val="18"/>
                <w:szCs w:val="18"/>
                <w:lang w:eastAsia="sk-SK"/>
              </w:rPr>
              <w:t>Podmienené záväzky                                                     (3)</w:t>
            </w:r>
          </w:p>
        </w:tc>
        <w:tc>
          <w:tcPr>
            <w:tcW w:w="629" w:type="pct"/>
            <w:tcBorders>
              <w:top w:val="nil"/>
              <w:left w:val="nil"/>
              <w:bottom w:val="nil"/>
              <w:right w:val="nil"/>
            </w:tcBorders>
            <w:shd w:val="clear" w:color="auto" w:fill="auto"/>
            <w:vAlign w:val="bottom"/>
          </w:tcPr>
          <w:p w14:paraId="6598149E" w14:textId="65563153" w:rsidR="001E7E6F" w:rsidRPr="00FD0E0D" w:rsidRDefault="001E7E6F" w:rsidP="001E7E6F">
            <w:pPr>
              <w:spacing w:after="0" w:line="240" w:lineRule="auto"/>
              <w:jc w:val="right"/>
              <w:rPr>
                <w:sz w:val="18"/>
                <w:szCs w:val="18"/>
                <w:lang w:eastAsia="sk-SK"/>
              </w:rPr>
            </w:pPr>
            <w:r w:rsidRPr="00FD0E0D">
              <w:rPr>
                <w:sz w:val="18"/>
                <w:szCs w:val="18"/>
                <w:lang w:eastAsia="sk-SK"/>
              </w:rPr>
              <w:t>17 082 706</w:t>
            </w:r>
          </w:p>
        </w:tc>
        <w:tc>
          <w:tcPr>
            <w:tcW w:w="666" w:type="pct"/>
            <w:tcBorders>
              <w:top w:val="nil"/>
              <w:left w:val="nil"/>
              <w:bottom w:val="nil"/>
              <w:right w:val="nil"/>
            </w:tcBorders>
            <w:shd w:val="clear" w:color="auto" w:fill="auto"/>
            <w:vAlign w:val="bottom"/>
          </w:tcPr>
          <w:p w14:paraId="165BD727" w14:textId="36AF2514" w:rsidR="001E7E6F" w:rsidRPr="004418C8" w:rsidRDefault="001E7E6F" w:rsidP="001E7E6F">
            <w:pPr>
              <w:spacing w:after="0" w:line="240" w:lineRule="auto"/>
              <w:jc w:val="right"/>
              <w:rPr>
                <w:sz w:val="18"/>
                <w:szCs w:val="18"/>
                <w:lang w:eastAsia="sk-SK"/>
              </w:rPr>
            </w:pPr>
            <w:r w:rsidRPr="004418C8">
              <w:rPr>
                <w:sz w:val="18"/>
                <w:szCs w:val="18"/>
                <w:lang w:eastAsia="sk-SK"/>
              </w:rPr>
              <w:t>18 293 901</w:t>
            </w:r>
          </w:p>
        </w:tc>
        <w:tc>
          <w:tcPr>
            <w:tcW w:w="638" w:type="pct"/>
            <w:tcBorders>
              <w:top w:val="nil"/>
              <w:left w:val="nil"/>
              <w:bottom w:val="nil"/>
              <w:right w:val="nil"/>
            </w:tcBorders>
            <w:shd w:val="clear" w:color="auto" w:fill="BFBFBF" w:themeFill="background1" w:themeFillShade="BF"/>
            <w:vAlign w:val="bottom"/>
          </w:tcPr>
          <w:p w14:paraId="5C59C045" w14:textId="2F36427B" w:rsidR="001E7E6F" w:rsidRPr="004418C8" w:rsidRDefault="00AF277B" w:rsidP="00856686">
            <w:pPr>
              <w:spacing w:after="0" w:line="240" w:lineRule="auto"/>
              <w:jc w:val="right"/>
              <w:rPr>
                <w:sz w:val="18"/>
                <w:szCs w:val="18"/>
                <w:lang w:eastAsia="sk-SK"/>
              </w:rPr>
            </w:pPr>
            <w:r>
              <w:rPr>
                <w:sz w:val="18"/>
                <w:szCs w:val="18"/>
                <w:lang w:eastAsia="sk-SK"/>
              </w:rPr>
              <w:t>19</w:t>
            </w:r>
            <w:r w:rsidR="00856686">
              <w:rPr>
                <w:sz w:val="18"/>
                <w:szCs w:val="18"/>
                <w:lang w:eastAsia="sk-SK"/>
              </w:rPr>
              <w:t> 565 557</w:t>
            </w:r>
          </w:p>
        </w:tc>
        <w:tc>
          <w:tcPr>
            <w:tcW w:w="694" w:type="pct"/>
            <w:tcBorders>
              <w:top w:val="nil"/>
              <w:left w:val="nil"/>
              <w:bottom w:val="nil"/>
              <w:right w:val="nil"/>
            </w:tcBorders>
            <w:shd w:val="clear" w:color="auto" w:fill="auto"/>
            <w:vAlign w:val="bottom"/>
          </w:tcPr>
          <w:p w14:paraId="7A31ED61" w14:textId="0F6FC9A6" w:rsidR="001E7E6F" w:rsidRPr="004418C8" w:rsidRDefault="00147917" w:rsidP="001E7E6F">
            <w:pPr>
              <w:spacing w:after="0" w:line="240" w:lineRule="auto"/>
              <w:jc w:val="right"/>
              <w:rPr>
                <w:sz w:val="18"/>
                <w:szCs w:val="18"/>
                <w:lang w:eastAsia="sk-SK"/>
              </w:rPr>
            </w:pPr>
            <w:r>
              <w:rPr>
                <w:sz w:val="18"/>
                <w:szCs w:val="18"/>
                <w:lang w:eastAsia="sk-SK"/>
              </w:rPr>
              <w:t>1 271 656</w:t>
            </w:r>
          </w:p>
        </w:tc>
      </w:tr>
      <w:tr w:rsidR="001E7E6F" w:rsidRPr="004418C8" w14:paraId="65E622F3" w14:textId="77777777" w:rsidTr="001E7E6F">
        <w:trPr>
          <w:trHeight w:val="300"/>
        </w:trPr>
        <w:tc>
          <w:tcPr>
            <w:tcW w:w="2373" w:type="pct"/>
            <w:tcBorders>
              <w:top w:val="nil"/>
              <w:left w:val="nil"/>
              <w:bottom w:val="nil"/>
              <w:right w:val="nil"/>
            </w:tcBorders>
            <w:shd w:val="clear" w:color="auto" w:fill="auto"/>
            <w:vAlign w:val="bottom"/>
            <w:hideMark/>
          </w:tcPr>
          <w:p w14:paraId="2C108A3F" w14:textId="77777777" w:rsidR="001E7E6F" w:rsidRPr="002A5EE4" w:rsidRDefault="001E7E6F" w:rsidP="001E7E6F">
            <w:pPr>
              <w:spacing w:after="0" w:line="240" w:lineRule="auto"/>
              <w:rPr>
                <w:sz w:val="18"/>
                <w:szCs w:val="18"/>
                <w:lang w:eastAsia="sk-SK"/>
              </w:rPr>
            </w:pPr>
            <w:r w:rsidRPr="002A5EE4">
              <w:rPr>
                <w:sz w:val="18"/>
                <w:szCs w:val="18"/>
                <w:lang w:eastAsia="sk-SK"/>
              </w:rPr>
              <w:t>Iné aktíva                                                                       (4)</w:t>
            </w:r>
          </w:p>
        </w:tc>
        <w:tc>
          <w:tcPr>
            <w:tcW w:w="629" w:type="pct"/>
            <w:tcBorders>
              <w:top w:val="nil"/>
              <w:left w:val="nil"/>
              <w:bottom w:val="nil"/>
              <w:right w:val="nil"/>
            </w:tcBorders>
            <w:shd w:val="clear" w:color="auto" w:fill="auto"/>
            <w:vAlign w:val="bottom"/>
          </w:tcPr>
          <w:p w14:paraId="1194567A" w14:textId="782E47A1" w:rsidR="001E7E6F" w:rsidRPr="00FD0E0D" w:rsidRDefault="001E7E6F" w:rsidP="001E7E6F">
            <w:pPr>
              <w:spacing w:after="0" w:line="240" w:lineRule="auto"/>
              <w:jc w:val="right"/>
              <w:rPr>
                <w:sz w:val="18"/>
                <w:szCs w:val="18"/>
                <w:lang w:eastAsia="sk-SK"/>
              </w:rPr>
            </w:pPr>
            <w:r w:rsidRPr="00FD0E0D">
              <w:rPr>
                <w:sz w:val="18"/>
                <w:szCs w:val="18"/>
                <w:lang w:eastAsia="sk-SK"/>
              </w:rPr>
              <w:t>6 049 108</w:t>
            </w:r>
          </w:p>
        </w:tc>
        <w:tc>
          <w:tcPr>
            <w:tcW w:w="666" w:type="pct"/>
            <w:tcBorders>
              <w:top w:val="nil"/>
              <w:left w:val="nil"/>
              <w:bottom w:val="nil"/>
              <w:right w:val="nil"/>
            </w:tcBorders>
            <w:shd w:val="clear" w:color="auto" w:fill="auto"/>
            <w:vAlign w:val="bottom"/>
          </w:tcPr>
          <w:p w14:paraId="02C633A8" w14:textId="227EE3C0" w:rsidR="001E7E6F" w:rsidRPr="004418C8" w:rsidRDefault="001E7E6F" w:rsidP="001E7E6F">
            <w:pPr>
              <w:spacing w:after="0" w:line="240" w:lineRule="auto"/>
              <w:jc w:val="right"/>
              <w:rPr>
                <w:sz w:val="18"/>
                <w:szCs w:val="18"/>
                <w:lang w:eastAsia="sk-SK"/>
              </w:rPr>
            </w:pPr>
            <w:r w:rsidRPr="004418C8">
              <w:rPr>
                <w:sz w:val="18"/>
                <w:szCs w:val="18"/>
                <w:lang w:eastAsia="sk-SK"/>
              </w:rPr>
              <w:t>5 897 544</w:t>
            </w:r>
          </w:p>
        </w:tc>
        <w:tc>
          <w:tcPr>
            <w:tcW w:w="638" w:type="pct"/>
            <w:tcBorders>
              <w:top w:val="nil"/>
              <w:left w:val="nil"/>
              <w:bottom w:val="nil"/>
              <w:right w:val="nil"/>
            </w:tcBorders>
            <w:shd w:val="clear" w:color="auto" w:fill="BFBFBF" w:themeFill="background1" w:themeFillShade="BF"/>
            <w:vAlign w:val="bottom"/>
          </w:tcPr>
          <w:p w14:paraId="08B86364" w14:textId="44E5BEB6" w:rsidR="001E7E6F" w:rsidRPr="004418C8" w:rsidRDefault="007C0225" w:rsidP="001E7E6F">
            <w:pPr>
              <w:spacing w:after="0" w:line="240" w:lineRule="auto"/>
              <w:jc w:val="right"/>
              <w:rPr>
                <w:sz w:val="18"/>
                <w:szCs w:val="18"/>
                <w:lang w:eastAsia="sk-SK"/>
              </w:rPr>
            </w:pPr>
            <w:r>
              <w:rPr>
                <w:sz w:val="18"/>
                <w:szCs w:val="18"/>
                <w:lang w:eastAsia="sk-SK"/>
              </w:rPr>
              <w:t>5 767 384</w:t>
            </w:r>
          </w:p>
        </w:tc>
        <w:tc>
          <w:tcPr>
            <w:tcW w:w="694" w:type="pct"/>
            <w:tcBorders>
              <w:top w:val="nil"/>
              <w:left w:val="nil"/>
              <w:bottom w:val="nil"/>
              <w:right w:val="nil"/>
            </w:tcBorders>
            <w:shd w:val="clear" w:color="auto" w:fill="auto"/>
            <w:vAlign w:val="bottom"/>
          </w:tcPr>
          <w:p w14:paraId="24C99F04" w14:textId="20F0EF83" w:rsidR="001E7E6F" w:rsidRPr="004418C8" w:rsidRDefault="008E498D" w:rsidP="001E7E6F">
            <w:pPr>
              <w:spacing w:after="0" w:line="240" w:lineRule="auto"/>
              <w:jc w:val="right"/>
              <w:rPr>
                <w:sz w:val="18"/>
                <w:szCs w:val="18"/>
                <w:lang w:eastAsia="sk-SK"/>
              </w:rPr>
            </w:pPr>
            <w:r>
              <w:rPr>
                <w:sz w:val="18"/>
                <w:szCs w:val="18"/>
                <w:lang w:eastAsia="sk-SK"/>
              </w:rPr>
              <w:t>-130 160</w:t>
            </w:r>
          </w:p>
        </w:tc>
      </w:tr>
      <w:tr w:rsidR="001E7E6F" w:rsidRPr="004418C8" w14:paraId="767339BF" w14:textId="77777777" w:rsidTr="001E7E6F">
        <w:trPr>
          <w:trHeight w:val="300"/>
        </w:trPr>
        <w:tc>
          <w:tcPr>
            <w:tcW w:w="2373" w:type="pct"/>
            <w:tcBorders>
              <w:top w:val="single" w:sz="4" w:space="0" w:color="auto"/>
              <w:left w:val="nil"/>
              <w:bottom w:val="nil"/>
              <w:right w:val="nil"/>
            </w:tcBorders>
            <w:shd w:val="clear" w:color="000000" w:fill="BFBFBF"/>
            <w:vAlign w:val="bottom"/>
            <w:hideMark/>
          </w:tcPr>
          <w:p w14:paraId="48D7B24F" w14:textId="77777777" w:rsidR="001E7E6F" w:rsidRPr="004418C8" w:rsidRDefault="001E7E6F" w:rsidP="001E7E6F">
            <w:pPr>
              <w:spacing w:after="0" w:line="240" w:lineRule="auto"/>
              <w:rPr>
                <w:b/>
                <w:bCs/>
                <w:sz w:val="18"/>
                <w:szCs w:val="18"/>
                <w:lang w:eastAsia="sk-SK"/>
              </w:rPr>
            </w:pPr>
            <w:r w:rsidRPr="004418C8">
              <w:rPr>
                <w:b/>
                <w:bCs/>
                <w:sz w:val="18"/>
                <w:szCs w:val="18"/>
                <w:lang w:eastAsia="sk-SK"/>
              </w:rPr>
              <w:t>Čisté bohatstvo SR  (1-2-3+4)</w:t>
            </w:r>
          </w:p>
        </w:tc>
        <w:tc>
          <w:tcPr>
            <w:tcW w:w="629" w:type="pct"/>
            <w:tcBorders>
              <w:top w:val="single" w:sz="4" w:space="0" w:color="auto"/>
              <w:left w:val="nil"/>
              <w:bottom w:val="nil"/>
              <w:right w:val="nil"/>
            </w:tcBorders>
            <w:shd w:val="clear" w:color="000000" w:fill="BFBFBF"/>
            <w:vAlign w:val="bottom"/>
          </w:tcPr>
          <w:p w14:paraId="15E063C2" w14:textId="3118034F" w:rsidR="001E7E6F" w:rsidRPr="00FD0E0D" w:rsidRDefault="00FE3C19" w:rsidP="001E7E6F">
            <w:pPr>
              <w:spacing w:after="0" w:line="240" w:lineRule="auto"/>
              <w:jc w:val="right"/>
              <w:rPr>
                <w:b/>
                <w:bCs/>
                <w:sz w:val="18"/>
                <w:szCs w:val="18"/>
                <w:lang w:eastAsia="sk-SK"/>
              </w:rPr>
            </w:pPr>
            <w:r>
              <w:rPr>
                <w:b/>
                <w:bCs/>
                <w:sz w:val="18"/>
                <w:szCs w:val="18"/>
                <w:lang w:eastAsia="sk-SK"/>
              </w:rPr>
              <w:t>-37 350 408</w:t>
            </w:r>
          </w:p>
        </w:tc>
        <w:tc>
          <w:tcPr>
            <w:tcW w:w="666" w:type="pct"/>
            <w:tcBorders>
              <w:top w:val="single" w:sz="4" w:space="0" w:color="auto"/>
              <w:left w:val="nil"/>
              <w:bottom w:val="nil"/>
              <w:right w:val="nil"/>
            </w:tcBorders>
            <w:shd w:val="clear" w:color="000000" w:fill="BFBFBF"/>
            <w:vAlign w:val="bottom"/>
          </w:tcPr>
          <w:p w14:paraId="5C5FC1E5" w14:textId="6C380368" w:rsidR="001E7E6F" w:rsidRPr="004418C8" w:rsidRDefault="001E7E6F" w:rsidP="00D576D6">
            <w:pPr>
              <w:spacing w:after="0" w:line="240" w:lineRule="auto"/>
              <w:jc w:val="right"/>
              <w:rPr>
                <w:b/>
                <w:bCs/>
                <w:sz w:val="18"/>
                <w:szCs w:val="18"/>
                <w:lang w:eastAsia="sk-SK"/>
              </w:rPr>
            </w:pPr>
            <w:r w:rsidRPr="004418C8">
              <w:rPr>
                <w:b/>
                <w:bCs/>
                <w:sz w:val="18"/>
                <w:szCs w:val="18"/>
                <w:lang w:eastAsia="sk-SK"/>
              </w:rPr>
              <w:t>-</w:t>
            </w:r>
            <w:r w:rsidR="00D576D6">
              <w:rPr>
                <w:b/>
                <w:bCs/>
                <w:sz w:val="18"/>
                <w:szCs w:val="18"/>
                <w:lang w:eastAsia="sk-SK"/>
              </w:rPr>
              <w:t>118 054 835</w:t>
            </w:r>
          </w:p>
        </w:tc>
        <w:tc>
          <w:tcPr>
            <w:tcW w:w="638" w:type="pct"/>
            <w:tcBorders>
              <w:top w:val="single" w:sz="4" w:space="0" w:color="auto"/>
              <w:left w:val="nil"/>
              <w:bottom w:val="nil"/>
              <w:right w:val="nil"/>
            </w:tcBorders>
            <w:shd w:val="clear" w:color="auto" w:fill="BFBFBF" w:themeFill="background1" w:themeFillShade="BF"/>
            <w:vAlign w:val="bottom"/>
          </w:tcPr>
          <w:p w14:paraId="609E65C6" w14:textId="3CCCEE3D" w:rsidR="001E7E6F" w:rsidRPr="004418C8" w:rsidRDefault="00711CA6" w:rsidP="002F4CFC">
            <w:pPr>
              <w:spacing w:after="0" w:line="240" w:lineRule="auto"/>
              <w:jc w:val="right"/>
              <w:rPr>
                <w:b/>
                <w:bCs/>
                <w:sz w:val="18"/>
                <w:szCs w:val="18"/>
                <w:lang w:eastAsia="sk-SK"/>
              </w:rPr>
            </w:pPr>
            <w:r>
              <w:rPr>
                <w:b/>
                <w:bCs/>
                <w:sz w:val="18"/>
                <w:szCs w:val="18"/>
                <w:lang w:eastAsia="sk-SK"/>
              </w:rPr>
              <w:t>-379</w:t>
            </w:r>
            <w:r w:rsidR="002F4CFC">
              <w:rPr>
                <w:b/>
                <w:bCs/>
                <w:sz w:val="18"/>
                <w:szCs w:val="18"/>
                <w:lang w:eastAsia="sk-SK"/>
              </w:rPr>
              <w:t> 606 847</w:t>
            </w:r>
          </w:p>
        </w:tc>
        <w:tc>
          <w:tcPr>
            <w:tcW w:w="694" w:type="pct"/>
            <w:tcBorders>
              <w:top w:val="single" w:sz="4" w:space="0" w:color="auto"/>
              <w:left w:val="nil"/>
              <w:bottom w:val="nil"/>
              <w:right w:val="nil"/>
            </w:tcBorders>
            <w:shd w:val="clear" w:color="000000" w:fill="BFBFBF"/>
            <w:vAlign w:val="bottom"/>
          </w:tcPr>
          <w:p w14:paraId="37B3593D" w14:textId="128B65E5" w:rsidR="001E7E6F" w:rsidRPr="004418C8" w:rsidRDefault="00DE7739" w:rsidP="00045447">
            <w:pPr>
              <w:spacing w:after="0" w:line="240" w:lineRule="auto"/>
              <w:jc w:val="right"/>
              <w:rPr>
                <w:b/>
                <w:bCs/>
                <w:sz w:val="18"/>
                <w:szCs w:val="18"/>
                <w:lang w:eastAsia="sk-SK"/>
              </w:rPr>
            </w:pPr>
            <w:r>
              <w:rPr>
                <w:b/>
                <w:bCs/>
                <w:sz w:val="18"/>
                <w:szCs w:val="18"/>
                <w:lang w:eastAsia="sk-SK"/>
              </w:rPr>
              <w:t>-</w:t>
            </w:r>
            <w:r w:rsidR="00711CA6">
              <w:rPr>
                <w:b/>
                <w:bCs/>
                <w:sz w:val="18"/>
                <w:szCs w:val="18"/>
                <w:lang w:eastAsia="sk-SK"/>
              </w:rPr>
              <w:t>261</w:t>
            </w:r>
            <w:r w:rsidR="00045447">
              <w:rPr>
                <w:b/>
                <w:bCs/>
                <w:sz w:val="18"/>
                <w:szCs w:val="18"/>
                <w:lang w:eastAsia="sk-SK"/>
              </w:rPr>
              <w:t xml:space="preserve"> 551 </w:t>
            </w:r>
            <w:r w:rsidR="00664132">
              <w:rPr>
                <w:b/>
                <w:bCs/>
                <w:sz w:val="18"/>
                <w:szCs w:val="18"/>
                <w:lang w:eastAsia="sk-SK"/>
              </w:rPr>
              <w:t>0</w:t>
            </w:r>
            <w:r w:rsidR="00045447">
              <w:rPr>
                <w:b/>
                <w:bCs/>
                <w:sz w:val="18"/>
                <w:szCs w:val="18"/>
                <w:lang w:eastAsia="sk-SK"/>
              </w:rPr>
              <w:t>12</w:t>
            </w:r>
          </w:p>
        </w:tc>
      </w:tr>
      <w:tr w:rsidR="001E7E6F" w:rsidRPr="004418C8" w14:paraId="0FD60691" w14:textId="77777777" w:rsidTr="00CA777E">
        <w:trPr>
          <w:trHeight w:val="68"/>
        </w:trPr>
        <w:tc>
          <w:tcPr>
            <w:tcW w:w="2373" w:type="pct"/>
            <w:tcBorders>
              <w:top w:val="nil"/>
              <w:left w:val="nil"/>
              <w:bottom w:val="single" w:sz="4" w:space="0" w:color="auto"/>
              <w:right w:val="nil"/>
            </w:tcBorders>
            <w:shd w:val="clear" w:color="000000" w:fill="BFBFBF"/>
            <w:vAlign w:val="bottom"/>
            <w:hideMark/>
          </w:tcPr>
          <w:p w14:paraId="3D7B4441" w14:textId="3A141720" w:rsidR="001E7E6F" w:rsidRPr="004418C8" w:rsidRDefault="001E7E6F" w:rsidP="001E7E6F">
            <w:pPr>
              <w:spacing w:after="0" w:line="240" w:lineRule="auto"/>
              <w:ind w:firstLineChars="300" w:firstLine="540"/>
              <w:rPr>
                <w:b/>
                <w:bCs/>
                <w:i/>
                <w:iCs/>
                <w:sz w:val="18"/>
                <w:szCs w:val="18"/>
                <w:lang w:eastAsia="sk-SK"/>
              </w:rPr>
            </w:pPr>
            <w:r w:rsidRPr="004418C8">
              <w:rPr>
                <w:b/>
                <w:bCs/>
                <w:i/>
                <w:iCs/>
                <w:sz w:val="18"/>
                <w:szCs w:val="18"/>
                <w:lang w:eastAsia="sk-SK"/>
              </w:rPr>
              <w:t>v % HDP</w:t>
            </w:r>
          </w:p>
        </w:tc>
        <w:tc>
          <w:tcPr>
            <w:tcW w:w="629" w:type="pct"/>
            <w:tcBorders>
              <w:top w:val="nil"/>
              <w:left w:val="nil"/>
              <w:bottom w:val="single" w:sz="4" w:space="0" w:color="auto"/>
              <w:right w:val="nil"/>
            </w:tcBorders>
            <w:shd w:val="clear" w:color="000000" w:fill="BFBFBF"/>
            <w:vAlign w:val="bottom"/>
          </w:tcPr>
          <w:p w14:paraId="3CF652CC" w14:textId="79FCFDCC" w:rsidR="001E7E6F" w:rsidRPr="00FD0E0D" w:rsidRDefault="001E7E6F" w:rsidP="00D70898">
            <w:pPr>
              <w:spacing w:after="0" w:line="240" w:lineRule="auto"/>
              <w:jc w:val="right"/>
              <w:rPr>
                <w:b/>
                <w:bCs/>
                <w:i/>
                <w:iCs/>
                <w:sz w:val="18"/>
                <w:szCs w:val="18"/>
                <w:lang w:eastAsia="sk-SK"/>
              </w:rPr>
            </w:pPr>
            <w:r w:rsidRPr="00FD0E0D">
              <w:rPr>
                <w:b/>
                <w:bCs/>
                <w:i/>
                <w:iCs/>
                <w:sz w:val="18"/>
                <w:szCs w:val="18"/>
                <w:lang w:eastAsia="sk-SK"/>
              </w:rPr>
              <w:t>-</w:t>
            </w:r>
            <w:r w:rsidR="00D70898">
              <w:rPr>
                <w:b/>
                <w:bCs/>
                <w:i/>
                <w:iCs/>
                <w:sz w:val="18"/>
                <w:szCs w:val="18"/>
                <w:lang w:eastAsia="sk-SK"/>
              </w:rPr>
              <w:t>41,76</w:t>
            </w:r>
          </w:p>
        </w:tc>
        <w:tc>
          <w:tcPr>
            <w:tcW w:w="666" w:type="pct"/>
            <w:tcBorders>
              <w:top w:val="nil"/>
              <w:left w:val="nil"/>
              <w:bottom w:val="single" w:sz="4" w:space="0" w:color="auto"/>
              <w:right w:val="nil"/>
            </w:tcBorders>
            <w:shd w:val="clear" w:color="000000" w:fill="BFBFBF"/>
            <w:vAlign w:val="bottom"/>
          </w:tcPr>
          <w:p w14:paraId="50D32623" w14:textId="3280F115" w:rsidR="001E7E6F" w:rsidRPr="004418C8" w:rsidRDefault="008100E1" w:rsidP="008100E1">
            <w:pPr>
              <w:spacing w:after="0" w:line="240" w:lineRule="auto"/>
              <w:jc w:val="right"/>
              <w:rPr>
                <w:b/>
                <w:bCs/>
                <w:i/>
                <w:iCs/>
                <w:sz w:val="18"/>
                <w:szCs w:val="18"/>
                <w:lang w:eastAsia="sk-SK"/>
              </w:rPr>
            </w:pPr>
            <w:r>
              <w:rPr>
                <w:b/>
                <w:bCs/>
                <w:i/>
                <w:iCs/>
                <w:sz w:val="18"/>
                <w:szCs w:val="18"/>
                <w:lang w:eastAsia="sk-SK"/>
              </w:rPr>
              <w:t>-125,53</w:t>
            </w:r>
          </w:p>
        </w:tc>
        <w:tc>
          <w:tcPr>
            <w:tcW w:w="638" w:type="pct"/>
            <w:tcBorders>
              <w:top w:val="nil"/>
              <w:left w:val="nil"/>
              <w:bottom w:val="single" w:sz="4" w:space="0" w:color="auto"/>
              <w:right w:val="nil"/>
            </w:tcBorders>
            <w:shd w:val="clear" w:color="000000" w:fill="BFBFBF"/>
            <w:vAlign w:val="bottom"/>
          </w:tcPr>
          <w:p w14:paraId="4F6AF83C" w14:textId="64894AAC" w:rsidR="001E7E6F" w:rsidRPr="004418C8" w:rsidRDefault="008100E1" w:rsidP="00952BB2">
            <w:pPr>
              <w:spacing w:after="0" w:line="240" w:lineRule="auto"/>
              <w:jc w:val="right"/>
              <w:rPr>
                <w:b/>
                <w:bCs/>
                <w:i/>
                <w:iCs/>
                <w:sz w:val="18"/>
                <w:szCs w:val="18"/>
                <w:lang w:eastAsia="sk-SK"/>
              </w:rPr>
            </w:pPr>
            <w:r>
              <w:rPr>
                <w:b/>
                <w:bCs/>
                <w:i/>
                <w:iCs/>
                <w:sz w:val="18"/>
                <w:szCs w:val="18"/>
                <w:lang w:eastAsia="sk-SK"/>
              </w:rPr>
              <w:t>-412,</w:t>
            </w:r>
            <w:r w:rsidR="00952BB2">
              <w:rPr>
                <w:b/>
                <w:bCs/>
                <w:i/>
                <w:iCs/>
                <w:sz w:val="18"/>
                <w:szCs w:val="18"/>
                <w:lang w:eastAsia="sk-SK"/>
              </w:rPr>
              <w:t>26</w:t>
            </w:r>
          </w:p>
        </w:tc>
        <w:tc>
          <w:tcPr>
            <w:tcW w:w="694" w:type="pct"/>
            <w:tcBorders>
              <w:top w:val="nil"/>
              <w:left w:val="nil"/>
              <w:bottom w:val="single" w:sz="4" w:space="0" w:color="auto"/>
              <w:right w:val="nil"/>
            </w:tcBorders>
            <w:shd w:val="clear" w:color="000000" w:fill="BFBFBF"/>
            <w:vAlign w:val="bottom"/>
          </w:tcPr>
          <w:p w14:paraId="55C208BC" w14:textId="24E879FA" w:rsidR="001E7E6F" w:rsidRPr="004418C8" w:rsidRDefault="008100E1" w:rsidP="004252B9">
            <w:pPr>
              <w:spacing w:after="0" w:line="240" w:lineRule="auto"/>
              <w:jc w:val="right"/>
              <w:rPr>
                <w:b/>
                <w:bCs/>
                <w:i/>
                <w:sz w:val="18"/>
                <w:szCs w:val="18"/>
                <w:lang w:eastAsia="sk-SK"/>
              </w:rPr>
            </w:pPr>
            <w:r>
              <w:rPr>
                <w:b/>
                <w:bCs/>
                <w:i/>
                <w:sz w:val="18"/>
                <w:szCs w:val="18"/>
                <w:lang w:eastAsia="sk-SK"/>
              </w:rPr>
              <w:t>-286,</w:t>
            </w:r>
            <w:r w:rsidR="004252B9">
              <w:rPr>
                <w:b/>
                <w:bCs/>
                <w:i/>
                <w:sz w:val="18"/>
                <w:szCs w:val="18"/>
                <w:lang w:eastAsia="sk-SK"/>
              </w:rPr>
              <w:t>73</w:t>
            </w:r>
          </w:p>
        </w:tc>
      </w:tr>
    </w:tbl>
    <w:bookmarkEnd w:id="60"/>
    <w:p w14:paraId="20C69C3B" w14:textId="3889D89E" w:rsidR="00FB260E" w:rsidRPr="004418C8" w:rsidRDefault="0018178F" w:rsidP="001941DB">
      <w:pPr>
        <w:spacing w:after="120" w:line="336" w:lineRule="auto"/>
        <w:ind w:left="4956" w:firstLine="708"/>
        <w:jc w:val="both"/>
        <w:rPr>
          <w:sz w:val="18"/>
          <w:szCs w:val="18"/>
        </w:rPr>
      </w:pPr>
      <w:r w:rsidRPr="004418C8">
        <w:rPr>
          <w:sz w:val="18"/>
          <w:szCs w:val="18"/>
        </w:rPr>
        <w:t xml:space="preserve">                </w:t>
      </w:r>
      <w:r w:rsidR="00411E35" w:rsidRPr="004418C8">
        <w:rPr>
          <w:sz w:val="18"/>
          <w:szCs w:val="18"/>
        </w:rPr>
        <w:tab/>
      </w:r>
      <w:r w:rsidR="00411E35" w:rsidRPr="004418C8">
        <w:rPr>
          <w:sz w:val="18"/>
          <w:szCs w:val="18"/>
        </w:rPr>
        <w:tab/>
      </w:r>
      <w:r w:rsidRPr="004418C8">
        <w:rPr>
          <w:sz w:val="18"/>
          <w:szCs w:val="18"/>
        </w:rPr>
        <w:t>Zdroj: MF SR</w:t>
      </w:r>
      <w:r w:rsidR="00DD5CBE">
        <w:rPr>
          <w:sz w:val="18"/>
          <w:szCs w:val="18"/>
        </w:rPr>
        <w:t>, IFP</w:t>
      </w:r>
    </w:p>
    <w:p w14:paraId="633DB2A4" w14:textId="71060E0D" w:rsidR="004029D5" w:rsidRDefault="004029D5" w:rsidP="0068270B">
      <w:pPr>
        <w:spacing w:before="120" w:after="120" w:line="240" w:lineRule="auto"/>
        <w:jc w:val="both"/>
        <w:rPr>
          <w:highlight w:val="yellow"/>
        </w:rPr>
      </w:pPr>
      <w:r w:rsidRPr="00CD1ADF">
        <w:t>Pri výpočte implicitných záväzkov došlo k metodickej zmene, ktorú sa rozhodlo uplatniť Ministerstvo financií SR s cieľom poskytovať reálny odhad implicitných záväzkov nie v nekonečnom horizonte, ale v horizonte do roku 2064.</w:t>
      </w:r>
      <w:r w:rsidR="007A0720" w:rsidRPr="00CD1ADF">
        <w:t xml:space="preserve"> Dôvodom bola revízia úrokových mier zo strany pracovnej skupiny pre starnutie obyvateľstva (</w:t>
      </w:r>
      <w:proofErr w:type="spellStart"/>
      <w:r w:rsidR="007A0720" w:rsidRPr="00CD1ADF">
        <w:t>Working</w:t>
      </w:r>
      <w:proofErr w:type="spellEnd"/>
      <w:r w:rsidR="007A0720" w:rsidRPr="00CD1ADF">
        <w:t xml:space="preserve"> Group</w:t>
      </w:r>
      <w:r w:rsidR="00CD1ADF">
        <w:t xml:space="preserve"> on </w:t>
      </w:r>
      <w:proofErr w:type="spellStart"/>
      <w:r w:rsidR="00CD1ADF" w:rsidRPr="00CD1ADF">
        <w:t>Ag</w:t>
      </w:r>
      <w:r w:rsidR="00CD1ADF">
        <w:t>e</w:t>
      </w:r>
      <w:r w:rsidR="00CD1ADF" w:rsidRPr="00CD1ADF">
        <w:t>ing</w:t>
      </w:r>
      <w:proofErr w:type="spellEnd"/>
      <w:r w:rsidR="00CD1ADF">
        <w:t xml:space="preserve"> </w:t>
      </w:r>
      <w:proofErr w:type="spellStart"/>
      <w:r w:rsidR="00CD1ADF">
        <w:t>Populations</w:t>
      </w:r>
      <w:proofErr w:type="spellEnd"/>
      <w:r w:rsidR="00CD1ADF">
        <w:t xml:space="preserve"> and </w:t>
      </w:r>
      <w:proofErr w:type="spellStart"/>
      <w:r w:rsidR="00CD1ADF">
        <w:t>Sustainability</w:t>
      </w:r>
      <w:proofErr w:type="spellEnd"/>
      <w:r w:rsidR="007A0720" w:rsidRPr="00CD1ADF">
        <w:t xml:space="preserve"> – AWG</w:t>
      </w:r>
      <w:r w:rsidR="00932A01">
        <w:rPr>
          <w:rStyle w:val="Odkaznapoznmkupodiarou"/>
        </w:rPr>
        <w:footnoteReference w:id="27"/>
      </w:r>
      <w:r w:rsidR="007A0720" w:rsidRPr="00CD1ADF">
        <w:t xml:space="preserve">), ktorá spôsobila tak výrazné zvýšenie implicitných záväzkov v nekonečnom horizonte, že ich objektívne zhodnotenie by bolo problematické. Vplyvy na implicitné záväzky v hodnote tisícok percent, resp. spätná revízia záväzkov s využitím nových projekcií HDP a úrokových mier by boli neintuitívne, ekonomicky len ťažko interpretovateľné a bez relevantných záverov pre vplyv verejných politík. </w:t>
      </w:r>
      <w:r w:rsidR="007A0720" w:rsidRPr="00784546">
        <w:rPr>
          <w:i/>
        </w:rPr>
        <w:t>Bližší popis je uvedený v samostatnej podkapitole, venujúcej sa implicitným záväzkom.</w:t>
      </w:r>
      <w:r w:rsidR="007A0720" w:rsidRPr="00CD1ADF">
        <w:t xml:space="preserve"> V tomto duchu boli revidované aj roky 2018 a 2019.</w:t>
      </w:r>
    </w:p>
    <w:p w14:paraId="7E6435B5" w14:textId="69C36B92" w:rsidR="00FB260E" w:rsidRPr="004418C8" w:rsidRDefault="007A0720" w:rsidP="007A0720">
      <w:pPr>
        <w:spacing w:before="120" w:after="120" w:line="240" w:lineRule="auto"/>
        <w:jc w:val="both"/>
      </w:pPr>
      <w:r w:rsidRPr="00AC4509">
        <w:t>Zároveň boli pre roky 2018 a 2019 použité revidované hodnoty HDP z</w:t>
      </w:r>
      <w:r w:rsidR="003F35BA" w:rsidRPr="00AC4509">
        <w:t> rutinnej revízi</w:t>
      </w:r>
      <w:r w:rsidRPr="00AC4509">
        <w:t>e</w:t>
      </w:r>
      <w:r w:rsidR="003F35BA" w:rsidRPr="00AC4509">
        <w:t xml:space="preserve"> </w:t>
      </w:r>
      <w:r w:rsidRPr="00AC4509">
        <w:t xml:space="preserve">v rámci jesennej notifikácie údajov za rok 2020. </w:t>
      </w:r>
      <w:r w:rsidR="003F35BA" w:rsidRPr="00AC4509">
        <w:t>Tieto zmeny znamenali</w:t>
      </w:r>
      <w:r w:rsidR="001C5889" w:rsidRPr="00AC4509">
        <w:t xml:space="preserve"> minimálny vplyv na </w:t>
      </w:r>
      <w:r w:rsidR="00AC4509">
        <w:t xml:space="preserve">revidované </w:t>
      </w:r>
      <w:r w:rsidR="001C5889" w:rsidRPr="00AC4509">
        <w:t>čisté bohat</w:t>
      </w:r>
      <w:r w:rsidR="00E30D5F">
        <w:t xml:space="preserve">stvo v predchádzajúcich rokoch. </w:t>
      </w:r>
      <w:r w:rsidR="00FB260E" w:rsidRPr="00AC4509">
        <w:t>Údaje za rok 20</w:t>
      </w:r>
      <w:r w:rsidR="00283C80" w:rsidRPr="00AC4509">
        <w:t>20</w:t>
      </w:r>
      <w:r w:rsidR="00FB260E" w:rsidRPr="00AC4509">
        <w:t xml:space="preserve"> boli prepočítané voči aktuálnemu HDP zverejnenému v rámci októbrovej notifikácie.</w:t>
      </w:r>
    </w:p>
    <w:p w14:paraId="656D5C62" w14:textId="784D0DBC" w:rsidR="00FB260E" w:rsidRPr="004418C8" w:rsidRDefault="00FB260E" w:rsidP="0068270B">
      <w:pPr>
        <w:spacing w:before="120" w:after="120" w:line="240" w:lineRule="auto"/>
        <w:jc w:val="both"/>
      </w:pPr>
      <w:r w:rsidRPr="004418C8">
        <w:t xml:space="preserve">Podrobnému vysvetleniu zmien v jednotlivých zložkách čistého bohatstva sa venujú nasledovné podkapitoly s výnimkou vlastného imania podnikov MH Manažmentu, a.s. Vlastné imanie podnikov MH Manažmentu, a.s. tvorí podmnožinu podnikov štátnej správy, ktorá je pre účely vyčíslenia čistého bohatstva uvedená osobitne, pretože táto skupina podnikov nie je súčasťou súhrnného celku, a preto nie je predmetom účtovnej konsolidácie. Vlastné imanie podnikov MH Manažmentu, a.s. tvorí súčet vlastných imaní jednotlivých podnikov z individuálnych účtovných závierok, pričom veľkosť vlastného imania je prepočítaná vlastníckym podielom štátu v týchto podnikoch. </w:t>
      </w:r>
    </w:p>
    <w:p w14:paraId="4085B491" w14:textId="06507CF2" w:rsidR="005320FA" w:rsidRPr="004418C8" w:rsidRDefault="00FB260E" w:rsidP="0068270B">
      <w:pPr>
        <w:spacing w:after="120" w:line="240" w:lineRule="auto"/>
        <w:jc w:val="both"/>
      </w:pPr>
      <w:r w:rsidRPr="003D16EE">
        <w:t xml:space="preserve">Vlastné imanie podnikov MH Manažmentu </w:t>
      </w:r>
      <w:r w:rsidR="00FA16B9" w:rsidRPr="003D16EE">
        <w:t>sa zvýšilo</w:t>
      </w:r>
      <w:r w:rsidRPr="003D16EE">
        <w:t xml:space="preserve"> ku koncu roka 20</w:t>
      </w:r>
      <w:r w:rsidR="0015481D" w:rsidRPr="003D16EE">
        <w:t>20</w:t>
      </w:r>
      <w:r w:rsidRPr="003D16EE">
        <w:t xml:space="preserve"> oproti predchádzajúcemu roku o</w:t>
      </w:r>
      <w:r w:rsidR="00FA16B9" w:rsidRPr="003D16EE">
        <w:t> 25 336</w:t>
      </w:r>
      <w:r w:rsidRPr="003D16EE">
        <w:t xml:space="preserve"> tis. eur najmä vplyvom výsledkov hospodárenia podnikov za bežné obdobie.</w:t>
      </w:r>
    </w:p>
    <w:p w14:paraId="0D9EDE02" w14:textId="00472532" w:rsidR="005320FA" w:rsidRPr="004418C8" w:rsidRDefault="00DB57E9" w:rsidP="0068270B">
      <w:pPr>
        <w:spacing w:line="240" w:lineRule="auto"/>
        <w:jc w:val="both"/>
      </w:pPr>
      <w:r>
        <w:t>Od roku 2019 je vlastné imanie súhrnného celku pre účely čistého bohatstva očistené o vplyv tvorby účtovnej rezervy na zamestnanecké požitky</w:t>
      </w:r>
      <w:r w:rsidR="00B84ADB">
        <w:t xml:space="preserve">, nakoľko benefity v podobe výplaty dôchodkov súčasných a budúcich poberateľov dávok v silových rezortoch sú zohľadnené už v implicitných záväzkoch. </w:t>
      </w:r>
      <w:r w:rsidR="00AC4509">
        <w:t>P</w:t>
      </w:r>
      <w:r w:rsidR="00E430FC" w:rsidRPr="004418C8">
        <w:t>re hlbšiu informovanosť o</w:t>
      </w:r>
      <w:r w:rsidR="00965B3E" w:rsidRPr="004418C8">
        <w:t xml:space="preserve"> vývoji v </w:t>
      </w:r>
      <w:r w:rsidR="00E430FC" w:rsidRPr="004418C8">
        <w:t>súhrnnom celku, bez vplyvu zmien v rámci výpočtu čistého bohatstva, je vlastné imanie súhrnného celku v podkapitole 3.2.1. komentované na základe súhrnnej účtovnej závierky, zostavenej k 31.12.20</w:t>
      </w:r>
      <w:r w:rsidR="00002917">
        <w:t>20</w:t>
      </w:r>
      <w:r w:rsidR="00E430FC" w:rsidRPr="004418C8">
        <w:t>.</w:t>
      </w:r>
      <w:r w:rsidR="00A224E5" w:rsidRPr="004418C8">
        <w:t xml:space="preserve"> </w:t>
      </w:r>
      <w:r w:rsidR="004F26DF" w:rsidRPr="004418C8">
        <w:t xml:space="preserve"> </w:t>
      </w:r>
    </w:p>
    <w:p w14:paraId="188010DB" w14:textId="77777777" w:rsidR="00A544B6" w:rsidRPr="00533127" w:rsidRDefault="00A544B6" w:rsidP="004E5304">
      <w:pPr>
        <w:pStyle w:val="Nadpis3"/>
        <w:numPr>
          <w:ilvl w:val="2"/>
          <w:numId w:val="14"/>
        </w:numPr>
      </w:pPr>
      <w:bookmarkStart w:id="61" w:name="_Toc399324372"/>
      <w:bookmarkStart w:id="62" w:name="_Toc401920026"/>
      <w:bookmarkStart w:id="63" w:name="_Toc465255027"/>
      <w:bookmarkStart w:id="64" w:name="_Toc495990495"/>
      <w:bookmarkStart w:id="65" w:name="_Toc85718909"/>
      <w:r w:rsidRPr="00533127">
        <w:lastRenderedPageBreak/>
        <w:t xml:space="preserve">Vlastné imanie </w:t>
      </w:r>
      <w:r w:rsidR="008117A9" w:rsidRPr="00533127">
        <w:t>súhrnného celku verejnej</w:t>
      </w:r>
      <w:r w:rsidRPr="00533127">
        <w:t xml:space="preserve"> správy</w:t>
      </w:r>
      <w:bookmarkEnd w:id="61"/>
      <w:bookmarkEnd w:id="62"/>
      <w:bookmarkEnd w:id="63"/>
      <w:bookmarkEnd w:id="64"/>
      <w:bookmarkEnd w:id="65"/>
    </w:p>
    <w:p w14:paraId="47B957C7" w14:textId="66731C7F" w:rsidR="00FB260E" w:rsidRPr="00533127" w:rsidRDefault="00FB260E" w:rsidP="00533127">
      <w:pPr>
        <w:spacing w:after="120" w:line="240" w:lineRule="auto"/>
        <w:jc w:val="both"/>
      </w:pPr>
      <w:bookmarkStart w:id="66" w:name="_Toc399324373"/>
      <w:bookmarkStart w:id="67" w:name="_Toc431985279"/>
      <w:bookmarkStart w:id="68" w:name="_Toc433099061"/>
      <w:bookmarkStart w:id="69" w:name="_Toc433099300"/>
      <w:bookmarkStart w:id="70" w:name="_Toc433099406"/>
      <w:bookmarkStart w:id="71" w:name="_Toc433099588"/>
      <w:r w:rsidRPr="00533127">
        <w:t>Vlastné imanie súhrnného celku</w:t>
      </w:r>
      <w:r w:rsidR="00A424A9" w:rsidRPr="00533127">
        <w:rPr>
          <w:rStyle w:val="Odkaznapoznmkupodiarou"/>
        </w:rPr>
        <w:footnoteReference w:id="28"/>
      </w:r>
      <w:r w:rsidRPr="00533127">
        <w:t xml:space="preserve"> dosiahlo k 31.12.20</w:t>
      </w:r>
      <w:r w:rsidR="00533127">
        <w:t>20</w:t>
      </w:r>
      <w:r w:rsidRPr="00533127">
        <w:t xml:space="preserve"> zápornú hodnotu -</w:t>
      </w:r>
      <w:r w:rsidR="00533127">
        <w:t>33 152 716</w:t>
      </w:r>
      <w:r w:rsidRPr="00533127">
        <w:t xml:space="preserve"> tis. eur, pričom je tvorené záporným výsledkom hospodárenia vo výške -</w:t>
      </w:r>
      <w:r w:rsidR="00533127">
        <w:t>33 344 399</w:t>
      </w:r>
      <w:r w:rsidRPr="00533127">
        <w:t xml:space="preserve"> tis. eur (z toho výsledkom hospodárenia bežného obdobia vo výške </w:t>
      </w:r>
      <w:r w:rsidR="00AF36A1">
        <w:t>-7 192 621</w:t>
      </w:r>
      <w:r w:rsidRPr="00533127">
        <w:t xml:space="preserve"> tis. eur), oceňovacími rozdielmi v hodnote </w:t>
      </w:r>
      <w:r w:rsidR="00AF36A1">
        <w:t>19 014</w:t>
      </w:r>
      <w:r w:rsidRPr="00533127">
        <w:t xml:space="preserve"> tis. eur</w:t>
      </w:r>
      <w:r w:rsidR="00467272" w:rsidRPr="00533127">
        <w:t xml:space="preserve"> a podielmi iných účtovných jednotiek v hodnote </w:t>
      </w:r>
      <w:r w:rsidR="00AF36A1">
        <w:t>172 668</w:t>
      </w:r>
      <w:r w:rsidR="00467272" w:rsidRPr="00533127">
        <w:t xml:space="preserve"> tis. eur</w:t>
      </w:r>
      <w:r w:rsidRPr="00533127">
        <w:t xml:space="preserve">. </w:t>
      </w:r>
      <w:r w:rsidRPr="00533127">
        <w:rPr>
          <w:b/>
        </w:rPr>
        <w:t>Medziročne sa vlastné imanie súhrnného celku úhrnom znížilo o</w:t>
      </w:r>
      <w:r w:rsidR="00AF36A1">
        <w:rPr>
          <w:b/>
        </w:rPr>
        <w:t> 6 401 905</w:t>
      </w:r>
      <w:r w:rsidRPr="00533127">
        <w:rPr>
          <w:b/>
        </w:rPr>
        <w:t xml:space="preserve"> tis. eur.</w:t>
      </w:r>
    </w:p>
    <w:p w14:paraId="2C693BAB" w14:textId="3FF9BFBF" w:rsidR="00FB260E" w:rsidRPr="00AE23CE" w:rsidRDefault="00FB260E" w:rsidP="00533127">
      <w:pPr>
        <w:spacing w:after="120" w:line="240" w:lineRule="auto"/>
        <w:jc w:val="both"/>
      </w:pPr>
      <w:r w:rsidRPr="00533127">
        <w:t xml:space="preserve">Na vlastné imanie súhrnného celku má vplyv najmä dosiahnutý výsledok hospodárenia bežného obdobia </w:t>
      </w:r>
      <w:r w:rsidRPr="00AE23CE">
        <w:t>jednotlivých subjektov (v podnikateľskom prostredí chápaný ako ,,zisk alebo ,,strata“)</w:t>
      </w:r>
      <w:r w:rsidR="00AF689B" w:rsidRPr="00AE23CE">
        <w:t>,</w:t>
      </w:r>
      <w:r w:rsidRPr="00AE23CE">
        <w:t xml:space="preserve"> ako aj výsledok hospodárenia minulých období (ovplyvnený prevodom výsledku hospodárenia bežného obdobia za posledný rok alebo významnými účtovnými opravami minulých období). V menšej miere ovplyvňujú vlastné imanie oceňovacie rozdiely a výška fondov (rezervné fondy, kapitálové fondy). </w:t>
      </w:r>
    </w:p>
    <w:p w14:paraId="75A02C9B" w14:textId="157DFB31" w:rsidR="00134B24" w:rsidRPr="00ED4676" w:rsidRDefault="00AE23CE" w:rsidP="00AE23CE">
      <w:pPr>
        <w:spacing w:after="120" w:line="240" w:lineRule="auto"/>
        <w:jc w:val="both"/>
        <w:rPr>
          <w:b/>
        </w:rPr>
      </w:pPr>
      <w:r w:rsidRPr="00AE23CE">
        <w:t>Súhrnná účtovná závierka za rok 2019 a tým aj vlastné imanie za rok 2019 bolo zostavované v čase pandémie COVID-19, a z</w:t>
      </w:r>
      <w:r w:rsidR="00134B24" w:rsidRPr="00AE23CE">
        <w:t> dôvodu prijatia legislatívnej úpravy v oblasti daní, účtovníctva a výkazníctva,</w:t>
      </w:r>
      <w:r w:rsidRPr="00AE23CE">
        <w:t xml:space="preserve"> bol možný posun termínu na predloženie účtovných závierok samotných subjektov verejnej správy. Súhrnná účtovná závierka tento posun termínu nemala vzhľadom na jesennú notifikáciu. Za rok 2019 sa preto nedostali do sumáru dôležité subjekty resp. konsolido</w:t>
      </w:r>
      <w:r w:rsidR="00F45869">
        <w:t>vané celky v územnej samospráve</w:t>
      </w:r>
      <w:r w:rsidR="00F45869">
        <w:br/>
      </w:r>
      <w:r w:rsidRPr="00AE23CE">
        <w:t>(menej o 147 individuálnych účtovných závierok obchodných spoločností obcí a miest a o 201 konsolidovaných závierok obcí a miest bolo zahrnutých za rok 2019). Odhadovaná účtovná hodnota, ktorý chýbala v agregovaných dátach bola od 1 do 1,5 mld. eur</w:t>
      </w:r>
      <w:r w:rsidR="00604FCB">
        <w:t xml:space="preserve"> resp. 400 až 500 mil. eur s vplyvom na výsledok hospodárenia</w:t>
      </w:r>
      <w:r w:rsidRPr="00AE23CE">
        <w:t>.</w:t>
      </w:r>
      <w:r w:rsidR="00134B24" w:rsidRPr="00AE23CE">
        <w:t xml:space="preserve"> </w:t>
      </w:r>
      <w:r>
        <w:t>V roku 2020 bolo predložených 1 124 z 1</w:t>
      </w:r>
      <w:r w:rsidR="00ED4676">
        <w:t> </w:t>
      </w:r>
      <w:r w:rsidR="00065110">
        <w:t>142</w:t>
      </w:r>
      <w:r w:rsidR="00ED4676">
        <w:t xml:space="preserve"> konsolidovaných závierok samospráv. </w:t>
      </w:r>
      <w:r w:rsidR="00ED4676">
        <w:rPr>
          <w:b/>
        </w:rPr>
        <w:t>Z tohto dôvodu je medziročná zmena výrazne ovplyvnená nižšou porovnávacou bázou (neúplného) roka 2019.</w:t>
      </w:r>
    </w:p>
    <w:p w14:paraId="5C22E8CF" w14:textId="20E317A7" w:rsidR="00FB260E" w:rsidRPr="00604FCB" w:rsidRDefault="00FB260E" w:rsidP="00AE23CE">
      <w:pPr>
        <w:spacing w:after="120" w:line="240" w:lineRule="auto"/>
        <w:jc w:val="both"/>
      </w:pPr>
      <w:r w:rsidRPr="00604FCB">
        <w:t>Z pohľadu veľkosti podielu na vlastnom imaní súhrnného celku je najvýznamnejšia ústredná správa a v rámci nej Ministerstvo financií SR. Špecifické postavenie Ministerstva financií SR spočíva v tom, že účtuje o všetkých poskytnutých transferoch zo štátneho rozpočtu, ktoré sa vykazujú jednak vo výdavkoch daného roka, a akruálne aj v nákladoch. Ide o rôzne druhy transferov, ktoré nemusí reálne poskytovať len Ministerstvo financií SR, ale aj ostatné kapitoly štátneho rozpočtu a ich rozpočtové organizácie v zriaďovateľskej pôsobnosti. Na druhej strane Ministerstvo financií SR účtuje o najdôležitejších príjmoch verejnej správy, a to o daňových a</w:t>
      </w:r>
      <w:r w:rsidR="005320FA" w:rsidRPr="00604FCB">
        <w:t> </w:t>
      </w:r>
      <w:r w:rsidR="00C54519" w:rsidRPr="00604FCB">
        <w:t>značnej</w:t>
      </w:r>
      <w:r w:rsidR="005320FA" w:rsidRPr="00604FCB">
        <w:t xml:space="preserve"> časti </w:t>
      </w:r>
      <w:r w:rsidRPr="00604FCB">
        <w:t>nedaňových príjmoch štátneho rozpočtu</w:t>
      </w:r>
      <w:r w:rsidR="00222200" w:rsidRPr="00604FCB">
        <w:t xml:space="preserve"> (odvody, poplatky, dividendy)</w:t>
      </w:r>
      <w:r w:rsidRPr="00604FCB">
        <w:t>.</w:t>
      </w:r>
    </w:p>
    <w:p w14:paraId="424A374C" w14:textId="7B97D47F" w:rsidR="00FB260E" w:rsidRPr="00F20F19" w:rsidRDefault="00FB260E" w:rsidP="00AE23CE">
      <w:pPr>
        <w:spacing w:after="120" w:line="240" w:lineRule="auto"/>
        <w:jc w:val="both"/>
      </w:pPr>
      <w:r w:rsidRPr="00F20F19">
        <w:t xml:space="preserve">Na výsledok hospodárenia Ministerstva financií SR (resp. ústrednej správy) majú najdôležitejší vplyv dve transakcie, pričom tieto nemajú rovnaký charakter v peňažnom – hotovostnom vyjadrení daného roka. Vzhľadom na doterajšie deficitné hospodárenie štátneho rozpočtu, je hotovostný deficit </w:t>
      </w:r>
      <w:r w:rsidR="00DE55F8" w:rsidRPr="00F20F19">
        <w:t>(za rok 2019 vo výške 2 201 481 tis. eur a za rok 2020 až 7 758 420 tis. eur)</w:t>
      </w:r>
      <w:r w:rsidRPr="00F20F19">
        <w:t>jedným z dôvodov záporného účtovného výsledku hospodárenia. Naakumulované záporné výsledky hospodárenia štátneho rozpočtu za predchádzajúce roky sú súčasťou výsledku hospodárenia minulých rokov.</w:t>
      </w:r>
    </w:p>
    <w:p w14:paraId="3438403E" w14:textId="760E5268" w:rsidR="00FB260E" w:rsidRPr="00F20F19" w:rsidRDefault="00FB260E" w:rsidP="00AE23CE">
      <w:pPr>
        <w:spacing w:after="120" w:line="240" w:lineRule="auto"/>
        <w:jc w:val="both"/>
      </w:pPr>
      <w:r w:rsidRPr="00532B22">
        <w:t>Ďalšou objemovo významnou transakciou, ktorá vplýva na záporný výsledok hospodárenia ústrednej správy je účtovanie o dlhodobej rezerve na zamestnanecké požitky zamestnancov štátnych rozpočtových a štátnych príspevkových organizácií (napríklad výsluhové dôchodky vojakov, policajtov, sudcov, životné a pracovné jubileá). Výška tejto rezervy sa vykazuje na základe expertného odhadu, ktorý berie do úvahy súčasnú legislatívu v oblasti poskytovania zamestnaneckých požitkov (benefitov) v ústrednej správe, znenia kolektívnych zmlúv a vyššej kolektívnej zmluvy v ústrednej správe, počet zamestnancov, ich vekovú štruktúru a ďalšie faktory. Čo je pri rezervách neisté, je výška a čas plnenia týchto záväzkov, v súlade s definíciou účtovných rezerv. K 31.12.20</w:t>
      </w:r>
      <w:r w:rsidR="00F20F19" w:rsidRPr="00532B22">
        <w:t>20</w:t>
      </w:r>
      <w:r w:rsidRPr="00532B22">
        <w:t xml:space="preserve"> bola </w:t>
      </w:r>
      <w:r w:rsidRPr="00A90EB0">
        <w:t xml:space="preserve">vykázaná rezerva na zamestnanecké požitky ústrednej správy, o ktorej účtuje Ministerstvo financií SR, vo výške </w:t>
      </w:r>
      <w:r w:rsidR="00F20F19" w:rsidRPr="00A90EB0">
        <w:t xml:space="preserve">32 467 540 </w:t>
      </w:r>
      <w:r w:rsidR="00DE55F8" w:rsidRPr="00A90EB0">
        <w:t xml:space="preserve">tis. eur, čo je medziročne viac </w:t>
      </w:r>
      <w:r w:rsidRPr="00A90EB0">
        <w:t>o </w:t>
      </w:r>
      <w:r w:rsidR="00F20F19" w:rsidRPr="00A90EB0">
        <w:t>2 958 893</w:t>
      </w:r>
      <w:r w:rsidRPr="00A90EB0">
        <w:t xml:space="preserve"> tis. eur. Podiel </w:t>
      </w:r>
      <w:r w:rsidR="00532B22" w:rsidRPr="00A90EB0">
        <w:t xml:space="preserve">5 silových </w:t>
      </w:r>
      <w:r w:rsidRPr="00A90EB0">
        <w:t>rezortov</w:t>
      </w:r>
      <w:r w:rsidR="00532B22" w:rsidRPr="00A90EB0">
        <w:rPr>
          <w:rStyle w:val="Odkaznapoznmkupodiarou"/>
        </w:rPr>
        <w:footnoteReference w:id="29"/>
      </w:r>
      <w:r w:rsidRPr="00A90EB0">
        <w:t xml:space="preserve">, v ktorých sa uplatňujú </w:t>
      </w:r>
      <w:r w:rsidR="00532B22" w:rsidRPr="00A90EB0">
        <w:t>špeciálne</w:t>
      </w:r>
      <w:r w:rsidRPr="00A90EB0">
        <w:t xml:space="preserve"> benefity tvorí 9</w:t>
      </w:r>
      <w:r w:rsidR="00A90EB0" w:rsidRPr="00A90EB0">
        <w:t>9</w:t>
      </w:r>
      <w:r w:rsidRPr="00A90EB0">
        <w:t xml:space="preserve"> % </w:t>
      </w:r>
      <w:r w:rsidRPr="00A90EB0">
        <w:lastRenderedPageBreak/>
        <w:t>z celkovej rezerv</w:t>
      </w:r>
      <w:r w:rsidR="00322951" w:rsidRPr="00A90EB0">
        <w:t>y</w:t>
      </w:r>
      <w:r w:rsidRPr="00A90EB0">
        <w:t xml:space="preserve">, a to </w:t>
      </w:r>
      <w:r w:rsidR="00532B22" w:rsidRPr="00A90EB0">
        <w:t>32 328 776</w:t>
      </w:r>
      <w:r w:rsidRPr="00A90EB0">
        <w:t xml:space="preserve"> tis. eur, pričom ide najmä o </w:t>
      </w:r>
      <w:r w:rsidR="00F57D30" w:rsidRPr="008E7918">
        <w:t>potenciálnych budúcich poberateľo</w:t>
      </w:r>
      <w:r w:rsidR="00F57D30">
        <w:t>v výsluhových dávok (17 667 583 tis.</w:t>
      </w:r>
      <w:r w:rsidR="00F57D30" w:rsidRPr="008E7918">
        <w:t xml:space="preserve"> eur</w:t>
      </w:r>
      <w:r w:rsidR="00F57D30">
        <w:t>)</w:t>
      </w:r>
      <w:r w:rsidR="00F57D30" w:rsidRPr="008E7918">
        <w:t xml:space="preserve"> a pre dôchodcov, </w:t>
      </w:r>
      <w:r w:rsidR="00F57D30">
        <w:t>vdovy, vdovcov, siroty (13 921 660 tis.</w:t>
      </w:r>
      <w:r w:rsidR="00F57D30" w:rsidRPr="008E7918">
        <w:t xml:space="preserve"> eu</w:t>
      </w:r>
      <w:r w:rsidR="00F57D30">
        <w:t>r, z toho samotní dôchodcovia 13 364 924 tis. </w:t>
      </w:r>
      <w:r w:rsidR="00F57D30" w:rsidRPr="008E7918">
        <w:t>eur</w:t>
      </w:r>
      <w:r w:rsidR="00F57D30">
        <w:t>)</w:t>
      </w:r>
      <w:r w:rsidR="00F57D30" w:rsidRPr="008E7918">
        <w:t>.</w:t>
      </w:r>
      <w:r w:rsidRPr="00A90EB0">
        <w:t xml:space="preserve"> Medziročná zmena bola premietnutá s vplyvom na výsledok hospodárenia bežného roka</w:t>
      </w:r>
      <w:r w:rsidR="008370D0" w:rsidRPr="00A90EB0">
        <w:t xml:space="preserve">, a oproti predchádzajúcemu roku bola tvorba rezervy </w:t>
      </w:r>
      <w:r w:rsidR="00A90EB0" w:rsidRPr="00A90EB0">
        <w:t>vyššia</w:t>
      </w:r>
      <w:r w:rsidR="008370D0" w:rsidRPr="00A90EB0">
        <w:t xml:space="preserve"> </w:t>
      </w:r>
      <w:r w:rsidR="00A90EB0" w:rsidRPr="00A90EB0">
        <w:t>o 2 956 478</w:t>
      </w:r>
      <w:r w:rsidR="008370D0" w:rsidRPr="00A90EB0">
        <w:t xml:space="preserve"> </w:t>
      </w:r>
      <w:r w:rsidR="0031227D" w:rsidRPr="00A90EB0">
        <w:t>tis. eur, čo malo významný vplyv na celkový výsledok hospodárenia za rok 20</w:t>
      </w:r>
      <w:r w:rsidR="00A90EB0" w:rsidRPr="00A90EB0">
        <w:t>20</w:t>
      </w:r>
      <w:r w:rsidR="0031227D" w:rsidRPr="00A90EB0">
        <w:t xml:space="preserve"> </w:t>
      </w:r>
      <w:r w:rsidRPr="009C3A5A">
        <w:rPr>
          <w:i/>
        </w:rPr>
        <w:t>(bližší popis je v</w:t>
      </w:r>
      <w:r w:rsidR="005320FA" w:rsidRPr="009C3A5A">
        <w:rPr>
          <w:i/>
        </w:rPr>
        <w:t> prílohe č. 3</w:t>
      </w:r>
      <w:r w:rsidRPr="009C3A5A">
        <w:rPr>
          <w:i/>
        </w:rPr>
        <w:t>, v časti B.I</w:t>
      </w:r>
      <w:r w:rsidR="003262E6" w:rsidRPr="009C3A5A">
        <w:rPr>
          <w:i/>
        </w:rPr>
        <w:t>I a BIV.</w:t>
      </w:r>
      <w:r w:rsidRPr="009C3A5A">
        <w:rPr>
          <w:i/>
        </w:rPr>
        <w:t xml:space="preserve"> Rezervy)</w:t>
      </w:r>
      <w:r w:rsidRPr="00A90EB0">
        <w:t xml:space="preserve">. </w:t>
      </w:r>
    </w:p>
    <w:p w14:paraId="3D17785E" w14:textId="37E4E64B" w:rsidR="002E516E" w:rsidRPr="00F20F19" w:rsidRDefault="002E516E" w:rsidP="00AE23CE">
      <w:pPr>
        <w:spacing w:after="120" w:line="240" w:lineRule="auto"/>
        <w:jc w:val="both"/>
      </w:pPr>
      <w:r w:rsidRPr="00F20F19">
        <w:rPr>
          <w:b/>
        </w:rPr>
        <w:t>Pre účely výpočtu čistého bohatstva bola z vlastného imania súhrnného celku vyňatá rezerva na výsluhové dôchodky silových rezortov (rovnako tak aj vdovské, vdovecké a sirotské penzie), ktorá bola tvorená v roku 20</w:t>
      </w:r>
      <w:r w:rsidR="00F20F19">
        <w:rPr>
          <w:b/>
        </w:rPr>
        <w:t>20</w:t>
      </w:r>
      <w:r w:rsidRPr="00F20F19">
        <w:rPr>
          <w:b/>
        </w:rPr>
        <w:t xml:space="preserve"> ako aj v predchádzajúcich rokoch (od začiatku výpočtu tejto rezervy v účtovnej závierke Ministerstva financií SR). </w:t>
      </w:r>
      <w:r w:rsidR="00231BE6" w:rsidRPr="00F20F19">
        <w:rPr>
          <w:b/>
        </w:rPr>
        <w:t xml:space="preserve">Hodnota </w:t>
      </w:r>
      <w:r w:rsidRPr="00F20F19">
        <w:rPr>
          <w:b/>
        </w:rPr>
        <w:t>bežného roka bol</w:t>
      </w:r>
      <w:r w:rsidR="00231BE6" w:rsidRPr="00F20F19">
        <w:rPr>
          <w:b/>
        </w:rPr>
        <w:t>a</w:t>
      </w:r>
      <w:r w:rsidRPr="00F20F19">
        <w:rPr>
          <w:b/>
        </w:rPr>
        <w:t xml:space="preserve"> </w:t>
      </w:r>
      <w:r w:rsidR="007F6DFA">
        <w:rPr>
          <w:b/>
        </w:rPr>
        <w:t>2 956 478 </w:t>
      </w:r>
      <w:r w:rsidRPr="00F20F19">
        <w:rPr>
          <w:b/>
        </w:rPr>
        <w:t xml:space="preserve">tis. eur a rezerva z predchádzajúcich rokov vo výške </w:t>
      </w:r>
      <w:r w:rsidR="007F6DFA">
        <w:rPr>
          <w:b/>
        </w:rPr>
        <w:t>29 372 297</w:t>
      </w:r>
      <w:r w:rsidRPr="00F20F19">
        <w:rPr>
          <w:b/>
        </w:rPr>
        <w:t xml:space="preserve"> tis. eur. </w:t>
      </w:r>
      <w:r w:rsidRPr="00F20F19">
        <w:t xml:space="preserve"> </w:t>
      </w:r>
    </w:p>
    <w:p w14:paraId="404EE85B" w14:textId="0C087F05" w:rsidR="00FF740C" w:rsidRPr="00E377B8" w:rsidRDefault="00FB260E" w:rsidP="00AE23CE">
      <w:pPr>
        <w:spacing w:after="120" w:line="240" w:lineRule="auto"/>
        <w:jc w:val="both"/>
      </w:pPr>
      <w:r w:rsidRPr="00E377B8">
        <w:rPr>
          <w:b/>
        </w:rPr>
        <w:t>Výsledok hospodárenia bežného účtovného obdobia 20</w:t>
      </w:r>
      <w:r w:rsidR="00DE55F8" w:rsidRPr="00E377B8">
        <w:rPr>
          <w:b/>
        </w:rPr>
        <w:t>20</w:t>
      </w:r>
      <w:r w:rsidRPr="00E377B8">
        <w:t>, ktorý je výsledkom rozdielu účtovných výnosov a účtovných nákladov</w:t>
      </w:r>
      <w:r w:rsidR="00993FCE" w:rsidRPr="00E377B8">
        <w:t>,</w:t>
      </w:r>
      <w:r w:rsidRPr="00E377B8">
        <w:t xml:space="preserve"> dosiahol za celý súhrnný celok -</w:t>
      </w:r>
      <w:r w:rsidR="0066343B" w:rsidRPr="00E377B8">
        <w:t>7 186 613</w:t>
      </w:r>
      <w:r w:rsidRPr="00E377B8">
        <w:t xml:space="preserve"> tis. eur, pričom medziročne došlo k</w:t>
      </w:r>
      <w:r w:rsidR="0066343B" w:rsidRPr="00E377B8">
        <w:t> prehĺbeniu ,,straty“</w:t>
      </w:r>
      <w:r w:rsidRPr="00E377B8">
        <w:t xml:space="preserve"> o</w:t>
      </w:r>
      <w:r w:rsidR="0066343B" w:rsidRPr="00E377B8">
        <w:t> 6 106 646</w:t>
      </w:r>
      <w:r w:rsidRPr="00E377B8">
        <w:t xml:space="preserve"> tis. eur.</w:t>
      </w:r>
      <w:r w:rsidR="00FF740C" w:rsidRPr="00E377B8">
        <w:t xml:space="preserve"> Celkové náklady súhrnného celku medziročne </w:t>
      </w:r>
      <w:r w:rsidR="0066343B" w:rsidRPr="00E377B8">
        <w:t>rástli</w:t>
      </w:r>
      <w:r w:rsidR="00FF740C" w:rsidRPr="00E377B8">
        <w:t xml:space="preserve"> o</w:t>
      </w:r>
      <w:r w:rsidR="0066343B" w:rsidRPr="00E377B8">
        <w:t> 7 298 007</w:t>
      </w:r>
      <w:r w:rsidR="00FF740C" w:rsidRPr="00E377B8">
        <w:t xml:space="preserve"> tis. eur, pričom výnosy medziročne </w:t>
      </w:r>
      <w:r w:rsidR="0066343B" w:rsidRPr="00E377B8">
        <w:t xml:space="preserve">rástli len </w:t>
      </w:r>
      <w:r w:rsidR="00FF740C" w:rsidRPr="00E377B8">
        <w:t>o</w:t>
      </w:r>
      <w:r w:rsidR="0066343B" w:rsidRPr="00E377B8">
        <w:t> 1 191 361</w:t>
      </w:r>
      <w:r w:rsidR="00FF740C" w:rsidRPr="00E377B8">
        <w:t xml:space="preserve"> tis. eur.</w:t>
      </w:r>
    </w:p>
    <w:p w14:paraId="1431AC88" w14:textId="1B9B42BB" w:rsidR="00FF740C" w:rsidRPr="008C0FD4" w:rsidRDefault="00E377B8" w:rsidP="00AE23CE">
      <w:pPr>
        <w:spacing w:after="120" w:line="240" w:lineRule="auto"/>
        <w:jc w:val="both"/>
      </w:pPr>
      <w:r w:rsidRPr="00B8765A">
        <w:t>V náraste</w:t>
      </w:r>
      <w:r w:rsidR="00820791" w:rsidRPr="00B8765A">
        <w:t xml:space="preserve"> nákladov sa odzrkadlila už spomenutá tvorba rezervy Ministerstva financií SR na zamestnanecké požitky</w:t>
      </w:r>
      <w:r w:rsidR="00FF740C" w:rsidRPr="00B8765A">
        <w:t xml:space="preserve"> </w:t>
      </w:r>
      <w:r w:rsidR="00820791" w:rsidRPr="00B8765A">
        <w:t>zamestnancov štátnych rozpočtových a príspevkových organizácií</w:t>
      </w:r>
      <w:r w:rsidRPr="00B8765A">
        <w:t xml:space="preserve"> (o 2 958 893 tis. eur)</w:t>
      </w:r>
      <w:r w:rsidR="00820791" w:rsidRPr="00B8765A">
        <w:t xml:space="preserve">, ďalej </w:t>
      </w:r>
      <w:r w:rsidRPr="00B8765A">
        <w:t xml:space="preserve">hlavne vyššie transfery zo štátneho rozpočtu o 3 816 756 tis. eur, </w:t>
      </w:r>
      <w:r w:rsidR="00820791" w:rsidRPr="00B8765A">
        <w:t xml:space="preserve">Medzi ďalšie významné položky nákladov </w:t>
      </w:r>
      <w:r w:rsidRPr="00B8765A">
        <w:t xml:space="preserve">ktoré rástli boli mzdové náklady o 1 036 474 tis. eur. Uvedené kopíruje vývoj </w:t>
      </w:r>
      <w:r w:rsidR="00E47001">
        <w:t xml:space="preserve">hospodárenia </w:t>
      </w:r>
      <w:r w:rsidRPr="00B8765A">
        <w:t xml:space="preserve">v podmienkach pandémie, kedy </w:t>
      </w:r>
      <w:r w:rsidR="00E47001">
        <w:t xml:space="preserve">uvedené </w:t>
      </w:r>
      <w:r w:rsidRPr="00B8765A">
        <w:t>položky nákladov</w:t>
      </w:r>
      <w:r w:rsidR="00E47001">
        <w:t xml:space="preserve"> rástli a naopak medziročne poklesli </w:t>
      </w:r>
      <w:r w:rsidRPr="00B8765A">
        <w:t xml:space="preserve">náklady na </w:t>
      </w:r>
      <w:r w:rsidR="00E47001">
        <w:t xml:space="preserve">nákup </w:t>
      </w:r>
      <w:r w:rsidRPr="00B8765A">
        <w:t>služ</w:t>
      </w:r>
      <w:r w:rsidR="00E47001">
        <w:t>ie</w:t>
      </w:r>
      <w:r w:rsidRPr="00B8765A">
        <w:t>b</w:t>
      </w:r>
      <w:r w:rsidR="00E47001">
        <w:t xml:space="preserve"> rôzneho druhu</w:t>
      </w:r>
      <w:r w:rsidRPr="00B8765A">
        <w:t xml:space="preserve"> (menej o 683 889 mil. eur</w:t>
      </w:r>
      <w:r w:rsidR="00E47001">
        <w:t>)</w:t>
      </w:r>
      <w:r w:rsidRPr="00B8765A">
        <w:t xml:space="preserve">, </w:t>
      </w:r>
      <w:r w:rsidRPr="008C0FD4">
        <w:t xml:space="preserve">náklady na </w:t>
      </w:r>
      <w:r w:rsidR="00CD2388" w:rsidRPr="008C0FD4">
        <w:t>spotrebu materiálu (menej o 270 663 tis. eur), spotrebu tovaru (menej o 233 670 tis. eur).</w:t>
      </w:r>
    </w:p>
    <w:p w14:paraId="37037D52" w14:textId="77B552CE" w:rsidR="00B8765A" w:rsidRPr="008C0FD4" w:rsidRDefault="00572C26" w:rsidP="00AE23CE">
      <w:pPr>
        <w:spacing w:after="120" w:line="240" w:lineRule="auto"/>
        <w:jc w:val="both"/>
      </w:pPr>
      <w:r w:rsidRPr="008C0FD4">
        <w:t>Z výnosov súhrnného celku</w:t>
      </w:r>
      <w:r w:rsidR="00C2440B" w:rsidRPr="008C0FD4">
        <w:t>, ktoré</w:t>
      </w:r>
      <w:r w:rsidRPr="008C0FD4">
        <w:t xml:space="preserve"> </w:t>
      </w:r>
      <w:r w:rsidR="00B8765A" w:rsidRPr="008C0FD4">
        <w:t>boli takisto poznačené pandémiou</w:t>
      </w:r>
      <w:r w:rsidR="00C2440B" w:rsidRPr="008C0FD4">
        <w:t>,</w:t>
      </w:r>
      <w:r w:rsidR="00B8765A" w:rsidRPr="008C0FD4">
        <w:t xml:space="preserve"> </w:t>
      </w:r>
      <w:r w:rsidR="00C2440B" w:rsidRPr="008C0FD4">
        <w:t>zaznamenali pokles trž</w:t>
      </w:r>
      <w:r w:rsidR="00B8765A" w:rsidRPr="008C0FD4">
        <w:t>b</w:t>
      </w:r>
      <w:r w:rsidR="00C2440B" w:rsidRPr="008C0FD4">
        <w:t>y</w:t>
      </w:r>
      <w:r w:rsidR="00B8765A" w:rsidRPr="008C0FD4">
        <w:t>, či dan</w:t>
      </w:r>
      <w:r w:rsidR="00C2440B" w:rsidRPr="008C0FD4">
        <w:t>e</w:t>
      </w:r>
      <w:r w:rsidR="00B8765A" w:rsidRPr="008C0FD4">
        <w:t>. Štát vykázal nižšie daňové výnosy o 460 060 tis. eur, tržby za tovar poklesli o 194 0015 tis. eur a</w:t>
      </w:r>
      <w:r w:rsidR="00C2440B" w:rsidRPr="008C0FD4">
        <w:t> ostatné výnosy</w:t>
      </w:r>
      <w:r w:rsidR="00B8765A" w:rsidRPr="008C0FD4">
        <w:t xml:space="preserve"> </w:t>
      </w:r>
      <w:r w:rsidR="00C2440B" w:rsidRPr="008C0FD4">
        <w:t>o</w:t>
      </w:r>
      <w:r w:rsidR="00B8765A" w:rsidRPr="008C0FD4">
        <w:t xml:space="preserve"> 136 889 tis. eur.</w:t>
      </w:r>
    </w:p>
    <w:p w14:paraId="010DCACD" w14:textId="4A396776" w:rsidR="00FB260E" w:rsidRPr="0031145C" w:rsidRDefault="00FB260E" w:rsidP="005D53BE">
      <w:pPr>
        <w:spacing w:after="120" w:line="240" w:lineRule="auto"/>
        <w:jc w:val="both"/>
      </w:pPr>
      <w:r w:rsidRPr="0031145C">
        <w:rPr>
          <w:b/>
        </w:rPr>
        <w:t>Výsledok hospodárenia minulých rokov</w:t>
      </w:r>
      <w:r w:rsidRPr="0031145C">
        <w:t xml:space="preserve"> súhrnného celku tvorí najmä: </w:t>
      </w:r>
    </w:p>
    <w:p w14:paraId="0929C303" w14:textId="77777777" w:rsidR="00FB260E" w:rsidRPr="0031145C" w:rsidRDefault="00FB260E" w:rsidP="004E5304">
      <w:pPr>
        <w:pStyle w:val="Odsekzoznamu"/>
        <w:numPr>
          <w:ilvl w:val="0"/>
          <w:numId w:val="20"/>
        </w:numPr>
        <w:spacing w:after="120"/>
        <w:ind w:left="714" w:hanging="357"/>
        <w:jc w:val="both"/>
        <w:rPr>
          <w:rFonts w:cs="Times New Roman"/>
        </w:rPr>
      </w:pPr>
      <w:r w:rsidRPr="0031145C">
        <w:rPr>
          <w:rFonts w:cs="Times New Roman"/>
        </w:rPr>
        <w:t>nerozdelený zisk resp. neuhradená strata obchodných spoločností,</w:t>
      </w:r>
    </w:p>
    <w:p w14:paraId="222B07D6" w14:textId="77777777" w:rsidR="00FB260E" w:rsidRPr="0031145C" w:rsidRDefault="00FB260E" w:rsidP="004E5304">
      <w:pPr>
        <w:pStyle w:val="Odsekzoznamu"/>
        <w:numPr>
          <w:ilvl w:val="0"/>
          <w:numId w:val="20"/>
        </w:numPr>
        <w:spacing w:after="120"/>
        <w:ind w:left="714" w:hanging="357"/>
        <w:jc w:val="both"/>
        <w:rPr>
          <w:rFonts w:cs="Times New Roman"/>
        </w:rPr>
      </w:pPr>
      <w:r w:rsidRPr="0031145C">
        <w:rPr>
          <w:rFonts w:cs="Times New Roman"/>
        </w:rPr>
        <w:t>prevod zostatkov kapitálových fondov, rezervných fondov a ostatných fondov obchodných spoločností,</w:t>
      </w:r>
    </w:p>
    <w:p w14:paraId="67D84F21" w14:textId="77777777" w:rsidR="00FB260E" w:rsidRPr="0031145C" w:rsidRDefault="00FB260E" w:rsidP="004E5304">
      <w:pPr>
        <w:pStyle w:val="Odsekzoznamu"/>
        <w:numPr>
          <w:ilvl w:val="0"/>
          <w:numId w:val="20"/>
        </w:numPr>
        <w:spacing w:after="120"/>
        <w:ind w:left="714" w:hanging="357"/>
        <w:jc w:val="both"/>
        <w:rPr>
          <w:rFonts w:cs="Times New Roman"/>
        </w:rPr>
      </w:pPr>
      <w:r w:rsidRPr="0031145C">
        <w:rPr>
          <w:rFonts w:cs="Times New Roman"/>
        </w:rPr>
        <w:t xml:space="preserve">prevod zostatku fondov ústrednej správy, </w:t>
      </w:r>
    </w:p>
    <w:p w14:paraId="706097E3" w14:textId="77777777" w:rsidR="00FB260E" w:rsidRPr="0031145C" w:rsidRDefault="00FB260E" w:rsidP="004E5304">
      <w:pPr>
        <w:pStyle w:val="Odsekzoznamu"/>
        <w:numPr>
          <w:ilvl w:val="0"/>
          <w:numId w:val="19"/>
        </w:numPr>
        <w:spacing w:after="120"/>
        <w:ind w:left="714" w:hanging="357"/>
        <w:jc w:val="both"/>
        <w:rPr>
          <w:rFonts w:cs="Times New Roman"/>
        </w:rPr>
      </w:pPr>
      <w:r w:rsidRPr="0031145C">
        <w:rPr>
          <w:rFonts w:cs="Times New Roman"/>
        </w:rPr>
        <w:t>výsledok hospodárenia všetkých rozpočtových organizácií ústrednej správy,</w:t>
      </w:r>
    </w:p>
    <w:p w14:paraId="44AFE164" w14:textId="77777777" w:rsidR="00FB260E" w:rsidRPr="0031145C" w:rsidRDefault="00FB260E" w:rsidP="004E5304">
      <w:pPr>
        <w:pStyle w:val="Odsekzoznamu"/>
        <w:numPr>
          <w:ilvl w:val="0"/>
          <w:numId w:val="19"/>
        </w:numPr>
        <w:spacing w:after="120"/>
        <w:ind w:left="714" w:hanging="357"/>
        <w:jc w:val="both"/>
        <w:rPr>
          <w:rFonts w:cs="Times New Roman"/>
        </w:rPr>
      </w:pPr>
      <w:r w:rsidRPr="0031145C">
        <w:rPr>
          <w:rFonts w:cs="Times New Roman"/>
        </w:rPr>
        <w:t>opravy významných chýb minulých účtovných období resp. zmeny účtovných metód a zásad s vplyvom na hospodárenie minulých období.</w:t>
      </w:r>
    </w:p>
    <w:p w14:paraId="5A403CC5" w14:textId="0B28AE1D" w:rsidR="00F040A7" w:rsidRPr="00C25F3C" w:rsidRDefault="00FB260E" w:rsidP="009A16AE">
      <w:pPr>
        <w:spacing w:after="120" w:line="240" w:lineRule="auto"/>
        <w:jc w:val="both"/>
      </w:pPr>
      <w:r w:rsidRPr="00C25F3C">
        <w:t>Celkovo dosiahol výsledok hospodárenia minulých rokov za súhrnný celok hodnotu -</w:t>
      </w:r>
      <w:r w:rsidR="00F17714" w:rsidRPr="00C25F3C">
        <w:t>26 151 778</w:t>
      </w:r>
      <w:r w:rsidRPr="00C25F3C">
        <w:t xml:space="preserve"> tis. eur a medziročne je horší o</w:t>
      </w:r>
      <w:r w:rsidR="00F17714" w:rsidRPr="00C25F3C">
        <w:t> 366 486</w:t>
      </w:r>
      <w:r w:rsidRPr="00C25F3C">
        <w:t xml:space="preserve"> tis. eur. Negatívny vplyv malo najmä preúčtovanie výsledku hospodárenia za rok 201</w:t>
      </w:r>
      <w:r w:rsidR="00F17714" w:rsidRPr="00C25F3C">
        <w:t>9</w:t>
      </w:r>
      <w:r w:rsidR="00F040A7" w:rsidRPr="00C25F3C">
        <w:t xml:space="preserve"> (-</w:t>
      </w:r>
      <w:r w:rsidR="00F17714" w:rsidRPr="00C25F3C">
        <w:t>1 055 432</w:t>
      </w:r>
      <w:r w:rsidR="00F040A7" w:rsidRPr="00C25F3C">
        <w:t xml:space="preserve"> tis. eur)</w:t>
      </w:r>
      <w:r w:rsidRPr="00C25F3C">
        <w:t xml:space="preserve"> do výsledku hospodárenia minulých rokov.</w:t>
      </w:r>
      <w:r w:rsidR="00E56F71" w:rsidRPr="00C25F3C">
        <w:t xml:space="preserve"> </w:t>
      </w:r>
      <w:r w:rsidR="00F040A7" w:rsidRPr="00C25F3C">
        <w:t xml:space="preserve"> </w:t>
      </w:r>
    </w:p>
    <w:p w14:paraId="68D3B032" w14:textId="229309EC" w:rsidR="00FB260E" w:rsidRPr="009A16AE" w:rsidRDefault="00C25F3C" w:rsidP="009A16AE">
      <w:pPr>
        <w:spacing w:after="120" w:line="240" w:lineRule="auto"/>
        <w:jc w:val="both"/>
      </w:pPr>
      <w:r w:rsidRPr="009A16AE">
        <w:rPr>
          <w:b/>
        </w:rPr>
        <w:t>P</w:t>
      </w:r>
      <w:r w:rsidR="00FB260E" w:rsidRPr="009A16AE">
        <w:rPr>
          <w:b/>
        </w:rPr>
        <w:t>odiely iných účtovných jednotiek</w:t>
      </w:r>
      <w:r w:rsidR="00FB260E" w:rsidRPr="009A16AE">
        <w:t xml:space="preserve"> sa vykazuje hodnota, ktorá neprináleží subjektom súhrnného celku, keďže pochádza z menšinových podielov v obchodných spoločnostiach, ktoré sú väčšinovo vlastnené „tretími“ stranami (napríklad súkromnými spoločnosťami, zahraničnými subjektmi). Hodnota týchto podielov sa vykazuje v súhrnnej účtovnej závierke na samostatnej položke práve preto, aby deklarovala nárok iných vlastníkov na vlastné imanie spoločností, ktorých spoluvlastníkom je niektorý subjekt súhrnného celku. Podiely iných účtovných jednotiek zahŕňajú nielen podiel na aktuálnom výsledku hospodárenia, ale aj na ostatných položkách vlastného imania.</w:t>
      </w:r>
    </w:p>
    <w:p w14:paraId="5E3B994F" w14:textId="126EDD2B" w:rsidR="00FB260E" w:rsidRPr="009A16AE" w:rsidRDefault="00FB260E" w:rsidP="009A16AE">
      <w:pPr>
        <w:spacing w:after="120" w:line="240" w:lineRule="auto"/>
        <w:jc w:val="both"/>
      </w:pPr>
      <w:r w:rsidRPr="009A16AE">
        <w:t xml:space="preserve">Medziročne sa hodnota podielov iných účtovných jednotiek </w:t>
      </w:r>
      <w:r w:rsidR="00C25F3C" w:rsidRPr="009A16AE">
        <w:t>zvýšila</w:t>
      </w:r>
      <w:r w:rsidRPr="009A16AE">
        <w:t xml:space="preserve"> o</w:t>
      </w:r>
      <w:r w:rsidR="00C25F3C" w:rsidRPr="009A16AE">
        <w:t> 154 990</w:t>
      </w:r>
      <w:r w:rsidRPr="009A16AE">
        <w:t xml:space="preserve"> tis. eur, a to najmä v </w:t>
      </w:r>
      <w:r w:rsidR="008A3C36" w:rsidRPr="009A16AE">
        <w:t>územnej</w:t>
      </w:r>
      <w:r w:rsidRPr="009A16AE">
        <w:t xml:space="preserve"> samospráve, u obcí </w:t>
      </w:r>
      <w:r w:rsidR="00272061" w:rsidRPr="009A16AE">
        <w:t>o</w:t>
      </w:r>
      <w:r w:rsidR="00935919" w:rsidRPr="009A16AE">
        <w:t> 154 166</w:t>
      </w:r>
      <w:r w:rsidRPr="009A16AE">
        <w:t xml:space="preserve"> tis. eur.</w:t>
      </w:r>
      <w:r w:rsidR="006913E9">
        <w:t xml:space="preserve"> Zvýšenie spočíva vo vyššej </w:t>
      </w:r>
      <w:proofErr w:type="spellStart"/>
      <w:r w:rsidR="006913E9">
        <w:t>agregácii</w:t>
      </w:r>
      <w:proofErr w:type="spellEnd"/>
      <w:r w:rsidR="006913E9">
        <w:t xml:space="preserve"> údajov z konsolidovaných závierok samospráv.</w:t>
      </w:r>
    </w:p>
    <w:p w14:paraId="4620A79D" w14:textId="77777777" w:rsidR="001A2E34" w:rsidRDefault="001A2E34">
      <w:pPr>
        <w:rPr>
          <w:rFonts w:eastAsiaTheme="majorEastAsia"/>
          <w:b/>
          <w:szCs w:val="22"/>
        </w:rPr>
      </w:pPr>
      <w:bookmarkStart w:id="72" w:name="_Toc495990496"/>
      <w:bookmarkStart w:id="73" w:name="_Toc85718910"/>
      <w:r>
        <w:br w:type="page"/>
      </w:r>
    </w:p>
    <w:p w14:paraId="6D0BC705" w14:textId="60E1810D" w:rsidR="008117A9" w:rsidRPr="009A16AE" w:rsidRDefault="008117A9" w:rsidP="004E5304">
      <w:pPr>
        <w:pStyle w:val="Nadpis3"/>
        <w:numPr>
          <w:ilvl w:val="2"/>
          <w:numId w:val="14"/>
        </w:numPr>
      </w:pPr>
      <w:r w:rsidRPr="009A16AE">
        <w:lastRenderedPageBreak/>
        <w:t>Vlastné imanie podnikov štátnej správy</w:t>
      </w:r>
      <w:bookmarkEnd w:id="72"/>
      <w:bookmarkEnd w:id="73"/>
    </w:p>
    <w:p w14:paraId="3C1B099A" w14:textId="696926F3" w:rsidR="00C5274D" w:rsidRPr="00C5274D" w:rsidRDefault="00C5274D" w:rsidP="00260473">
      <w:pPr>
        <w:spacing w:after="120" w:line="240" w:lineRule="auto"/>
        <w:jc w:val="both"/>
        <w:rPr>
          <w:szCs w:val="24"/>
        </w:rPr>
      </w:pPr>
      <w:r w:rsidRPr="000F5E53">
        <w:rPr>
          <w:b/>
          <w:color w:val="0070C0"/>
        </w:rPr>
        <w:t xml:space="preserve">Vlastné imanie podnikov štátnej správy dosiahlo k 31.12.2020 hodnotu </w:t>
      </w:r>
      <w:r w:rsidRPr="000F5E53">
        <w:rPr>
          <w:b/>
          <w:bCs/>
          <w:color w:val="0070C0"/>
        </w:rPr>
        <w:t>17 638 279 tis. eur (19,15 % HDP)</w:t>
      </w:r>
      <w:r w:rsidRPr="000F5E53">
        <w:rPr>
          <w:b/>
          <w:color w:val="0070C0"/>
        </w:rPr>
        <w:t>.</w:t>
      </w:r>
      <w:r w:rsidRPr="00C5274D">
        <w:rPr>
          <w:color w:val="000000"/>
        </w:rPr>
        <w:t xml:space="preserve"> Uvedený údaj je nekonsolidovaný a predstavuje súčet vlastných imaní jednotlivých podnikov z individuálnych účtovných závierok prepočítaný na veľkosť vlastníckych podielov štátu. Tento údaj nemožno dávať do súvislosti s údajom o celkovom čistom bohatstve v časti 3.2., pretože v rámci čistého bohatstva sú všetky podniky okrem podnikov MH Manažmentu, a.s. zaradené do súhrnného celku a údaje o vlastnom imaní sú konsolidované. Vlastné imanie podnikov štátnej správy oproti predchádzajúcemu roku </w:t>
      </w:r>
      <w:r>
        <w:t>vzrástlo</w:t>
      </w:r>
      <w:r w:rsidRPr="00C5274D">
        <w:rPr>
          <w:b/>
          <w:bCs/>
        </w:rPr>
        <w:t xml:space="preserve"> o 316 331 tis. eur</w:t>
      </w:r>
      <w:r>
        <w:t xml:space="preserve">. </w:t>
      </w:r>
    </w:p>
    <w:p w14:paraId="0F419220" w14:textId="6B7134CE" w:rsidR="00FB260E" w:rsidRPr="00890235" w:rsidRDefault="00FB260E" w:rsidP="00890235">
      <w:pPr>
        <w:spacing w:after="120" w:line="240" w:lineRule="auto"/>
        <w:jc w:val="both"/>
      </w:pPr>
      <w:r w:rsidRPr="00890235">
        <w:rPr>
          <w:szCs w:val="22"/>
        </w:rPr>
        <w:t>V nasledujúcej časti sú podrobnejšie komentované zmeny vlastného imania za vybrané podniky. Príloha č. 1 obsahuje tabuľkový prehľad všetkých podnikov štátnej správy, výšku vlastníckych podielov štátu (k 31.12.20</w:t>
      </w:r>
      <w:r w:rsidR="00890235" w:rsidRPr="00890235">
        <w:rPr>
          <w:szCs w:val="22"/>
        </w:rPr>
        <w:t>20</w:t>
      </w:r>
      <w:r w:rsidRPr="00890235">
        <w:rPr>
          <w:szCs w:val="22"/>
        </w:rPr>
        <w:t xml:space="preserve">) a výšku ich vlastných imaní a výsledky hospodárenia za posledné tri roky. </w:t>
      </w:r>
      <w:r w:rsidR="0076538F" w:rsidRPr="00890235">
        <w:rPr>
          <w:szCs w:val="22"/>
        </w:rPr>
        <w:t xml:space="preserve">Príloha č. 2 poskytuje </w:t>
      </w:r>
      <w:r w:rsidRPr="00890235">
        <w:rPr>
          <w:szCs w:val="22"/>
        </w:rPr>
        <w:t xml:space="preserve">prehľad o štruktúre medziročnej zmeny ich vlastného imania podľa jednotlivých položiek vlastného imania. </w:t>
      </w:r>
    </w:p>
    <w:p w14:paraId="618F9D08" w14:textId="77777777" w:rsidR="00FB260E" w:rsidRPr="00D3577E" w:rsidRDefault="00FB260E" w:rsidP="00260473">
      <w:pPr>
        <w:spacing w:after="0" w:line="240" w:lineRule="auto"/>
        <w:jc w:val="both"/>
        <w:rPr>
          <w:szCs w:val="22"/>
        </w:rPr>
      </w:pPr>
      <w:r w:rsidRPr="00D3577E">
        <w:rPr>
          <w:szCs w:val="22"/>
        </w:rPr>
        <w:t>Pri komentovaní medziročných zmien vlastného imania vybraných podnikov sa pre účely tejto správy zameriavame najmä na päť hlavných položiek, ktoré spôsobujú prírastok alebo úbytok vlastného imania:</w:t>
      </w:r>
    </w:p>
    <w:p w14:paraId="5D8819B7" w14:textId="77777777" w:rsidR="00FB260E" w:rsidRPr="00D3577E" w:rsidRDefault="00FB260E" w:rsidP="00D3577E">
      <w:pPr>
        <w:pStyle w:val="Odsekzoznamu"/>
        <w:numPr>
          <w:ilvl w:val="0"/>
          <w:numId w:val="12"/>
        </w:numPr>
        <w:spacing w:after="120"/>
        <w:ind w:left="357" w:hanging="357"/>
        <w:jc w:val="both"/>
        <w:rPr>
          <w:rFonts w:cs="Times New Roman"/>
        </w:rPr>
      </w:pPr>
      <w:r w:rsidRPr="00D3577E">
        <w:rPr>
          <w:rFonts w:cs="Times New Roman"/>
          <w:b/>
        </w:rPr>
        <w:t>Výsledok hospodárenia bežného účtovného obdobia</w:t>
      </w:r>
      <w:r w:rsidRPr="00D3577E">
        <w:rPr>
          <w:rFonts w:cs="Times New Roman"/>
        </w:rPr>
        <w:t xml:space="preserve"> predstavuje čistý zisk (prírastok VI) alebo stratu (úbytok VI) za sledovaný rok. Táto položka je najvýznamnejšia, pretože výsledky hospodárenia priamo poukazujú na príspevok podniku k hodnote čistého bohatstva. </w:t>
      </w:r>
    </w:p>
    <w:p w14:paraId="494F6B34" w14:textId="77777777" w:rsidR="00FB260E" w:rsidRPr="00D3577E" w:rsidRDefault="00FB260E" w:rsidP="00D3577E">
      <w:pPr>
        <w:pStyle w:val="Odsekzoznamu"/>
        <w:numPr>
          <w:ilvl w:val="0"/>
          <w:numId w:val="12"/>
        </w:numPr>
        <w:spacing w:after="120"/>
        <w:ind w:left="357" w:hanging="357"/>
        <w:jc w:val="both"/>
        <w:rPr>
          <w:rFonts w:cs="Times New Roman"/>
        </w:rPr>
      </w:pPr>
      <w:r w:rsidRPr="00D3577E">
        <w:rPr>
          <w:rFonts w:cs="Times New Roman"/>
          <w:b/>
        </w:rPr>
        <w:t xml:space="preserve">Dividendy </w:t>
      </w:r>
      <w:r w:rsidRPr="00D3577E">
        <w:rPr>
          <w:rFonts w:cs="Times New Roman"/>
        </w:rPr>
        <w:t xml:space="preserve">sú položkou, ktorá sa zvyčajne vypláca zo zisku minulého účtovného obdobia a spôsobuje úbytok vlastného imania. Dividendy môžu byť v danom roku vyplatené, alebo len schválené na rozdelenie a následne vyplatené v neskoršom období. Pri dividendách sú osobitne spomenuté </w:t>
      </w:r>
      <w:proofErr w:type="spellStart"/>
      <w:r w:rsidRPr="00D3577E">
        <w:rPr>
          <w:rFonts w:cs="Times New Roman"/>
        </w:rPr>
        <w:t>superdividendy</w:t>
      </w:r>
      <w:proofErr w:type="spellEnd"/>
      <w:r w:rsidRPr="00D3577E">
        <w:rPr>
          <w:rStyle w:val="Odkaznapoznmkupodiarou"/>
          <w:rFonts w:eastAsiaTheme="majorEastAsia"/>
        </w:rPr>
        <w:footnoteReference w:id="30"/>
      </w:r>
      <w:r w:rsidRPr="00D3577E">
        <w:rPr>
          <w:rFonts w:cs="Times New Roman"/>
        </w:rPr>
        <w:t xml:space="preserve">, ak ich výplata bola v danom roku u podniku zaznamenaná. </w:t>
      </w:r>
    </w:p>
    <w:p w14:paraId="06D08F0C" w14:textId="77777777" w:rsidR="00FB260E" w:rsidRPr="00D3577E" w:rsidRDefault="00FB260E" w:rsidP="00D3577E">
      <w:pPr>
        <w:pStyle w:val="Odsekzoznamu"/>
        <w:numPr>
          <w:ilvl w:val="0"/>
          <w:numId w:val="12"/>
        </w:numPr>
        <w:spacing w:after="120"/>
        <w:ind w:left="357" w:hanging="357"/>
        <w:jc w:val="both"/>
        <w:rPr>
          <w:rFonts w:cs="Times New Roman"/>
        </w:rPr>
      </w:pPr>
      <w:r w:rsidRPr="00D3577E">
        <w:rPr>
          <w:rFonts w:cs="Times New Roman"/>
          <w:b/>
        </w:rPr>
        <w:t>Priame vklady spoločníkov do vlastného imania</w:t>
      </w:r>
      <w:r w:rsidRPr="00D3577E">
        <w:rPr>
          <w:rFonts w:cs="Times New Roman"/>
        </w:rPr>
        <w:t xml:space="preserve"> zvyšujú vlastné imanie spoločnosti</w:t>
      </w:r>
      <w:r w:rsidRPr="00D3577E">
        <w:rPr>
          <w:rStyle w:val="Odkaznapoznmkupodiarou"/>
          <w:rFonts w:eastAsiaTheme="majorEastAsia"/>
        </w:rPr>
        <w:footnoteReference w:id="31"/>
      </w:r>
      <w:r w:rsidRPr="00D3577E">
        <w:rPr>
          <w:rFonts w:cs="Times New Roman"/>
        </w:rPr>
        <w:t>. Pod priamymi vkladmi sa rozumejú peňažné a nepeňažné vklady do základného imania, do kapitálových fondov alebo vklady použité na úhradu straty.</w:t>
      </w:r>
    </w:p>
    <w:p w14:paraId="0A0C7B15" w14:textId="77777777" w:rsidR="00FB260E" w:rsidRPr="00D3577E" w:rsidRDefault="00FB260E" w:rsidP="00D3577E">
      <w:pPr>
        <w:pStyle w:val="Odsekzoznamu"/>
        <w:numPr>
          <w:ilvl w:val="0"/>
          <w:numId w:val="12"/>
        </w:numPr>
        <w:spacing w:after="120"/>
        <w:ind w:left="357" w:hanging="357"/>
        <w:jc w:val="both"/>
        <w:rPr>
          <w:rFonts w:cs="Times New Roman"/>
        </w:rPr>
      </w:pPr>
      <w:r w:rsidRPr="00D3577E">
        <w:rPr>
          <w:rFonts w:cs="Times New Roman"/>
          <w:b/>
        </w:rPr>
        <w:t>Zmeny precenenia majetku a záväzkov</w:t>
      </w:r>
      <w:r w:rsidRPr="00D3577E">
        <w:rPr>
          <w:rFonts w:cs="Times New Roman"/>
        </w:rPr>
        <w:t xml:space="preserve"> môžu znižovať aj zvyšovať vlastné imanie na základe rozdielu medzi účtovným a reálnym ocenením určitých položiek majetku a záväzkov. Konkrétne prípady sú bližšie vysvetlené pri jednotlivých spoločnostiach. </w:t>
      </w:r>
    </w:p>
    <w:p w14:paraId="1BDA7F31" w14:textId="77777777" w:rsidR="00FB260E" w:rsidRPr="00D3577E" w:rsidRDefault="00FB260E" w:rsidP="00D3577E">
      <w:pPr>
        <w:pStyle w:val="Odsekzoznamu"/>
        <w:numPr>
          <w:ilvl w:val="0"/>
          <w:numId w:val="12"/>
        </w:numPr>
        <w:spacing w:after="120"/>
        <w:ind w:left="357" w:hanging="357"/>
        <w:jc w:val="both"/>
        <w:rPr>
          <w:rFonts w:cs="Times New Roman"/>
        </w:rPr>
      </w:pPr>
      <w:r w:rsidRPr="00D3577E">
        <w:rPr>
          <w:rFonts w:cs="Times New Roman"/>
        </w:rPr>
        <w:t>Pod „</w:t>
      </w:r>
      <w:r w:rsidRPr="00D3577E">
        <w:rPr>
          <w:rFonts w:cs="Times New Roman"/>
          <w:b/>
        </w:rPr>
        <w:t>ostatné zmeny</w:t>
      </w:r>
      <w:r w:rsidRPr="00D3577E">
        <w:rPr>
          <w:rFonts w:cs="Times New Roman"/>
        </w:rPr>
        <w:t xml:space="preserve">“ zaraďujeme opravy významných chýb minulých účtovných období a rozdiely zo zmien použitých účtovných metód a účtovných zásad, ktoré sa účtujú priamo do vlastného imania (do výsledku hospodárenia minulých období), a ktoré môžu spôsobiť úbytok alebo prírastok vlastného imania podniku. Patria sem taktiež zmeny rezerv zo zabezpečovacích derivátov, prípadne zmeny iných rezerv, ktoré nesúvisia s preceňovaním. </w:t>
      </w:r>
    </w:p>
    <w:p w14:paraId="4AF49B31" w14:textId="6A604053" w:rsidR="004E5304" w:rsidRPr="00816445" w:rsidRDefault="004E5304" w:rsidP="004E5304">
      <w:pPr>
        <w:spacing w:after="120" w:line="240" w:lineRule="auto"/>
        <w:jc w:val="both"/>
        <w:rPr>
          <w:szCs w:val="22"/>
        </w:rPr>
      </w:pPr>
      <w:r w:rsidRPr="00816445">
        <w:rPr>
          <w:szCs w:val="22"/>
        </w:rPr>
        <w:t>Nasledujúca tabuľka predstavuje prehľad zmien vlastného imania vybraných štátnych podnikov. Uvedené podniky sa podieľajú až 84,3 </w:t>
      </w:r>
      <w:r>
        <w:rPr>
          <w:szCs w:val="22"/>
        </w:rPr>
        <w:t>percentami</w:t>
      </w:r>
      <w:r w:rsidRPr="00816445">
        <w:rPr>
          <w:szCs w:val="22"/>
        </w:rPr>
        <w:t xml:space="preserve"> na celkovom vlastnom imaní všetkých podnikov štátnej správy po prepočte na vlastnícky podiel štátu.</w:t>
      </w:r>
    </w:p>
    <w:tbl>
      <w:tblPr>
        <w:tblW w:w="4987" w:type="pct"/>
        <w:tblCellMar>
          <w:left w:w="70" w:type="dxa"/>
          <w:right w:w="70" w:type="dxa"/>
        </w:tblCellMar>
        <w:tblLook w:val="04A0" w:firstRow="1" w:lastRow="0" w:firstColumn="1" w:lastColumn="0" w:noHBand="0" w:noVBand="1"/>
      </w:tblPr>
      <w:tblGrid>
        <w:gridCol w:w="3374"/>
        <w:gridCol w:w="884"/>
        <w:gridCol w:w="1218"/>
        <w:gridCol w:w="959"/>
        <w:gridCol w:w="1011"/>
        <w:gridCol w:w="1010"/>
        <w:gridCol w:w="75"/>
        <w:gridCol w:w="799"/>
      </w:tblGrid>
      <w:tr w:rsidR="004E5304" w:rsidRPr="003660ED" w14:paraId="07129BAF" w14:textId="77777777" w:rsidTr="00321687">
        <w:trPr>
          <w:trHeight w:val="232"/>
        </w:trPr>
        <w:tc>
          <w:tcPr>
            <w:tcW w:w="5000" w:type="pct"/>
            <w:gridSpan w:val="8"/>
            <w:tcBorders>
              <w:top w:val="nil"/>
              <w:left w:val="nil"/>
              <w:bottom w:val="nil"/>
              <w:right w:val="nil"/>
            </w:tcBorders>
            <w:shd w:val="clear" w:color="000000" w:fill="000000"/>
            <w:noWrap/>
            <w:vAlign w:val="bottom"/>
            <w:hideMark/>
          </w:tcPr>
          <w:p w14:paraId="24F28630" w14:textId="7F926053" w:rsidR="004E5304" w:rsidRPr="003660ED" w:rsidRDefault="003660ED" w:rsidP="003660ED">
            <w:pPr>
              <w:pStyle w:val="popistabuliek"/>
              <w:rPr>
                <w:sz w:val="20"/>
                <w:szCs w:val="20"/>
              </w:rPr>
            </w:pPr>
            <w:r w:rsidRPr="003660ED">
              <w:rPr>
                <w:sz w:val="20"/>
                <w:szCs w:val="20"/>
              </w:rPr>
              <w:t xml:space="preserve">Tab. 16 - </w:t>
            </w:r>
            <w:r w:rsidR="004E5304" w:rsidRPr="003660ED">
              <w:rPr>
                <w:sz w:val="20"/>
                <w:szCs w:val="20"/>
              </w:rPr>
              <w:t>Medziročná zmena vlastného imania k 31 .12. 2020 (v tis. eur)</w:t>
            </w:r>
          </w:p>
        </w:tc>
      </w:tr>
      <w:tr w:rsidR="004E5304" w:rsidRPr="000831FC" w14:paraId="294A25C0" w14:textId="77777777" w:rsidTr="00763D06">
        <w:trPr>
          <w:trHeight w:val="465"/>
        </w:trPr>
        <w:tc>
          <w:tcPr>
            <w:tcW w:w="1808" w:type="pct"/>
            <w:tcBorders>
              <w:top w:val="nil"/>
              <w:left w:val="nil"/>
              <w:bottom w:val="single" w:sz="4" w:space="0" w:color="auto"/>
              <w:right w:val="nil"/>
            </w:tcBorders>
            <w:shd w:val="clear" w:color="000000" w:fill="D9D9D9"/>
            <w:noWrap/>
            <w:vAlign w:val="center"/>
            <w:hideMark/>
          </w:tcPr>
          <w:p w14:paraId="6FEB3D8C" w14:textId="77777777" w:rsidR="004E5304" w:rsidRPr="000831FC" w:rsidRDefault="004E5304" w:rsidP="00321687">
            <w:pPr>
              <w:spacing w:after="0" w:line="240" w:lineRule="auto"/>
              <w:rPr>
                <w:b/>
                <w:bCs/>
                <w:sz w:val="18"/>
                <w:szCs w:val="18"/>
                <w:lang w:eastAsia="sk-SK"/>
              </w:rPr>
            </w:pPr>
            <w:r w:rsidRPr="000831FC">
              <w:rPr>
                <w:b/>
                <w:bCs/>
                <w:sz w:val="18"/>
                <w:szCs w:val="18"/>
                <w:lang w:eastAsia="sk-SK"/>
              </w:rPr>
              <w:t>Podnik</w:t>
            </w:r>
          </w:p>
        </w:tc>
        <w:tc>
          <w:tcPr>
            <w:tcW w:w="474" w:type="pct"/>
            <w:tcBorders>
              <w:top w:val="nil"/>
              <w:left w:val="nil"/>
              <w:bottom w:val="single" w:sz="4" w:space="0" w:color="auto"/>
              <w:right w:val="nil"/>
            </w:tcBorders>
            <w:shd w:val="clear" w:color="000000" w:fill="D9D9D9"/>
            <w:vAlign w:val="center"/>
            <w:hideMark/>
          </w:tcPr>
          <w:p w14:paraId="2EA50DCF" w14:textId="77777777" w:rsidR="004E5304" w:rsidRPr="000831FC" w:rsidRDefault="004E5304" w:rsidP="00321687">
            <w:pPr>
              <w:spacing w:after="0" w:line="240" w:lineRule="auto"/>
              <w:jc w:val="center"/>
              <w:rPr>
                <w:b/>
                <w:bCs/>
                <w:sz w:val="18"/>
                <w:szCs w:val="18"/>
                <w:lang w:eastAsia="sk-SK"/>
              </w:rPr>
            </w:pPr>
            <w:r w:rsidRPr="000831FC">
              <w:rPr>
                <w:b/>
                <w:bCs/>
                <w:sz w:val="18"/>
                <w:szCs w:val="18"/>
                <w:lang w:eastAsia="sk-SK"/>
              </w:rPr>
              <w:t>VI</w:t>
            </w:r>
            <w:r w:rsidRPr="000831FC">
              <w:rPr>
                <w:b/>
                <w:bCs/>
                <w:sz w:val="18"/>
                <w:szCs w:val="18"/>
                <w:lang w:eastAsia="sk-SK"/>
              </w:rPr>
              <w:br/>
            </w:r>
            <w:r w:rsidRPr="000831FC">
              <w:rPr>
                <w:b/>
                <w:bCs/>
                <w:sz w:val="16"/>
                <w:szCs w:val="16"/>
                <w:lang w:eastAsia="sk-SK"/>
              </w:rPr>
              <w:t xml:space="preserve"> Δ20</w:t>
            </w:r>
            <w:r>
              <w:rPr>
                <w:b/>
                <w:bCs/>
                <w:sz w:val="16"/>
                <w:szCs w:val="16"/>
                <w:lang w:eastAsia="sk-SK"/>
              </w:rPr>
              <w:t>20</w:t>
            </w:r>
            <w:r w:rsidRPr="000831FC">
              <w:rPr>
                <w:b/>
                <w:bCs/>
                <w:sz w:val="16"/>
                <w:szCs w:val="16"/>
                <w:lang w:eastAsia="sk-SK"/>
              </w:rPr>
              <w:t>-201</w:t>
            </w:r>
            <w:r>
              <w:rPr>
                <w:b/>
                <w:bCs/>
                <w:sz w:val="16"/>
                <w:szCs w:val="16"/>
                <w:lang w:eastAsia="sk-SK"/>
              </w:rPr>
              <w:t>9</w:t>
            </w:r>
          </w:p>
        </w:tc>
        <w:tc>
          <w:tcPr>
            <w:tcW w:w="653" w:type="pct"/>
            <w:tcBorders>
              <w:top w:val="nil"/>
              <w:left w:val="nil"/>
              <w:bottom w:val="single" w:sz="4" w:space="0" w:color="auto"/>
              <w:right w:val="nil"/>
            </w:tcBorders>
            <w:shd w:val="clear" w:color="000000" w:fill="D9D9D9"/>
            <w:vAlign w:val="center"/>
            <w:hideMark/>
          </w:tcPr>
          <w:p w14:paraId="0D0F920C" w14:textId="77777777" w:rsidR="004E5304" w:rsidRPr="000831FC" w:rsidRDefault="004E5304" w:rsidP="00321687">
            <w:pPr>
              <w:spacing w:after="0" w:line="240" w:lineRule="auto"/>
              <w:jc w:val="center"/>
              <w:rPr>
                <w:b/>
                <w:bCs/>
                <w:sz w:val="18"/>
                <w:szCs w:val="18"/>
                <w:lang w:eastAsia="sk-SK"/>
              </w:rPr>
            </w:pPr>
            <w:r w:rsidRPr="000831FC">
              <w:rPr>
                <w:b/>
                <w:bCs/>
                <w:sz w:val="18"/>
                <w:szCs w:val="18"/>
                <w:lang w:eastAsia="sk-SK"/>
              </w:rPr>
              <w:t>Výsledok hospodárenia</w:t>
            </w:r>
          </w:p>
        </w:tc>
        <w:tc>
          <w:tcPr>
            <w:tcW w:w="514" w:type="pct"/>
            <w:tcBorders>
              <w:top w:val="nil"/>
              <w:left w:val="nil"/>
              <w:bottom w:val="single" w:sz="4" w:space="0" w:color="auto"/>
              <w:right w:val="nil"/>
            </w:tcBorders>
            <w:shd w:val="clear" w:color="000000" w:fill="D9D9D9"/>
            <w:vAlign w:val="center"/>
            <w:hideMark/>
          </w:tcPr>
          <w:p w14:paraId="296293A7" w14:textId="77777777" w:rsidR="004E5304" w:rsidRPr="000831FC" w:rsidRDefault="004E5304" w:rsidP="00321687">
            <w:pPr>
              <w:spacing w:after="0" w:line="240" w:lineRule="auto"/>
              <w:jc w:val="center"/>
              <w:rPr>
                <w:b/>
                <w:bCs/>
                <w:sz w:val="18"/>
                <w:szCs w:val="18"/>
                <w:lang w:eastAsia="sk-SK"/>
              </w:rPr>
            </w:pPr>
            <w:r w:rsidRPr="000831FC">
              <w:rPr>
                <w:b/>
                <w:bCs/>
                <w:sz w:val="18"/>
                <w:szCs w:val="18"/>
                <w:lang w:eastAsia="sk-SK"/>
              </w:rPr>
              <w:t>Dividendy</w:t>
            </w:r>
          </w:p>
        </w:tc>
        <w:tc>
          <w:tcPr>
            <w:tcW w:w="542" w:type="pct"/>
            <w:tcBorders>
              <w:top w:val="nil"/>
              <w:left w:val="nil"/>
              <w:bottom w:val="single" w:sz="4" w:space="0" w:color="auto"/>
              <w:right w:val="nil"/>
            </w:tcBorders>
            <w:shd w:val="clear" w:color="000000" w:fill="D9D9D9"/>
            <w:vAlign w:val="center"/>
            <w:hideMark/>
          </w:tcPr>
          <w:p w14:paraId="45C73779" w14:textId="77777777" w:rsidR="004E5304" w:rsidRPr="000831FC" w:rsidRDefault="004E5304" w:rsidP="00321687">
            <w:pPr>
              <w:spacing w:after="0" w:line="240" w:lineRule="auto"/>
              <w:jc w:val="center"/>
              <w:rPr>
                <w:b/>
                <w:bCs/>
                <w:sz w:val="18"/>
                <w:szCs w:val="18"/>
                <w:lang w:eastAsia="sk-SK"/>
              </w:rPr>
            </w:pPr>
            <w:r w:rsidRPr="000831FC">
              <w:rPr>
                <w:b/>
                <w:bCs/>
                <w:sz w:val="18"/>
                <w:szCs w:val="18"/>
                <w:lang w:eastAsia="sk-SK"/>
              </w:rPr>
              <w:t>Precenenie</w:t>
            </w:r>
          </w:p>
        </w:tc>
        <w:tc>
          <w:tcPr>
            <w:tcW w:w="581" w:type="pct"/>
            <w:gridSpan w:val="2"/>
            <w:tcBorders>
              <w:top w:val="nil"/>
              <w:left w:val="nil"/>
              <w:bottom w:val="single" w:sz="4" w:space="0" w:color="auto"/>
              <w:right w:val="nil"/>
            </w:tcBorders>
            <w:shd w:val="clear" w:color="000000" w:fill="D9D9D9"/>
            <w:vAlign w:val="center"/>
            <w:hideMark/>
          </w:tcPr>
          <w:p w14:paraId="06A7F394" w14:textId="77777777" w:rsidR="004E5304" w:rsidRPr="000831FC" w:rsidRDefault="004E5304" w:rsidP="00321687">
            <w:pPr>
              <w:spacing w:after="0" w:line="240" w:lineRule="auto"/>
              <w:jc w:val="center"/>
              <w:rPr>
                <w:b/>
                <w:bCs/>
                <w:sz w:val="18"/>
                <w:szCs w:val="18"/>
                <w:lang w:eastAsia="sk-SK"/>
              </w:rPr>
            </w:pPr>
            <w:r w:rsidRPr="000831FC">
              <w:rPr>
                <w:b/>
                <w:bCs/>
                <w:sz w:val="18"/>
                <w:szCs w:val="18"/>
                <w:lang w:eastAsia="sk-SK"/>
              </w:rPr>
              <w:t>Vklady spoločníkov</w:t>
            </w:r>
          </w:p>
        </w:tc>
        <w:tc>
          <w:tcPr>
            <w:tcW w:w="428" w:type="pct"/>
            <w:tcBorders>
              <w:top w:val="nil"/>
              <w:left w:val="nil"/>
              <w:bottom w:val="single" w:sz="4" w:space="0" w:color="auto"/>
              <w:right w:val="nil"/>
            </w:tcBorders>
            <w:shd w:val="clear" w:color="000000" w:fill="D9D9D9"/>
            <w:vAlign w:val="center"/>
            <w:hideMark/>
          </w:tcPr>
          <w:p w14:paraId="74382757" w14:textId="77777777" w:rsidR="004E5304" w:rsidRPr="000831FC" w:rsidRDefault="004E5304" w:rsidP="00321687">
            <w:pPr>
              <w:spacing w:after="0" w:line="240" w:lineRule="auto"/>
              <w:jc w:val="center"/>
              <w:rPr>
                <w:b/>
                <w:bCs/>
                <w:sz w:val="18"/>
                <w:szCs w:val="18"/>
                <w:lang w:eastAsia="sk-SK"/>
              </w:rPr>
            </w:pPr>
            <w:r w:rsidRPr="000831FC">
              <w:rPr>
                <w:b/>
                <w:bCs/>
                <w:sz w:val="18"/>
                <w:szCs w:val="18"/>
                <w:lang w:eastAsia="sk-SK"/>
              </w:rPr>
              <w:t>Ostatné</w:t>
            </w:r>
          </w:p>
        </w:tc>
      </w:tr>
      <w:tr w:rsidR="004E5304" w:rsidRPr="000831FC" w14:paraId="52B0F8FB" w14:textId="77777777" w:rsidTr="00763D06">
        <w:trPr>
          <w:trHeight w:val="232"/>
        </w:trPr>
        <w:tc>
          <w:tcPr>
            <w:tcW w:w="1808" w:type="pct"/>
            <w:tcBorders>
              <w:top w:val="nil"/>
              <w:left w:val="nil"/>
              <w:bottom w:val="nil"/>
              <w:right w:val="nil"/>
            </w:tcBorders>
            <w:shd w:val="clear" w:color="auto" w:fill="auto"/>
            <w:noWrap/>
            <w:vAlign w:val="bottom"/>
          </w:tcPr>
          <w:p w14:paraId="1C96F505" w14:textId="77777777" w:rsidR="004E5304" w:rsidRPr="000831FC" w:rsidRDefault="004E5304" w:rsidP="00321687">
            <w:pPr>
              <w:spacing w:after="0" w:line="240" w:lineRule="auto"/>
              <w:rPr>
                <w:color w:val="FF0000"/>
                <w:sz w:val="20"/>
                <w:szCs w:val="20"/>
                <w:lang w:eastAsia="sk-SK"/>
              </w:rPr>
            </w:pPr>
            <w:r w:rsidRPr="00E81E68">
              <w:rPr>
                <w:sz w:val="20"/>
                <w:szCs w:val="20"/>
                <w:lang w:eastAsia="sk-SK"/>
              </w:rPr>
              <w:t xml:space="preserve">Slovenská </w:t>
            </w:r>
            <w:proofErr w:type="spellStart"/>
            <w:r w:rsidRPr="00E81E68">
              <w:rPr>
                <w:sz w:val="20"/>
                <w:szCs w:val="20"/>
                <w:lang w:eastAsia="sk-SK"/>
              </w:rPr>
              <w:t>elektriz.pren</w:t>
            </w:r>
            <w:proofErr w:type="spellEnd"/>
            <w:r w:rsidRPr="00E81E68">
              <w:rPr>
                <w:sz w:val="20"/>
                <w:szCs w:val="20"/>
                <w:lang w:eastAsia="sk-SK"/>
              </w:rPr>
              <w:t>. sústava, a.s.</w:t>
            </w:r>
          </w:p>
        </w:tc>
        <w:tc>
          <w:tcPr>
            <w:tcW w:w="474" w:type="pct"/>
            <w:tcBorders>
              <w:top w:val="nil"/>
              <w:left w:val="nil"/>
              <w:bottom w:val="nil"/>
              <w:right w:val="nil"/>
            </w:tcBorders>
            <w:shd w:val="clear" w:color="auto" w:fill="auto"/>
            <w:noWrap/>
            <w:vAlign w:val="bottom"/>
          </w:tcPr>
          <w:p w14:paraId="6642721E"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190 588</w:t>
            </w:r>
          </w:p>
        </w:tc>
        <w:tc>
          <w:tcPr>
            <w:tcW w:w="653" w:type="pct"/>
            <w:tcBorders>
              <w:top w:val="nil"/>
              <w:left w:val="nil"/>
              <w:bottom w:val="nil"/>
              <w:right w:val="nil"/>
            </w:tcBorders>
            <w:shd w:val="clear" w:color="auto" w:fill="auto"/>
            <w:noWrap/>
            <w:vAlign w:val="bottom"/>
          </w:tcPr>
          <w:p w14:paraId="1E20D6AC" w14:textId="77777777" w:rsidR="004E5304" w:rsidRPr="00122125" w:rsidRDefault="004E5304" w:rsidP="00321687">
            <w:pPr>
              <w:spacing w:after="0" w:line="240" w:lineRule="auto"/>
              <w:jc w:val="right"/>
              <w:rPr>
                <w:sz w:val="20"/>
                <w:szCs w:val="20"/>
                <w:lang w:eastAsia="sk-SK"/>
              </w:rPr>
            </w:pPr>
            <w:r>
              <w:rPr>
                <w:sz w:val="20"/>
                <w:szCs w:val="20"/>
                <w:lang w:eastAsia="sk-SK"/>
              </w:rPr>
              <w:t>59 306</w:t>
            </w:r>
          </w:p>
        </w:tc>
        <w:tc>
          <w:tcPr>
            <w:tcW w:w="514" w:type="pct"/>
            <w:tcBorders>
              <w:top w:val="nil"/>
              <w:left w:val="nil"/>
              <w:bottom w:val="nil"/>
              <w:right w:val="nil"/>
            </w:tcBorders>
            <w:shd w:val="clear" w:color="auto" w:fill="auto"/>
            <w:noWrap/>
            <w:vAlign w:val="bottom"/>
          </w:tcPr>
          <w:p w14:paraId="6CD83BEE"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bottom w:val="nil"/>
              <w:right w:val="nil"/>
            </w:tcBorders>
            <w:shd w:val="clear" w:color="auto" w:fill="auto"/>
            <w:noWrap/>
            <w:vAlign w:val="bottom"/>
          </w:tcPr>
          <w:p w14:paraId="3E80032F" w14:textId="77777777" w:rsidR="004E5304" w:rsidRPr="00122125" w:rsidRDefault="004E5304" w:rsidP="00321687">
            <w:pPr>
              <w:spacing w:after="0" w:line="240" w:lineRule="auto"/>
              <w:jc w:val="right"/>
              <w:rPr>
                <w:sz w:val="20"/>
                <w:szCs w:val="20"/>
                <w:lang w:eastAsia="sk-SK"/>
              </w:rPr>
            </w:pPr>
            <w:r>
              <w:rPr>
                <w:sz w:val="20"/>
                <w:szCs w:val="20"/>
                <w:lang w:eastAsia="sk-SK"/>
              </w:rPr>
              <w:t>1 282</w:t>
            </w:r>
          </w:p>
        </w:tc>
        <w:tc>
          <w:tcPr>
            <w:tcW w:w="541" w:type="pct"/>
            <w:tcBorders>
              <w:top w:val="nil"/>
              <w:left w:val="nil"/>
              <w:bottom w:val="nil"/>
              <w:right w:val="nil"/>
            </w:tcBorders>
            <w:shd w:val="clear" w:color="auto" w:fill="auto"/>
            <w:noWrap/>
            <w:vAlign w:val="bottom"/>
          </w:tcPr>
          <w:p w14:paraId="5007074D" w14:textId="77777777" w:rsidR="004E5304" w:rsidRPr="00122125" w:rsidRDefault="004E5304" w:rsidP="00321687">
            <w:pPr>
              <w:spacing w:after="0" w:line="240" w:lineRule="auto"/>
              <w:jc w:val="right"/>
              <w:rPr>
                <w:sz w:val="20"/>
                <w:szCs w:val="20"/>
                <w:lang w:eastAsia="sk-SK"/>
              </w:rPr>
            </w:pPr>
            <w:r>
              <w:rPr>
                <w:sz w:val="20"/>
                <w:szCs w:val="20"/>
                <w:lang w:eastAsia="sk-SK"/>
              </w:rPr>
              <w:t>130 000</w:t>
            </w:r>
          </w:p>
        </w:tc>
        <w:tc>
          <w:tcPr>
            <w:tcW w:w="468" w:type="pct"/>
            <w:gridSpan w:val="2"/>
            <w:tcBorders>
              <w:top w:val="nil"/>
              <w:left w:val="nil"/>
              <w:bottom w:val="nil"/>
              <w:right w:val="nil"/>
            </w:tcBorders>
            <w:shd w:val="clear" w:color="auto" w:fill="auto"/>
            <w:noWrap/>
            <w:vAlign w:val="bottom"/>
          </w:tcPr>
          <w:p w14:paraId="38AFFE06"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r>
      <w:tr w:rsidR="004E5304" w:rsidRPr="000831FC" w14:paraId="700C94BE" w14:textId="77777777" w:rsidTr="00763D06">
        <w:trPr>
          <w:trHeight w:val="232"/>
        </w:trPr>
        <w:tc>
          <w:tcPr>
            <w:tcW w:w="1808" w:type="pct"/>
            <w:tcBorders>
              <w:top w:val="nil"/>
              <w:left w:val="nil"/>
              <w:bottom w:val="nil"/>
              <w:right w:val="nil"/>
            </w:tcBorders>
            <w:shd w:val="clear" w:color="auto" w:fill="auto"/>
            <w:noWrap/>
            <w:vAlign w:val="bottom"/>
          </w:tcPr>
          <w:p w14:paraId="6A4C95FD" w14:textId="77777777" w:rsidR="004E5304" w:rsidRPr="00E81E68" w:rsidRDefault="004E5304" w:rsidP="00321687">
            <w:pPr>
              <w:spacing w:after="0" w:line="240" w:lineRule="auto"/>
              <w:rPr>
                <w:sz w:val="20"/>
                <w:szCs w:val="20"/>
                <w:lang w:eastAsia="sk-SK"/>
              </w:rPr>
            </w:pPr>
            <w:r w:rsidRPr="00E81E68">
              <w:rPr>
                <w:sz w:val="20"/>
                <w:szCs w:val="20"/>
                <w:lang w:eastAsia="sk-SK"/>
              </w:rPr>
              <w:t>Všeobecná zdravotná poisťovňa, a.s.</w:t>
            </w:r>
          </w:p>
        </w:tc>
        <w:tc>
          <w:tcPr>
            <w:tcW w:w="474" w:type="pct"/>
            <w:tcBorders>
              <w:top w:val="nil"/>
              <w:left w:val="nil"/>
              <w:bottom w:val="nil"/>
              <w:right w:val="nil"/>
            </w:tcBorders>
            <w:shd w:val="clear" w:color="auto" w:fill="auto"/>
            <w:noWrap/>
            <w:vAlign w:val="bottom"/>
          </w:tcPr>
          <w:p w14:paraId="1722FED4"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84 454</w:t>
            </w:r>
          </w:p>
        </w:tc>
        <w:tc>
          <w:tcPr>
            <w:tcW w:w="653" w:type="pct"/>
            <w:tcBorders>
              <w:top w:val="nil"/>
              <w:left w:val="nil"/>
              <w:bottom w:val="nil"/>
              <w:right w:val="nil"/>
            </w:tcBorders>
            <w:shd w:val="clear" w:color="auto" w:fill="auto"/>
            <w:noWrap/>
            <w:vAlign w:val="bottom"/>
          </w:tcPr>
          <w:p w14:paraId="3496BE6B" w14:textId="77777777" w:rsidR="004E5304" w:rsidRPr="00122125" w:rsidRDefault="004E5304" w:rsidP="00321687">
            <w:pPr>
              <w:spacing w:after="0" w:line="240" w:lineRule="auto"/>
              <w:jc w:val="right"/>
              <w:rPr>
                <w:sz w:val="20"/>
                <w:szCs w:val="20"/>
                <w:lang w:eastAsia="sk-SK"/>
              </w:rPr>
            </w:pPr>
            <w:r>
              <w:rPr>
                <w:sz w:val="20"/>
                <w:szCs w:val="20"/>
                <w:lang w:eastAsia="sk-SK"/>
              </w:rPr>
              <w:t>-114 180</w:t>
            </w:r>
          </w:p>
        </w:tc>
        <w:tc>
          <w:tcPr>
            <w:tcW w:w="514" w:type="pct"/>
            <w:tcBorders>
              <w:top w:val="nil"/>
              <w:left w:val="nil"/>
              <w:bottom w:val="nil"/>
              <w:right w:val="nil"/>
            </w:tcBorders>
            <w:shd w:val="clear" w:color="auto" w:fill="auto"/>
            <w:noWrap/>
            <w:vAlign w:val="bottom"/>
          </w:tcPr>
          <w:p w14:paraId="1613D994"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bottom w:val="nil"/>
              <w:right w:val="nil"/>
            </w:tcBorders>
            <w:shd w:val="clear" w:color="auto" w:fill="auto"/>
            <w:noWrap/>
            <w:vAlign w:val="bottom"/>
          </w:tcPr>
          <w:p w14:paraId="128EB9EA" w14:textId="77777777" w:rsidR="004E5304" w:rsidRPr="00122125" w:rsidRDefault="004E5304" w:rsidP="00321687">
            <w:pPr>
              <w:spacing w:after="0" w:line="240" w:lineRule="auto"/>
              <w:jc w:val="right"/>
              <w:rPr>
                <w:sz w:val="20"/>
                <w:szCs w:val="20"/>
                <w:lang w:eastAsia="sk-SK"/>
              </w:rPr>
            </w:pPr>
            <w:r>
              <w:rPr>
                <w:sz w:val="20"/>
                <w:szCs w:val="20"/>
                <w:lang w:eastAsia="sk-SK"/>
              </w:rPr>
              <w:t>638</w:t>
            </w:r>
          </w:p>
        </w:tc>
        <w:tc>
          <w:tcPr>
            <w:tcW w:w="541" w:type="pct"/>
            <w:tcBorders>
              <w:top w:val="nil"/>
              <w:left w:val="nil"/>
              <w:bottom w:val="nil"/>
              <w:right w:val="nil"/>
            </w:tcBorders>
            <w:shd w:val="clear" w:color="auto" w:fill="auto"/>
            <w:noWrap/>
            <w:vAlign w:val="bottom"/>
          </w:tcPr>
          <w:p w14:paraId="087F13DD" w14:textId="77777777" w:rsidR="004E5304" w:rsidRPr="00122125" w:rsidRDefault="004E5304" w:rsidP="00321687">
            <w:pPr>
              <w:spacing w:after="0" w:line="240" w:lineRule="auto"/>
              <w:jc w:val="right"/>
              <w:rPr>
                <w:sz w:val="20"/>
                <w:szCs w:val="20"/>
                <w:lang w:eastAsia="sk-SK"/>
              </w:rPr>
            </w:pPr>
            <w:r>
              <w:rPr>
                <w:sz w:val="20"/>
                <w:szCs w:val="20"/>
                <w:lang w:eastAsia="sk-SK"/>
              </w:rPr>
              <w:t>198 000</w:t>
            </w:r>
          </w:p>
        </w:tc>
        <w:tc>
          <w:tcPr>
            <w:tcW w:w="468" w:type="pct"/>
            <w:gridSpan w:val="2"/>
            <w:tcBorders>
              <w:top w:val="nil"/>
              <w:left w:val="nil"/>
              <w:bottom w:val="nil"/>
              <w:right w:val="nil"/>
            </w:tcBorders>
            <w:shd w:val="clear" w:color="auto" w:fill="auto"/>
            <w:noWrap/>
            <w:vAlign w:val="bottom"/>
          </w:tcPr>
          <w:p w14:paraId="0E29AE33" w14:textId="77777777" w:rsidR="004E5304" w:rsidRPr="00122125" w:rsidRDefault="004E5304" w:rsidP="00321687">
            <w:pPr>
              <w:spacing w:after="0" w:line="240" w:lineRule="auto"/>
              <w:jc w:val="right"/>
              <w:rPr>
                <w:sz w:val="20"/>
                <w:szCs w:val="20"/>
                <w:lang w:eastAsia="sk-SK"/>
              </w:rPr>
            </w:pPr>
            <w:r>
              <w:rPr>
                <w:sz w:val="20"/>
                <w:szCs w:val="20"/>
                <w:lang w:eastAsia="sk-SK"/>
              </w:rPr>
              <w:t>-4</w:t>
            </w:r>
          </w:p>
        </w:tc>
      </w:tr>
      <w:tr w:rsidR="004E5304" w:rsidRPr="000831FC" w14:paraId="0BC2B4DC" w14:textId="77777777" w:rsidTr="00763D06">
        <w:trPr>
          <w:trHeight w:val="232"/>
        </w:trPr>
        <w:tc>
          <w:tcPr>
            <w:tcW w:w="1808" w:type="pct"/>
            <w:tcBorders>
              <w:top w:val="nil"/>
              <w:left w:val="nil"/>
              <w:bottom w:val="nil"/>
              <w:right w:val="nil"/>
            </w:tcBorders>
            <w:shd w:val="clear" w:color="auto" w:fill="auto"/>
            <w:noWrap/>
            <w:vAlign w:val="bottom"/>
          </w:tcPr>
          <w:p w14:paraId="2DB34266" w14:textId="77777777" w:rsidR="004E5304" w:rsidRPr="000831FC" w:rsidRDefault="004E5304" w:rsidP="00321687">
            <w:pPr>
              <w:spacing w:after="0" w:line="240" w:lineRule="auto"/>
              <w:rPr>
                <w:color w:val="FF0000"/>
                <w:sz w:val="20"/>
                <w:szCs w:val="20"/>
                <w:lang w:eastAsia="sk-SK"/>
              </w:rPr>
            </w:pPr>
            <w:proofErr w:type="spellStart"/>
            <w:r w:rsidRPr="00E81E68">
              <w:rPr>
                <w:sz w:val="20"/>
                <w:szCs w:val="20"/>
                <w:lang w:eastAsia="sk-SK"/>
              </w:rPr>
              <w:t>Slov.plynárenský</w:t>
            </w:r>
            <w:proofErr w:type="spellEnd"/>
            <w:r w:rsidRPr="00E81E68">
              <w:rPr>
                <w:sz w:val="20"/>
                <w:szCs w:val="20"/>
                <w:lang w:eastAsia="sk-SK"/>
              </w:rPr>
              <w:t xml:space="preserve"> priemysel, </w:t>
            </w:r>
            <w:proofErr w:type="spellStart"/>
            <w:r w:rsidRPr="00E81E68">
              <w:rPr>
                <w:sz w:val="20"/>
                <w:szCs w:val="20"/>
                <w:lang w:eastAsia="sk-SK"/>
              </w:rPr>
              <w:t>a.s</w:t>
            </w:r>
            <w:proofErr w:type="spellEnd"/>
            <w:r w:rsidRPr="00E81E68">
              <w:rPr>
                <w:sz w:val="20"/>
                <w:szCs w:val="20"/>
                <w:lang w:eastAsia="sk-SK"/>
              </w:rPr>
              <w:t>.</w:t>
            </w:r>
          </w:p>
        </w:tc>
        <w:tc>
          <w:tcPr>
            <w:tcW w:w="474" w:type="pct"/>
            <w:tcBorders>
              <w:top w:val="nil"/>
              <w:left w:val="nil"/>
              <w:bottom w:val="nil"/>
              <w:right w:val="nil"/>
            </w:tcBorders>
            <w:shd w:val="clear" w:color="auto" w:fill="auto"/>
            <w:noWrap/>
            <w:vAlign w:val="bottom"/>
          </w:tcPr>
          <w:p w14:paraId="510702D1"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78 776</w:t>
            </w:r>
          </w:p>
        </w:tc>
        <w:tc>
          <w:tcPr>
            <w:tcW w:w="653" w:type="pct"/>
            <w:tcBorders>
              <w:top w:val="nil"/>
              <w:left w:val="nil"/>
              <w:bottom w:val="nil"/>
              <w:right w:val="nil"/>
            </w:tcBorders>
            <w:shd w:val="clear" w:color="auto" w:fill="auto"/>
            <w:noWrap/>
            <w:vAlign w:val="bottom"/>
          </w:tcPr>
          <w:p w14:paraId="1503FBDF" w14:textId="77777777" w:rsidR="004E5304" w:rsidRPr="00122125" w:rsidRDefault="004E5304" w:rsidP="00321687">
            <w:pPr>
              <w:spacing w:after="0" w:line="240" w:lineRule="auto"/>
              <w:jc w:val="right"/>
              <w:rPr>
                <w:sz w:val="20"/>
                <w:szCs w:val="20"/>
                <w:lang w:eastAsia="sk-SK"/>
              </w:rPr>
            </w:pPr>
            <w:r>
              <w:rPr>
                <w:sz w:val="20"/>
                <w:szCs w:val="20"/>
                <w:lang w:eastAsia="sk-SK"/>
              </w:rPr>
              <w:t>259 080</w:t>
            </w:r>
          </w:p>
        </w:tc>
        <w:tc>
          <w:tcPr>
            <w:tcW w:w="514" w:type="pct"/>
            <w:tcBorders>
              <w:top w:val="nil"/>
              <w:left w:val="nil"/>
              <w:bottom w:val="nil"/>
              <w:right w:val="nil"/>
            </w:tcBorders>
            <w:shd w:val="clear" w:color="auto" w:fill="auto"/>
            <w:noWrap/>
            <w:vAlign w:val="bottom"/>
          </w:tcPr>
          <w:p w14:paraId="54E25BB9" w14:textId="77777777" w:rsidR="004E5304" w:rsidRPr="00122125" w:rsidRDefault="004E5304" w:rsidP="00321687">
            <w:pPr>
              <w:spacing w:after="0" w:line="240" w:lineRule="auto"/>
              <w:jc w:val="right"/>
              <w:rPr>
                <w:sz w:val="20"/>
                <w:szCs w:val="20"/>
                <w:lang w:eastAsia="sk-SK"/>
              </w:rPr>
            </w:pPr>
            <w:r>
              <w:rPr>
                <w:sz w:val="20"/>
                <w:szCs w:val="20"/>
                <w:lang w:eastAsia="sk-SK"/>
              </w:rPr>
              <w:t>-250 000</w:t>
            </w:r>
          </w:p>
        </w:tc>
        <w:tc>
          <w:tcPr>
            <w:tcW w:w="542" w:type="pct"/>
            <w:tcBorders>
              <w:top w:val="nil"/>
              <w:left w:val="nil"/>
              <w:bottom w:val="nil"/>
              <w:right w:val="nil"/>
            </w:tcBorders>
            <w:shd w:val="clear" w:color="auto" w:fill="auto"/>
            <w:noWrap/>
            <w:vAlign w:val="bottom"/>
          </w:tcPr>
          <w:p w14:paraId="0AE5AD83" w14:textId="77777777" w:rsidR="004E5304" w:rsidRPr="00122125" w:rsidRDefault="004E5304" w:rsidP="00321687">
            <w:pPr>
              <w:spacing w:after="0" w:line="240" w:lineRule="auto"/>
              <w:jc w:val="right"/>
              <w:rPr>
                <w:sz w:val="20"/>
                <w:szCs w:val="20"/>
                <w:lang w:eastAsia="sk-SK"/>
              </w:rPr>
            </w:pPr>
            <w:r>
              <w:rPr>
                <w:sz w:val="20"/>
                <w:szCs w:val="20"/>
                <w:lang w:eastAsia="sk-SK"/>
              </w:rPr>
              <w:t>69 649</w:t>
            </w:r>
          </w:p>
        </w:tc>
        <w:tc>
          <w:tcPr>
            <w:tcW w:w="541" w:type="pct"/>
            <w:tcBorders>
              <w:top w:val="nil"/>
              <w:left w:val="nil"/>
              <w:bottom w:val="nil"/>
              <w:right w:val="nil"/>
            </w:tcBorders>
            <w:shd w:val="clear" w:color="auto" w:fill="auto"/>
            <w:noWrap/>
            <w:vAlign w:val="bottom"/>
          </w:tcPr>
          <w:p w14:paraId="283E443F"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bottom w:val="nil"/>
              <w:right w:val="nil"/>
            </w:tcBorders>
            <w:shd w:val="clear" w:color="auto" w:fill="auto"/>
            <w:noWrap/>
            <w:vAlign w:val="bottom"/>
          </w:tcPr>
          <w:p w14:paraId="77CCED90" w14:textId="77777777" w:rsidR="004E5304" w:rsidRPr="00122125" w:rsidRDefault="004E5304" w:rsidP="00321687">
            <w:pPr>
              <w:spacing w:after="0" w:line="240" w:lineRule="auto"/>
              <w:jc w:val="right"/>
              <w:rPr>
                <w:sz w:val="20"/>
                <w:szCs w:val="20"/>
                <w:lang w:eastAsia="sk-SK"/>
              </w:rPr>
            </w:pPr>
            <w:r>
              <w:rPr>
                <w:sz w:val="20"/>
                <w:szCs w:val="20"/>
                <w:lang w:eastAsia="sk-SK"/>
              </w:rPr>
              <w:t>47</w:t>
            </w:r>
          </w:p>
        </w:tc>
      </w:tr>
      <w:tr w:rsidR="004E5304" w:rsidRPr="000831FC" w14:paraId="71AB5370" w14:textId="77777777" w:rsidTr="00763D06">
        <w:trPr>
          <w:trHeight w:val="232"/>
        </w:trPr>
        <w:tc>
          <w:tcPr>
            <w:tcW w:w="1808" w:type="pct"/>
            <w:tcBorders>
              <w:top w:val="nil"/>
              <w:left w:val="nil"/>
              <w:bottom w:val="nil"/>
              <w:right w:val="nil"/>
            </w:tcBorders>
            <w:shd w:val="clear" w:color="auto" w:fill="auto"/>
            <w:noWrap/>
            <w:vAlign w:val="bottom"/>
          </w:tcPr>
          <w:p w14:paraId="47A12607" w14:textId="77777777" w:rsidR="004E5304" w:rsidRPr="000831FC" w:rsidRDefault="004E5304" w:rsidP="00321687">
            <w:pPr>
              <w:spacing w:after="0" w:line="240" w:lineRule="auto"/>
              <w:rPr>
                <w:color w:val="FF0000"/>
                <w:sz w:val="20"/>
                <w:szCs w:val="20"/>
                <w:lang w:eastAsia="sk-SK"/>
              </w:rPr>
            </w:pPr>
            <w:r w:rsidRPr="00E81E68">
              <w:rPr>
                <w:sz w:val="20"/>
                <w:szCs w:val="20"/>
                <w:lang w:eastAsia="sk-SK"/>
              </w:rPr>
              <w:t>MH Manažment, a.s.</w:t>
            </w:r>
          </w:p>
        </w:tc>
        <w:tc>
          <w:tcPr>
            <w:tcW w:w="474" w:type="pct"/>
            <w:tcBorders>
              <w:top w:val="nil"/>
              <w:left w:val="nil"/>
              <w:bottom w:val="nil"/>
              <w:right w:val="nil"/>
            </w:tcBorders>
            <w:shd w:val="clear" w:color="auto" w:fill="auto"/>
            <w:noWrap/>
            <w:vAlign w:val="bottom"/>
          </w:tcPr>
          <w:p w14:paraId="0C3CA6AC"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75 623</w:t>
            </w:r>
          </w:p>
        </w:tc>
        <w:tc>
          <w:tcPr>
            <w:tcW w:w="653" w:type="pct"/>
            <w:tcBorders>
              <w:top w:val="nil"/>
              <w:left w:val="nil"/>
              <w:bottom w:val="nil"/>
              <w:right w:val="nil"/>
            </w:tcBorders>
            <w:shd w:val="clear" w:color="auto" w:fill="auto"/>
            <w:noWrap/>
            <w:vAlign w:val="bottom"/>
          </w:tcPr>
          <w:p w14:paraId="0DD2DCF2" w14:textId="77777777" w:rsidR="004E5304" w:rsidRPr="00122125" w:rsidRDefault="004E5304" w:rsidP="00321687">
            <w:pPr>
              <w:spacing w:after="0" w:line="240" w:lineRule="auto"/>
              <w:jc w:val="right"/>
              <w:rPr>
                <w:sz w:val="20"/>
                <w:szCs w:val="20"/>
                <w:lang w:eastAsia="sk-SK"/>
              </w:rPr>
            </w:pPr>
            <w:r>
              <w:rPr>
                <w:sz w:val="20"/>
                <w:szCs w:val="20"/>
                <w:lang w:eastAsia="sk-SK"/>
              </w:rPr>
              <w:t>-601</w:t>
            </w:r>
          </w:p>
        </w:tc>
        <w:tc>
          <w:tcPr>
            <w:tcW w:w="514" w:type="pct"/>
            <w:tcBorders>
              <w:top w:val="nil"/>
              <w:left w:val="nil"/>
              <w:bottom w:val="nil"/>
              <w:right w:val="nil"/>
            </w:tcBorders>
            <w:shd w:val="clear" w:color="auto" w:fill="auto"/>
            <w:noWrap/>
            <w:vAlign w:val="bottom"/>
          </w:tcPr>
          <w:p w14:paraId="6D72D5D3"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bottom w:val="nil"/>
              <w:right w:val="nil"/>
            </w:tcBorders>
            <w:shd w:val="clear" w:color="auto" w:fill="auto"/>
            <w:noWrap/>
            <w:vAlign w:val="bottom"/>
          </w:tcPr>
          <w:p w14:paraId="6981FC68" w14:textId="77777777" w:rsidR="004E5304" w:rsidRPr="00122125" w:rsidRDefault="004E5304" w:rsidP="00321687">
            <w:pPr>
              <w:spacing w:after="0" w:line="240" w:lineRule="auto"/>
              <w:jc w:val="right"/>
              <w:rPr>
                <w:sz w:val="20"/>
                <w:szCs w:val="20"/>
                <w:lang w:eastAsia="sk-SK"/>
              </w:rPr>
            </w:pPr>
            <w:r>
              <w:rPr>
                <w:sz w:val="20"/>
                <w:szCs w:val="20"/>
                <w:lang w:eastAsia="sk-SK"/>
              </w:rPr>
              <w:t>41 094</w:t>
            </w:r>
          </w:p>
        </w:tc>
        <w:tc>
          <w:tcPr>
            <w:tcW w:w="541" w:type="pct"/>
            <w:tcBorders>
              <w:top w:val="nil"/>
              <w:left w:val="nil"/>
              <w:bottom w:val="nil"/>
              <w:right w:val="nil"/>
            </w:tcBorders>
            <w:shd w:val="clear" w:color="auto" w:fill="auto"/>
            <w:noWrap/>
            <w:vAlign w:val="bottom"/>
          </w:tcPr>
          <w:p w14:paraId="3ABD0C41" w14:textId="77777777" w:rsidR="004E5304" w:rsidRPr="00122125" w:rsidRDefault="004E5304" w:rsidP="00321687">
            <w:pPr>
              <w:spacing w:after="0" w:line="240" w:lineRule="auto"/>
              <w:jc w:val="right"/>
              <w:rPr>
                <w:sz w:val="20"/>
                <w:szCs w:val="20"/>
                <w:lang w:eastAsia="sk-SK"/>
              </w:rPr>
            </w:pPr>
            <w:r>
              <w:rPr>
                <w:sz w:val="20"/>
                <w:szCs w:val="20"/>
                <w:lang w:eastAsia="sk-SK"/>
              </w:rPr>
              <w:t>20 000</w:t>
            </w:r>
          </w:p>
        </w:tc>
        <w:tc>
          <w:tcPr>
            <w:tcW w:w="468" w:type="pct"/>
            <w:gridSpan w:val="2"/>
            <w:tcBorders>
              <w:top w:val="nil"/>
              <w:left w:val="nil"/>
              <w:bottom w:val="nil"/>
              <w:right w:val="nil"/>
            </w:tcBorders>
            <w:shd w:val="clear" w:color="auto" w:fill="auto"/>
            <w:noWrap/>
            <w:vAlign w:val="bottom"/>
          </w:tcPr>
          <w:p w14:paraId="018BF7BA" w14:textId="77777777" w:rsidR="004E5304" w:rsidRPr="00122125" w:rsidRDefault="004E5304" w:rsidP="00321687">
            <w:pPr>
              <w:spacing w:after="0" w:line="240" w:lineRule="auto"/>
              <w:jc w:val="right"/>
              <w:rPr>
                <w:sz w:val="20"/>
                <w:szCs w:val="20"/>
                <w:lang w:eastAsia="sk-SK"/>
              </w:rPr>
            </w:pPr>
            <w:r>
              <w:rPr>
                <w:sz w:val="20"/>
                <w:szCs w:val="20"/>
                <w:lang w:eastAsia="sk-SK"/>
              </w:rPr>
              <w:t>15 130</w:t>
            </w:r>
          </w:p>
        </w:tc>
      </w:tr>
      <w:tr w:rsidR="004E5304" w:rsidRPr="000831FC" w14:paraId="6F693333" w14:textId="77777777" w:rsidTr="00763D06">
        <w:trPr>
          <w:trHeight w:val="232"/>
        </w:trPr>
        <w:tc>
          <w:tcPr>
            <w:tcW w:w="1808" w:type="pct"/>
            <w:tcBorders>
              <w:top w:val="nil"/>
              <w:left w:val="nil"/>
              <w:bottom w:val="nil"/>
              <w:right w:val="nil"/>
            </w:tcBorders>
            <w:shd w:val="clear" w:color="auto" w:fill="auto"/>
            <w:noWrap/>
            <w:vAlign w:val="bottom"/>
          </w:tcPr>
          <w:p w14:paraId="54ACEAB8" w14:textId="77777777" w:rsidR="004E5304" w:rsidRPr="000831FC" w:rsidRDefault="004E5304" w:rsidP="00321687">
            <w:pPr>
              <w:spacing w:after="0" w:line="240" w:lineRule="auto"/>
              <w:rPr>
                <w:color w:val="FF0000"/>
                <w:sz w:val="20"/>
                <w:szCs w:val="20"/>
                <w:lang w:eastAsia="sk-SK"/>
              </w:rPr>
            </w:pPr>
            <w:r w:rsidRPr="00E81E68">
              <w:rPr>
                <w:sz w:val="20"/>
                <w:szCs w:val="20"/>
                <w:lang w:eastAsia="sk-SK"/>
              </w:rPr>
              <w:t>Národná diaľničná spoločnosť, a.s.</w:t>
            </w:r>
          </w:p>
        </w:tc>
        <w:tc>
          <w:tcPr>
            <w:tcW w:w="474" w:type="pct"/>
            <w:tcBorders>
              <w:top w:val="nil"/>
              <w:left w:val="nil"/>
              <w:bottom w:val="nil"/>
              <w:right w:val="nil"/>
            </w:tcBorders>
            <w:shd w:val="clear" w:color="auto" w:fill="auto"/>
            <w:noWrap/>
            <w:vAlign w:val="bottom"/>
          </w:tcPr>
          <w:p w14:paraId="08B583F7"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54 497</w:t>
            </w:r>
          </w:p>
        </w:tc>
        <w:tc>
          <w:tcPr>
            <w:tcW w:w="653" w:type="pct"/>
            <w:tcBorders>
              <w:top w:val="nil"/>
              <w:left w:val="nil"/>
              <w:bottom w:val="nil"/>
              <w:right w:val="nil"/>
            </w:tcBorders>
            <w:shd w:val="clear" w:color="auto" w:fill="auto"/>
            <w:noWrap/>
            <w:vAlign w:val="bottom"/>
          </w:tcPr>
          <w:p w14:paraId="36945C85" w14:textId="77777777" w:rsidR="004E5304" w:rsidRPr="00122125" w:rsidRDefault="004E5304" w:rsidP="00321687">
            <w:pPr>
              <w:spacing w:after="0" w:line="240" w:lineRule="auto"/>
              <w:jc w:val="right"/>
              <w:rPr>
                <w:sz w:val="20"/>
                <w:szCs w:val="20"/>
                <w:lang w:eastAsia="sk-SK"/>
              </w:rPr>
            </w:pPr>
            <w:r>
              <w:rPr>
                <w:sz w:val="20"/>
                <w:szCs w:val="20"/>
                <w:lang w:eastAsia="sk-SK"/>
              </w:rPr>
              <w:t>33 970</w:t>
            </w:r>
          </w:p>
        </w:tc>
        <w:tc>
          <w:tcPr>
            <w:tcW w:w="514" w:type="pct"/>
            <w:tcBorders>
              <w:top w:val="nil"/>
              <w:left w:val="nil"/>
              <w:bottom w:val="nil"/>
              <w:right w:val="nil"/>
            </w:tcBorders>
            <w:shd w:val="clear" w:color="auto" w:fill="auto"/>
            <w:noWrap/>
            <w:vAlign w:val="bottom"/>
          </w:tcPr>
          <w:p w14:paraId="74AE2039"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bottom w:val="nil"/>
              <w:right w:val="nil"/>
            </w:tcBorders>
            <w:shd w:val="clear" w:color="auto" w:fill="auto"/>
            <w:noWrap/>
            <w:vAlign w:val="bottom"/>
          </w:tcPr>
          <w:p w14:paraId="5717169A" w14:textId="77777777" w:rsidR="004E5304" w:rsidRPr="00122125" w:rsidRDefault="004E5304" w:rsidP="00321687">
            <w:pPr>
              <w:spacing w:after="0" w:line="240" w:lineRule="auto"/>
              <w:jc w:val="right"/>
              <w:rPr>
                <w:sz w:val="20"/>
                <w:szCs w:val="20"/>
                <w:lang w:eastAsia="sk-SK"/>
              </w:rPr>
            </w:pPr>
            <w:r>
              <w:rPr>
                <w:sz w:val="20"/>
                <w:szCs w:val="20"/>
                <w:lang w:eastAsia="sk-SK"/>
              </w:rPr>
              <w:t>-2 208</w:t>
            </w:r>
          </w:p>
        </w:tc>
        <w:tc>
          <w:tcPr>
            <w:tcW w:w="541" w:type="pct"/>
            <w:tcBorders>
              <w:top w:val="nil"/>
              <w:left w:val="nil"/>
              <w:bottom w:val="nil"/>
              <w:right w:val="nil"/>
            </w:tcBorders>
            <w:shd w:val="clear" w:color="auto" w:fill="auto"/>
            <w:noWrap/>
            <w:vAlign w:val="bottom"/>
          </w:tcPr>
          <w:p w14:paraId="2BCB015E" w14:textId="77777777" w:rsidR="004E5304" w:rsidRPr="00122125" w:rsidRDefault="004E5304" w:rsidP="00321687">
            <w:pPr>
              <w:spacing w:after="0" w:line="240" w:lineRule="auto"/>
              <w:jc w:val="right"/>
              <w:rPr>
                <w:sz w:val="20"/>
                <w:szCs w:val="20"/>
                <w:lang w:eastAsia="sk-SK"/>
              </w:rPr>
            </w:pPr>
            <w:r>
              <w:rPr>
                <w:sz w:val="20"/>
                <w:szCs w:val="20"/>
                <w:lang w:eastAsia="sk-SK"/>
              </w:rPr>
              <w:t>22 876</w:t>
            </w:r>
          </w:p>
        </w:tc>
        <w:tc>
          <w:tcPr>
            <w:tcW w:w="468" w:type="pct"/>
            <w:gridSpan w:val="2"/>
            <w:tcBorders>
              <w:top w:val="nil"/>
              <w:left w:val="nil"/>
              <w:bottom w:val="nil"/>
              <w:right w:val="nil"/>
            </w:tcBorders>
            <w:shd w:val="clear" w:color="auto" w:fill="auto"/>
            <w:noWrap/>
            <w:vAlign w:val="bottom"/>
          </w:tcPr>
          <w:p w14:paraId="26002A73" w14:textId="77777777" w:rsidR="004E5304" w:rsidRPr="00122125" w:rsidRDefault="004E5304" w:rsidP="00321687">
            <w:pPr>
              <w:spacing w:after="0" w:line="240" w:lineRule="auto"/>
              <w:jc w:val="right"/>
              <w:rPr>
                <w:sz w:val="20"/>
                <w:szCs w:val="20"/>
                <w:lang w:eastAsia="sk-SK"/>
              </w:rPr>
            </w:pPr>
            <w:r>
              <w:rPr>
                <w:sz w:val="20"/>
                <w:szCs w:val="20"/>
                <w:lang w:eastAsia="sk-SK"/>
              </w:rPr>
              <w:t>-141</w:t>
            </w:r>
          </w:p>
        </w:tc>
      </w:tr>
      <w:tr w:rsidR="004E5304" w:rsidRPr="000831FC" w14:paraId="38C9ED0C" w14:textId="77777777" w:rsidTr="00763D06">
        <w:trPr>
          <w:trHeight w:val="232"/>
        </w:trPr>
        <w:tc>
          <w:tcPr>
            <w:tcW w:w="1808" w:type="pct"/>
            <w:tcBorders>
              <w:top w:val="nil"/>
              <w:left w:val="nil"/>
              <w:bottom w:val="nil"/>
              <w:right w:val="nil"/>
            </w:tcBorders>
            <w:shd w:val="clear" w:color="auto" w:fill="auto"/>
            <w:noWrap/>
            <w:vAlign w:val="bottom"/>
          </w:tcPr>
          <w:p w14:paraId="31DE18ED" w14:textId="77777777" w:rsidR="004E5304" w:rsidRPr="00122125" w:rsidRDefault="004E5304" w:rsidP="00321687">
            <w:pPr>
              <w:spacing w:after="0" w:line="240" w:lineRule="auto"/>
              <w:rPr>
                <w:color w:val="FF0000"/>
                <w:sz w:val="20"/>
                <w:szCs w:val="20"/>
                <w:lang w:eastAsia="sk-SK"/>
              </w:rPr>
            </w:pPr>
            <w:r w:rsidRPr="00122125">
              <w:rPr>
                <w:sz w:val="20"/>
                <w:szCs w:val="20"/>
                <w:lang w:eastAsia="sk-SK"/>
              </w:rPr>
              <w:t>Slov</w:t>
            </w:r>
            <w:r>
              <w:rPr>
                <w:sz w:val="20"/>
                <w:szCs w:val="20"/>
                <w:lang w:eastAsia="sk-SK"/>
              </w:rPr>
              <w:t>.</w:t>
            </w:r>
            <w:r w:rsidRPr="00122125">
              <w:rPr>
                <w:sz w:val="20"/>
                <w:szCs w:val="20"/>
                <w:lang w:eastAsia="sk-SK"/>
              </w:rPr>
              <w:t xml:space="preserve"> záručná a rozvojová banka, a.s.</w:t>
            </w:r>
          </w:p>
        </w:tc>
        <w:tc>
          <w:tcPr>
            <w:tcW w:w="474" w:type="pct"/>
            <w:tcBorders>
              <w:top w:val="nil"/>
              <w:left w:val="nil"/>
              <w:bottom w:val="nil"/>
              <w:right w:val="nil"/>
            </w:tcBorders>
            <w:shd w:val="clear" w:color="auto" w:fill="auto"/>
            <w:noWrap/>
            <w:vAlign w:val="bottom"/>
          </w:tcPr>
          <w:p w14:paraId="306EF711"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49 976</w:t>
            </w:r>
          </w:p>
        </w:tc>
        <w:tc>
          <w:tcPr>
            <w:tcW w:w="653" w:type="pct"/>
            <w:tcBorders>
              <w:top w:val="nil"/>
              <w:left w:val="nil"/>
              <w:bottom w:val="nil"/>
              <w:right w:val="nil"/>
            </w:tcBorders>
            <w:shd w:val="clear" w:color="auto" w:fill="auto"/>
            <w:noWrap/>
            <w:vAlign w:val="bottom"/>
          </w:tcPr>
          <w:p w14:paraId="2C091F25" w14:textId="77777777" w:rsidR="004E5304" w:rsidRPr="00122125" w:rsidRDefault="004E5304" w:rsidP="00321687">
            <w:pPr>
              <w:spacing w:after="0" w:line="240" w:lineRule="auto"/>
              <w:jc w:val="right"/>
              <w:rPr>
                <w:sz w:val="20"/>
                <w:szCs w:val="20"/>
                <w:lang w:eastAsia="sk-SK"/>
              </w:rPr>
            </w:pPr>
            <w:r>
              <w:rPr>
                <w:sz w:val="20"/>
                <w:szCs w:val="20"/>
                <w:lang w:eastAsia="sk-SK"/>
              </w:rPr>
              <w:t>484</w:t>
            </w:r>
          </w:p>
        </w:tc>
        <w:tc>
          <w:tcPr>
            <w:tcW w:w="514" w:type="pct"/>
            <w:tcBorders>
              <w:top w:val="nil"/>
              <w:left w:val="nil"/>
              <w:bottom w:val="nil"/>
              <w:right w:val="nil"/>
            </w:tcBorders>
            <w:shd w:val="clear" w:color="auto" w:fill="auto"/>
            <w:noWrap/>
            <w:vAlign w:val="bottom"/>
          </w:tcPr>
          <w:p w14:paraId="74FC8B5B"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bottom w:val="nil"/>
              <w:right w:val="nil"/>
            </w:tcBorders>
            <w:shd w:val="clear" w:color="auto" w:fill="auto"/>
            <w:noWrap/>
            <w:vAlign w:val="bottom"/>
          </w:tcPr>
          <w:p w14:paraId="177B15C0" w14:textId="77777777" w:rsidR="004E5304" w:rsidRPr="00122125" w:rsidRDefault="004E5304" w:rsidP="00321687">
            <w:pPr>
              <w:spacing w:after="0" w:line="240" w:lineRule="auto"/>
              <w:jc w:val="right"/>
              <w:rPr>
                <w:sz w:val="20"/>
                <w:szCs w:val="20"/>
                <w:lang w:eastAsia="sk-SK"/>
              </w:rPr>
            </w:pPr>
            <w:r>
              <w:rPr>
                <w:sz w:val="20"/>
                <w:szCs w:val="20"/>
                <w:lang w:eastAsia="sk-SK"/>
              </w:rPr>
              <w:t>-508</w:t>
            </w:r>
          </w:p>
        </w:tc>
        <w:tc>
          <w:tcPr>
            <w:tcW w:w="541" w:type="pct"/>
            <w:tcBorders>
              <w:top w:val="nil"/>
              <w:left w:val="nil"/>
              <w:bottom w:val="nil"/>
              <w:right w:val="nil"/>
            </w:tcBorders>
            <w:shd w:val="clear" w:color="auto" w:fill="auto"/>
            <w:noWrap/>
            <w:vAlign w:val="bottom"/>
          </w:tcPr>
          <w:p w14:paraId="67FE2B9B" w14:textId="77777777" w:rsidR="004E5304" w:rsidRPr="00122125" w:rsidRDefault="004E5304" w:rsidP="00321687">
            <w:pPr>
              <w:spacing w:after="0" w:line="240" w:lineRule="auto"/>
              <w:jc w:val="right"/>
              <w:rPr>
                <w:sz w:val="20"/>
                <w:szCs w:val="20"/>
                <w:lang w:eastAsia="sk-SK"/>
              </w:rPr>
            </w:pPr>
            <w:r>
              <w:rPr>
                <w:sz w:val="20"/>
                <w:szCs w:val="20"/>
                <w:lang w:eastAsia="sk-SK"/>
              </w:rPr>
              <w:t>50 000</w:t>
            </w:r>
          </w:p>
        </w:tc>
        <w:tc>
          <w:tcPr>
            <w:tcW w:w="468" w:type="pct"/>
            <w:gridSpan w:val="2"/>
            <w:tcBorders>
              <w:top w:val="nil"/>
              <w:left w:val="nil"/>
              <w:bottom w:val="nil"/>
              <w:right w:val="nil"/>
            </w:tcBorders>
            <w:shd w:val="clear" w:color="auto" w:fill="auto"/>
            <w:noWrap/>
            <w:vAlign w:val="bottom"/>
          </w:tcPr>
          <w:p w14:paraId="1CDBD6BE"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r>
      <w:tr w:rsidR="004E5304" w:rsidRPr="000831FC" w14:paraId="45B9C433" w14:textId="77777777" w:rsidTr="00763D06">
        <w:trPr>
          <w:trHeight w:val="232"/>
        </w:trPr>
        <w:tc>
          <w:tcPr>
            <w:tcW w:w="1808" w:type="pct"/>
            <w:tcBorders>
              <w:top w:val="nil"/>
              <w:left w:val="nil"/>
              <w:bottom w:val="nil"/>
              <w:right w:val="nil"/>
            </w:tcBorders>
            <w:shd w:val="clear" w:color="auto" w:fill="auto"/>
            <w:noWrap/>
            <w:vAlign w:val="bottom"/>
          </w:tcPr>
          <w:p w14:paraId="3597BDC7" w14:textId="77777777" w:rsidR="004E5304" w:rsidRPr="000831FC" w:rsidRDefault="004E5304" w:rsidP="00321687">
            <w:pPr>
              <w:spacing w:after="0" w:line="240" w:lineRule="auto"/>
              <w:rPr>
                <w:color w:val="FF0000"/>
                <w:sz w:val="20"/>
                <w:szCs w:val="20"/>
                <w:lang w:eastAsia="sk-SK"/>
              </w:rPr>
            </w:pPr>
            <w:r>
              <w:rPr>
                <w:sz w:val="20"/>
                <w:szCs w:val="20"/>
                <w:lang w:eastAsia="sk-SK"/>
              </w:rPr>
              <w:t>Bratislavská teplárenská</w:t>
            </w:r>
            <w:r w:rsidRPr="00E81E68">
              <w:rPr>
                <w:sz w:val="20"/>
                <w:szCs w:val="20"/>
                <w:lang w:eastAsia="sk-SK"/>
              </w:rPr>
              <w:t>, a.s.</w:t>
            </w:r>
          </w:p>
        </w:tc>
        <w:tc>
          <w:tcPr>
            <w:tcW w:w="474" w:type="pct"/>
            <w:tcBorders>
              <w:top w:val="nil"/>
              <w:left w:val="nil"/>
              <w:bottom w:val="nil"/>
              <w:right w:val="nil"/>
            </w:tcBorders>
            <w:shd w:val="clear" w:color="auto" w:fill="auto"/>
            <w:noWrap/>
            <w:vAlign w:val="bottom"/>
          </w:tcPr>
          <w:p w14:paraId="19583BA9"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20 539</w:t>
            </w:r>
          </w:p>
        </w:tc>
        <w:tc>
          <w:tcPr>
            <w:tcW w:w="653" w:type="pct"/>
            <w:tcBorders>
              <w:top w:val="nil"/>
              <w:left w:val="nil"/>
              <w:bottom w:val="nil"/>
              <w:right w:val="nil"/>
            </w:tcBorders>
            <w:shd w:val="clear" w:color="auto" w:fill="auto"/>
            <w:noWrap/>
            <w:vAlign w:val="bottom"/>
          </w:tcPr>
          <w:p w14:paraId="68F576FE" w14:textId="77777777" w:rsidR="004E5304" w:rsidRPr="00122125" w:rsidRDefault="004E5304" w:rsidP="00321687">
            <w:pPr>
              <w:spacing w:after="0" w:line="240" w:lineRule="auto"/>
              <w:jc w:val="right"/>
              <w:rPr>
                <w:sz w:val="20"/>
                <w:szCs w:val="20"/>
                <w:lang w:eastAsia="sk-SK"/>
              </w:rPr>
            </w:pPr>
            <w:r>
              <w:rPr>
                <w:sz w:val="20"/>
                <w:szCs w:val="20"/>
                <w:lang w:eastAsia="sk-SK"/>
              </w:rPr>
              <w:t>2 477</w:t>
            </w:r>
          </w:p>
        </w:tc>
        <w:tc>
          <w:tcPr>
            <w:tcW w:w="514" w:type="pct"/>
            <w:tcBorders>
              <w:top w:val="nil"/>
              <w:left w:val="nil"/>
              <w:bottom w:val="nil"/>
              <w:right w:val="nil"/>
            </w:tcBorders>
            <w:shd w:val="clear" w:color="auto" w:fill="auto"/>
            <w:noWrap/>
            <w:vAlign w:val="bottom"/>
          </w:tcPr>
          <w:p w14:paraId="2BE2DBBF"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bottom w:val="nil"/>
              <w:right w:val="nil"/>
            </w:tcBorders>
            <w:shd w:val="clear" w:color="auto" w:fill="auto"/>
            <w:noWrap/>
            <w:vAlign w:val="bottom"/>
          </w:tcPr>
          <w:p w14:paraId="3914F053"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1" w:type="pct"/>
            <w:tcBorders>
              <w:top w:val="nil"/>
              <w:left w:val="nil"/>
              <w:bottom w:val="nil"/>
              <w:right w:val="nil"/>
            </w:tcBorders>
            <w:shd w:val="clear" w:color="auto" w:fill="auto"/>
            <w:noWrap/>
            <w:vAlign w:val="bottom"/>
          </w:tcPr>
          <w:p w14:paraId="735473FF" w14:textId="77777777" w:rsidR="004E5304" w:rsidRPr="00122125" w:rsidRDefault="004E5304" w:rsidP="00321687">
            <w:pPr>
              <w:spacing w:after="0" w:line="240" w:lineRule="auto"/>
              <w:jc w:val="right"/>
              <w:rPr>
                <w:sz w:val="20"/>
                <w:szCs w:val="20"/>
                <w:lang w:eastAsia="sk-SK"/>
              </w:rPr>
            </w:pPr>
            <w:r>
              <w:rPr>
                <w:sz w:val="20"/>
                <w:szCs w:val="20"/>
                <w:lang w:eastAsia="sk-SK"/>
              </w:rPr>
              <w:t>20 000</w:t>
            </w:r>
          </w:p>
        </w:tc>
        <w:tc>
          <w:tcPr>
            <w:tcW w:w="468" w:type="pct"/>
            <w:gridSpan w:val="2"/>
            <w:tcBorders>
              <w:top w:val="nil"/>
              <w:left w:val="nil"/>
              <w:bottom w:val="nil"/>
              <w:right w:val="nil"/>
            </w:tcBorders>
            <w:shd w:val="clear" w:color="auto" w:fill="auto"/>
            <w:noWrap/>
            <w:vAlign w:val="bottom"/>
          </w:tcPr>
          <w:p w14:paraId="09F2E14C" w14:textId="77777777" w:rsidR="004E5304" w:rsidRPr="00122125" w:rsidRDefault="004E5304" w:rsidP="00321687">
            <w:pPr>
              <w:spacing w:after="0" w:line="240" w:lineRule="auto"/>
              <w:jc w:val="right"/>
              <w:rPr>
                <w:sz w:val="20"/>
                <w:szCs w:val="20"/>
                <w:lang w:eastAsia="sk-SK"/>
              </w:rPr>
            </w:pPr>
            <w:r>
              <w:rPr>
                <w:sz w:val="20"/>
                <w:szCs w:val="20"/>
                <w:lang w:eastAsia="sk-SK"/>
              </w:rPr>
              <w:t>-1 938</w:t>
            </w:r>
          </w:p>
        </w:tc>
      </w:tr>
      <w:tr w:rsidR="004E5304" w:rsidRPr="000831FC" w14:paraId="3354B9B3" w14:textId="77777777" w:rsidTr="00763D06">
        <w:trPr>
          <w:trHeight w:val="232"/>
        </w:trPr>
        <w:tc>
          <w:tcPr>
            <w:tcW w:w="1808" w:type="pct"/>
            <w:tcBorders>
              <w:top w:val="nil"/>
              <w:left w:val="nil"/>
              <w:bottom w:val="nil"/>
              <w:right w:val="nil"/>
            </w:tcBorders>
            <w:shd w:val="clear" w:color="auto" w:fill="auto"/>
            <w:noWrap/>
            <w:vAlign w:val="bottom"/>
          </w:tcPr>
          <w:p w14:paraId="02A8BD16" w14:textId="77777777" w:rsidR="004E5304" w:rsidRPr="00E81E68" w:rsidRDefault="004E5304" w:rsidP="00321687">
            <w:pPr>
              <w:spacing w:after="0" w:line="240" w:lineRule="auto"/>
              <w:rPr>
                <w:sz w:val="20"/>
                <w:szCs w:val="20"/>
                <w:lang w:eastAsia="sk-SK"/>
              </w:rPr>
            </w:pPr>
            <w:r w:rsidRPr="00E81E68">
              <w:rPr>
                <w:sz w:val="20"/>
                <w:szCs w:val="20"/>
                <w:lang w:eastAsia="sk-SK"/>
              </w:rPr>
              <w:t>Západoslovenská energetika, a.s.</w:t>
            </w:r>
          </w:p>
        </w:tc>
        <w:tc>
          <w:tcPr>
            <w:tcW w:w="474" w:type="pct"/>
            <w:tcBorders>
              <w:top w:val="nil"/>
              <w:left w:val="nil"/>
              <w:bottom w:val="nil"/>
              <w:right w:val="nil"/>
            </w:tcBorders>
            <w:shd w:val="clear" w:color="auto" w:fill="auto"/>
            <w:noWrap/>
            <w:vAlign w:val="bottom"/>
          </w:tcPr>
          <w:p w14:paraId="1E6A9F54"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15 908</w:t>
            </w:r>
          </w:p>
        </w:tc>
        <w:tc>
          <w:tcPr>
            <w:tcW w:w="653" w:type="pct"/>
            <w:tcBorders>
              <w:top w:val="nil"/>
              <w:left w:val="nil"/>
              <w:bottom w:val="nil"/>
              <w:right w:val="nil"/>
            </w:tcBorders>
            <w:shd w:val="clear" w:color="auto" w:fill="auto"/>
            <w:noWrap/>
            <w:vAlign w:val="bottom"/>
          </w:tcPr>
          <w:p w14:paraId="7B6F250B" w14:textId="77777777" w:rsidR="004E5304" w:rsidRPr="00122125" w:rsidRDefault="004E5304" w:rsidP="00321687">
            <w:pPr>
              <w:spacing w:after="0" w:line="240" w:lineRule="auto"/>
              <w:jc w:val="right"/>
              <w:rPr>
                <w:sz w:val="20"/>
                <w:szCs w:val="20"/>
                <w:lang w:eastAsia="sk-SK"/>
              </w:rPr>
            </w:pPr>
            <w:r>
              <w:rPr>
                <w:sz w:val="20"/>
                <w:szCs w:val="20"/>
                <w:lang w:eastAsia="sk-SK"/>
              </w:rPr>
              <w:t>89 816</w:t>
            </w:r>
          </w:p>
        </w:tc>
        <w:tc>
          <w:tcPr>
            <w:tcW w:w="514" w:type="pct"/>
            <w:tcBorders>
              <w:top w:val="nil"/>
              <w:left w:val="nil"/>
              <w:bottom w:val="nil"/>
              <w:right w:val="nil"/>
            </w:tcBorders>
            <w:shd w:val="clear" w:color="auto" w:fill="auto"/>
            <w:noWrap/>
            <w:vAlign w:val="bottom"/>
          </w:tcPr>
          <w:p w14:paraId="71ED0B6F" w14:textId="77777777" w:rsidR="004E5304" w:rsidRPr="00122125" w:rsidRDefault="004E5304" w:rsidP="00321687">
            <w:pPr>
              <w:spacing w:after="0" w:line="240" w:lineRule="auto"/>
              <w:jc w:val="right"/>
              <w:rPr>
                <w:sz w:val="20"/>
                <w:szCs w:val="20"/>
                <w:lang w:eastAsia="sk-SK"/>
              </w:rPr>
            </w:pPr>
            <w:r>
              <w:rPr>
                <w:sz w:val="20"/>
                <w:szCs w:val="20"/>
                <w:lang w:eastAsia="sk-SK"/>
              </w:rPr>
              <w:t>-74 135</w:t>
            </w:r>
          </w:p>
        </w:tc>
        <w:tc>
          <w:tcPr>
            <w:tcW w:w="542" w:type="pct"/>
            <w:tcBorders>
              <w:top w:val="nil"/>
              <w:left w:val="nil"/>
              <w:bottom w:val="nil"/>
              <w:right w:val="nil"/>
            </w:tcBorders>
            <w:shd w:val="clear" w:color="auto" w:fill="auto"/>
            <w:noWrap/>
            <w:vAlign w:val="bottom"/>
          </w:tcPr>
          <w:p w14:paraId="2DDC85A8" w14:textId="77777777" w:rsidR="004E5304" w:rsidRPr="00122125" w:rsidRDefault="004E5304" w:rsidP="00321687">
            <w:pPr>
              <w:spacing w:after="0" w:line="240" w:lineRule="auto"/>
              <w:jc w:val="right"/>
              <w:rPr>
                <w:sz w:val="20"/>
                <w:szCs w:val="20"/>
                <w:lang w:eastAsia="sk-SK"/>
              </w:rPr>
            </w:pPr>
            <w:r>
              <w:rPr>
                <w:sz w:val="20"/>
                <w:szCs w:val="20"/>
                <w:lang w:eastAsia="sk-SK"/>
              </w:rPr>
              <w:t>-164</w:t>
            </w:r>
          </w:p>
        </w:tc>
        <w:tc>
          <w:tcPr>
            <w:tcW w:w="541" w:type="pct"/>
            <w:tcBorders>
              <w:top w:val="nil"/>
              <w:left w:val="nil"/>
              <w:bottom w:val="nil"/>
              <w:right w:val="nil"/>
            </w:tcBorders>
            <w:shd w:val="clear" w:color="auto" w:fill="auto"/>
            <w:noWrap/>
            <w:vAlign w:val="bottom"/>
          </w:tcPr>
          <w:p w14:paraId="000039E7"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bottom w:val="nil"/>
              <w:right w:val="nil"/>
            </w:tcBorders>
            <w:shd w:val="clear" w:color="auto" w:fill="auto"/>
            <w:noWrap/>
            <w:vAlign w:val="bottom"/>
          </w:tcPr>
          <w:p w14:paraId="23BA0B6A" w14:textId="77777777" w:rsidR="004E5304" w:rsidRPr="00122125" w:rsidRDefault="004E5304" w:rsidP="00321687">
            <w:pPr>
              <w:spacing w:after="0" w:line="240" w:lineRule="auto"/>
              <w:jc w:val="right"/>
              <w:rPr>
                <w:sz w:val="20"/>
                <w:szCs w:val="20"/>
                <w:lang w:eastAsia="sk-SK"/>
              </w:rPr>
            </w:pPr>
            <w:r>
              <w:rPr>
                <w:sz w:val="20"/>
                <w:szCs w:val="20"/>
                <w:lang w:eastAsia="sk-SK"/>
              </w:rPr>
              <w:t>391</w:t>
            </w:r>
          </w:p>
        </w:tc>
      </w:tr>
      <w:tr w:rsidR="004E5304" w:rsidRPr="000831FC" w14:paraId="78A139B1" w14:textId="77777777" w:rsidTr="00763D06">
        <w:trPr>
          <w:trHeight w:val="232"/>
        </w:trPr>
        <w:tc>
          <w:tcPr>
            <w:tcW w:w="1808" w:type="pct"/>
            <w:tcBorders>
              <w:top w:val="nil"/>
              <w:left w:val="nil"/>
              <w:bottom w:val="nil"/>
              <w:right w:val="nil"/>
            </w:tcBorders>
            <w:shd w:val="clear" w:color="auto" w:fill="auto"/>
            <w:noWrap/>
            <w:vAlign w:val="bottom"/>
          </w:tcPr>
          <w:p w14:paraId="5464E7A3" w14:textId="77777777" w:rsidR="004E5304" w:rsidRPr="000831FC" w:rsidRDefault="004E5304" w:rsidP="00321687">
            <w:pPr>
              <w:spacing w:after="0" w:line="240" w:lineRule="auto"/>
              <w:rPr>
                <w:color w:val="FF0000"/>
                <w:sz w:val="20"/>
                <w:szCs w:val="20"/>
                <w:lang w:eastAsia="sk-SK"/>
              </w:rPr>
            </w:pPr>
            <w:r w:rsidRPr="00E81E68">
              <w:rPr>
                <w:sz w:val="20"/>
                <w:szCs w:val="20"/>
                <w:lang w:eastAsia="sk-SK"/>
              </w:rPr>
              <w:t>Železničná spoločnosť Slovensko, a.s.</w:t>
            </w:r>
          </w:p>
        </w:tc>
        <w:tc>
          <w:tcPr>
            <w:tcW w:w="474" w:type="pct"/>
            <w:tcBorders>
              <w:top w:val="nil"/>
              <w:left w:val="nil"/>
              <w:bottom w:val="nil"/>
              <w:right w:val="nil"/>
            </w:tcBorders>
            <w:shd w:val="clear" w:color="auto" w:fill="auto"/>
            <w:noWrap/>
            <w:vAlign w:val="bottom"/>
          </w:tcPr>
          <w:p w14:paraId="3E17295D"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10 816</w:t>
            </w:r>
          </w:p>
        </w:tc>
        <w:tc>
          <w:tcPr>
            <w:tcW w:w="653" w:type="pct"/>
            <w:tcBorders>
              <w:top w:val="nil"/>
              <w:left w:val="nil"/>
              <w:bottom w:val="nil"/>
              <w:right w:val="nil"/>
            </w:tcBorders>
            <w:shd w:val="clear" w:color="auto" w:fill="auto"/>
            <w:noWrap/>
            <w:vAlign w:val="bottom"/>
          </w:tcPr>
          <w:p w14:paraId="199AA3C3" w14:textId="77777777" w:rsidR="004E5304" w:rsidRPr="00122125" w:rsidRDefault="004E5304" w:rsidP="00321687">
            <w:pPr>
              <w:spacing w:after="0" w:line="240" w:lineRule="auto"/>
              <w:jc w:val="right"/>
              <w:rPr>
                <w:sz w:val="20"/>
                <w:szCs w:val="20"/>
                <w:lang w:eastAsia="sk-SK"/>
              </w:rPr>
            </w:pPr>
            <w:r>
              <w:rPr>
                <w:sz w:val="20"/>
                <w:szCs w:val="20"/>
                <w:lang w:eastAsia="sk-SK"/>
              </w:rPr>
              <w:t>10 590</w:t>
            </w:r>
          </w:p>
        </w:tc>
        <w:tc>
          <w:tcPr>
            <w:tcW w:w="514" w:type="pct"/>
            <w:tcBorders>
              <w:top w:val="nil"/>
              <w:left w:val="nil"/>
              <w:bottom w:val="nil"/>
              <w:right w:val="nil"/>
            </w:tcBorders>
            <w:shd w:val="clear" w:color="auto" w:fill="auto"/>
            <w:noWrap/>
            <w:vAlign w:val="bottom"/>
          </w:tcPr>
          <w:p w14:paraId="5C89348C"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bottom w:val="nil"/>
              <w:right w:val="nil"/>
            </w:tcBorders>
            <w:shd w:val="clear" w:color="auto" w:fill="auto"/>
            <w:noWrap/>
            <w:vAlign w:val="bottom"/>
          </w:tcPr>
          <w:p w14:paraId="16B1CE5B" w14:textId="77777777" w:rsidR="004E5304" w:rsidRPr="00122125" w:rsidRDefault="004E5304" w:rsidP="00321687">
            <w:pPr>
              <w:spacing w:after="0" w:line="240" w:lineRule="auto"/>
              <w:jc w:val="right"/>
              <w:rPr>
                <w:sz w:val="20"/>
                <w:szCs w:val="20"/>
                <w:lang w:eastAsia="sk-SK"/>
              </w:rPr>
            </w:pPr>
            <w:r>
              <w:rPr>
                <w:sz w:val="20"/>
                <w:szCs w:val="20"/>
                <w:lang w:eastAsia="sk-SK"/>
              </w:rPr>
              <w:t>226</w:t>
            </w:r>
          </w:p>
        </w:tc>
        <w:tc>
          <w:tcPr>
            <w:tcW w:w="541" w:type="pct"/>
            <w:tcBorders>
              <w:top w:val="nil"/>
              <w:left w:val="nil"/>
              <w:bottom w:val="nil"/>
              <w:right w:val="nil"/>
            </w:tcBorders>
            <w:shd w:val="clear" w:color="auto" w:fill="auto"/>
            <w:noWrap/>
            <w:vAlign w:val="bottom"/>
          </w:tcPr>
          <w:p w14:paraId="3E463753"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bottom w:val="nil"/>
              <w:right w:val="nil"/>
            </w:tcBorders>
            <w:shd w:val="clear" w:color="auto" w:fill="auto"/>
            <w:noWrap/>
            <w:vAlign w:val="bottom"/>
          </w:tcPr>
          <w:p w14:paraId="26C542D2"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r>
      <w:tr w:rsidR="004E5304" w:rsidRPr="000831FC" w14:paraId="70EBAAE9" w14:textId="77777777" w:rsidTr="00763D06">
        <w:trPr>
          <w:trHeight w:val="232"/>
        </w:trPr>
        <w:tc>
          <w:tcPr>
            <w:tcW w:w="1808" w:type="pct"/>
            <w:tcBorders>
              <w:top w:val="nil"/>
              <w:left w:val="nil"/>
              <w:bottom w:val="nil"/>
              <w:right w:val="nil"/>
            </w:tcBorders>
            <w:shd w:val="clear" w:color="auto" w:fill="auto"/>
            <w:noWrap/>
            <w:vAlign w:val="bottom"/>
          </w:tcPr>
          <w:p w14:paraId="5C2F3F79" w14:textId="77777777" w:rsidR="004E5304" w:rsidRPr="000831FC" w:rsidRDefault="004E5304" w:rsidP="00321687">
            <w:pPr>
              <w:spacing w:after="0" w:line="240" w:lineRule="auto"/>
              <w:rPr>
                <w:color w:val="FF0000"/>
                <w:sz w:val="20"/>
                <w:szCs w:val="20"/>
                <w:lang w:eastAsia="sk-SK"/>
              </w:rPr>
            </w:pPr>
            <w:r w:rsidRPr="00E81E68">
              <w:rPr>
                <w:sz w:val="20"/>
                <w:szCs w:val="20"/>
                <w:lang w:eastAsia="sk-SK"/>
              </w:rPr>
              <w:t>Transpetrol, a.s.</w:t>
            </w:r>
          </w:p>
        </w:tc>
        <w:tc>
          <w:tcPr>
            <w:tcW w:w="474" w:type="pct"/>
            <w:tcBorders>
              <w:top w:val="nil"/>
              <w:left w:val="nil"/>
              <w:bottom w:val="nil"/>
              <w:right w:val="nil"/>
            </w:tcBorders>
            <w:shd w:val="clear" w:color="auto" w:fill="auto"/>
            <w:noWrap/>
            <w:vAlign w:val="bottom"/>
          </w:tcPr>
          <w:p w14:paraId="1BA2EEAF"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6 762</w:t>
            </w:r>
          </w:p>
        </w:tc>
        <w:tc>
          <w:tcPr>
            <w:tcW w:w="653" w:type="pct"/>
            <w:tcBorders>
              <w:top w:val="nil"/>
              <w:left w:val="nil"/>
              <w:bottom w:val="nil"/>
              <w:right w:val="nil"/>
            </w:tcBorders>
            <w:shd w:val="clear" w:color="auto" w:fill="auto"/>
            <w:noWrap/>
            <w:vAlign w:val="bottom"/>
          </w:tcPr>
          <w:p w14:paraId="54AB6E5D" w14:textId="77777777" w:rsidR="004E5304" w:rsidRPr="00122125" w:rsidRDefault="004E5304" w:rsidP="00321687">
            <w:pPr>
              <w:spacing w:after="0" w:line="240" w:lineRule="auto"/>
              <w:jc w:val="right"/>
              <w:rPr>
                <w:sz w:val="20"/>
                <w:szCs w:val="20"/>
                <w:lang w:eastAsia="sk-SK"/>
              </w:rPr>
            </w:pPr>
            <w:r>
              <w:rPr>
                <w:sz w:val="20"/>
                <w:szCs w:val="20"/>
                <w:lang w:eastAsia="sk-SK"/>
              </w:rPr>
              <w:t>6 966</w:t>
            </w:r>
          </w:p>
        </w:tc>
        <w:tc>
          <w:tcPr>
            <w:tcW w:w="514" w:type="pct"/>
            <w:tcBorders>
              <w:top w:val="nil"/>
              <w:left w:val="nil"/>
              <w:bottom w:val="nil"/>
              <w:right w:val="nil"/>
            </w:tcBorders>
            <w:shd w:val="clear" w:color="auto" w:fill="auto"/>
            <w:noWrap/>
            <w:vAlign w:val="bottom"/>
          </w:tcPr>
          <w:p w14:paraId="4FB5C7DE"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bottom w:val="nil"/>
              <w:right w:val="nil"/>
            </w:tcBorders>
            <w:shd w:val="clear" w:color="auto" w:fill="auto"/>
            <w:noWrap/>
            <w:vAlign w:val="bottom"/>
          </w:tcPr>
          <w:p w14:paraId="0BC16093"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1" w:type="pct"/>
            <w:tcBorders>
              <w:top w:val="nil"/>
              <w:left w:val="nil"/>
              <w:bottom w:val="nil"/>
              <w:right w:val="nil"/>
            </w:tcBorders>
            <w:shd w:val="clear" w:color="auto" w:fill="auto"/>
            <w:noWrap/>
            <w:vAlign w:val="bottom"/>
          </w:tcPr>
          <w:p w14:paraId="14A2A17A"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bottom w:val="nil"/>
              <w:right w:val="nil"/>
            </w:tcBorders>
            <w:shd w:val="clear" w:color="auto" w:fill="auto"/>
            <w:noWrap/>
            <w:vAlign w:val="bottom"/>
          </w:tcPr>
          <w:p w14:paraId="3E197008" w14:textId="77777777" w:rsidR="004E5304" w:rsidRPr="00122125" w:rsidRDefault="004E5304" w:rsidP="00321687">
            <w:pPr>
              <w:spacing w:after="0" w:line="240" w:lineRule="auto"/>
              <w:jc w:val="right"/>
              <w:rPr>
                <w:sz w:val="20"/>
                <w:szCs w:val="20"/>
                <w:lang w:eastAsia="sk-SK"/>
              </w:rPr>
            </w:pPr>
            <w:r>
              <w:rPr>
                <w:sz w:val="20"/>
                <w:szCs w:val="20"/>
                <w:lang w:eastAsia="sk-SK"/>
              </w:rPr>
              <w:t>-204</w:t>
            </w:r>
          </w:p>
        </w:tc>
      </w:tr>
      <w:tr w:rsidR="00FD0E0D" w:rsidRPr="000831FC" w14:paraId="62437985" w14:textId="77777777" w:rsidTr="00763D06">
        <w:trPr>
          <w:trHeight w:val="465"/>
        </w:trPr>
        <w:tc>
          <w:tcPr>
            <w:tcW w:w="1808" w:type="pct"/>
            <w:tcBorders>
              <w:top w:val="nil"/>
              <w:left w:val="nil"/>
              <w:bottom w:val="single" w:sz="4" w:space="0" w:color="auto"/>
              <w:right w:val="nil"/>
            </w:tcBorders>
            <w:shd w:val="clear" w:color="000000" w:fill="D9D9D9"/>
            <w:noWrap/>
            <w:vAlign w:val="center"/>
            <w:hideMark/>
          </w:tcPr>
          <w:p w14:paraId="53EF2715" w14:textId="77777777" w:rsidR="00FD0E0D" w:rsidRPr="000831FC" w:rsidRDefault="00FD0E0D" w:rsidP="00FD0E0D">
            <w:pPr>
              <w:spacing w:after="0" w:line="240" w:lineRule="auto"/>
              <w:rPr>
                <w:b/>
                <w:bCs/>
                <w:sz w:val="18"/>
                <w:szCs w:val="18"/>
                <w:lang w:eastAsia="sk-SK"/>
              </w:rPr>
            </w:pPr>
            <w:r w:rsidRPr="000831FC">
              <w:rPr>
                <w:b/>
                <w:bCs/>
                <w:sz w:val="18"/>
                <w:szCs w:val="18"/>
                <w:lang w:eastAsia="sk-SK"/>
              </w:rPr>
              <w:lastRenderedPageBreak/>
              <w:t>Podnik</w:t>
            </w:r>
          </w:p>
        </w:tc>
        <w:tc>
          <w:tcPr>
            <w:tcW w:w="474" w:type="pct"/>
            <w:tcBorders>
              <w:top w:val="nil"/>
              <w:left w:val="nil"/>
              <w:bottom w:val="single" w:sz="4" w:space="0" w:color="auto"/>
              <w:right w:val="nil"/>
            </w:tcBorders>
            <w:shd w:val="clear" w:color="000000" w:fill="D9D9D9"/>
            <w:vAlign w:val="center"/>
            <w:hideMark/>
          </w:tcPr>
          <w:p w14:paraId="18BB2095" w14:textId="77777777" w:rsidR="00FD0E0D" w:rsidRPr="000831FC" w:rsidRDefault="00FD0E0D" w:rsidP="00FD0E0D">
            <w:pPr>
              <w:spacing w:after="0" w:line="240" w:lineRule="auto"/>
              <w:jc w:val="center"/>
              <w:rPr>
                <w:b/>
                <w:bCs/>
                <w:sz w:val="18"/>
                <w:szCs w:val="18"/>
                <w:lang w:eastAsia="sk-SK"/>
              </w:rPr>
            </w:pPr>
            <w:r w:rsidRPr="000831FC">
              <w:rPr>
                <w:b/>
                <w:bCs/>
                <w:sz w:val="18"/>
                <w:szCs w:val="18"/>
                <w:lang w:eastAsia="sk-SK"/>
              </w:rPr>
              <w:t>VI</w:t>
            </w:r>
            <w:r w:rsidRPr="000831FC">
              <w:rPr>
                <w:b/>
                <w:bCs/>
                <w:sz w:val="18"/>
                <w:szCs w:val="18"/>
                <w:lang w:eastAsia="sk-SK"/>
              </w:rPr>
              <w:br/>
            </w:r>
            <w:r w:rsidRPr="000831FC">
              <w:rPr>
                <w:b/>
                <w:bCs/>
                <w:sz w:val="16"/>
                <w:szCs w:val="16"/>
                <w:lang w:eastAsia="sk-SK"/>
              </w:rPr>
              <w:t xml:space="preserve"> Δ20</w:t>
            </w:r>
            <w:r>
              <w:rPr>
                <w:b/>
                <w:bCs/>
                <w:sz w:val="16"/>
                <w:szCs w:val="16"/>
                <w:lang w:eastAsia="sk-SK"/>
              </w:rPr>
              <w:t>20</w:t>
            </w:r>
            <w:r w:rsidRPr="000831FC">
              <w:rPr>
                <w:b/>
                <w:bCs/>
                <w:sz w:val="16"/>
                <w:szCs w:val="16"/>
                <w:lang w:eastAsia="sk-SK"/>
              </w:rPr>
              <w:t>-201</w:t>
            </w:r>
            <w:r>
              <w:rPr>
                <w:b/>
                <w:bCs/>
                <w:sz w:val="16"/>
                <w:szCs w:val="16"/>
                <w:lang w:eastAsia="sk-SK"/>
              </w:rPr>
              <w:t>9</w:t>
            </w:r>
          </w:p>
        </w:tc>
        <w:tc>
          <w:tcPr>
            <w:tcW w:w="653" w:type="pct"/>
            <w:tcBorders>
              <w:top w:val="nil"/>
              <w:left w:val="nil"/>
              <w:bottom w:val="single" w:sz="4" w:space="0" w:color="auto"/>
              <w:right w:val="nil"/>
            </w:tcBorders>
            <w:shd w:val="clear" w:color="000000" w:fill="D9D9D9"/>
            <w:vAlign w:val="center"/>
            <w:hideMark/>
          </w:tcPr>
          <w:p w14:paraId="5DDDA056" w14:textId="77777777" w:rsidR="00FD0E0D" w:rsidRPr="000831FC" w:rsidRDefault="00FD0E0D" w:rsidP="00FD0E0D">
            <w:pPr>
              <w:spacing w:after="0" w:line="240" w:lineRule="auto"/>
              <w:jc w:val="center"/>
              <w:rPr>
                <w:b/>
                <w:bCs/>
                <w:sz w:val="18"/>
                <w:szCs w:val="18"/>
                <w:lang w:eastAsia="sk-SK"/>
              </w:rPr>
            </w:pPr>
            <w:r w:rsidRPr="000831FC">
              <w:rPr>
                <w:b/>
                <w:bCs/>
                <w:sz w:val="18"/>
                <w:szCs w:val="18"/>
                <w:lang w:eastAsia="sk-SK"/>
              </w:rPr>
              <w:t>Výsledok hospodárenia</w:t>
            </w:r>
          </w:p>
        </w:tc>
        <w:tc>
          <w:tcPr>
            <w:tcW w:w="514" w:type="pct"/>
            <w:tcBorders>
              <w:top w:val="nil"/>
              <w:left w:val="nil"/>
              <w:bottom w:val="single" w:sz="4" w:space="0" w:color="auto"/>
              <w:right w:val="nil"/>
            </w:tcBorders>
            <w:shd w:val="clear" w:color="000000" w:fill="D9D9D9"/>
            <w:vAlign w:val="center"/>
            <w:hideMark/>
          </w:tcPr>
          <w:p w14:paraId="1A5CE387" w14:textId="77777777" w:rsidR="00FD0E0D" w:rsidRPr="000831FC" w:rsidRDefault="00FD0E0D" w:rsidP="00FD0E0D">
            <w:pPr>
              <w:spacing w:after="0" w:line="240" w:lineRule="auto"/>
              <w:jc w:val="center"/>
              <w:rPr>
                <w:b/>
                <w:bCs/>
                <w:sz w:val="18"/>
                <w:szCs w:val="18"/>
                <w:lang w:eastAsia="sk-SK"/>
              </w:rPr>
            </w:pPr>
            <w:r w:rsidRPr="000831FC">
              <w:rPr>
                <w:b/>
                <w:bCs/>
                <w:sz w:val="18"/>
                <w:szCs w:val="18"/>
                <w:lang w:eastAsia="sk-SK"/>
              </w:rPr>
              <w:t>Dividendy</w:t>
            </w:r>
          </w:p>
        </w:tc>
        <w:tc>
          <w:tcPr>
            <w:tcW w:w="542" w:type="pct"/>
            <w:tcBorders>
              <w:top w:val="nil"/>
              <w:left w:val="nil"/>
              <w:bottom w:val="single" w:sz="4" w:space="0" w:color="auto"/>
              <w:right w:val="nil"/>
            </w:tcBorders>
            <w:shd w:val="clear" w:color="000000" w:fill="D9D9D9"/>
            <w:vAlign w:val="center"/>
            <w:hideMark/>
          </w:tcPr>
          <w:p w14:paraId="7891752D" w14:textId="77777777" w:rsidR="00FD0E0D" w:rsidRPr="000831FC" w:rsidRDefault="00FD0E0D" w:rsidP="00FD0E0D">
            <w:pPr>
              <w:spacing w:after="0" w:line="240" w:lineRule="auto"/>
              <w:jc w:val="center"/>
              <w:rPr>
                <w:b/>
                <w:bCs/>
                <w:sz w:val="18"/>
                <w:szCs w:val="18"/>
                <w:lang w:eastAsia="sk-SK"/>
              </w:rPr>
            </w:pPr>
            <w:r w:rsidRPr="000831FC">
              <w:rPr>
                <w:b/>
                <w:bCs/>
                <w:sz w:val="18"/>
                <w:szCs w:val="18"/>
                <w:lang w:eastAsia="sk-SK"/>
              </w:rPr>
              <w:t>Precenenie</w:t>
            </w:r>
          </w:p>
        </w:tc>
        <w:tc>
          <w:tcPr>
            <w:tcW w:w="581" w:type="pct"/>
            <w:gridSpan w:val="2"/>
            <w:tcBorders>
              <w:top w:val="nil"/>
              <w:left w:val="nil"/>
              <w:bottom w:val="single" w:sz="4" w:space="0" w:color="auto"/>
              <w:right w:val="nil"/>
            </w:tcBorders>
            <w:shd w:val="clear" w:color="000000" w:fill="D9D9D9"/>
            <w:vAlign w:val="center"/>
            <w:hideMark/>
          </w:tcPr>
          <w:p w14:paraId="7F4935F5" w14:textId="77777777" w:rsidR="00FD0E0D" w:rsidRPr="000831FC" w:rsidRDefault="00FD0E0D" w:rsidP="00FD0E0D">
            <w:pPr>
              <w:spacing w:after="0" w:line="240" w:lineRule="auto"/>
              <w:jc w:val="center"/>
              <w:rPr>
                <w:b/>
                <w:bCs/>
                <w:sz w:val="18"/>
                <w:szCs w:val="18"/>
                <w:lang w:eastAsia="sk-SK"/>
              </w:rPr>
            </w:pPr>
            <w:r w:rsidRPr="000831FC">
              <w:rPr>
                <w:b/>
                <w:bCs/>
                <w:sz w:val="18"/>
                <w:szCs w:val="18"/>
                <w:lang w:eastAsia="sk-SK"/>
              </w:rPr>
              <w:t>Vklady spoločníkov</w:t>
            </w:r>
          </w:p>
        </w:tc>
        <w:tc>
          <w:tcPr>
            <w:tcW w:w="428" w:type="pct"/>
            <w:tcBorders>
              <w:top w:val="nil"/>
              <w:left w:val="nil"/>
              <w:bottom w:val="single" w:sz="4" w:space="0" w:color="auto"/>
              <w:right w:val="nil"/>
            </w:tcBorders>
            <w:shd w:val="clear" w:color="000000" w:fill="D9D9D9"/>
            <w:vAlign w:val="center"/>
            <w:hideMark/>
          </w:tcPr>
          <w:p w14:paraId="36A7E686" w14:textId="77777777" w:rsidR="00FD0E0D" w:rsidRPr="000831FC" w:rsidRDefault="00FD0E0D" w:rsidP="00FD0E0D">
            <w:pPr>
              <w:spacing w:after="0" w:line="240" w:lineRule="auto"/>
              <w:jc w:val="center"/>
              <w:rPr>
                <w:b/>
                <w:bCs/>
                <w:sz w:val="18"/>
                <w:szCs w:val="18"/>
                <w:lang w:eastAsia="sk-SK"/>
              </w:rPr>
            </w:pPr>
            <w:r w:rsidRPr="000831FC">
              <w:rPr>
                <w:b/>
                <w:bCs/>
                <w:sz w:val="18"/>
                <w:szCs w:val="18"/>
                <w:lang w:eastAsia="sk-SK"/>
              </w:rPr>
              <w:t>Ostatné</w:t>
            </w:r>
          </w:p>
        </w:tc>
      </w:tr>
      <w:tr w:rsidR="004E5304" w:rsidRPr="000831FC" w14:paraId="7299DC88" w14:textId="77777777" w:rsidTr="00763D06">
        <w:trPr>
          <w:trHeight w:val="232"/>
        </w:trPr>
        <w:tc>
          <w:tcPr>
            <w:tcW w:w="1808" w:type="pct"/>
            <w:tcBorders>
              <w:top w:val="nil"/>
              <w:left w:val="nil"/>
              <w:bottom w:val="nil"/>
              <w:right w:val="nil"/>
            </w:tcBorders>
            <w:shd w:val="clear" w:color="auto" w:fill="auto"/>
            <w:noWrap/>
            <w:vAlign w:val="bottom"/>
          </w:tcPr>
          <w:p w14:paraId="1C089BD7" w14:textId="77777777" w:rsidR="004E5304" w:rsidRPr="000831FC" w:rsidRDefault="004E5304" w:rsidP="00321687">
            <w:pPr>
              <w:spacing w:after="0" w:line="240" w:lineRule="auto"/>
              <w:rPr>
                <w:color w:val="FF0000"/>
                <w:sz w:val="20"/>
                <w:szCs w:val="20"/>
                <w:lang w:eastAsia="sk-SK"/>
              </w:rPr>
            </w:pPr>
            <w:r w:rsidRPr="00E81E68">
              <w:rPr>
                <w:sz w:val="20"/>
                <w:szCs w:val="20"/>
                <w:lang w:eastAsia="sk-SK"/>
              </w:rPr>
              <w:t>Tepláreň Košice, a.s.</w:t>
            </w:r>
          </w:p>
        </w:tc>
        <w:tc>
          <w:tcPr>
            <w:tcW w:w="474" w:type="pct"/>
            <w:tcBorders>
              <w:top w:val="nil"/>
              <w:left w:val="nil"/>
              <w:bottom w:val="nil"/>
              <w:right w:val="nil"/>
            </w:tcBorders>
            <w:shd w:val="clear" w:color="auto" w:fill="auto"/>
            <w:noWrap/>
            <w:vAlign w:val="bottom"/>
          </w:tcPr>
          <w:p w14:paraId="114F4FDD"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5 829</w:t>
            </w:r>
          </w:p>
        </w:tc>
        <w:tc>
          <w:tcPr>
            <w:tcW w:w="653" w:type="pct"/>
            <w:tcBorders>
              <w:top w:val="nil"/>
              <w:left w:val="nil"/>
              <w:bottom w:val="nil"/>
              <w:right w:val="nil"/>
            </w:tcBorders>
            <w:shd w:val="clear" w:color="auto" w:fill="auto"/>
            <w:noWrap/>
            <w:vAlign w:val="bottom"/>
          </w:tcPr>
          <w:p w14:paraId="2AB79313" w14:textId="77777777" w:rsidR="004E5304" w:rsidRPr="00122125" w:rsidRDefault="004E5304" w:rsidP="00321687">
            <w:pPr>
              <w:spacing w:after="0" w:line="240" w:lineRule="auto"/>
              <w:jc w:val="right"/>
              <w:rPr>
                <w:sz w:val="20"/>
                <w:szCs w:val="20"/>
                <w:lang w:eastAsia="sk-SK"/>
              </w:rPr>
            </w:pPr>
            <w:r>
              <w:rPr>
                <w:sz w:val="20"/>
                <w:szCs w:val="20"/>
                <w:lang w:eastAsia="sk-SK"/>
              </w:rPr>
              <w:t>6 166</w:t>
            </w:r>
          </w:p>
        </w:tc>
        <w:tc>
          <w:tcPr>
            <w:tcW w:w="514" w:type="pct"/>
            <w:tcBorders>
              <w:top w:val="nil"/>
              <w:left w:val="nil"/>
              <w:bottom w:val="nil"/>
              <w:right w:val="nil"/>
            </w:tcBorders>
            <w:shd w:val="clear" w:color="auto" w:fill="auto"/>
            <w:noWrap/>
            <w:vAlign w:val="bottom"/>
          </w:tcPr>
          <w:p w14:paraId="5F9205CF" w14:textId="77777777" w:rsidR="004E5304" w:rsidRPr="00122125" w:rsidRDefault="004E5304" w:rsidP="00321687">
            <w:pPr>
              <w:spacing w:after="0" w:line="240" w:lineRule="auto"/>
              <w:jc w:val="right"/>
              <w:rPr>
                <w:sz w:val="20"/>
                <w:szCs w:val="20"/>
                <w:lang w:eastAsia="sk-SK"/>
              </w:rPr>
            </w:pPr>
            <w:r>
              <w:rPr>
                <w:sz w:val="20"/>
                <w:szCs w:val="20"/>
                <w:lang w:eastAsia="sk-SK"/>
              </w:rPr>
              <w:t>-337</w:t>
            </w:r>
          </w:p>
        </w:tc>
        <w:tc>
          <w:tcPr>
            <w:tcW w:w="542" w:type="pct"/>
            <w:tcBorders>
              <w:top w:val="nil"/>
              <w:left w:val="nil"/>
              <w:bottom w:val="nil"/>
              <w:right w:val="nil"/>
            </w:tcBorders>
            <w:shd w:val="clear" w:color="auto" w:fill="auto"/>
            <w:noWrap/>
            <w:vAlign w:val="bottom"/>
          </w:tcPr>
          <w:p w14:paraId="7FF5C218"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1" w:type="pct"/>
            <w:tcBorders>
              <w:top w:val="nil"/>
              <w:left w:val="nil"/>
              <w:bottom w:val="nil"/>
              <w:right w:val="nil"/>
            </w:tcBorders>
            <w:shd w:val="clear" w:color="auto" w:fill="auto"/>
            <w:noWrap/>
            <w:vAlign w:val="bottom"/>
          </w:tcPr>
          <w:p w14:paraId="12240224"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bottom w:val="nil"/>
              <w:right w:val="nil"/>
            </w:tcBorders>
            <w:shd w:val="clear" w:color="auto" w:fill="auto"/>
            <w:noWrap/>
            <w:vAlign w:val="bottom"/>
          </w:tcPr>
          <w:p w14:paraId="0A72D674"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r>
      <w:tr w:rsidR="004E5304" w:rsidRPr="000831FC" w14:paraId="4D87BCE3" w14:textId="77777777" w:rsidTr="00763D06">
        <w:trPr>
          <w:trHeight w:val="232"/>
        </w:trPr>
        <w:tc>
          <w:tcPr>
            <w:tcW w:w="1808" w:type="pct"/>
            <w:tcBorders>
              <w:top w:val="nil"/>
              <w:left w:val="nil"/>
              <w:bottom w:val="nil"/>
              <w:right w:val="nil"/>
            </w:tcBorders>
            <w:shd w:val="clear" w:color="auto" w:fill="auto"/>
            <w:noWrap/>
            <w:vAlign w:val="bottom"/>
          </w:tcPr>
          <w:p w14:paraId="13AE36AF" w14:textId="77777777" w:rsidR="004E5304" w:rsidRPr="000831FC" w:rsidRDefault="004E5304" w:rsidP="00321687">
            <w:pPr>
              <w:spacing w:after="0" w:line="240" w:lineRule="auto"/>
              <w:rPr>
                <w:color w:val="FF0000"/>
                <w:sz w:val="20"/>
                <w:szCs w:val="20"/>
                <w:lang w:eastAsia="sk-SK"/>
              </w:rPr>
            </w:pPr>
            <w:r w:rsidRPr="00E81E68">
              <w:rPr>
                <w:sz w:val="20"/>
                <w:szCs w:val="20"/>
                <w:lang w:eastAsia="sk-SK"/>
              </w:rPr>
              <w:t xml:space="preserve">Tipos, národná </w:t>
            </w:r>
            <w:proofErr w:type="spellStart"/>
            <w:r w:rsidRPr="00E81E68">
              <w:rPr>
                <w:sz w:val="20"/>
                <w:szCs w:val="20"/>
                <w:lang w:eastAsia="sk-SK"/>
              </w:rPr>
              <w:t>loter</w:t>
            </w:r>
            <w:proofErr w:type="spellEnd"/>
            <w:r w:rsidRPr="00E81E68">
              <w:rPr>
                <w:sz w:val="20"/>
                <w:szCs w:val="20"/>
                <w:lang w:eastAsia="sk-SK"/>
              </w:rPr>
              <w:t>. spoločnosť, a.s.</w:t>
            </w:r>
          </w:p>
        </w:tc>
        <w:tc>
          <w:tcPr>
            <w:tcW w:w="474" w:type="pct"/>
            <w:tcBorders>
              <w:top w:val="nil"/>
              <w:left w:val="nil"/>
              <w:bottom w:val="nil"/>
              <w:right w:val="nil"/>
            </w:tcBorders>
            <w:shd w:val="clear" w:color="auto" w:fill="auto"/>
            <w:noWrap/>
            <w:vAlign w:val="bottom"/>
          </w:tcPr>
          <w:p w14:paraId="1D7492FF"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5 715</w:t>
            </w:r>
          </w:p>
        </w:tc>
        <w:tc>
          <w:tcPr>
            <w:tcW w:w="653" w:type="pct"/>
            <w:tcBorders>
              <w:top w:val="nil"/>
              <w:left w:val="nil"/>
              <w:bottom w:val="nil"/>
              <w:right w:val="nil"/>
            </w:tcBorders>
            <w:shd w:val="clear" w:color="auto" w:fill="auto"/>
            <w:noWrap/>
            <w:vAlign w:val="bottom"/>
          </w:tcPr>
          <w:p w14:paraId="1C37F5B0" w14:textId="77777777" w:rsidR="004E5304" w:rsidRPr="00122125" w:rsidRDefault="004E5304" w:rsidP="00321687">
            <w:pPr>
              <w:spacing w:after="0" w:line="240" w:lineRule="auto"/>
              <w:jc w:val="right"/>
              <w:rPr>
                <w:sz w:val="20"/>
                <w:szCs w:val="20"/>
                <w:lang w:eastAsia="sk-SK"/>
              </w:rPr>
            </w:pPr>
            <w:r>
              <w:rPr>
                <w:sz w:val="20"/>
                <w:szCs w:val="20"/>
                <w:lang w:eastAsia="sk-SK"/>
              </w:rPr>
              <w:t>9 632</w:t>
            </w:r>
          </w:p>
        </w:tc>
        <w:tc>
          <w:tcPr>
            <w:tcW w:w="514" w:type="pct"/>
            <w:tcBorders>
              <w:top w:val="nil"/>
              <w:left w:val="nil"/>
              <w:bottom w:val="nil"/>
              <w:right w:val="nil"/>
            </w:tcBorders>
            <w:shd w:val="clear" w:color="auto" w:fill="auto"/>
            <w:noWrap/>
            <w:vAlign w:val="bottom"/>
          </w:tcPr>
          <w:p w14:paraId="29D92B7E" w14:textId="77777777" w:rsidR="004E5304" w:rsidRPr="00122125" w:rsidRDefault="004E5304" w:rsidP="00321687">
            <w:pPr>
              <w:spacing w:after="0" w:line="240" w:lineRule="auto"/>
              <w:jc w:val="right"/>
              <w:rPr>
                <w:sz w:val="20"/>
                <w:szCs w:val="20"/>
                <w:lang w:eastAsia="sk-SK"/>
              </w:rPr>
            </w:pPr>
            <w:r>
              <w:rPr>
                <w:sz w:val="20"/>
                <w:szCs w:val="20"/>
                <w:lang w:eastAsia="sk-SK"/>
              </w:rPr>
              <w:t>-3 300</w:t>
            </w:r>
          </w:p>
        </w:tc>
        <w:tc>
          <w:tcPr>
            <w:tcW w:w="542" w:type="pct"/>
            <w:tcBorders>
              <w:top w:val="nil"/>
              <w:left w:val="nil"/>
              <w:bottom w:val="nil"/>
              <w:right w:val="nil"/>
            </w:tcBorders>
            <w:shd w:val="clear" w:color="auto" w:fill="auto"/>
            <w:noWrap/>
            <w:vAlign w:val="bottom"/>
          </w:tcPr>
          <w:p w14:paraId="0B66505A"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1" w:type="pct"/>
            <w:tcBorders>
              <w:top w:val="nil"/>
              <w:left w:val="nil"/>
              <w:bottom w:val="nil"/>
              <w:right w:val="nil"/>
            </w:tcBorders>
            <w:shd w:val="clear" w:color="auto" w:fill="auto"/>
            <w:noWrap/>
            <w:vAlign w:val="bottom"/>
          </w:tcPr>
          <w:p w14:paraId="6F253C6C"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bottom w:val="nil"/>
              <w:right w:val="nil"/>
            </w:tcBorders>
            <w:shd w:val="clear" w:color="auto" w:fill="auto"/>
            <w:noWrap/>
            <w:vAlign w:val="bottom"/>
          </w:tcPr>
          <w:p w14:paraId="028BF020" w14:textId="77777777" w:rsidR="004E5304" w:rsidRPr="00122125" w:rsidRDefault="004E5304" w:rsidP="00321687">
            <w:pPr>
              <w:spacing w:after="0" w:line="240" w:lineRule="auto"/>
              <w:jc w:val="right"/>
              <w:rPr>
                <w:sz w:val="20"/>
                <w:szCs w:val="20"/>
                <w:lang w:eastAsia="sk-SK"/>
              </w:rPr>
            </w:pPr>
            <w:r>
              <w:rPr>
                <w:sz w:val="20"/>
                <w:szCs w:val="20"/>
                <w:lang w:eastAsia="sk-SK"/>
              </w:rPr>
              <w:t>-617</w:t>
            </w:r>
          </w:p>
        </w:tc>
      </w:tr>
      <w:tr w:rsidR="004E5304" w:rsidRPr="000831FC" w14:paraId="4ECF6DFE" w14:textId="77777777" w:rsidTr="00763D06">
        <w:trPr>
          <w:trHeight w:val="232"/>
        </w:trPr>
        <w:tc>
          <w:tcPr>
            <w:tcW w:w="1808" w:type="pct"/>
            <w:tcBorders>
              <w:top w:val="nil"/>
              <w:left w:val="nil"/>
              <w:bottom w:val="nil"/>
              <w:right w:val="nil"/>
            </w:tcBorders>
            <w:shd w:val="clear" w:color="auto" w:fill="auto"/>
            <w:noWrap/>
            <w:vAlign w:val="bottom"/>
          </w:tcPr>
          <w:p w14:paraId="6B663252" w14:textId="77777777" w:rsidR="004E5304" w:rsidRPr="000831FC" w:rsidRDefault="004E5304" w:rsidP="00321687">
            <w:pPr>
              <w:spacing w:after="0" w:line="240" w:lineRule="auto"/>
              <w:rPr>
                <w:color w:val="FF0000"/>
                <w:sz w:val="20"/>
                <w:szCs w:val="20"/>
                <w:lang w:eastAsia="sk-SK"/>
              </w:rPr>
            </w:pPr>
            <w:r w:rsidRPr="00B90E64">
              <w:rPr>
                <w:sz w:val="20"/>
                <w:szCs w:val="20"/>
                <w:lang w:eastAsia="sk-SK"/>
              </w:rPr>
              <w:t>UN – Nemocnica svätého Michala, a.s.</w:t>
            </w:r>
          </w:p>
        </w:tc>
        <w:tc>
          <w:tcPr>
            <w:tcW w:w="474" w:type="pct"/>
            <w:tcBorders>
              <w:top w:val="nil"/>
              <w:left w:val="nil"/>
              <w:bottom w:val="nil"/>
              <w:right w:val="nil"/>
            </w:tcBorders>
            <w:shd w:val="clear" w:color="auto" w:fill="auto"/>
            <w:noWrap/>
            <w:vAlign w:val="bottom"/>
          </w:tcPr>
          <w:p w14:paraId="4AA56D2C"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5 571</w:t>
            </w:r>
          </w:p>
        </w:tc>
        <w:tc>
          <w:tcPr>
            <w:tcW w:w="653" w:type="pct"/>
            <w:tcBorders>
              <w:top w:val="nil"/>
              <w:left w:val="nil"/>
              <w:bottom w:val="nil"/>
              <w:right w:val="nil"/>
            </w:tcBorders>
            <w:shd w:val="clear" w:color="auto" w:fill="auto"/>
            <w:noWrap/>
            <w:vAlign w:val="bottom"/>
          </w:tcPr>
          <w:p w14:paraId="475A14B7" w14:textId="77777777" w:rsidR="004E5304" w:rsidRPr="00122125" w:rsidRDefault="004E5304" w:rsidP="00321687">
            <w:pPr>
              <w:spacing w:after="0" w:line="240" w:lineRule="auto"/>
              <w:jc w:val="right"/>
              <w:rPr>
                <w:sz w:val="20"/>
                <w:szCs w:val="20"/>
                <w:lang w:eastAsia="sk-SK"/>
              </w:rPr>
            </w:pPr>
            <w:r>
              <w:rPr>
                <w:sz w:val="20"/>
                <w:szCs w:val="20"/>
                <w:lang w:eastAsia="sk-SK"/>
              </w:rPr>
              <w:t>-4 429</w:t>
            </w:r>
          </w:p>
        </w:tc>
        <w:tc>
          <w:tcPr>
            <w:tcW w:w="514" w:type="pct"/>
            <w:tcBorders>
              <w:top w:val="nil"/>
              <w:left w:val="nil"/>
              <w:bottom w:val="nil"/>
              <w:right w:val="nil"/>
            </w:tcBorders>
            <w:shd w:val="clear" w:color="auto" w:fill="auto"/>
            <w:noWrap/>
            <w:vAlign w:val="bottom"/>
          </w:tcPr>
          <w:p w14:paraId="65D98140"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bottom w:val="nil"/>
              <w:right w:val="nil"/>
            </w:tcBorders>
            <w:shd w:val="clear" w:color="auto" w:fill="auto"/>
            <w:noWrap/>
            <w:vAlign w:val="bottom"/>
          </w:tcPr>
          <w:p w14:paraId="64406D1C"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1" w:type="pct"/>
            <w:tcBorders>
              <w:top w:val="nil"/>
              <w:left w:val="nil"/>
              <w:bottom w:val="nil"/>
              <w:right w:val="nil"/>
            </w:tcBorders>
            <w:shd w:val="clear" w:color="auto" w:fill="auto"/>
            <w:noWrap/>
            <w:vAlign w:val="bottom"/>
          </w:tcPr>
          <w:p w14:paraId="16A6A47D" w14:textId="77777777" w:rsidR="004E5304" w:rsidRPr="00122125" w:rsidRDefault="004E5304" w:rsidP="00321687">
            <w:pPr>
              <w:spacing w:after="0" w:line="240" w:lineRule="auto"/>
              <w:jc w:val="right"/>
              <w:rPr>
                <w:sz w:val="20"/>
                <w:szCs w:val="20"/>
                <w:lang w:eastAsia="sk-SK"/>
              </w:rPr>
            </w:pPr>
            <w:r>
              <w:rPr>
                <w:sz w:val="20"/>
                <w:szCs w:val="20"/>
                <w:lang w:eastAsia="sk-SK"/>
              </w:rPr>
              <w:t>10 000</w:t>
            </w:r>
          </w:p>
        </w:tc>
        <w:tc>
          <w:tcPr>
            <w:tcW w:w="468" w:type="pct"/>
            <w:gridSpan w:val="2"/>
            <w:tcBorders>
              <w:top w:val="nil"/>
              <w:left w:val="nil"/>
              <w:bottom w:val="nil"/>
              <w:right w:val="nil"/>
            </w:tcBorders>
            <w:shd w:val="clear" w:color="auto" w:fill="auto"/>
            <w:noWrap/>
            <w:vAlign w:val="bottom"/>
          </w:tcPr>
          <w:p w14:paraId="120116AC"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r>
      <w:tr w:rsidR="004E5304" w:rsidRPr="000831FC" w14:paraId="61FF6306" w14:textId="77777777" w:rsidTr="00763D06">
        <w:trPr>
          <w:trHeight w:val="232"/>
        </w:trPr>
        <w:tc>
          <w:tcPr>
            <w:tcW w:w="1808" w:type="pct"/>
            <w:tcBorders>
              <w:top w:val="nil"/>
              <w:left w:val="nil"/>
              <w:bottom w:val="nil"/>
              <w:right w:val="nil"/>
            </w:tcBorders>
            <w:shd w:val="clear" w:color="auto" w:fill="auto"/>
            <w:noWrap/>
            <w:vAlign w:val="bottom"/>
          </w:tcPr>
          <w:p w14:paraId="06BB9B3E" w14:textId="77777777" w:rsidR="004E5304" w:rsidRPr="000831FC" w:rsidRDefault="004E5304" w:rsidP="00321687">
            <w:pPr>
              <w:spacing w:after="0" w:line="240" w:lineRule="auto"/>
              <w:rPr>
                <w:color w:val="FF0000"/>
                <w:sz w:val="20"/>
                <w:szCs w:val="20"/>
                <w:lang w:eastAsia="sk-SK"/>
              </w:rPr>
            </w:pPr>
            <w:r w:rsidRPr="00B90E64">
              <w:rPr>
                <w:sz w:val="20"/>
                <w:szCs w:val="20"/>
                <w:lang w:eastAsia="sk-SK"/>
              </w:rPr>
              <w:t xml:space="preserve">Slovenský </w:t>
            </w:r>
            <w:proofErr w:type="spellStart"/>
            <w:r w:rsidRPr="00B90E64">
              <w:rPr>
                <w:sz w:val="20"/>
                <w:szCs w:val="20"/>
                <w:lang w:eastAsia="sk-SK"/>
              </w:rPr>
              <w:t>vodohospod</w:t>
            </w:r>
            <w:proofErr w:type="spellEnd"/>
            <w:r w:rsidRPr="00B90E64">
              <w:rPr>
                <w:sz w:val="20"/>
                <w:szCs w:val="20"/>
                <w:lang w:eastAsia="sk-SK"/>
              </w:rPr>
              <w:t xml:space="preserve">. podnik, </w:t>
            </w:r>
            <w:proofErr w:type="spellStart"/>
            <w:r w:rsidRPr="00B90E64">
              <w:rPr>
                <w:sz w:val="20"/>
                <w:szCs w:val="20"/>
                <w:lang w:eastAsia="sk-SK"/>
              </w:rPr>
              <w:t>š.p</w:t>
            </w:r>
            <w:proofErr w:type="spellEnd"/>
            <w:r w:rsidRPr="00B90E64">
              <w:rPr>
                <w:sz w:val="20"/>
                <w:szCs w:val="20"/>
                <w:lang w:eastAsia="sk-SK"/>
              </w:rPr>
              <w:t>.</w:t>
            </w:r>
          </w:p>
        </w:tc>
        <w:tc>
          <w:tcPr>
            <w:tcW w:w="474" w:type="pct"/>
            <w:tcBorders>
              <w:top w:val="nil"/>
              <w:left w:val="nil"/>
              <w:bottom w:val="nil"/>
              <w:right w:val="nil"/>
            </w:tcBorders>
            <w:shd w:val="clear" w:color="auto" w:fill="auto"/>
            <w:noWrap/>
            <w:vAlign w:val="bottom"/>
          </w:tcPr>
          <w:p w14:paraId="663F5790"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4 247</w:t>
            </w:r>
          </w:p>
        </w:tc>
        <w:tc>
          <w:tcPr>
            <w:tcW w:w="653" w:type="pct"/>
            <w:tcBorders>
              <w:top w:val="nil"/>
              <w:left w:val="nil"/>
              <w:bottom w:val="nil"/>
              <w:right w:val="nil"/>
            </w:tcBorders>
            <w:shd w:val="clear" w:color="auto" w:fill="auto"/>
            <w:noWrap/>
            <w:vAlign w:val="bottom"/>
          </w:tcPr>
          <w:p w14:paraId="270F1870" w14:textId="77777777" w:rsidR="004E5304" w:rsidRPr="00122125" w:rsidRDefault="004E5304" w:rsidP="00321687">
            <w:pPr>
              <w:spacing w:after="0" w:line="240" w:lineRule="auto"/>
              <w:jc w:val="right"/>
              <w:rPr>
                <w:sz w:val="20"/>
                <w:szCs w:val="20"/>
                <w:lang w:eastAsia="sk-SK"/>
              </w:rPr>
            </w:pPr>
            <w:r>
              <w:rPr>
                <w:sz w:val="20"/>
                <w:szCs w:val="20"/>
                <w:lang w:eastAsia="sk-SK"/>
              </w:rPr>
              <w:t>2 599</w:t>
            </w:r>
          </w:p>
        </w:tc>
        <w:tc>
          <w:tcPr>
            <w:tcW w:w="514" w:type="pct"/>
            <w:tcBorders>
              <w:top w:val="nil"/>
              <w:left w:val="nil"/>
              <w:bottom w:val="nil"/>
              <w:right w:val="nil"/>
            </w:tcBorders>
            <w:shd w:val="clear" w:color="auto" w:fill="auto"/>
            <w:noWrap/>
            <w:vAlign w:val="bottom"/>
          </w:tcPr>
          <w:p w14:paraId="09295476"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bottom w:val="nil"/>
              <w:right w:val="nil"/>
            </w:tcBorders>
            <w:shd w:val="clear" w:color="auto" w:fill="auto"/>
            <w:noWrap/>
            <w:vAlign w:val="bottom"/>
          </w:tcPr>
          <w:p w14:paraId="1199E932"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1" w:type="pct"/>
            <w:tcBorders>
              <w:top w:val="nil"/>
              <w:left w:val="nil"/>
              <w:bottom w:val="nil"/>
              <w:right w:val="nil"/>
            </w:tcBorders>
            <w:shd w:val="clear" w:color="auto" w:fill="auto"/>
            <w:noWrap/>
            <w:vAlign w:val="bottom"/>
          </w:tcPr>
          <w:p w14:paraId="5893CABA" w14:textId="77777777" w:rsidR="004E5304" w:rsidRPr="00122125" w:rsidRDefault="004E5304" w:rsidP="00321687">
            <w:pPr>
              <w:spacing w:after="0" w:line="240" w:lineRule="auto"/>
              <w:jc w:val="right"/>
              <w:rPr>
                <w:sz w:val="20"/>
                <w:szCs w:val="20"/>
                <w:lang w:eastAsia="sk-SK"/>
              </w:rPr>
            </w:pPr>
            <w:r>
              <w:rPr>
                <w:sz w:val="20"/>
                <w:szCs w:val="20"/>
                <w:lang w:eastAsia="sk-SK"/>
              </w:rPr>
              <w:t>1 648</w:t>
            </w:r>
          </w:p>
        </w:tc>
        <w:tc>
          <w:tcPr>
            <w:tcW w:w="468" w:type="pct"/>
            <w:gridSpan w:val="2"/>
            <w:tcBorders>
              <w:top w:val="nil"/>
              <w:left w:val="nil"/>
              <w:bottom w:val="nil"/>
              <w:right w:val="nil"/>
            </w:tcBorders>
            <w:shd w:val="clear" w:color="auto" w:fill="auto"/>
            <w:noWrap/>
            <w:vAlign w:val="bottom"/>
          </w:tcPr>
          <w:p w14:paraId="38D517D0"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r>
      <w:tr w:rsidR="004E5304" w:rsidRPr="000831FC" w14:paraId="61185888" w14:textId="77777777" w:rsidTr="00763D06">
        <w:trPr>
          <w:trHeight w:val="232"/>
        </w:trPr>
        <w:tc>
          <w:tcPr>
            <w:tcW w:w="1808" w:type="pct"/>
            <w:tcBorders>
              <w:top w:val="nil"/>
              <w:left w:val="nil"/>
              <w:bottom w:val="nil"/>
              <w:right w:val="nil"/>
            </w:tcBorders>
            <w:shd w:val="clear" w:color="auto" w:fill="auto"/>
            <w:noWrap/>
            <w:vAlign w:val="bottom"/>
          </w:tcPr>
          <w:p w14:paraId="1D86BC91" w14:textId="77777777" w:rsidR="004E5304" w:rsidRPr="00B90E64" w:rsidRDefault="004E5304" w:rsidP="00321687">
            <w:pPr>
              <w:spacing w:after="0" w:line="240" w:lineRule="auto"/>
              <w:rPr>
                <w:sz w:val="20"/>
                <w:szCs w:val="20"/>
                <w:lang w:eastAsia="sk-SK"/>
              </w:rPr>
            </w:pPr>
            <w:r>
              <w:rPr>
                <w:sz w:val="20"/>
                <w:szCs w:val="20"/>
                <w:lang w:eastAsia="sk-SK"/>
              </w:rPr>
              <w:t>Slovensko IT, a.s.</w:t>
            </w:r>
          </w:p>
        </w:tc>
        <w:tc>
          <w:tcPr>
            <w:tcW w:w="474" w:type="pct"/>
            <w:tcBorders>
              <w:top w:val="nil"/>
              <w:left w:val="nil"/>
              <w:bottom w:val="nil"/>
              <w:right w:val="nil"/>
            </w:tcBorders>
            <w:shd w:val="clear" w:color="auto" w:fill="auto"/>
            <w:noWrap/>
            <w:vAlign w:val="bottom"/>
          </w:tcPr>
          <w:p w14:paraId="54FCC2EB" w14:textId="77777777" w:rsidR="004E5304" w:rsidRPr="00122125" w:rsidRDefault="004E5304" w:rsidP="00321687">
            <w:pPr>
              <w:spacing w:after="0" w:line="240" w:lineRule="auto"/>
              <w:jc w:val="right"/>
              <w:rPr>
                <w:sz w:val="20"/>
                <w:szCs w:val="20"/>
                <w:lang w:eastAsia="sk-SK"/>
              </w:rPr>
            </w:pPr>
            <w:r>
              <w:rPr>
                <w:sz w:val="20"/>
                <w:szCs w:val="20"/>
                <w:lang w:eastAsia="sk-SK"/>
              </w:rPr>
              <w:t>2 680</w:t>
            </w:r>
          </w:p>
        </w:tc>
        <w:tc>
          <w:tcPr>
            <w:tcW w:w="653" w:type="pct"/>
            <w:tcBorders>
              <w:top w:val="nil"/>
              <w:left w:val="nil"/>
              <w:bottom w:val="nil"/>
              <w:right w:val="nil"/>
            </w:tcBorders>
            <w:shd w:val="clear" w:color="auto" w:fill="auto"/>
            <w:noWrap/>
            <w:vAlign w:val="bottom"/>
          </w:tcPr>
          <w:p w14:paraId="7FCE8CB5" w14:textId="77777777" w:rsidR="004E5304" w:rsidRDefault="004E5304" w:rsidP="00321687">
            <w:pPr>
              <w:spacing w:after="0" w:line="240" w:lineRule="auto"/>
              <w:jc w:val="right"/>
              <w:rPr>
                <w:sz w:val="20"/>
                <w:szCs w:val="20"/>
                <w:lang w:eastAsia="sk-SK"/>
              </w:rPr>
            </w:pPr>
            <w:r>
              <w:rPr>
                <w:sz w:val="20"/>
                <w:szCs w:val="20"/>
                <w:lang w:eastAsia="sk-SK"/>
              </w:rPr>
              <w:t>-1 320</w:t>
            </w:r>
          </w:p>
        </w:tc>
        <w:tc>
          <w:tcPr>
            <w:tcW w:w="514" w:type="pct"/>
            <w:tcBorders>
              <w:top w:val="nil"/>
              <w:left w:val="nil"/>
              <w:bottom w:val="nil"/>
              <w:right w:val="nil"/>
            </w:tcBorders>
            <w:shd w:val="clear" w:color="auto" w:fill="auto"/>
            <w:noWrap/>
            <w:vAlign w:val="bottom"/>
          </w:tcPr>
          <w:p w14:paraId="31F8E5B4" w14:textId="77777777" w:rsidR="004E5304"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bottom w:val="nil"/>
              <w:right w:val="nil"/>
            </w:tcBorders>
            <w:shd w:val="clear" w:color="auto" w:fill="auto"/>
            <w:noWrap/>
            <w:vAlign w:val="bottom"/>
          </w:tcPr>
          <w:p w14:paraId="3490FE3D" w14:textId="77777777" w:rsidR="004E5304" w:rsidRDefault="004E5304" w:rsidP="00321687">
            <w:pPr>
              <w:spacing w:after="0" w:line="240" w:lineRule="auto"/>
              <w:jc w:val="right"/>
              <w:rPr>
                <w:sz w:val="20"/>
                <w:szCs w:val="20"/>
                <w:lang w:eastAsia="sk-SK"/>
              </w:rPr>
            </w:pPr>
            <w:r>
              <w:rPr>
                <w:sz w:val="20"/>
                <w:szCs w:val="20"/>
                <w:lang w:eastAsia="sk-SK"/>
              </w:rPr>
              <w:t>0</w:t>
            </w:r>
          </w:p>
        </w:tc>
        <w:tc>
          <w:tcPr>
            <w:tcW w:w="541" w:type="pct"/>
            <w:tcBorders>
              <w:top w:val="nil"/>
              <w:left w:val="nil"/>
              <w:bottom w:val="nil"/>
              <w:right w:val="nil"/>
            </w:tcBorders>
            <w:shd w:val="clear" w:color="auto" w:fill="auto"/>
            <w:noWrap/>
            <w:vAlign w:val="bottom"/>
          </w:tcPr>
          <w:p w14:paraId="39762774" w14:textId="77777777" w:rsidR="004E5304" w:rsidRDefault="004E5304" w:rsidP="00321687">
            <w:pPr>
              <w:spacing w:after="0" w:line="240" w:lineRule="auto"/>
              <w:jc w:val="right"/>
              <w:rPr>
                <w:sz w:val="20"/>
                <w:szCs w:val="20"/>
                <w:lang w:eastAsia="sk-SK"/>
              </w:rPr>
            </w:pPr>
            <w:r>
              <w:rPr>
                <w:sz w:val="20"/>
                <w:szCs w:val="20"/>
                <w:lang w:eastAsia="sk-SK"/>
              </w:rPr>
              <w:t>4 000</w:t>
            </w:r>
          </w:p>
        </w:tc>
        <w:tc>
          <w:tcPr>
            <w:tcW w:w="468" w:type="pct"/>
            <w:gridSpan w:val="2"/>
            <w:tcBorders>
              <w:top w:val="nil"/>
              <w:left w:val="nil"/>
              <w:bottom w:val="nil"/>
              <w:right w:val="nil"/>
            </w:tcBorders>
            <w:shd w:val="clear" w:color="auto" w:fill="auto"/>
            <w:noWrap/>
            <w:vAlign w:val="bottom"/>
          </w:tcPr>
          <w:p w14:paraId="04D456F3" w14:textId="77777777" w:rsidR="004E5304" w:rsidRDefault="004E5304" w:rsidP="00321687">
            <w:pPr>
              <w:spacing w:after="0" w:line="240" w:lineRule="auto"/>
              <w:jc w:val="right"/>
              <w:rPr>
                <w:sz w:val="20"/>
                <w:szCs w:val="20"/>
                <w:lang w:eastAsia="sk-SK"/>
              </w:rPr>
            </w:pPr>
            <w:r>
              <w:rPr>
                <w:sz w:val="20"/>
                <w:szCs w:val="20"/>
                <w:lang w:eastAsia="sk-SK"/>
              </w:rPr>
              <w:t>0</w:t>
            </w:r>
          </w:p>
        </w:tc>
      </w:tr>
      <w:tr w:rsidR="004E5304" w:rsidRPr="000831FC" w14:paraId="4A123D4F" w14:textId="77777777" w:rsidTr="00763D06">
        <w:trPr>
          <w:trHeight w:val="232"/>
        </w:trPr>
        <w:tc>
          <w:tcPr>
            <w:tcW w:w="1808" w:type="pct"/>
            <w:tcBorders>
              <w:top w:val="nil"/>
              <w:left w:val="nil"/>
              <w:bottom w:val="nil"/>
              <w:right w:val="nil"/>
            </w:tcBorders>
            <w:shd w:val="clear" w:color="auto" w:fill="auto"/>
            <w:noWrap/>
            <w:vAlign w:val="bottom"/>
          </w:tcPr>
          <w:p w14:paraId="7E093258" w14:textId="77777777" w:rsidR="004E5304" w:rsidRPr="000831FC" w:rsidRDefault="004E5304" w:rsidP="00321687">
            <w:pPr>
              <w:spacing w:after="0" w:line="240" w:lineRule="auto"/>
              <w:rPr>
                <w:color w:val="FF0000"/>
                <w:sz w:val="20"/>
                <w:szCs w:val="20"/>
                <w:lang w:eastAsia="sk-SK"/>
              </w:rPr>
            </w:pPr>
            <w:r w:rsidRPr="00B90E64">
              <w:rPr>
                <w:sz w:val="20"/>
                <w:szCs w:val="20"/>
                <w:lang w:eastAsia="sk-SK"/>
              </w:rPr>
              <w:t xml:space="preserve">Východ. ústav </w:t>
            </w:r>
            <w:proofErr w:type="spellStart"/>
            <w:r w:rsidRPr="00B90E64">
              <w:rPr>
                <w:sz w:val="20"/>
                <w:szCs w:val="20"/>
                <w:lang w:eastAsia="sk-SK"/>
              </w:rPr>
              <w:t>srdc</w:t>
            </w:r>
            <w:proofErr w:type="spellEnd"/>
            <w:r w:rsidRPr="00B90E64">
              <w:rPr>
                <w:sz w:val="20"/>
                <w:szCs w:val="20"/>
                <w:lang w:eastAsia="sk-SK"/>
              </w:rPr>
              <w:t>. a ciev. chorôb, a.s.</w:t>
            </w:r>
          </w:p>
        </w:tc>
        <w:tc>
          <w:tcPr>
            <w:tcW w:w="474" w:type="pct"/>
            <w:tcBorders>
              <w:top w:val="nil"/>
              <w:left w:val="nil"/>
              <w:bottom w:val="nil"/>
              <w:right w:val="nil"/>
            </w:tcBorders>
            <w:shd w:val="clear" w:color="auto" w:fill="auto"/>
            <w:noWrap/>
            <w:vAlign w:val="bottom"/>
          </w:tcPr>
          <w:p w14:paraId="41DD4B1C"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1 203</w:t>
            </w:r>
          </w:p>
        </w:tc>
        <w:tc>
          <w:tcPr>
            <w:tcW w:w="653" w:type="pct"/>
            <w:tcBorders>
              <w:top w:val="nil"/>
              <w:left w:val="nil"/>
              <w:bottom w:val="nil"/>
              <w:right w:val="nil"/>
            </w:tcBorders>
            <w:shd w:val="clear" w:color="auto" w:fill="auto"/>
            <w:noWrap/>
            <w:vAlign w:val="bottom"/>
          </w:tcPr>
          <w:p w14:paraId="619755CD" w14:textId="77777777" w:rsidR="004E5304" w:rsidRPr="00122125" w:rsidRDefault="004E5304" w:rsidP="00321687">
            <w:pPr>
              <w:spacing w:after="0" w:line="240" w:lineRule="auto"/>
              <w:jc w:val="right"/>
              <w:rPr>
                <w:sz w:val="20"/>
                <w:szCs w:val="20"/>
                <w:lang w:eastAsia="sk-SK"/>
              </w:rPr>
            </w:pPr>
            <w:r>
              <w:rPr>
                <w:sz w:val="20"/>
                <w:szCs w:val="20"/>
                <w:lang w:eastAsia="sk-SK"/>
              </w:rPr>
              <w:t>1 203</w:t>
            </w:r>
          </w:p>
        </w:tc>
        <w:tc>
          <w:tcPr>
            <w:tcW w:w="514" w:type="pct"/>
            <w:tcBorders>
              <w:top w:val="nil"/>
              <w:left w:val="nil"/>
              <w:bottom w:val="nil"/>
              <w:right w:val="nil"/>
            </w:tcBorders>
            <w:shd w:val="clear" w:color="auto" w:fill="auto"/>
            <w:noWrap/>
            <w:vAlign w:val="bottom"/>
          </w:tcPr>
          <w:p w14:paraId="05C37125"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bottom w:val="nil"/>
              <w:right w:val="nil"/>
            </w:tcBorders>
            <w:shd w:val="clear" w:color="auto" w:fill="auto"/>
            <w:noWrap/>
            <w:vAlign w:val="bottom"/>
          </w:tcPr>
          <w:p w14:paraId="35D8397C"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1" w:type="pct"/>
            <w:tcBorders>
              <w:top w:val="nil"/>
              <w:left w:val="nil"/>
              <w:bottom w:val="nil"/>
              <w:right w:val="nil"/>
            </w:tcBorders>
            <w:shd w:val="clear" w:color="auto" w:fill="auto"/>
            <w:noWrap/>
            <w:vAlign w:val="bottom"/>
          </w:tcPr>
          <w:p w14:paraId="432227DB"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bottom w:val="nil"/>
              <w:right w:val="nil"/>
            </w:tcBorders>
            <w:shd w:val="clear" w:color="auto" w:fill="auto"/>
            <w:noWrap/>
            <w:vAlign w:val="bottom"/>
          </w:tcPr>
          <w:p w14:paraId="105FE649"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r>
      <w:tr w:rsidR="004E5304" w:rsidRPr="000831FC" w14:paraId="6D645328" w14:textId="77777777" w:rsidTr="00763D06">
        <w:trPr>
          <w:trHeight w:val="232"/>
        </w:trPr>
        <w:tc>
          <w:tcPr>
            <w:tcW w:w="1808" w:type="pct"/>
            <w:tcBorders>
              <w:top w:val="nil"/>
              <w:left w:val="nil"/>
              <w:bottom w:val="nil"/>
              <w:right w:val="nil"/>
            </w:tcBorders>
            <w:shd w:val="clear" w:color="auto" w:fill="auto"/>
            <w:noWrap/>
            <w:vAlign w:val="bottom"/>
          </w:tcPr>
          <w:p w14:paraId="38C6E1C8" w14:textId="77777777" w:rsidR="004E5304" w:rsidRPr="000831FC" w:rsidRDefault="004E5304" w:rsidP="00321687">
            <w:pPr>
              <w:spacing w:after="0" w:line="240" w:lineRule="auto"/>
              <w:rPr>
                <w:color w:val="FF0000"/>
                <w:sz w:val="20"/>
                <w:szCs w:val="20"/>
                <w:lang w:eastAsia="sk-SK"/>
              </w:rPr>
            </w:pPr>
            <w:r w:rsidRPr="00B90E64">
              <w:rPr>
                <w:sz w:val="20"/>
                <w:szCs w:val="20"/>
                <w:lang w:eastAsia="sk-SK"/>
              </w:rPr>
              <w:t xml:space="preserve">MH </w:t>
            </w:r>
            <w:proofErr w:type="spellStart"/>
            <w:r w:rsidRPr="00B90E64">
              <w:rPr>
                <w:sz w:val="20"/>
                <w:szCs w:val="20"/>
                <w:lang w:eastAsia="sk-SK"/>
              </w:rPr>
              <w:t>Invest</w:t>
            </w:r>
            <w:proofErr w:type="spellEnd"/>
            <w:r w:rsidRPr="00B90E64">
              <w:rPr>
                <w:sz w:val="20"/>
                <w:szCs w:val="20"/>
                <w:lang w:eastAsia="sk-SK"/>
              </w:rPr>
              <w:t xml:space="preserve">, </w:t>
            </w:r>
            <w:proofErr w:type="spellStart"/>
            <w:r w:rsidRPr="00B90E64">
              <w:rPr>
                <w:sz w:val="20"/>
                <w:szCs w:val="20"/>
                <w:lang w:eastAsia="sk-SK"/>
              </w:rPr>
              <w:t>s.r.o</w:t>
            </w:r>
            <w:proofErr w:type="spellEnd"/>
            <w:r w:rsidRPr="00B90E64">
              <w:rPr>
                <w:sz w:val="20"/>
                <w:szCs w:val="20"/>
                <w:lang w:eastAsia="sk-SK"/>
              </w:rPr>
              <w:t>.</w:t>
            </w:r>
          </w:p>
        </w:tc>
        <w:tc>
          <w:tcPr>
            <w:tcW w:w="474" w:type="pct"/>
            <w:tcBorders>
              <w:top w:val="nil"/>
              <w:left w:val="nil"/>
              <w:bottom w:val="nil"/>
              <w:right w:val="nil"/>
            </w:tcBorders>
            <w:shd w:val="clear" w:color="auto" w:fill="auto"/>
            <w:noWrap/>
            <w:vAlign w:val="bottom"/>
          </w:tcPr>
          <w:p w14:paraId="40D08694"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-1 894</w:t>
            </w:r>
          </w:p>
        </w:tc>
        <w:tc>
          <w:tcPr>
            <w:tcW w:w="653" w:type="pct"/>
            <w:tcBorders>
              <w:top w:val="nil"/>
              <w:left w:val="nil"/>
              <w:bottom w:val="nil"/>
              <w:right w:val="nil"/>
            </w:tcBorders>
            <w:shd w:val="clear" w:color="auto" w:fill="auto"/>
            <w:noWrap/>
            <w:vAlign w:val="bottom"/>
          </w:tcPr>
          <w:p w14:paraId="1AC7BC33" w14:textId="77777777" w:rsidR="004E5304" w:rsidRPr="00122125" w:rsidRDefault="004E5304" w:rsidP="00321687">
            <w:pPr>
              <w:spacing w:after="0" w:line="240" w:lineRule="auto"/>
              <w:jc w:val="right"/>
              <w:rPr>
                <w:sz w:val="20"/>
                <w:szCs w:val="20"/>
                <w:lang w:eastAsia="sk-SK"/>
              </w:rPr>
            </w:pPr>
            <w:r>
              <w:rPr>
                <w:sz w:val="20"/>
                <w:szCs w:val="20"/>
                <w:lang w:eastAsia="sk-SK"/>
              </w:rPr>
              <w:t>-1 894</w:t>
            </w:r>
          </w:p>
        </w:tc>
        <w:tc>
          <w:tcPr>
            <w:tcW w:w="514" w:type="pct"/>
            <w:tcBorders>
              <w:top w:val="nil"/>
              <w:left w:val="nil"/>
              <w:bottom w:val="nil"/>
              <w:right w:val="nil"/>
            </w:tcBorders>
            <w:shd w:val="clear" w:color="auto" w:fill="auto"/>
            <w:noWrap/>
            <w:vAlign w:val="bottom"/>
          </w:tcPr>
          <w:p w14:paraId="7B8BC199"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bottom w:val="nil"/>
              <w:right w:val="nil"/>
            </w:tcBorders>
            <w:shd w:val="clear" w:color="auto" w:fill="auto"/>
            <w:noWrap/>
            <w:vAlign w:val="bottom"/>
          </w:tcPr>
          <w:p w14:paraId="3B8EF8F4"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1" w:type="pct"/>
            <w:tcBorders>
              <w:top w:val="nil"/>
              <w:left w:val="nil"/>
              <w:bottom w:val="nil"/>
              <w:right w:val="nil"/>
            </w:tcBorders>
            <w:shd w:val="clear" w:color="auto" w:fill="auto"/>
            <w:noWrap/>
            <w:vAlign w:val="bottom"/>
          </w:tcPr>
          <w:p w14:paraId="76F1718B"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bottom w:val="nil"/>
              <w:right w:val="nil"/>
            </w:tcBorders>
            <w:shd w:val="clear" w:color="auto" w:fill="auto"/>
            <w:noWrap/>
            <w:vAlign w:val="bottom"/>
          </w:tcPr>
          <w:p w14:paraId="279DD796"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r>
      <w:tr w:rsidR="004E5304" w:rsidRPr="000831FC" w14:paraId="25697D35" w14:textId="77777777" w:rsidTr="00763D06">
        <w:trPr>
          <w:trHeight w:val="232"/>
        </w:trPr>
        <w:tc>
          <w:tcPr>
            <w:tcW w:w="1808" w:type="pct"/>
            <w:tcBorders>
              <w:top w:val="nil"/>
              <w:left w:val="nil"/>
              <w:bottom w:val="nil"/>
              <w:right w:val="nil"/>
            </w:tcBorders>
            <w:shd w:val="clear" w:color="auto" w:fill="auto"/>
            <w:noWrap/>
            <w:vAlign w:val="bottom"/>
          </w:tcPr>
          <w:p w14:paraId="3CD7122E" w14:textId="77777777" w:rsidR="004E5304" w:rsidRPr="00B90E64" w:rsidRDefault="004E5304" w:rsidP="00321687">
            <w:pPr>
              <w:spacing w:after="0" w:line="240" w:lineRule="auto"/>
              <w:rPr>
                <w:sz w:val="20"/>
                <w:szCs w:val="20"/>
                <w:lang w:eastAsia="sk-SK"/>
              </w:rPr>
            </w:pPr>
            <w:r w:rsidRPr="00B90E64">
              <w:rPr>
                <w:sz w:val="20"/>
                <w:szCs w:val="20"/>
                <w:lang w:eastAsia="sk-SK"/>
              </w:rPr>
              <w:t>Jadrová a vyraďovacia spoločnosť, a.s.</w:t>
            </w:r>
          </w:p>
        </w:tc>
        <w:tc>
          <w:tcPr>
            <w:tcW w:w="474" w:type="pct"/>
            <w:tcBorders>
              <w:top w:val="nil"/>
              <w:left w:val="nil"/>
              <w:bottom w:val="nil"/>
              <w:right w:val="nil"/>
            </w:tcBorders>
            <w:shd w:val="clear" w:color="auto" w:fill="auto"/>
            <w:noWrap/>
            <w:vAlign w:val="bottom"/>
          </w:tcPr>
          <w:p w14:paraId="21E130E0"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-2 024</w:t>
            </w:r>
          </w:p>
        </w:tc>
        <w:tc>
          <w:tcPr>
            <w:tcW w:w="653" w:type="pct"/>
            <w:tcBorders>
              <w:top w:val="nil"/>
              <w:left w:val="nil"/>
              <w:bottom w:val="nil"/>
              <w:right w:val="nil"/>
            </w:tcBorders>
            <w:shd w:val="clear" w:color="auto" w:fill="auto"/>
            <w:noWrap/>
            <w:vAlign w:val="bottom"/>
          </w:tcPr>
          <w:p w14:paraId="571CC3C3" w14:textId="77777777" w:rsidR="004E5304" w:rsidRPr="00122125" w:rsidRDefault="004E5304" w:rsidP="00321687">
            <w:pPr>
              <w:spacing w:after="0" w:line="240" w:lineRule="auto"/>
              <w:jc w:val="right"/>
              <w:rPr>
                <w:sz w:val="20"/>
                <w:szCs w:val="20"/>
                <w:lang w:eastAsia="sk-SK"/>
              </w:rPr>
            </w:pPr>
            <w:r>
              <w:rPr>
                <w:sz w:val="20"/>
                <w:szCs w:val="20"/>
                <w:lang w:eastAsia="sk-SK"/>
              </w:rPr>
              <w:t>4 382</w:t>
            </w:r>
          </w:p>
        </w:tc>
        <w:tc>
          <w:tcPr>
            <w:tcW w:w="514" w:type="pct"/>
            <w:tcBorders>
              <w:top w:val="nil"/>
              <w:left w:val="nil"/>
              <w:bottom w:val="nil"/>
              <w:right w:val="nil"/>
            </w:tcBorders>
            <w:shd w:val="clear" w:color="auto" w:fill="auto"/>
            <w:noWrap/>
            <w:vAlign w:val="bottom"/>
          </w:tcPr>
          <w:p w14:paraId="058EE723" w14:textId="77777777" w:rsidR="004E5304" w:rsidRPr="00122125" w:rsidRDefault="004E5304" w:rsidP="00321687">
            <w:pPr>
              <w:spacing w:after="0" w:line="240" w:lineRule="auto"/>
              <w:jc w:val="right"/>
              <w:rPr>
                <w:sz w:val="20"/>
                <w:szCs w:val="20"/>
                <w:lang w:eastAsia="sk-SK"/>
              </w:rPr>
            </w:pPr>
            <w:r>
              <w:rPr>
                <w:sz w:val="20"/>
                <w:szCs w:val="20"/>
                <w:lang w:eastAsia="sk-SK"/>
              </w:rPr>
              <w:t>-2 173</w:t>
            </w:r>
          </w:p>
        </w:tc>
        <w:tc>
          <w:tcPr>
            <w:tcW w:w="542" w:type="pct"/>
            <w:tcBorders>
              <w:top w:val="nil"/>
              <w:left w:val="nil"/>
              <w:bottom w:val="nil"/>
              <w:right w:val="nil"/>
            </w:tcBorders>
            <w:shd w:val="clear" w:color="auto" w:fill="auto"/>
            <w:noWrap/>
            <w:vAlign w:val="bottom"/>
          </w:tcPr>
          <w:p w14:paraId="5645CE47" w14:textId="77777777" w:rsidR="004E5304" w:rsidRPr="00122125" w:rsidRDefault="004E5304" w:rsidP="00321687">
            <w:pPr>
              <w:spacing w:after="0" w:line="240" w:lineRule="auto"/>
              <w:jc w:val="right"/>
              <w:rPr>
                <w:sz w:val="20"/>
                <w:szCs w:val="20"/>
                <w:lang w:eastAsia="sk-SK"/>
              </w:rPr>
            </w:pPr>
            <w:r>
              <w:rPr>
                <w:sz w:val="20"/>
                <w:szCs w:val="20"/>
                <w:lang w:eastAsia="sk-SK"/>
              </w:rPr>
              <w:t>-842</w:t>
            </w:r>
          </w:p>
        </w:tc>
        <w:tc>
          <w:tcPr>
            <w:tcW w:w="541" w:type="pct"/>
            <w:tcBorders>
              <w:top w:val="nil"/>
              <w:left w:val="nil"/>
              <w:bottom w:val="nil"/>
              <w:right w:val="nil"/>
            </w:tcBorders>
            <w:shd w:val="clear" w:color="auto" w:fill="auto"/>
            <w:noWrap/>
            <w:vAlign w:val="bottom"/>
          </w:tcPr>
          <w:p w14:paraId="4F076C35"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bottom w:val="nil"/>
              <w:right w:val="nil"/>
            </w:tcBorders>
            <w:shd w:val="clear" w:color="auto" w:fill="auto"/>
            <w:noWrap/>
            <w:vAlign w:val="bottom"/>
          </w:tcPr>
          <w:p w14:paraId="6ACF151A" w14:textId="77777777" w:rsidR="004E5304" w:rsidRPr="00122125" w:rsidRDefault="004E5304" w:rsidP="00321687">
            <w:pPr>
              <w:spacing w:after="0" w:line="240" w:lineRule="auto"/>
              <w:jc w:val="right"/>
              <w:rPr>
                <w:sz w:val="20"/>
                <w:szCs w:val="20"/>
                <w:lang w:eastAsia="sk-SK"/>
              </w:rPr>
            </w:pPr>
            <w:r>
              <w:rPr>
                <w:sz w:val="20"/>
                <w:szCs w:val="20"/>
                <w:lang w:eastAsia="sk-SK"/>
              </w:rPr>
              <w:t>-3 391</w:t>
            </w:r>
          </w:p>
        </w:tc>
      </w:tr>
      <w:tr w:rsidR="004E5304" w:rsidRPr="000831FC" w14:paraId="36111539" w14:textId="77777777" w:rsidTr="00763D06">
        <w:trPr>
          <w:trHeight w:val="232"/>
        </w:trPr>
        <w:tc>
          <w:tcPr>
            <w:tcW w:w="1808" w:type="pct"/>
            <w:tcBorders>
              <w:top w:val="nil"/>
              <w:left w:val="nil"/>
              <w:right w:val="nil"/>
            </w:tcBorders>
            <w:shd w:val="clear" w:color="auto" w:fill="auto"/>
            <w:noWrap/>
            <w:vAlign w:val="bottom"/>
          </w:tcPr>
          <w:p w14:paraId="5AF53058" w14:textId="77777777" w:rsidR="004E5304" w:rsidRPr="00B90E64" w:rsidRDefault="004E5304" w:rsidP="00321687">
            <w:pPr>
              <w:spacing w:after="0" w:line="240" w:lineRule="auto"/>
              <w:rPr>
                <w:sz w:val="20"/>
                <w:szCs w:val="20"/>
                <w:lang w:eastAsia="sk-SK"/>
              </w:rPr>
            </w:pPr>
            <w:r w:rsidRPr="00B90E64">
              <w:rPr>
                <w:sz w:val="20"/>
                <w:szCs w:val="20"/>
                <w:lang w:eastAsia="sk-SK"/>
              </w:rPr>
              <w:t>Slovenská konsolidačná, a.s.</w:t>
            </w:r>
          </w:p>
        </w:tc>
        <w:tc>
          <w:tcPr>
            <w:tcW w:w="474" w:type="pct"/>
            <w:tcBorders>
              <w:top w:val="nil"/>
              <w:left w:val="nil"/>
              <w:right w:val="nil"/>
            </w:tcBorders>
            <w:shd w:val="clear" w:color="auto" w:fill="auto"/>
            <w:noWrap/>
            <w:vAlign w:val="bottom"/>
          </w:tcPr>
          <w:p w14:paraId="0B4C94DC"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-2 572</w:t>
            </w:r>
          </w:p>
        </w:tc>
        <w:tc>
          <w:tcPr>
            <w:tcW w:w="653" w:type="pct"/>
            <w:tcBorders>
              <w:top w:val="nil"/>
              <w:left w:val="nil"/>
              <w:right w:val="nil"/>
            </w:tcBorders>
            <w:shd w:val="clear" w:color="auto" w:fill="auto"/>
            <w:noWrap/>
            <w:vAlign w:val="bottom"/>
          </w:tcPr>
          <w:p w14:paraId="13F77D30" w14:textId="77777777" w:rsidR="004E5304" w:rsidRPr="00122125" w:rsidRDefault="004E5304" w:rsidP="00321687">
            <w:pPr>
              <w:spacing w:after="0" w:line="240" w:lineRule="auto"/>
              <w:jc w:val="right"/>
              <w:rPr>
                <w:sz w:val="20"/>
                <w:szCs w:val="20"/>
                <w:lang w:eastAsia="sk-SK"/>
              </w:rPr>
            </w:pPr>
            <w:r>
              <w:rPr>
                <w:sz w:val="20"/>
                <w:szCs w:val="20"/>
                <w:lang w:eastAsia="sk-SK"/>
              </w:rPr>
              <w:t>713</w:t>
            </w:r>
          </w:p>
        </w:tc>
        <w:tc>
          <w:tcPr>
            <w:tcW w:w="514" w:type="pct"/>
            <w:tcBorders>
              <w:top w:val="nil"/>
              <w:left w:val="nil"/>
              <w:right w:val="nil"/>
            </w:tcBorders>
            <w:shd w:val="clear" w:color="auto" w:fill="auto"/>
            <w:noWrap/>
            <w:vAlign w:val="bottom"/>
          </w:tcPr>
          <w:p w14:paraId="188A55EF" w14:textId="77777777" w:rsidR="004E5304" w:rsidRPr="00122125" w:rsidRDefault="004E5304" w:rsidP="00321687">
            <w:pPr>
              <w:spacing w:after="0" w:line="240" w:lineRule="auto"/>
              <w:jc w:val="right"/>
              <w:rPr>
                <w:sz w:val="20"/>
                <w:szCs w:val="20"/>
                <w:lang w:eastAsia="sk-SK"/>
              </w:rPr>
            </w:pPr>
            <w:r>
              <w:rPr>
                <w:sz w:val="20"/>
                <w:szCs w:val="20"/>
                <w:lang w:eastAsia="sk-SK"/>
              </w:rPr>
              <w:t>-3 284</w:t>
            </w:r>
          </w:p>
        </w:tc>
        <w:tc>
          <w:tcPr>
            <w:tcW w:w="542" w:type="pct"/>
            <w:tcBorders>
              <w:top w:val="nil"/>
              <w:left w:val="nil"/>
              <w:right w:val="nil"/>
            </w:tcBorders>
            <w:shd w:val="clear" w:color="auto" w:fill="auto"/>
            <w:noWrap/>
            <w:vAlign w:val="bottom"/>
          </w:tcPr>
          <w:p w14:paraId="0E0F6DD8"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1" w:type="pct"/>
            <w:tcBorders>
              <w:top w:val="nil"/>
              <w:left w:val="nil"/>
              <w:right w:val="nil"/>
            </w:tcBorders>
            <w:shd w:val="clear" w:color="auto" w:fill="auto"/>
            <w:noWrap/>
            <w:vAlign w:val="bottom"/>
          </w:tcPr>
          <w:p w14:paraId="00F5BDE8"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right w:val="nil"/>
            </w:tcBorders>
            <w:shd w:val="clear" w:color="auto" w:fill="auto"/>
            <w:noWrap/>
            <w:vAlign w:val="bottom"/>
          </w:tcPr>
          <w:p w14:paraId="6E8316DD" w14:textId="77777777" w:rsidR="004E5304" w:rsidRPr="00122125" w:rsidRDefault="004E5304" w:rsidP="00321687">
            <w:pPr>
              <w:spacing w:after="0" w:line="240" w:lineRule="auto"/>
              <w:jc w:val="right"/>
              <w:rPr>
                <w:sz w:val="20"/>
                <w:szCs w:val="20"/>
                <w:lang w:eastAsia="sk-SK"/>
              </w:rPr>
            </w:pPr>
            <w:r>
              <w:rPr>
                <w:sz w:val="20"/>
                <w:szCs w:val="20"/>
                <w:lang w:eastAsia="sk-SK"/>
              </w:rPr>
              <w:t>-1</w:t>
            </w:r>
          </w:p>
        </w:tc>
      </w:tr>
      <w:tr w:rsidR="004E5304" w:rsidRPr="000831FC" w14:paraId="55871ACE" w14:textId="77777777" w:rsidTr="00763D06">
        <w:trPr>
          <w:trHeight w:val="232"/>
        </w:trPr>
        <w:tc>
          <w:tcPr>
            <w:tcW w:w="1808" w:type="pct"/>
            <w:tcBorders>
              <w:top w:val="nil"/>
              <w:left w:val="nil"/>
              <w:right w:val="nil"/>
            </w:tcBorders>
            <w:shd w:val="clear" w:color="auto" w:fill="auto"/>
            <w:noWrap/>
            <w:vAlign w:val="bottom"/>
          </w:tcPr>
          <w:p w14:paraId="4867F12A" w14:textId="77777777" w:rsidR="004E5304" w:rsidRPr="000831FC" w:rsidRDefault="004E5304" w:rsidP="00321687">
            <w:pPr>
              <w:spacing w:after="0" w:line="240" w:lineRule="auto"/>
              <w:rPr>
                <w:color w:val="FF0000"/>
                <w:sz w:val="20"/>
                <w:szCs w:val="20"/>
                <w:lang w:eastAsia="sk-SK"/>
              </w:rPr>
            </w:pPr>
            <w:proofErr w:type="spellStart"/>
            <w:r w:rsidRPr="00B90E64">
              <w:rPr>
                <w:sz w:val="20"/>
                <w:szCs w:val="20"/>
                <w:lang w:eastAsia="sk-SK"/>
              </w:rPr>
              <w:t>Arriva</w:t>
            </w:r>
            <w:proofErr w:type="spellEnd"/>
            <w:r w:rsidRPr="00B90E64">
              <w:rPr>
                <w:sz w:val="20"/>
                <w:szCs w:val="20"/>
                <w:lang w:eastAsia="sk-SK"/>
              </w:rPr>
              <w:t xml:space="preserve"> Nitra, </w:t>
            </w:r>
            <w:proofErr w:type="spellStart"/>
            <w:r w:rsidRPr="00B90E64">
              <w:rPr>
                <w:sz w:val="20"/>
                <w:szCs w:val="20"/>
                <w:lang w:eastAsia="sk-SK"/>
              </w:rPr>
              <w:t>a.s</w:t>
            </w:r>
            <w:proofErr w:type="spellEnd"/>
            <w:r w:rsidRPr="00B90E64">
              <w:rPr>
                <w:sz w:val="20"/>
                <w:szCs w:val="20"/>
                <w:lang w:eastAsia="sk-SK"/>
              </w:rPr>
              <w:t>.</w:t>
            </w:r>
          </w:p>
        </w:tc>
        <w:tc>
          <w:tcPr>
            <w:tcW w:w="474" w:type="pct"/>
            <w:tcBorders>
              <w:top w:val="nil"/>
              <w:left w:val="nil"/>
              <w:right w:val="nil"/>
            </w:tcBorders>
            <w:shd w:val="clear" w:color="auto" w:fill="auto"/>
            <w:noWrap/>
            <w:vAlign w:val="bottom"/>
          </w:tcPr>
          <w:p w14:paraId="569BC0B5"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-2 794</w:t>
            </w:r>
          </w:p>
        </w:tc>
        <w:tc>
          <w:tcPr>
            <w:tcW w:w="653" w:type="pct"/>
            <w:tcBorders>
              <w:top w:val="nil"/>
              <w:left w:val="nil"/>
              <w:right w:val="nil"/>
            </w:tcBorders>
            <w:shd w:val="clear" w:color="auto" w:fill="auto"/>
            <w:noWrap/>
            <w:vAlign w:val="bottom"/>
          </w:tcPr>
          <w:p w14:paraId="303CC189" w14:textId="77777777" w:rsidR="004E5304" w:rsidRPr="00122125" w:rsidRDefault="004E5304" w:rsidP="00321687">
            <w:pPr>
              <w:spacing w:after="0" w:line="240" w:lineRule="auto"/>
              <w:jc w:val="right"/>
              <w:rPr>
                <w:sz w:val="20"/>
                <w:szCs w:val="20"/>
                <w:lang w:eastAsia="sk-SK"/>
              </w:rPr>
            </w:pPr>
            <w:r>
              <w:rPr>
                <w:sz w:val="20"/>
                <w:szCs w:val="20"/>
                <w:lang w:eastAsia="sk-SK"/>
              </w:rPr>
              <w:t>-2 794</w:t>
            </w:r>
          </w:p>
        </w:tc>
        <w:tc>
          <w:tcPr>
            <w:tcW w:w="514" w:type="pct"/>
            <w:tcBorders>
              <w:top w:val="nil"/>
              <w:left w:val="nil"/>
              <w:right w:val="nil"/>
            </w:tcBorders>
            <w:shd w:val="clear" w:color="auto" w:fill="auto"/>
            <w:noWrap/>
            <w:vAlign w:val="bottom"/>
          </w:tcPr>
          <w:p w14:paraId="25D9802F"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right w:val="nil"/>
            </w:tcBorders>
            <w:shd w:val="clear" w:color="auto" w:fill="auto"/>
            <w:noWrap/>
            <w:vAlign w:val="bottom"/>
          </w:tcPr>
          <w:p w14:paraId="241755A1"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1" w:type="pct"/>
            <w:tcBorders>
              <w:top w:val="nil"/>
              <w:left w:val="nil"/>
              <w:right w:val="nil"/>
            </w:tcBorders>
            <w:shd w:val="clear" w:color="auto" w:fill="auto"/>
            <w:noWrap/>
            <w:vAlign w:val="bottom"/>
          </w:tcPr>
          <w:p w14:paraId="2E3CD110"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right w:val="nil"/>
            </w:tcBorders>
            <w:shd w:val="clear" w:color="auto" w:fill="auto"/>
            <w:noWrap/>
            <w:vAlign w:val="bottom"/>
          </w:tcPr>
          <w:p w14:paraId="6E2D28E7"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r>
      <w:tr w:rsidR="004E5304" w:rsidRPr="000831FC" w14:paraId="632F5A72" w14:textId="77777777" w:rsidTr="00763D06">
        <w:trPr>
          <w:trHeight w:val="232"/>
        </w:trPr>
        <w:tc>
          <w:tcPr>
            <w:tcW w:w="1808" w:type="pct"/>
            <w:tcBorders>
              <w:top w:val="nil"/>
              <w:left w:val="nil"/>
              <w:right w:val="nil"/>
            </w:tcBorders>
            <w:shd w:val="clear" w:color="auto" w:fill="auto"/>
            <w:noWrap/>
            <w:vAlign w:val="bottom"/>
          </w:tcPr>
          <w:p w14:paraId="3B1C3876" w14:textId="77777777" w:rsidR="004E5304" w:rsidRPr="00122125" w:rsidRDefault="004E5304" w:rsidP="00321687">
            <w:pPr>
              <w:spacing w:after="0" w:line="240" w:lineRule="auto"/>
              <w:rPr>
                <w:sz w:val="20"/>
                <w:szCs w:val="20"/>
                <w:lang w:eastAsia="sk-SK"/>
              </w:rPr>
            </w:pPr>
            <w:r w:rsidRPr="00122125">
              <w:rPr>
                <w:sz w:val="20"/>
                <w:szCs w:val="20"/>
                <w:lang w:eastAsia="sk-SK"/>
              </w:rPr>
              <w:t xml:space="preserve">Letisko Košice – </w:t>
            </w:r>
            <w:proofErr w:type="spellStart"/>
            <w:r w:rsidRPr="00122125">
              <w:rPr>
                <w:sz w:val="20"/>
                <w:szCs w:val="20"/>
                <w:lang w:eastAsia="sk-SK"/>
              </w:rPr>
              <w:t>Airport</w:t>
            </w:r>
            <w:proofErr w:type="spellEnd"/>
            <w:r w:rsidRPr="00122125">
              <w:rPr>
                <w:sz w:val="20"/>
                <w:szCs w:val="20"/>
                <w:lang w:eastAsia="sk-SK"/>
              </w:rPr>
              <w:t xml:space="preserve"> Košice, </w:t>
            </w:r>
            <w:proofErr w:type="spellStart"/>
            <w:r w:rsidRPr="00122125">
              <w:rPr>
                <w:sz w:val="20"/>
                <w:szCs w:val="20"/>
                <w:lang w:eastAsia="sk-SK"/>
              </w:rPr>
              <w:t>a.s</w:t>
            </w:r>
            <w:proofErr w:type="spellEnd"/>
            <w:r w:rsidRPr="00122125">
              <w:rPr>
                <w:sz w:val="20"/>
                <w:szCs w:val="20"/>
                <w:lang w:eastAsia="sk-SK"/>
              </w:rPr>
              <w:t>.</w:t>
            </w:r>
          </w:p>
        </w:tc>
        <w:tc>
          <w:tcPr>
            <w:tcW w:w="474" w:type="pct"/>
            <w:tcBorders>
              <w:top w:val="nil"/>
              <w:left w:val="nil"/>
              <w:right w:val="nil"/>
            </w:tcBorders>
            <w:shd w:val="clear" w:color="auto" w:fill="auto"/>
            <w:noWrap/>
            <w:vAlign w:val="bottom"/>
          </w:tcPr>
          <w:p w14:paraId="44AEE8B9"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-3 312</w:t>
            </w:r>
          </w:p>
        </w:tc>
        <w:tc>
          <w:tcPr>
            <w:tcW w:w="653" w:type="pct"/>
            <w:tcBorders>
              <w:top w:val="nil"/>
              <w:left w:val="nil"/>
              <w:right w:val="nil"/>
            </w:tcBorders>
            <w:shd w:val="clear" w:color="auto" w:fill="auto"/>
            <w:noWrap/>
            <w:vAlign w:val="bottom"/>
          </w:tcPr>
          <w:p w14:paraId="0522E397" w14:textId="77777777" w:rsidR="004E5304" w:rsidRPr="00122125" w:rsidRDefault="004E5304" w:rsidP="00321687">
            <w:pPr>
              <w:spacing w:after="0" w:line="240" w:lineRule="auto"/>
              <w:jc w:val="right"/>
              <w:rPr>
                <w:sz w:val="20"/>
                <w:szCs w:val="20"/>
                <w:lang w:eastAsia="sk-SK"/>
              </w:rPr>
            </w:pPr>
            <w:r>
              <w:rPr>
                <w:sz w:val="20"/>
                <w:szCs w:val="20"/>
                <w:lang w:eastAsia="sk-SK"/>
              </w:rPr>
              <w:t>-925</w:t>
            </w:r>
          </w:p>
        </w:tc>
        <w:tc>
          <w:tcPr>
            <w:tcW w:w="514" w:type="pct"/>
            <w:tcBorders>
              <w:top w:val="nil"/>
              <w:left w:val="nil"/>
              <w:right w:val="nil"/>
            </w:tcBorders>
            <w:shd w:val="clear" w:color="auto" w:fill="auto"/>
            <w:noWrap/>
            <w:vAlign w:val="bottom"/>
          </w:tcPr>
          <w:p w14:paraId="2681DE4A" w14:textId="77777777" w:rsidR="004E5304" w:rsidRPr="00122125" w:rsidRDefault="004E5304" w:rsidP="00321687">
            <w:pPr>
              <w:spacing w:after="0" w:line="240" w:lineRule="auto"/>
              <w:jc w:val="right"/>
              <w:rPr>
                <w:sz w:val="20"/>
                <w:szCs w:val="20"/>
                <w:lang w:eastAsia="sk-SK"/>
              </w:rPr>
            </w:pPr>
            <w:r>
              <w:rPr>
                <w:sz w:val="20"/>
                <w:szCs w:val="20"/>
                <w:lang w:eastAsia="sk-SK"/>
              </w:rPr>
              <w:t>-2 290</w:t>
            </w:r>
          </w:p>
        </w:tc>
        <w:tc>
          <w:tcPr>
            <w:tcW w:w="542" w:type="pct"/>
            <w:tcBorders>
              <w:top w:val="nil"/>
              <w:left w:val="nil"/>
              <w:right w:val="nil"/>
            </w:tcBorders>
            <w:shd w:val="clear" w:color="auto" w:fill="auto"/>
            <w:noWrap/>
            <w:vAlign w:val="bottom"/>
          </w:tcPr>
          <w:p w14:paraId="5F398CD4"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1" w:type="pct"/>
            <w:tcBorders>
              <w:top w:val="nil"/>
              <w:left w:val="nil"/>
              <w:right w:val="nil"/>
            </w:tcBorders>
            <w:shd w:val="clear" w:color="auto" w:fill="auto"/>
            <w:noWrap/>
            <w:vAlign w:val="bottom"/>
          </w:tcPr>
          <w:p w14:paraId="3DDC99F3"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right w:val="nil"/>
            </w:tcBorders>
            <w:shd w:val="clear" w:color="auto" w:fill="auto"/>
            <w:noWrap/>
            <w:vAlign w:val="bottom"/>
          </w:tcPr>
          <w:p w14:paraId="530ADF8F" w14:textId="77777777" w:rsidR="004E5304" w:rsidRPr="00122125" w:rsidRDefault="004E5304" w:rsidP="00321687">
            <w:pPr>
              <w:spacing w:after="0" w:line="240" w:lineRule="auto"/>
              <w:jc w:val="right"/>
              <w:rPr>
                <w:sz w:val="20"/>
                <w:szCs w:val="20"/>
                <w:lang w:eastAsia="sk-SK"/>
              </w:rPr>
            </w:pPr>
            <w:r>
              <w:rPr>
                <w:sz w:val="20"/>
                <w:szCs w:val="20"/>
                <w:lang w:eastAsia="sk-SK"/>
              </w:rPr>
              <w:t>-97</w:t>
            </w:r>
          </w:p>
        </w:tc>
      </w:tr>
      <w:tr w:rsidR="004E5304" w:rsidRPr="000831FC" w14:paraId="0FF4D936" w14:textId="77777777" w:rsidTr="00763D06">
        <w:trPr>
          <w:trHeight w:val="232"/>
        </w:trPr>
        <w:tc>
          <w:tcPr>
            <w:tcW w:w="1808" w:type="pct"/>
            <w:tcBorders>
              <w:top w:val="nil"/>
              <w:left w:val="nil"/>
              <w:right w:val="nil"/>
            </w:tcBorders>
            <w:shd w:val="clear" w:color="auto" w:fill="auto"/>
            <w:noWrap/>
            <w:vAlign w:val="bottom"/>
          </w:tcPr>
          <w:p w14:paraId="2AADBE07" w14:textId="77777777" w:rsidR="004E5304" w:rsidRPr="000831FC" w:rsidRDefault="004E5304" w:rsidP="00321687">
            <w:pPr>
              <w:spacing w:after="0" w:line="240" w:lineRule="auto"/>
              <w:rPr>
                <w:color w:val="FF0000"/>
                <w:sz w:val="20"/>
                <w:szCs w:val="20"/>
                <w:lang w:eastAsia="sk-SK"/>
              </w:rPr>
            </w:pPr>
            <w:r w:rsidRPr="00B90E64">
              <w:rPr>
                <w:sz w:val="20"/>
                <w:szCs w:val="20"/>
                <w:lang w:eastAsia="sk-SK"/>
              </w:rPr>
              <w:t>Agrokomplex–výstavníctvo Nitra, a.s.</w:t>
            </w:r>
          </w:p>
        </w:tc>
        <w:tc>
          <w:tcPr>
            <w:tcW w:w="474" w:type="pct"/>
            <w:tcBorders>
              <w:top w:val="nil"/>
              <w:left w:val="nil"/>
              <w:right w:val="nil"/>
            </w:tcBorders>
            <w:shd w:val="clear" w:color="auto" w:fill="auto"/>
            <w:noWrap/>
            <w:vAlign w:val="bottom"/>
          </w:tcPr>
          <w:p w14:paraId="665FDA9F"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-4 1</w:t>
            </w:r>
            <w:r>
              <w:rPr>
                <w:sz w:val="20"/>
                <w:szCs w:val="20"/>
                <w:lang w:eastAsia="sk-SK"/>
              </w:rPr>
              <w:t>24</w:t>
            </w:r>
          </w:p>
        </w:tc>
        <w:tc>
          <w:tcPr>
            <w:tcW w:w="653" w:type="pct"/>
            <w:tcBorders>
              <w:top w:val="nil"/>
              <w:left w:val="nil"/>
              <w:right w:val="nil"/>
            </w:tcBorders>
            <w:shd w:val="clear" w:color="auto" w:fill="auto"/>
            <w:noWrap/>
            <w:vAlign w:val="center"/>
          </w:tcPr>
          <w:p w14:paraId="0652FBED" w14:textId="77777777" w:rsidR="004E5304" w:rsidRPr="00122125" w:rsidRDefault="004E5304" w:rsidP="00321687">
            <w:pPr>
              <w:spacing w:after="0" w:line="240" w:lineRule="auto"/>
              <w:jc w:val="right"/>
              <w:rPr>
                <w:sz w:val="20"/>
                <w:szCs w:val="20"/>
                <w:lang w:eastAsia="sk-SK"/>
              </w:rPr>
            </w:pPr>
            <w:r>
              <w:rPr>
                <w:sz w:val="20"/>
                <w:szCs w:val="20"/>
                <w:lang w:eastAsia="sk-SK"/>
              </w:rPr>
              <w:t>-4 124</w:t>
            </w:r>
          </w:p>
        </w:tc>
        <w:tc>
          <w:tcPr>
            <w:tcW w:w="514" w:type="pct"/>
            <w:tcBorders>
              <w:top w:val="nil"/>
              <w:left w:val="nil"/>
              <w:right w:val="nil"/>
            </w:tcBorders>
            <w:shd w:val="clear" w:color="auto" w:fill="auto"/>
            <w:noWrap/>
            <w:vAlign w:val="center"/>
          </w:tcPr>
          <w:p w14:paraId="389777BC"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right w:val="nil"/>
            </w:tcBorders>
            <w:shd w:val="clear" w:color="auto" w:fill="auto"/>
            <w:noWrap/>
            <w:vAlign w:val="bottom"/>
          </w:tcPr>
          <w:p w14:paraId="25D92976"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1" w:type="pct"/>
            <w:tcBorders>
              <w:top w:val="nil"/>
              <w:left w:val="nil"/>
              <w:right w:val="nil"/>
            </w:tcBorders>
            <w:shd w:val="clear" w:color="auto" w:fill="auto"/>
            <w:noWrap/>
            <w:vAlign w:val="bottom"/>
          </w:tcPr>
          <w:p w14:paraId="17185642"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right w:val="nil"/>
            </w:tcBorders>
            <w:shd w:val="clear" w:color="auto" w:fill="auto"/>
            <w:noWrap/>
            <w:vAlign w:val="bottom"/>
          </w:tcPr>
          <w:p w14:paraId="1BB1D2E8"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r>
      <w:tr w:rsidR="004E5304" w:rsidRPr="000831FC" w14:paraId="1E7B4628" w14:textId="77777777" w:rsidTr="00763D06">
        <w:trPr>
          <w:trHeight w:val="232"/>
        </w:trPr>
        <w:tc>
          <w:tcPr>
            <w:tcW w:w="1808" w:type="pct"/>
            <w:tcBorders>
              <w:top w:val="nil"/>
              <w:left w:val="nil"/>
              <w:right w:val="nil"/>
            </w:tcBorders>
            <w:shd w:val="clear" w:color="auto" w:fill="auto"/>
            <w:noWrap/>
            <w:vAlign w:val="bottom"/>
          </w:tcPr>
          <w:p w14:paraId="3F3DB8AB" w14:textId="77777777" w:rsidR="004E5304" w:rsidRPr="000831FC" w:rsidRDefault="004E5304" w:rsidP="00321687">
            <w:pPr>
              <w:spacing w:after="0" w:line="240" w:lineRule="auto"/>
              <w:rPr>
                <w:color w:val="FF0000"/>
                <w:sz w:val="20"/>
                <w:szCs w:val="20"/>
                <w:lang w:eastAsia="sk-SK"/>
              </w:rPr>
            </w:pPr>
            <w:r w:rsidRPr="00B90E64">
              <w:rPr>
                <w:sz w:val="20"/>
                <w:szCs w:val="20"/>
                <w:lang w:eastAsia="sk-SK"/>
              </w:rPr>
              <w:t xml:space="preserve">MH </w:t>
            </w:r>
            <w:proofErr w:type="spellStart"/>
            <w:r w:rsidRPr="00B90E64">
              <w:rPr>
                <w:sz w:val="20"/>
                <w:szCs w:val="20"/>
                <w:lang w:eastAsia="sk-SK"/>
              </w:rPr>
              <w:t>Invest</w:t>
            </w:r>
            <w:proofErr w:type="spellEnd"/>
            <w:r w:rsidRPr="00B90E64">
              <w:rPr>
                <w:sz w:val="20"/>
                <w:szCs w:val="20"/>
                <w:lang w:eastAsia="sk-SK"/>
              </w:rPr>
              <w:t xml:space="preserve"> II, </w:t>
            </w:r>
            <w:proofErr w:type="spellStart"/>
            <w:r w:rsidRPr="00B90E64">
              <w:rPr>
                <w:sz w:val="20"/>
                <w:szCs w:val="20"/>
                <w:lang w:eastAsia="sk-SK"/>
              </w:rPr>
              <w:t>s.r.o</w:t>
            </w:r>
            <w:proofErr w:type="spellEnd"/>
            <w:r w:rsidRPr="00B90E64">
              <w:rPr>
                <w:sz w:val="20"/>
                <w:szCs w:val="20"/>
                <w:lang w:eastAsia="sk-SK"/>
              </w:rPr>
              <w:t>.</w:t>
            </w:r>
          </w:p>
        </w:tc>
        <w:tc>
          <w:tcPr>
            <w:tcW w:w="474" w:type="pct"/>
            <w:tcBorders>
              <w:top w:val="nil"/>
              <w:left w:val="nil"/>
              <w:right w:val="nil"/>
            </w:tcBorders>
            <w:shd w:val="clear" w:color="auto" w:fill="auto"/>
            <w:noWrap/>
            <w:vAlign w:val="bottom"/>
          </w:tcPr>
          <w:p w14:paraId="3DE25FF9" w14:textId="77777777" w:rsidR="004E5304" w:rsidRPr="00122125" w:rsidRDefault="004E5304" w:rsidP="00321687">
            <w:pPr>
              <w:spacing w:after="0" w:line="240" w:lineRule="auto"/>
              <w:jc w:val="right"/>
              <w:rPr>
                <w:sz w:val="20"/>
                <w:szCs w:val="20"/>
                <w:lang w:eastAsia="sk-SK"/>
              </w:rPr>
            </w:pPr>
            <w:r w:rsidRPr="00122125">
              <w:rPr>
                <w:sz w:val="20"/>
                <w:szCs w:val="20"/>
                <w:lang w:eastAsia="sk-SK"/>
              </w:rPr>
              <w:t>-4 926</w:t>
            </w:r>
          </w:p>
        </w:tc>
        <w:tc>
          <w:tcPr>
            <w:tcW w:w="653" w:type="pct"/>
            <w:tcBorders>
              <w:top w:val="nil"/>
              <w:left w:val="nil"/>
              <w:right w:val="nil"/>
            </w:tcBorders>
            <w:shd w:val="clear" w:color="auto" w:fill="auto"/>
            <w:noWrap/>
            <w:vAlign w:val="bottom"/>
          </w:tcPr>
          <w:p w14:paraId="3088A3DB" w14:textId="77777777" w:rsidR="004E5304" w:rsidRPr="00122125" w:rsidRDefault="004E5304" w:rsidP="00321687">
            <w:pPr>
              <w:spacing w:after="0" w:line="240" w:lineRule="auto"/>
              <w:jc w:val="right"/>
              <w:rPr>
                <w:sz w:val="20"/>
                <w:szCs w:val="20"/>
                <w:lang w:eastAsia="sk-SK"/>
              </w:rPr>
            </w:pPr>
            <w:r>
              <w:rPr>
                <w:sz w:val="20"/>
                <w:szCs w:val="20"/>
                <w:lang w:eastAsia="sk-SK"/>
              </w:rPr>
              <w:t>-4 927</w:t>
            </w:r>
          </w:p>
        </w:tc>
        <w:tc>
          <w:tcPr>
            <w:tcW w:w="514" w:type="pct"/>
            <w:tcBorders>
              <w:top w:val="nil"/>
              <w:left w:val="nil"/>
              <w:right w:val="nil"/>
            </w:tcBorders>
            <w:shd w:val="clear" w:color="auto" w:fill="auto"/>
            <w:noWrap/>
            <w:vAlign w:val="bottom"/>
          </w:tcPr>
          <w:p w14:paraId="0502DE95"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right w:val="nil"/>
            </w:tcBorders>
            <w:shd w:val="clear" w:color="auto" w:fill="auto"/>
            <w:noWrap/>
            <w:vAlign w:val="bottom"/>
          </w:tcPr>
          <w:p w14:paraId="5A219B52"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1" w:type="pct"/>
            <w:tcBorders>
              <w:top w:val="nil"/>
              <w:left w:val="nil"/>
              <w:right w:val="nil"/>
            </w:tcBorders>
            <w:shd w:val="clear" w:color="auto" w:fill="auto"/>
            <w:noWrap/>
            <w:vAlign w:val="bottom"/>
          </w:tcPr>
          <w:p w14:paraId="56508489"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right w:val="nil"/>
            </w:tcBorders>
            <w:shd w:val="clear" w:color="auto" w:fill="auto"/>
            <w:noWrap/>
            <w:vAlign w:val="bottom"/>
          </w:tcPr>
          <w:p w14:paraId="69F95D40" w14:textId="77777777" w:rsidR="004E5304" w:rsidRPr="00122125" w:rsidRDefault="004E5304" w:rsidP="00321687">
            <w:pPr>
              <w:spacing w:after="0" w:line="240" w:lineRule="auto"/>
              <w:jc w:val="right"/>
              <w:rPr>
                <w:sz w:val="20"/>
                <w:szCs w:val="20"/>
                <w:lang w:eastAsia="sk-SK"/>
              </w:rPr>
            </w:pPr>
            <w:r>
              <w:rPr>
                <w:sz w:val="20"/>
                <w:szCs w:val="20"/>
                <w:lang w:eastAsia="sk-SK"/>
              </w:rPr>
              <w:t>1</w:t>
            </w:r>
          </w:p>
        </w:tc>
      </w:tr>
      <w:tr w:rsidR="004E5304" w:rsidRPr="000831FC" w14:paraId="70C5C026" w14:textId="77777777" w:rsidTr="00763D06">
        <w:trPr>
          <w:trHeight w:val="232"/>
        </w:trPr>
        <w:tc>
          <w:tcPr>
            <w:tcW w:w="1808" w:type="pct"/>
            <w:tcBorders>
              <w:top w:val="nil"/>
              <w:left w:val="nil"/>
              <w:right w:val="nil"/>
            </w:tcBorders>
            <w:shd w:val="clear" w:color="auto" w:fill="auto"/>
            <w:noWrap/>
            <w:vAlign w:val="bottom"/>
          </w:tcPr>
          <w:p w14:paraId="7A3F2134" w14:textId="77777777" w:rsidR="004E5304" w:rsidRPr="000831FC" w:rsidRDefault="004E5304" w:rsidP="00321687">
            <w:pPr>
              <w:spacing w:after="0" w:line="240" w:lineRule="auto"/>
              <w:rPr>
                <w:color w:val="FF0000"/>
                <w:sz w:val="18"/>
                <w:szCs w:val="18"/>
                <w:lang w:eastAsia="sk-SK"/>
              </w:rPr>
            </w:pPr>
            <w:proofErr w:type="spellStart"/>
            <w:r w:rsidRPr="00B90E64">
              <w:rPr>
                <w:sz w:val="18"/>
                <w:szCs w:val="18"/>
                <w:lang w:eastAsia="sk-SK"/>
              </w:rPr>
              <w:t>Hydromeliorácie</w:t>
            </w:r>
            <w:proofErr w:type="spellEnd"/>
            <w:r w:rsidRPr="00B90E64">
              <w:rPr>
                <w:sz w:val="18"/>
                <w:szCs w:val="18"/>
                <w:lang w:eastAsia="sk-SK"/>
              </w:rPr>
              <w:t xml:space="preserve">, </w:t>
            </w:r>
            <w:proofErr w:type="spellStart"/>
            <w:r w:rsidRPr="00B90E64">
              <w:rPr>
                <w:sz w:val="18"/>
                <w:szCs w:val="18"/>
                <w:lang w:eastAsia="sk-SK"/>
              </w:rPr>
              <w:t>š.p</w:t>
            </w:r>
            <w:proofErr w:type="spellEnd"/>
            <w:r w:rsidRPr="00B90E64">
              <w:rPr>
                <w:sz w:val="18"/>
                <w:szCs w:val="18"/>
                <w:lang w:eastAsia="sk-SK"/>
              </w:rPr>
              <w:t>.</w:t>
            </w:r>
          </w:p>
        </w:tc>
        <w:tc>
          <w:tcPr>
            <w:tcW w:w="474" w:type="pct"/>
            <w:tcBorders>
              <w:top w:val="nil"/>
              <w:left w:val="nil"/>
              <w:right w:val="nil"/>
            </w:tcBorders>
            <w:shd w:val="clear" w:color="auto" w:fill="auto"/>
            <w:noWrap/>
            <w:vAlign w:val="bottom"/>
          </w:tcPr>
          <w:p w14:paraId="62E9BC54"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-5 060</w:t>
            </w:r>
          </w:p>
        </w:tc>
        <w:tc>
          <w:tcPr>
            <w:tcW w:w="653" w:type="pct"/>
            <w:tcBorders>
              <w:top w:val="nil"/>
              <w:left w:val="nil"/>
              <w:right w:val="nil"/>
            </w:tcBorders>
            <w:shd w:val="clear" w:color="auto" w:fill="auto"/>
            <w:noWrap/>
            <w:vAlign w:val="bottom"/>
          </w:tcPr>
          <w:p w14:paraId="3BEAC6D8" w14:textId="77777777" w:rsidR="004E5304" w:rsidRPr="00122125" w:rsidRDefault="004E5304" w:rsidP="00321687">
            <w:pPr>
              <w:spacing w:after="0" w:line="240" w:lineRule="auto"/>
              <w:jc w:val="right"/>
              <w:rPr>
                <w:sz w:val="20"/>
                <w:szCs w:val="20"/>
                <w:lang w:eastAsia="sk-SK"/>
              </w:rPr>
            </w:pPr>
            <w:r>
              <w:rPr>
                <w:sz w:val="20"/>
                <w:szCs w:val="20"/>
                <w:lang w:eastAsia="sk-SK"/>
              </w:rPr>
              <w:t>-5 059</w:t>
            </w:r>
          </w:p>
        </w:tc>
        <w:tc>
          <w:tcPr>
            <w:tcW w:w="514" w:type="pct"/>
            <w:tcBorders>
              <w:top w:val="nil"/>
              <w:left w:val="nil"/>
              <w:right w:val="nil"/>
            </w:tcBorders>
            <w:shd w:val="clear" w:color="auto" w:fill="auto"/>
            <w:noWrap/>
            <w:vAlign w:val="bottom"/>
          </w:tcPr>
          <w:p w14:paraId="38DB2EA0"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right w:val="nil"/>
            </w:tcBorders>
            <w:shd w:val="clear" w:color="auto" w:fill="auto"/>
            <w:noWrap/>
            <w:vAlign w:val="bottom"/>
          </w:tcPr>
          <w:p w14:paraId="4B988804"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1" w:type="pct"/>
            <w:tcBorders>
              <w:top w:val="nil"/>
              <w:left w:val="nil"/>
              <w:right w:val="nil"/>
            </w:tcBorders>
            <w:shd w:val="clear" w:color="auto" w:fill="auto"/>
            <w:noWrap/>
            <w:vAlign w:val="bottom"/>
          </w:tcPr>
          <w:p w14:paraId="35A6DDC4"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right w:val="nil"/>
            </w:tcBorders>
            <w:shd w:val="clear" w:color="auto" w:fill="auto"/>
            <w:noWrap/>
            <w:vAlign w:val="bottom"/>
          </w:tcPr>
          <w:p w14:paraId="5D9679A6" w14:textId="77777777" w:rsidR="004E5304" w:rsidRPr="00122125" w:rsidRDefault="004E5304" w:rsidP="00321687">
            <w:pPr>
              <w:spacing w:after="0" w:line="240" w:lineRule="auto"/>
              <w:jc w:val="right"/>
              <w:rPr>
                <w:sz w:val="20"/>
                <w:szCs w:val="20"/>
                <w:lang w:eastAsia="sk-SK"/>
              </w:rPr>
            </w:pPr>
            <w:r>
              <w:rPr>
                <w:sz w:val="20"/>
                <w:szCs w:val="20"/>
                <w:lang w:eastAsia="sk-SK"/>
              </w:rPr>
              <w:t>-1</w:t>
            </w:r>
          </w:p>
        </w:tc>
      </w:tr>
      <w:tr w:rsidR="004E5304" w:rsidRPr="000831FC" w14:paraId="4D0B92FA" w14:textId="77777777" w:rsidTr="00763D06">
        <w:trPr>
          <w:trHeight w:val="232"/>
        </w:trPr>
        <w:tc>
          <w:tcPr>
            <w:tcW w:w="1808" w:type="pct"/>
            <w:tcBorders>
              <w:top w:val="nil"/>
              <w:left w:val="nil"/>
              <w:right w:val="nil"/>
            </w:tcBorders>
            <w:shd w:val="clear" w:color="auto" w:fill="auto"/>
            <w:noWrap/>
            <w:vAlign w:val="bottom"/>
          </w:tcPr>
          <w:p w14:paraId="6D6972C1" w14:textId="77777777" w:rsidR="004E5304" w:rsidRPr="000831FC" w:rsidRDefault="004E5304" w:rsidP="00321687">
            <w:pPr>
              <w:spacing w:after="0" w:line="240" w:lineRule="auto"/>
              <w:rPr>
                <w:color w:val="FF0000"/>
                <w:sz w:val="20"/>
                <w:szCs w:val="20"/>
                <w:lang w:eastAsia="sk-SK"/>
              </w:rPr>
            </w:pPr>
            <w:r w:rsidRPr="00685588">
              <w:rPr>
                <w:sz w:val="20"/>
                <w:szCs w:val="20"/>
                <w:lang w:eastAsia="sk-SK"/>
              </w:rPr>
              <w:t xml:space="preserve">Letové prevádzkové služby, </w:t>
            </w:r>
            <w:proofErr w:type="spellStart"/>
            <w:r w:rsidRPr="00685588">
              <w:rPr>
                <w:sz w:val="20"/>
                <w:szCs w:val="20"/>
                <w:lang w:eastAsia="sk-SK"/>
              </w:rPr>
              <w:t>š.p</w:t>
            </w:r>
            <w:proofErr w:type="spellEnd"/>
            <w:r w:rsidRPr="00685588">
              <w:rPr>
                <w:sz w:val="20"/>
                <w:szCs w:val="20"/>
                <w:lang w:eastAsia="sk-SK"/>
              </w:rPr>
              <w:t>.</w:t>
            </w:r>
          </w:p>
        </w:tc>
        <w:tc>
          <w:tcPr>
            <w:tcW w:w="474" w:type="pct"/>
            <w:tcBorders>
              <w:top w:val="nil"/>
              <w:left w:val="nil"/>
              <w:right w:val="nil"/>
            </w:tcBorders>
            <w:shd w:val="clear" w:color="auto" w:fill="auto"/>
            <w:noWrap/>
            <w:vAlign w:val="bottom"/>
          </w:tcPr>
          <w:p w14:paraId="0164472F"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-5 702</w:t>
            </w:r>
          </w:p>
        </w:tc>
        <w:tc>
          <w:tcPr>
            <w:tcW w:w="653" w:type="pct"/>
            <w:tcBorders>
              <w:top w:val="nil"/>
              <w:left w:val="nil"/>
              <w:right w:val="nil"/>
            </w:tcBorders>
            <w:shd w:val="clear" w:color="auto" w:fill="auto"/>
            <w:noWrap/>
            <w:vAlign w:val="bottom"/>
          </w:tcPr>
          <w:p w14:paraId="7F0B8D4B" w14:textId="77777777" w:rsidR="004E5304" w:rsidRPr="00122125" w:rsidRDefault="004E5304" w:rsidP="00321687">
            <w:pPr>
              <w:spacing w:after="0" w:line="240" w:lineRule="auto"/>
              <w:jc w:val="right"/>
              <w:rPr>
                <w:sz w:val="20"/>
                <w:szCs w:val="20"/>
                <w:lang w:eastAsia="sk-SK"/>
              </w:rPr>
            </w:pPr>
            <w:r>
              <w:rPr>
                <w:sz w:val="20"/>
                <w:szCs w:val="20"/>
                <w:lang w:eastAsia="sk-SK"/>
              </w:rPr>
              <w:t>-18 302</w:t>
            </w:r>
          </w:p>
        </w:tc>
        <w:tc>
          <w:tcPr>
            <w:tcW w:w="514" w:type="pct"/>
            <w:tcBorders>
              <w:top w:val="nil"/>
              <w:left w:val="nil"/>
              <w:right w:val="nil"/>
            </w:tcBorders>
            <w:shd w:val="clear" w:color="auto" w:fill="auto"/>
            <w:noWrap/>
            <w:vAlign w:val="bottom"/>
          </w:tcPr>
          <w:p w14:paraId="7938716D"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right w:val="nil"/>
            </w:tcBorders>
            <w:shd w:val="clear" w:color="auto" w:fill="auto"/>
            <w:noWrap/>
            <w:vAlign w:val="bottom"/>
          </w:tcPr>
          <w:p w14:paraId="05645FA8"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1" w:type="pct"/>
            <w:tcBorders>
              <w:top w:val="nil"/>
              <w:left w:val="nil"/>
              <w:right w:val="nil"/>
            </w:tcBorders>
            <w:shd w:val="clear" w:color="auto" w:fill="auto"/>
            <w:noWrap/>
            <w:vAlign w:val="bottom"/>
          </w:tcPr>
          <w:p w14:paraId="76B669A6" w14:textId="77777777" w:rsidR="004E5304" w:rsidRPr="00122125" w:rsidRDefault="004E5304" w:rsidP="00321687">
            <w:pPr>
              <w:spacing w:after="0" w:line="240" w:lineRule="auto"/>
              <w:jc w:val="right"/>
              <w:rPr>
                <w:sz w:val="20"/>
                <w:szCs w:val="20"/>
                <w:lang w:eastAsia="sk-SK"/>
              </w:rPr>
            </w:pPr>
            <w:r>
              <w:rPr>
                <w:sz w:val="20"/>
                <w:szCs w:val="20"/>
                <w:lang w:eastAsia="sk-SK"/>
              </w:rPr>
              <w:t>13 200</w:t>
            </w:r>
          </w:p>
        </w:tc>
        <w:tc>
          <w:tcPr>
            <w:tcW w:w="468" w:type="pct"/>
            <w:gridSpan w:val="2"/>
            <w:tcBorders>
              <w:top w:val="nil"/>
              <w:left w:val="nil"/>
              <w:right w:val="nil"/>
            </w:tcBorders>
            <w:shd w:val="clear" w:color="auto" w:fill="auto"/>
            <w:noWrap/>
            <w:vAlign w:val="bottom"/>
          </w:tcPr>
          <w:p w14:paraId="4EFFF94B" w14:textId="77777777" w:rsidR="004E5304" w:rsidRPr="00122125" w:rsidRDefault="004E5304" w:rsidP="00321687">
            <w:pPr>
              <w:spacing w:after="0" w:line="240" w:lineRule="auto"/>
              <w:jc w:val="right"/>
              <w:rPr>
                <w:sz w:val="20"/>
                <w:szCs w:val="20"/>
                <w:lang w:eastAsia="sk-SK"/>
              </w:rPr>
            </w:pPr>
            <w:r>
              <w:rPr>
                <w:sz w:val="20"/>
                <w:szCs w:val="20"/>
                <w:lang w:eastAsia="sk-SK"/>
              </w:rPr>
              <w:t>-600</w:t>
            </w:r>
          </w:p>
        </w:tc>
      </w:tr>
      <w:tr w:rsidR="004E5304" w:rsidRPr="000831FC" w14:paraId="3F8BE388" w14:textId="77777777" w:rsidTr="00763D06">
        <w:trPr>
          <w:trHeight w:val="232"/>
        </w:trPr>
        <w:tc>
          <w:tcPr>
            <w:tcW w:w="1808" w:type="pct"/>
            <w:tcBorders>
              <w:top w:val="nil"/>
              <w:left w:val="nil"/>
              <w:right w:val="nil"/>
            </w:tcBorders>
            <w:shd w:val="clear" w:color="auto" w:fill="auto"/>
            <w:noWrap/>
            <w:vAlign w:val="bottom"/>
          </w:tcPr>
          <w:p w14:paraId="50126DC4" w14:textId="77777777" w:rsidR="004E5304" w:rsidRPr="000831FC" w:rsidRDefault="004E5304" w:rsidP="00321687">
            <w:pPr>
              <w:spacing w:after="0" w:line="240" w:lineRule="auto"/>
              <w:rPr>
                <w:color w:val="FF0000"/>
                <w:sz w:val="20"/>
                <w:szCs w:val="20"/>
                <w:lang w:eastAsia="sk-SK"/>
              </w:rPr>
            </w:pPr>
            <w:r w:rsidRPr="00685588">
              <w:rPr>
                <w:sz w:val="20"/>
                <w:szCs w:val="20"/>
                <w:lang w:eastAsia="sk-SK"/>
              </w:rPr>
              <w:t>Letecké opravovne Trenčín, a.s.</w:t>
            </w:r>
          </w:p>
        </w:tc>
        <w:tc>
          <w:tcPr>
            <w:tcW w:w="474" w:type="pct"/>
            <w:tcBorders>
              <w:top w:val="nil"/>
              <w:left w:val="nil"/>
              <w:right w:val="nil"/>
            </w:tcBorders>
            <w:shd w:val="clear" w:color="auto" w:fill="auto"/>
            <w:noWrap/>
            <w:vAlign w:val="bottom"/>
          </w:tcPr>
          <w:p w14:paraId="6E09D616"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-6 979</w:t>
            </w:r>
          </w:p>
        </w:tc>
        <w:tc>
          <w:tcPr>
            <w:tcW w:w="653" w:type="pct"/>
            <w:tcBorders>
              <w:top w:val="nil"/>
              <w:left w:val="nil"/>
              <w:right w:val="nil"/>
            </w:tcBorders>
            <w:shd w:val="clear" w:color="auto" w:fill="auto"/>
            <w:noWrap/>
            <w:vAlign w:val="bottom"/>
          </w:tcPr>
          <w:p w14:paraId="0A66FAB0" w14:textId="77777777" w:rsidR="004E5304" w:rsidRPr="00122125" w:rsidRDefault="004E5304" w:rsidP="00321687">
            <w:pPr>
              <w:spacing w:after="0" w:line="240" w:lineRule="auto"/>
              <w:jc w:val="right"/>
              <w:rPr>
                <w:sz w:val="20"/>
                <w:szCs w:val="20"/>
                <w:lang w:eastAsia="sk-SK"/>
              </w:rPr>
            </w:pPr>
            <w:r>
              <w:rPr>
                <w:sz w:val="20"/>
                <w:szCs w:val="20"/>
                <w:lang w:eastAsia="sk-SK"/>
              </w:rPr>
              <w:t>-6 979</w:t>
            </w:r>
          </w:p>
        </w:tc>
        <w:tc>
          <w:tcPr>
            <w:tcW w:w="514" w:type="pct"/>
            <w:tcBorders>
              <w:top w:val="nil"/>
              <w:left w:val="nil"/>
              <w:right w:val="nil"/>
            </w:tcBorders>
            <w:shd w:val="clear" w:color="auto" w:fill="auto"/>
            <w:noWrap/>
            <w:vAlign w:val="bottom"/>
          </w:tcPr>
          <w:p w14:paraId="2BABEC9C"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right w:val="nil"/>
            </w:tcBorders>
            <w:shd w:val="clear" w:color="auto" w:fill="auto"/>
            <w:noWrap/>
            <w:vAlign w:val="bottom"/>
          </w:tcPr>
          <w:p w14:paraId="7DA0D8C3"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1" w:type="pct"/>
            <w:tcBorders>
              <w:top w:val="nil"/>
              <w:left w:val="nil"/>
              <w:right w:val="nil"/>
            </w:tcBorders>
            <w:shd w:val="clear" w:color="auto" w:fill="auto"/>
            <w:noWrap/>
            <w:vAlign w:val="bottom"/>
          </w:tcPr>
          <w:p w14:paraId="1EA8A49B"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right w:val="nil"/>
            </w:tcBorders>
            <w:shd w:val="clear" w:color="auto" w:fill="auto"/>
            <w:noWrap/>
            <w:vAlign w:val="bottom"/>
          </w:tcPr>
          <w:p w14:paraId="46BF9A36"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r>
      <w:tr w:rsidR="004E5304" w:rsidRPr="000831FC" w14:paraId="37F39FC5" w14:textId="77777777" w:rsidTr="00763D06">
        <w:trPr>
          <w:trHeight w:val="239"/>
        </w:trPr>
        <w:tc>
          <w:tcPr>
            <w:tcW w:w="1808" w:type="pct"/>
            <w:tcBorders>
              <w:top w:val="nil"/>
              <w:left w:val="nil"/>
              <w:right w:val="nil"/>
            </w:tcBorders>
            <w:shd w:val="clear" w:color="auto" w:fill="auto"/>
            <w:noWrap/>
            <w:vAlign w:val="bottom"/>
          </w:tcPr>
          <w:p w14:paraId="74A4B10B" w14:textId="77777777" w:rsidR="004E5304" w:rsidRPr="000831FC" w:rsidRDefault="004E5304" w:rsidP="00321687">
            <w:pPr>
              <w:spacing w:after="0" w:line="240" w:lineRule="auto"/>
              <w:rPr>
                <w:color w:val="FF0000"/>
                <w:sz w:val="20"/>
                <w:szCs w:val="20"/>
                <w:lang w:eastAsia="sk-SK"/>
              </w:rPr>
            </w:pPr>
            <w:r w:rsidRPr="00685588">
              <w:rPr>
                <w:sz w:val="20"/>
                <w:szCs w:val="20"/>
                <w:lang w:eastAsia="sk-SK"/>
              </w:rPr>
              <w:t xml:space="preserve">Letisko </w:t>
            </w:r>
            <w:proofErr w:type="spellStart"/>
            <w:r w:rsidRPr="00685588">
              <w:rPr>
                <w:sz w:val="20"/>
                <w:szCs w:val="20"/>
                <w:lang w:eastAsia="sk-SK"/>
              </w:rPr>
              <w:t>M.R.Štef</w:t>
            </w:r>
            <w:proofErr w:type="spellEnd"/>
            <w:r w:rsidRPr="00685588">
              <w:rPr>
                <w:sz w:val="20"/>
                <w:szCs w:val="20"/>
                <w:lang w:eastAsia="sk-SK"/>
              </w:rPr>
              <w:t xml:space="preserve">. – </w:t>
            </w:r>
            <w:proofErr w:type="spellStart"/>
            <w:r w:rsidRPr="00685588">
              <w:rPr>
                <w:sz w:val="20"/>
                <w:szCs w:val="20"/>
                <w:lang w:eastAsia="sk-SK"/>
              </w:rPr>
              <w:t>Air.BA,a.s</w:t>
            </w:r>
            <w:proofErr w:type="spellEnd"/>
            <w:r w:rsidRPr="00685588">
              <w:rPr>
                <w:sz w:val="20"/>
                <w:szCs w:val="20"/>
                <w:lang w:eastAsia="sk-SK"/>
              </w:rPr>
              <w:t>.(BTS)</w:t>
            </w:r>
          </w:p>
        </w:tc>
        <w:tc>
          <w:tcPr>
            <w:tcW w:w="474" w:type="pct"/>
            <w:tcBorders>
              <w:top w:val="nil"/>
              <w:left w:val="nil"/>
              <w:right w:val="nil"/>
            </w:tcBorders>
            <w:shd w:val="clear" w:color="auto" w:fill="auto"/>
            <w:noWrap/>
            <w:vAlign w:val="bottom"/>
          </w:tcPr>
          <w:p w14:paraId="6D28EEA0" w14:textId="77777777" w:rsidR="004E5304" w:rsidRPr="000831FC" w:rsidRDefault="004E5304" w:rsidP="00321687">
            <w:pPr>
              <w:spacing w:after="0" w:line="240" w:lineRule="auto"/>
              <w:jc w:val="right"/>
              <w:rPr>
                <w:color w:val="FF0000"/>
                <w:sz w:val="20"/>
                <w:szCs w:val="20"/>
                <w:lang w:eastAsia="sk-SK"/>
              </w:rPr>
            </w:pPr>
            <w:r w:rsidRPr="00122125">
              <w:rPr>
                <w:sz w:val="20"/>
                <w:szCs w:val="20"/>
                <w:lang w:eastAsia="sk-SK"/>
              </w:rPr>
              <w:t>-14 016</w:t>
            </w:r>
          </w:p>
        </w:tc>
        <w:tc>
          <w:tcPr>
            <w:tcW w:w="653" w:type="pct"/>
            <w:tcBorders>
              <w:top w:val="nil"/>
              <w:left w:val="nil"/>
              <w:right w:val="nil"/>
            </w:tcBorders>
            <w:shd w:val="clear" w:color="auto" w:fill="auto"/>
            <w:noWrap/>
            <w:vAlign w:val="bottom"/>
          </w:tcPr>
          <w:p w14:paraId="5657653D" w14:textId="77777777" w:rsidR="004E5304" w:rsidRPr="00122125" w:rsidRDefault="004E5304" w:rsidP="00321687">
            <w:pPr>
              <w:spacing w:after="0" w:line="240" w:lineRule="auto"/>
              <w:jc w:val="right"/>
              <w:rPr>
                <w:sz w:val="20"/>
                <w:szCs w:val="20"/>
                <w:lang w:eastAsia="sk-SK"/>
              </w:rPr>
            </w:pPr>
            <w:r>
              <w:rPr>
                <w:sz w:val="20"/>
                <w:szCs w:val="20"/>
                <w:lang w:eastAsia="sk-SK"/>
              </w:rPr>
              <w:t>-14 016</w:t>
            </w:r>
          </w:p>
        </w:tc>
        <w:tc>
          <w:tcPr>
            <w:tcW w:w="514" w:type="pct"/>
            <w:tcBorders>
              <w:top w:val="nil"/>
              <w:left w:val="nil"/>
              <w:right w:val="nil"/>
            </w:tcBorders>
            <w:shd w:val="clear" w:color="auto" w:fill="auto"/>
            <w:noWrap/>
            <w:vAlign w:val="bottom"/>
          </w:tcPr>
          <w:p w14:paraId="71D3AB66"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right w:val="nil"/>
            </w:tcBorders>
            <w:shd w:val="clear" w:color="auto" w:fill="auto"/>
            <w:noWrap/>
            <w:vAlign w:val="bottom"/>
          </w:tcPr>
          <w:p w14:paraId="60636AE1"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1" w:type="pct"/>
            <w:tcBorders>
              <w:top w:val="nil"/>
              <w:left w:val="nil"/>
              <w:right w:val="nil"/>
            </w:tcBorders>
            <w:shd w:val="clear" w:color="auto" w:fill="auto"/>
            <w:noWrap/>
            <w:vAlign w:val="bottom"/>
          </w:tcPr>
          <w:p w14:paraId="61081945"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right w:val="nil"/>
            </w:tcBorders>
            <w:shd w:val="clear" w:color="auto" w:fill="auto"/>
            <w:noWrap/>
            <w:vAlign w:val="bottom"/>
          </w:tcPr>
          <w:p w14:paraId="0EBE5C9D"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r>
      <w:tr w:rsidR="004E5304" w:rsidRPr="000831FC" w14:paraId="4ABC8447" w14:textId="77777777" w:rsidTr="00763D06">
        <w:trPr>
          <w:trHeight w:val="239"/>
        </w:trPr>
        <w:tc>
          <w:tcPr>
            <w:tcW w:w="1808" w:type="pct"/>
            <w:tcBorders>
              <w:top w:val="nil"/>
              <w:left w:val="nil"/>
              <w:right w:val="nil"/>
            </w:tcBorders>
            <w:shd w:val="clear" w:color="auto" w:fill="auto"/>
            <w:noWrap/>
            <w:vAlign w:val="bottom"/>
          </w:tcPr>
          <w:p w14:paraId="18450CE7" w14:textId="77777777" w:rsidR="004E5304" w:rsidRPr="00685588" w:rsidRDefault="004E5304" w:rsidP="00321687">
            <w:pPr>
              <w:spacing w:after="0" w:line="240" w:lineRule="auto"/>
              <w:rPr>
                <w:sz w:val="20"/>
                <w:szCs w:val="20"/>
                <w:lang w:eastAsia="sk-SK"/>
              </w:rPr>
            </w:pPr>
            <w:r>
              <w:rPr>
                <w:sz w:val="20"/>
                <w:szCs w:val="20"/>
                <w:lang w:eastAsia="sk-SK"/>
              </w:rPr>
              <w:t>Železnice Slovenskej republiky</w:t>
            </w:r>
          </w:p>
        </w:tc>
        <w:tc>
          <w:tcPr>
            <w:tcW w:w="474" w:type="pct"/>
            <w:tcBorders>
              <w:top w:val="nil"/>
              <w:left w:val="nil"/>
              <w:right w:val="nil"/>
            </w:tcBorders>
            <w:shd w:val="clear" w:color="auto" w:fill="auto"/>
            <w:noWrap/>
            <w:vAlign w:val="bottom"/>
          </w:tcPr>
          <w:p w14:paraId="2C0CC692" w14:textId="77777777" w:rsidR="004E5304" w:rsidRPr="000831FC" w:rsidRDefault="004E5304" w:rsidP="00321687">
            <w:pPr>
              <w:spacing w:after="0" w:line="240" w:lineRule="auto"/>
              <w:jc w:val="right"/>
              <w:rPr>
                <w:color w:val="FF0000"/>
                <w:sz w:val="20"/>
                <w:szCs w:val="20"/>
                <w:lang w:eastAsia="sk-SK"/>
              </w:rPr>
            </w:pPr>
            <w:r w:rsidRPr="00685588">
              <w:rPr>
                <w:sz w:val="20"/>
                <w:szCs w:val="20"/>
                <w:lang w:eastAsia="sk-SK"/>
              </w:rPr>
              <w:t>-14 055</w:t>
            </w:r>
          </w:p>
        </w:tc>
        <w:tc>
          <w:tcPr>
            <w:tcW w:w="653" w:type="pct"/>
            <w:tcBorders>
              <w:top w:val="nil"/>
              <w:left w:val="nil"/>
              <w:right w:val="nil"/>
            </w:tcBorders>
            <w:shd w:val="clear" w:color="auto" w:fill="auto"/>
            <w:noWrap/>
            <w:vAlign w:val="bottom"/>
          </w:tcPr>
          <w:p w14:paraId="012AA1EA" w14:textId="77777777" w:rsidR="004E5304" w:rsidRPr="00122125" w:rsidRDefault="004E5304" w:rsidP="00321687">
            <w:pPr>
              <w:spacing w:after="0" w:line="240" w:lineRule="auto"/>
              <w:jc w:val="right"/>
              <w:rPr>
                <w:sz w:val="20"/>
                <w:szCs w:val="20"/>
                <w:lang w:eastAsia="sk-SK"/>
              </w:rPr>
            </w:pPr>
            <w:r>
              <w:rPr>
                <w:sz w:val="20"/>
                <w:szCs w:val="20"/>
                <w:lang w:eastAsia="sk-SK"/>
              </w:rPr>
              <w:t>-15 176</w:t>
            </w:r>
          </w:p>
        </w:tc>
        <w:tc>
          <w:tcPr>
            <w:tcW w:w="514" w:type="pct"/>
            <w:tcBorders>
              <w:top w:val="nil"/>
              <w:left w:val="nil"/>
              <w:right w:val="nil"/>
            </w:tcBorders>
            <w:shd w:val="clear" w:color="auto" w:fill="auto"/>
            <w:noWrap/>
            <w:vAlign w:val="bottom"/>
          </w:tcPr>
          <w:p w14:paraId="5B923D70"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right w:val="nil"/>
            </w:tcBorders>
            <w:shd w:val="clear" w:color="auto" w:fill="auto"/>
            <w:noWrap/>
            <w:vAlign w:val="bottom"/>
          </w:tcPr>
          <w:p w14:paraId="144BCAB5" w14:textId="77777777" w:rsidR="004E5304" w:rsidRPr="00122125" w:rsidRDefault="004E5304" w:rsidP="00321687">
            <w:pPr>
              <w:spacing w:after="0" w:line="240" w:lineRule="auto"/>
              <w:jc w:val="right"/>
              <w:rPr>
                <w:sz w:val="20"/>
                <w:szCs w:val="20"/>
                <w:lang w:eastAsia="sk-SK"/>
              </w:rPr>
            </w:pPr>
            <w:r>
              <w:rPr>
                <w:sz w:val="20"/>
                <w:szCs w:val="20"/>
                <w:lang w:eastAsia="sk-SK"/>
              </w:rPr>
              <w:t>525</w:t>
            </w:r>
          </w:p>
        </w:tc>
        <w:tc>
          <w:tcPr>
            <w:tcW w:w="541" w:type="pct"/>
            <w:tcBorders>
              <w:top w:val="nil"/>
              <w:left w:val="nil"/>
              <w:right w:val="nil"/>
            </w:tcBorders>
            <w:shd w:val="clear" w:color="auto" w:fill="auto"/>
            <w:noWrap/>
            <w:vAlign w:val="bottom"/>
          </w:tcPr>
          <w:p w14:paraId="3AAC389A" w14:textId="77777777" w:rsidR="004E5304" w:rsidRPr="00122125" w:rsidRDefault="004E5304" w:rsidP="00321687">
            <w:pPr>
              <w:spacing w:after="0" w:line="240" w:lineRule="auto"/>
              <w:jc w:val="right"/>
              <w:rPr>
                <w:sz w:val="20"/>
                <w:szCs w:val="20"/>
                <w:lang w:eastAsia="sk-SK"/>
              </w:rPr>
            </w:pPr>
            <w:r>
              <w:rPr>
                <w:sz w:val="20"/>
                <w:szCs w:val="20"/>
                <w:lang w:eastAsia="sk-SK"/>
              </w:rPr>
              <w:t>596</w:t>
            </w:r>
          </w:p>
        </w:tc>
        <w:tc>
          <w:tcPr>
            <w:tcW w:w="468" w:type="pct"/>
            <w:gridSpan w:val="2"/>
            <w:tcBorders>
              <w:top w:val="nil"/>
              <w:left w:val="nil"/>
              <w:right w:val="nil"/>
            </w:tcBorders>
            <w:shd w:val="clear" w:color="auto" w:fill="auto"/>
            <w:noWrap/>
            <w:vAlign w:val="bottom"/>
          </w:tcPr>
          <w:p w14:paraId="7C044448" w14:textId="77777777" w:rsidR="004E5304" w:rsidRPr="00122125" w:rsidRDefault="004E5304" w:rsidP="00321687">
            <w:pPr>
              <w:spacing w:after="0" w:line="240" w:lineRule="auto"/>
              <w:jc w:val="right"/>
              <w:rPr>
                <w:noProof/>
                <w:sz w:val="20"/>
                <w:szCs w:val="20"/>
                <w:lang w:eastAsia="sk-SK"/>
              </w:rPr>
            </w:pPr>
            <w:r>
              <w:rPr>
                <w:noProof/>
                <w:sz w:val="20"/>
                <w:szCs w:val="20"/>
                <w:lang w:eastAsia="sk-SK"/>
              </w:rPr>
              <w:t>0</w:t>
            </w:r>
          </w:p>
        </w:tc>
      </w:tr>
      <w:tr w:rsidR="004E5304" w:rsidRPr="000831FC" w14:paraId="25FA2029" w14:textId="77777777" w:rsidTr="00763D06">
        <w:trPr>
          <w:trHeight w:val="239"/>
        </w:trPr>
        <w:tc>
          <w:tcPr>
            <w:tcW w:w="1808" w:type="pct"/>
            <w:tcBorders>
              <w:top w:val="nil"/>
              <w:left w:val="nil"/>
              <w:right w:val="nil"/>
            </w:tcBorders>
            <w:shd w:val="clear" w:color="auto" w:fill="auto"/>
            <w:noWrap/>
            <w:vAlign w:val="bottom"/>
          </w:tcPr>
          <w:p w14:paraId="3D2B7707" w14:textId="77777777" w:rsidR="004E5304" w:rsidRDefault="004E5304" w:rsidP="00321687">
            <w:pPr>
              <w:spacing w:after="0" w:line="240" w:lineRule="auto"/>
              <w:rPr>
                <w:sz w:val="20"/>
                <w:szCs w:val="20"/>
                <w:lang w:eastAsia="sk-SK"/>
              </w:rPr>
            </w:pPr>
            <w:proofErr w:type="spellStart"/>
            <w:r>
              <w:rPr>
                <w:sz w:val="20"/>
                <w:szCs w:val="20"/>
                <w:lang w:eastAsia="sk-SK"/>
              </w:rPr>
              <w:t>Vých.energetika</w:t>
            </w:r>
            <w:proofErr w:type="spellEnd"/>
            <w:r>
              <w:rPr>
                <w:sz w:val="20"/>
                <w:szCs w:val="20"/>
                <w:lang w:eastAsia="sk-SK"/>
              </w:rPr>
              <w:t xml:space="preserve"> Holding, </w:t>
            </w:r>
            <w:proofErr w:type="spellStart"/>
            <w:r>
              <w:rPr>
                <w:sz w:val="20"/>
                <w:szCs w:val="20"/>
                <w:lang w:eastAsia="sk-SK"/>
              </w:rPr>
              <w:t>a.s</w:t>
            </w:r>
            <w:proofErr w:type="spellEnd"/>
            <w:r>
              <w:rPr>
                <w:sz w:val="20"/>
                <w:szCs w:val="20"/>
                <w:lang w:eastAsia="sk-SK"/>
              </w:rPr>
              <w:t>.</w:t>
            </w:r>
          </w:p>
        </w:tc>
        <w:tc>
          <w:tcPr>
            <w:tcW w:w="474" w:type="pct"/>
            <w:tcBorders>
              <w:top w:val="nil"/>
              <w:left w:val="nil"/>
              <w:right w:val="nil"/>
            </w:tcBorders>
            <w:shd w:val="clear" w:color="auto" w:fill="auto"/>
            <w:noWrap/>
            <w:vAlign w:val="bottom"/>
          </w:tcPr>
          <w:p w14:paraId="47821C36" w14:textId="77777777" w:rsidR="004E5304" w:rsidRPr="000831FC" w:rsidRDefault="004E5304" w:rsidP="00321687">
            <w:pPr>
              <w:spacing w:after="0" w:line="240" w:lineRule="auto"/>
              <w:jc w:val="right"/>
              <w:rPr>
                <w:color w:val="FF0000"/>
                <w:sz w:val="20"/>
                <w:szCs w:val="20"/>
                <w:lang w:eastAsia="sk-SK"/>
              </w:rPr>
            </w:pPr>
            <w:r w:rsidRPr="00685588">
              <w:rPr>
                <w:sz w:val="20"/>
                <w:szCs w:val="20"/>
                <w:lang w:eastAsia="sk-SK"/>
              </w:rPr>
              <w:t>-17 228</w:t>
            </w:r>
          </w:p>
        </w:tc>
        <w:tc>
          <w:tcPr>
            <w:tcW w:w="653" w:type="pct"/>
            <w:tcBorders>
              <w:top w:val="nil"/>
              <w:left w:val="nil"/>
              <w:right w:val="nil"/>
            </w:tcBorders>
            <w:shd w:val="clear" w:color="auto" w:fill="auto"/>
            <w:noWrap/>
            <w:vAlign w:val="bottom"/>
          </w:tcPr>
          <w:p w14:paraId="65812732" w14:textId="77777777" w:rsidR="004E5304" w:rsidRPr="00122125" w:rsidRDefault="004E5304" w:rsidP="00321687">
            <w:pPr>
              <w:spacing w:after="0" w:line="240" w:lineRule="auto"/>
              <w:jc w:val="right"/>
              <w:rPr>
                <w:sz w:val="20"/>
                <w:szCs w:val="20"/>
                <w:lang w:eastAsia="sk-SK"/>
              </w:rPr>
            </w:pPr>
            <w:r>
              <w:rPr>
                <w:sz w:val="20"/>
                <w:szCs w:val="20"/>
                <w:lang w:eastAsia="sk-SK"/>
              </w:rPr>
              <w:t>49 451</w:t>
            </w:r>
          </w:p>
        </w:tc>
        <w:tc>
          <w:tcPr>
            <w:tcW w:w="514" w:type="pct"/>
            <w:tcBorders>
              <w:top w:val="nil"/>
              <w:left w:val="nil"/>
              <w:right w:val="nil"/>
            </w:tcBorders>
            <w:shd w:val="clear" w:color="auto" w:fill="auto"/>
            <w:noWrap/>
            <w:vAlign w:val="bottom"/>
          </w:tcPr>
          <w:p w14:paraId="26C9925E" w14:textId="77777777" w:rsidR="004E5304" w:rsidRPr="00122125" w:rsidRDefault="004E5304" w:rsidP="00321687">
            <w:pPr>
              <w:spacing w:after="0" w:line="240" w:lineRule="auto"/>
              <w:jc w:val="right"/>
              <w:rPr>
                <w:sz w:val="20"/>
                <w:szCs w:val="20"/>
                <w:lang w:eastAsia="sk-SK"/>
              </w:rPr>
            </w:pPr>
            <w:r>
              <w:rPr>
                <w:sz w:val="20"/>
                <w:szCs w:val="20"/>
                <w:lang w:eastAsia="sk-SK"/>
              </w:rPr>
              <w:t>-66 711</w:t>
            </w:r>
          </w:p>
        </w:tc>
        <w:tc>
          <w:tcPr>
            <w:tcW w:w="542" w:type="pct"/>
            <w:tcBorders>
              <w:top w:val="nil"/>
              <w:left w:val="nil"/>
              <w:right w:val="nil"/>
            </w:tcBorders>
            <w:shd w:val="clear" w:color="auto" w:fill="auto"/>
            <w:noWrap/>
            <w:vAlign w:val="bottom"/>
          </w:tcPr>
          <w:p w14:paraId="1E00D487" w14:textId="77777777" w:rsidR="004E5304" w:rsidRPr="00122125" w:rsidRDefault="004E5304" w:rsidP="00321687">
            <w:pPr>
              <w:spacing w:after="0" w:line="240" w:lineRule="auto"/>
              <w:jc w:val="right"/>
              <w:rPr>
                <w:sz w:val="20"/>
                <w:szCs w:val="20"/>
                <w:lang w:eastAsia="sk-SK"/>
              </w:rPr>
            </w:pPr>
            <w:r>
              <w:rPr>
                <w:sz w:val="20"/>
                <w:szCs w:val="20"/>
                <w:lang w:eastAsia="sk-SK"/>
              </w:rPr>
              <w:t>32</w:t>
            </w:r>
          </w:p>
        </w:tc>
        <w:tc>
          <w:tcPr>
            <w:tcW w:w="541" w:type="pct"/>
            <w:tcBorders>
              <w:top w:val="nil"/>
              <w:left w:val="nil"/>
              <w:right w:val="nil"/>
            </w:tcBorders>
            <w:shd w:val="clear" w:color="auto" w:fill="auto"/>
            <w:noWrap/>
            <w:vAlign w:val="bottom"/>
          </w:tcPr>
          <w:p w14:paraId="20E5F13F"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right w:val="nil"/>
            </w:tcBorders>
            <w:shd w:val="clear" w:color="auto" w:fill="auto"/>
            <w:noWrap/>
            <w:vAlign w:val="bottom"/>
          </w:tcPr>
          <w:p w14:paraId="3064CC30" w14:textId="77777777" w:rsidR="004E5304" w:rsidRPr="00122125" w:rsidRDefault="004E5304" w:rsidP="00321687">
            <w:pPr>
              <w:spacing w:after="0" w:line="240" w:lineRule="auto"/>
              <w:jc w:val="right"/>
              <w:rPr>
                <w:noProof/>
                <w:sz w:val="20"/>
                <w:szCs w:val="20"/>
                <w:lang w:eastAsia="sk-SK"/>
              </w:rPr>
            </w:pPr>
            <w:r>
              <w:rPr>
                <w:noProof/>
                <w:sz w:val="20"/>
                <w:szCs w:val="20"/>
                <w:lang w:eastAsia="sk-SK"/>
              </w:rPr>
              <w:t>0</w:t>
            </w:r>
          </w:p>
        </w:tc>
      </w:tr>
      <w:tr w:rsidR="004E5304" w:rsidRPr="000831FC" w14:paraId="17B7195C" w14:textId="77777777" w:rsidTr="00763D06">
        <w:trPr>
          <w:trHeight w:val="239"/>
        </w:trPr>
        <w:tc>
          <w:tcPr>
            <w:tcW w:w="1808" w:type="pct"/>
            <w:tcBorders>
              <w:top w:val="nil"/>
              <w:left w:val="nil"/>
              <w:right w:val="nil"/>
            </w:tcBorders>
            <w:shd w:val="clear" w:color="auto" w:fill="auto"/>
            <w:noWrap/>
            <w:vAlign w:val="bottom"/>
          </w:tcPr>
          <w:p w14:paraId="07B08CC1" w14:textId="77777777" w:rsidR="004E5304" w:rsidRDefault="004E5304" w:rsidP="00321687">
            <w:pPr>
              <w:spacing w:after="0" w:line="240" w:lineRule="auto"/>
              <w:rPr>
                <w:sz w:val="20"/>
                <w:szCs w:val="20"/>
                <w:lang w:eastAsia="sk-SK"/>
              </w:rPr>
            </w:pPr>
            <w:r>
              <w:rPr>
                <w:sz w:val="20"/>
                <w:szCs w:val="20"/>
                <w:lang w:eastAsia="sk-SK"/>
              </w:rPr>
              <w:t>Slovenská pošta, a.s.</w:t>
            </w:r>
          </w:p>
        </w:tc>
        <w:tc>
          <w:tcPr>
            <w:tcW w:w="474" w:type="pct"/>
            <w:tcBorders>
              <w:top w:val="nil"/>
              <w:left w:val="nil"/>
              <w:right w:val="nil"/>
            </w:tcBorders>
            <w:shd w:val="clear" w:color="auto" w:fill="auto"/>
            <w:noWrap/>
            <w:vAlign w:val="bottom"/>
          </w:tcPr>
          <w:p w14:paraId="1B148302" w14:textId="77777777" w:rsidR="004E5304" w:rsidRPr="000831FC" w:rsidRDefault="004E5304" w:rsidP="00321687">
            <w:pPr>
              <w:spacing w:after="0" w:line="240" w:lineRule="auto"/>
              <w:jc w:val="right"/>
              <w:rPr>
                <w:color w:val="FF0000"/>
                <w:sz w:val="20"/>
                <w:szCs w:val="20"/>
                <w:lang w:eastAsia="sk-SK"/>
              </w:rPr>
            </w:pPr>
            <w:r w:rsidRPr="00685588">
              <w:rPr>
                <w:sz w:val="20"/>
                <w:szCs w:val="20"/>
                <w:lang w:eastAsia="sk-SK"/>
              </w:rPr>
              <w:t>-17 430</w:t>
            </w:r>
          </w:p>
        </w:tc>
        <w:tc>
          <w:tcPr>
            <w:tcW w:w="653" w:type="pct"/>
            <w:tcBorders>
              <w:top w:val="nil"/>
              <w:left w:val="nil"/>
              <w:right w:val="nil"/>
            </w:tcBorders>
            <w:shd w:val="clear" w:color="auto" w:fill="auto"/>
            <w:noWrap/>
            <w:vAlign w:val="bottom"/>
          </w:tcPr>
          <w:p w14:paraId="7CF2B4B8" w14:textId="77777777" w:rsidR="004E5304" w:rsidRPr="00122125" w:rsidRDefault="004E5304" w:rsidP="00321687">
            <w:pPr>
              <w:spacing w:after="0" w:line="240" w:lineRule="auto"/>
              <w:jc w:val="right"/>
              <w:rPr>
                <w:sz w:val="20"/>
                <w:szCs w:val="20"/>
                <w:lang w:eastAsia="sk-SK"/>
              </w:rPr>
            </w:pPr>
            <w:r>
              <w:rPr>
                <w:sz w:val="20"/>
                <w:szCs w:val="20"/>
                <w:lang w:eastAsia="sk-SK"/>
              </w:rPr>
              <w:t>-15 997</w:t>
            </w:r>
          </w:p>
        </w:tc>
        <w:tc>
          <w:tcPr>
            <w:tcW w:w="514" w:type="pct"/>
            <w:tcBorders>
              <w:top w:val="nil"/>
              <w:left w:val="nil"/>
              <w:right w:val="nil"/>
            </w:tcBorders>
            <w:shd w:val="clear" w:color="auto" w:fill="auto"/>
            <w:noWrap/>
            <w:vAlign w:val="bottom"/>
          </w:tcPr>
          <w:p w14:paraId="060C049D"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right w:val="nil"/>
            </w:tcBorders>
            <w:shd w:val="clear" w:color="auto" w:fill="auto"/>
            <w:noWrap/>
            <w:vAlign w:val="bottom"/>
          </w:tcPr>
          <w:p w14:paraId="1619A1A0" w14:textId="77777777" w:rsidR="004E5304" w:rsidRPr="00122125" w:rsidRDefault="004E5304" w:rsidP="00321687">
            <w:pPr>
              <w:spacing w:after="0" w:line="240" w:lineRule="auto"/>
              <w:jc w:val="right"/>
              <w:rPr>
                <w:sz w:val="20"/>
                <w:szCs w:val="20"/>
                <w:lang w:eastAsia="sk-SK"/>
              </w:rPr>
            </w:pPr>
            <w:r>
              <w:rPr>
                <w:sz w:val="20"/>
                <w:szCs w:val="20"/>
                <w:lang w:eastAsia="sk-SK"/>
              </w:rPr>
              <w:t>-1 433</w:t>
            </w:r>
          </w:p>
        </w:tc>
        <w:tc>
          <w:tcPr>
            <w:tcW w:w="541" w:type="pct"/>
            <w:tcBorders>
              <w:top w:val="nil"/>
              <w:left w:val="nil"/>
              <w:right w:val="nil"/>
            </w:tcBorders>
            <w:shd w:val="clear" w:color="auto" w:fill="auto"/>
            <w:noWrap/>
            <w:vAlign w:val="bottom"/>
          </w:tcPr>
          <w:p w14:paraId="705A3F81"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right w:val="nil"/>
            </w:tcBorders>
            <w:shd w:val="clear" w:color="auto" w:fill="auto"/>
            <w:noWrap/>
            <w:vAlign w:val="bottom"/>
          </w:tcPr>
          <w:p w14:paraId="51432389" w14:textId="77777777" w:rsidR="004E5304" w:rsidRPr="00122125" w:rsidRDefault="004E5304" w:rsidP="00321687">
            <w:pPr>
              <w:spacing w:after="0" w:line="240" w:lineRule="auto"/>
              <w:jc w:val="right"/>
              <w:rPr>
                <w:noProof/>
                <w:sz w:val="20"/>
                <w:szCs w:val="20"/>
                <w:lang w:eastAsia="sk-SK"/>
              </w:rPr>
            </w:pPr>
            <w:r>
              <w:rPr>
                <w:noProof/>
                <w:sz w:val="20"/>
                <w:szCs w:val="20"/>
                <w:lang w:eastAsia="sk-SK"/>
              </w:rPr>
              <w:t>0</w:t>
            </w:r>
          </w:p>
        </w:tc>
      </w:tr>
      <w:tr w:rsidR="004E5304" w:rsidRPr="000831FC" w14:paraId="3AD4B862" w14:textId="77777777" w:rsidTr="00763D06">
        <w:trPr>
          <w:trHeight w:val="239"/>
        </w:trPr>
        <w:tc>
          <w:tcPr>
            <w:tcW w:w="1808" w:type="pct"/>
            <w:tcBorders>
              <w:top w:val="nil"/>
              <w:left w:val="nil"/>
              <w:right w:val="nil"/>
            </w:tcBorders>
            <w:shd w:val="clear" w:color="auto" w:fill="auto"/>
            <w:noWrap/>
            <w:vAlign w:val="bottom"/>
          </w:tcPr>
          <w:p w14:paraId="6654A90C" w14:textId="77777777" w:rsidR="004E5304" w:rsidRDefault="004E5304" w:rsidP="00321687">
            <w:pPr>
              <w:spacing w:after="0" w:line="240" w:lineRule="auto"/>
              <w:rPr>
                <w:sz w:val="20"/>
                <w:szCs w:val="20"/>
                <w:lang w:eastAsia="sk-SK"/>
              </w:rPr>
            </w:pPr>
            <w:r>
              <w:rPr>
                <w:sz w:val="20"/>
                <w:szCs w:val="20"/>
                <w:lang w:eastAsia="sk-SK"/>
              </w:rPr>
              <w:t>ŽS Cargo Slovakia, a.s.</w:t>
            </w:r>
          </w:p>
        </w:tc>
        <w:tc>
          <w:tcPr>
            <w:tcW w:w="474" w:type="pct"/>
            <w:tcBorders>
              <w:top w:val="nil"/>
              <w:left w:val="nil"/>
              <w:right w:val="nil"/>
            </w:tcBorders>
            <w:shd w:val="clear" w:color="auto" w:fill="auto"/>
            <w:noWrap/>
            <w:vAlign w:val="bottom"/>
          </w:tcPr>
          <w:p w14:paraId="58E62E43" w14:textId="77777777" w:rsidR="004E5304" w:rsidRPr="00685588" w:rsidRDefault="004E5304" w:rsidP="00321687">
            <w:pPr>
              <w:spacing w:after="0" w:line="240" w:lineRule="auto"/>
              <w:jc w:val="right"/>
              <w:rPr>
                <w:sz w:val="20"/>
                <w:szCs w:val="20"/>
                <w:lang w:eastAsia="sk-SK"/>
              </w:rPr>
            </w:pPr>
            <w:r w:rsidRPr="00685588">
              <w:rPr>
                <w:sz w:val="20"/>
                <w:szCs w:val="20"/>
                <w:lang w:eastAsia="sk-SK"/>
              </w:rPr>
              <w:t>-32 224</w:t>
            </w:r>
          </w:p>
        </w:tc>
        <w:tc>
          <w:tcPr>
            <w:tcW w:w="653" w:type="pct"/>
            <w:tcBorders>
              <w:top w:val="nil"/>
              <w:left w:val="nil"/>
              <w:right w:val="nil"/>
            </w:tcBorders>
            <w:shd w:val="clear" w:color="auto" w:fill="auto"/>
            <w:noWrap/>
            <w:vAlign w:val="bottom"/>
          </w:tcPr>
          <w:p w14:paraId="1189B8AE" w14:textId="77777777" w:rsidR="004E5304" w:rsidRPr="00122125" w:rsidRDefault="004E5304" w:rsidP="00321687">
            <w:pPr>
              <w:spacing w:after="0" w:line="240" w:lineRule="auto"/>
              <w:jc w:val="right"/>
              <w:rPr>
                <w:sz w:val="20"/>
                <w:szCs w:val="20"/>
                <w:lang w:eastAsia="sk-SK"/>
              </w:rPr>
            </w:pPr>
            <w:r>
              <w:rPr>
                <w:sz w:val="20"/>
                <w:szCs w:val="20"/>
                <w:lang w:eastAsia="sk-SK"/>
              </w:rPr>
              <w:t>-32 224</w:t>
            </w:r>
          </w:p>
        </w:tc>
        <w:tc>
          <w:tcPr>
            <w:tcW w:w="514" w:type="pct"/>
            <w:tcBorders>
              <w:top w:val="nil"/>
              <w:left w:val="nil"/>
              <w:right w:val="nil"/>
            </w:tcBorders>
            <w:shd w:val="clear" w:color="auto" w:fill="auto"/>
            <w:noWrap/>
            <w:vAlign w:val="bottom"/>
          </w:tcPr>
          <w:p w14:paraId="6B7E93BF"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right w:val="nil"/>
            </w:tcBorders>
            <w:shd w:val="clear" w:color="auto" w:fill="auto"/>
            <w:noWrap/>
            <w:vAlign w:val="bottom"/>
          </w:tcPr>
          <w:p w14:paraId="71F6EA7D"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1" w:type="pct"/>
            <w:tcBorders>
              <w:top w:val="nil"/>
              <w:left w:val="nil"/>
              <w:right w:val="nil"/>
            </w:tcBorders>
            <w:shd w:val="clear" w:color="auto" w:fill="auto"/>
            <w:noWrap/>
            <w:vAlign w:val="bottom"/>
          </w:tcPr>
          <w:p w14:paraId="288EB107"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right w:val="nil"/>
            </w:tcBorders>
            <w:shd w:val="clear" w:color="auto" w:fill="auto"/>
            <w:noWrap/>
            <w:vAlign w:val="bottom"/>
          </w:tcPr>
          <w:p w14:paraId="052A1783" w14:textId="77777777" w:rsidR="004E5304" w:rsidRPr="00122125" w:rsidRDefault="004E5304" w:rsidP="00321687">
            <w:pPr>
              <w:spacing w:after="0" w:line="240" w:lineRule="auto"/>
              <w:jc w:val="right"/>
              <w:rPr>
                <w:noProof/>
                <w:sz w:val="20"/>
                <w:szCs w:val="20"/>
                <w:lang w:eastAsia="sk-SK"/>
              </w:rPr>
            </w:pPr>
            <w:r>
              <w:rPr>
                <w:noProof/>
                <w:sz w:val="20"/>
                <w:szCs w:val="20"/>
                <w:lang w:eastAsia="sk-SK"/>
              </w:rPr>
              <w:t>0</w:t>
            </w:r>
          </w:p>
        </w:tc>
      </w:tr>
      <w:tr w:rsidR="004E5304" w:rsidRPr="000831FC" w14:paraId="3E251B15" w14:textId="77777777" w:rsidTr="00763D06">
        <w:trPr>
          <w:trHeight w:val="239"/>
        </w:trPr>
        <w:tc>
          <w:tcPr>
            <w:tcW w:w="1808" w:type="pct"/>
            <w:tcBorders>
              <w:top w:val="nil"/>
              <w:left w:val="nil"/>
              <w:right w:val="nil"/>
            </w:tcBorders>
            <w:shd w:val="clear" w:color="auto" w:fill="auto"/>
            <w:noWrap/>
            <w:vAlign w:val="bottom"/>
          </w:tcPr>
          <w:p w14:paraId="0DB25F7F" w14:textId="77777777" w:rsidR="004E5304" w:rsidRDefault="004E5304" w:rsidP="00321687">
            <w:pPr>
              <w:spacing w:after="0" w:line="240" w:lineRule="auto"/>
              <w:rPr>
                <w:sz w:val="20"/>
                <w:szCs w:val="20"/>
                <w:lang w:eastAsia="sk-SK"/>
              </w:rPr>
            </w:pPr>
            <w:r>
              <w:rPr>
                <w:sz w:val="20"/>
                <w:szCs w:val="20"/>
                <w:lang w:eastAsia="sk-SK"/>
              </w:rPr>
              <w:t>Slovenské elektrárne, a.s.</w:t>
            </w:r>
          </w:p>
        </w:tc>
        <w:tc>
          <w:tcPr>
            <w:tcW w:w="474" w:type="pct"/>
            <w:tcBorders>
              <w:top w:val="nil"/>
              <w:left w:val="nil"/>
              <w:right w:val="nil"/>
            </w:tcBorders>
            <w:shd w:val="clear" w:color="auto" w:fill="auto"/>
            <w:noWrap/>
            <w:vAlign w:val="bottom"/>
          </w:tcPr>
          <w:p w14:paraId="0F064117" w14:textId="77777777" w:rsidR="004E5304" w:rsidRPr="000831FC" w:rsidRDefault="004E5304" w:rsidP="00321687">
            <w:pPr>
              <w:spacing w:after="0" w:line="240" w:lineRule="auto"/>
              <w:jc w:val="right"/>
              <w:rPr>
                <w:color w:val="FF0000"/>
                <w:sz w:val="20"/>
                <w:szCs w:val="20"/>
                <w:lang w:eastAsia="sk-SK"/>
              </w:rPr>
            </w:pPr>
            <w:r w:rsidRPr="00685588">
              <w:rPr>
                <w:sz w:val="20"/>
                <w:szCs w:val="20"/>
                <w:lang w:eastAsia="sk-SK"/>
              </w:rPr>
              <w:t>-48 596</w:t>
            </w:r>
          </w:p>
        </w:tc>
        <w:tc>
          <w:tcPr>
            <w:tcW w:w="653" w:type="pct"/>
            <w:tcBorders>
              <w:top w:val="nil"/>
              <w:left w:val="nil"/>
              <w:right w:val="nil"/>
            </w:tcBorders>
            <w:shd w:val="clear" w:color="auto" w:fill="auto"/>
            <w:noWrap/>
            <w:vAlign w:val="bottom"/>
          </w:tcPr>
          <w:p w14:paraId="7DFBBA70" w14:textId="77777777" w:rsidR="004E5304" w:rsidRPr="00122125" w:rsidRDefault="004E5304" w:rsidP="00321687">
            <w:pPr>
              <w:spacing w:after="0" w:line="240" w:lineRule="auto"/>
              <w:jc w:val="right"/>
              <w:rPr>
                <w:sz w:val="20"/>
                <w:szCs w:val="20"/>
                <w:lang w:eastAsia="sk-SK"/>
              </w:rPr>
            </w:pPr>
            <w:r>
              <w:rPr>
                <w:sz w:val="20"/>
                <w:szCs w:val="20"/>
                <w:lang w:eastAsia="sk-SK"/>
              </w:rPr>
              <w:t>39 870</w:t>
            </w:r>
          </w:p>
        </w:tc>
        <w:tc>
          <w:tcPr>
            <w:tcW w:w="514" w:type="pct"/>
            <w:tcBorders>
              <w:top w:val="nil"/>
              <w:left w:val="nil"/>
              <w:right w:val="nil"/>
            </w:tcBorders>
            <w:shd w:val="clear" w:color="auto" w:fill="auto"/>
            <w:noWrap/>
            <w:vAlign w:val="bottom"/>
          </w:tcPr>
          <w:p w14:paraId="3D2C4589"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top w:val="nil"/>
              <w:left w:val="nil"/>
              <w:right w:val="nil"/>
            </w:tcBorders>
            <w:shd w:val="clear" w:color="auto" w:fill="auto"/>
            <w:noWrap/>
            <w:vAlign w:val="bottom"/>
          </w:tcPr>
          <w:p w14:paraId="66747381" w14:textId="77777777" w:rsidR="004E5304" w:rsidRPr="00122125" w:rsidRDefault="004E5304" w:rsidP="00321687">
            <w:pPr>
              <w:spacing w:after="0" w:line="240" w:lineRule="auto"/>
              <w:jc w:val="right"/>
              <w:rPr>
                <w:sz w:val="20"/>
                <w:szCs w:val="20"/>
                <w:lang w:eastAsia="sk-SK"/>
              </w:rPr>
            </w:pPr>
            <w:r>
              <w:rPr>
                <w:sz w:val="20"/>
                <w:szCs w:val="20"/>
                <w:lang w:eastAsia="sk-SK"/>
              </w:rPr>
              <w:t>-88 466</w:t>
            </w:r>
          </w:p>
        </w:tc>
        <w:tc>
          <w:tcPr>
            <w:tcW w:w="541" w:type="pct"/>
            <w:tcBorders>
              <w:top w:val="nil"/>
              <w:left w:val="nil"/>
              <w:right w:val="nil"/>
            </w:tcBorders>
            <w:shd w:val="clear" w:color="auto" w:fill="auto"/>
            <w:noWrap/>
            <w:vAlign w:val="bottom"/>
          </w:tcPr>
          <w:p w14:paraId="1C801ACB"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right w:val="nil"/>
            </w:tcBorders>
            <w:shd w:val="clear" w:color="auto" w:fill="auto"/>
            <w:noWrap/>
            <w:vAlign w:val="bottom"/>
          </w:tcPr>
          <w:p w14:paraId="7990AC0B" w14:textId="77777777" w:rsidR="004E5304" w:rsidRPr="00122125" w:rsidRDefault="004E5304" w:rsidP="00321687">
            <w:pPr>
              <w:spacing w:after="0" w:line="240" w:lineRule="auto"/>
              <w:jc w:val="right"/>
              <w:rPr>
                <w:noProof/>
                <w:sz w:val="20"/>
                <w:szCs w:val="20"/>
                <w:lang w:eastAsia="sk-SK"/>
              </w:rPr>
            </w:pPr>
            <w:r>
              <w:rPr>
                <w:noProof/>
                <w:sz w:val="20"/>
                <w:szCs w:val="20"/>
                <w:lang w:eastAsia="sk-SK"/>
              </w:rPr>
              <w:t>0</w:t>
            </w:r>
          </w:p>
        </w:tc>
      </w:tr>
      <w:tr w:rsidR="004E5304" w:rsidRPr="000831FC" w14:paraId="4CCB5177" w14:textId="77777777" w:rsidTr="00763D06">
        <w:trPr>
          <w:trHeight w:val="239"/>
        </w:trPr>
        <w:tc>
          <w:tcPr>
            <w:tcW w:w="1808" w:type="pct"/>
            <w:tcBorders>
              <w:top w:val="nil"/>
              <w:left w:val="nil"/>
              <w:right w:val="nil"/>
            </w:tcBorders>
            <w:shd w:val="clear" w:color="auto" w:fill="auto"/>
            <w:noWrap/>
            <w:vAlign w:val="bottom"/>
          </w:tcPr>
          <w:p w14:paraId="308CBC7D" w14:textId="77777777" w:rsidR="004E5304" w:rsidRDefault="004E5304" w:rsidP="00321687">
            <w:pPr>
              <w:spacing w:after="0" w:line="240" w:lineRule="auto"/>
              <w:rPr>
                <w:sz w:val="20"/>
                <w:szCs w:val="20"/>
                <w:lang w:eastAsia="sk-SK"/>
              </w:rPr>
            </w:pPr>
            <w:proofErr w:type="spellStart"/>
            <w:r>
              <w:rPr>
                <w:sz w:val="20"/>
                <w:szCs w:val="20"/>
                <w:lang w:eastAsia="sk-SK"/>
              </w:rPr>
              <w:t>Stredoslov</w:t>
            </w:r>
            <w:proofErr w:type="spellEnd"/>
            <w:r>
              <w:rPr>
                <w:sz w:val="20"/>
                <w:szCs w:val="20"/>
                <w:lang w:eastAsia="sk-SK"/>
              </w:rPr>
              <w:t>. energetika Holding, a.s.</w:t>
            </w:r>
          </w:p>
        </w:tc>
        <w:tc>
          <w:tcPr>
            <w:tcW w:w="474" w:type="pct"/>
            <w:tcBorders>
              <w:top w:val="nil"/>
              <w:left w:val="nil"/>
              <w:right w:val="nil"/>
            </w:tcBorders>
            <w:shd w:val="clear" w:color="auto" w:fill="auto"/>
            <w:noWrap/>
            <w:vAlign w:val="bottom"/>
          </w:tcPr>
          <w:p w14:paraId="2227C24E" w14:textId="77777777" w:rsidR="004E5304" w:rsidRPr="000831FC" w:rsidRDefault="004E5304" w:rsidP="00321687">
            <w:pPr>
              <w:spacing w:after="0" w:line="240" w:lineRule="auto"/>
              <w:jc w:val="right"/>
              <w:rPr>
                <w:color w:val="FF0000"/>
                <w:sz w:val="20"/>
                <w:szCs w:val="20"/>
                <w:lang w:eastAsia="sk-SK"/>
              </w:rPr>
            </w:pPr>
            <w:r w:rsidRPr="00685588">
              <w:rPr>
                <w:sz w:val="20"/>
                <w:szCs w:val="20"/>
                <w:lang w:eastAsia="sk-SK"/>
              </w:rPr>
              <w:t>-66 928</w:t>
            </w:r>
          </w:p>
        </w:tc>
        <w:tc>
          <w:tcPr>
            <w:tcW w:w="653" w:type="pct"/>
            <w:tcBorders>
              <w:top w:val="nil"/>
              <w:left w:val="nil"/>
              <w:right w:val="nil"/>
            </w:tcBorders>
            <w:shd w:val="clear" w:color="auto" w:fill="auto"/>
            <w:noWrap/>
            <w:vAlign w:val="bottom"/>
          </w:tcPr>
          <w:p w14:paraId="6A55FB55" w14:textId="77777777" w:rsidR="004E5304" w:rsidRPr="00122125" w:rsidRDefault="004E5304" w:rsidP="00321687">
            <w:pPr>
              <w:spacing w:after="0" w:line="240" w:lineRule="auto"/>
              <w:jc w:val="right"/>
              <w:rPr>
                <w:sz w:val="20"/>
                <w:szCs w:val="20"/>
                <w:lang w:eastAsia="sk-SK"/>
              </w:rPr>
            </w:pPr>
            <w:r>
              <w:rPr>
                <w:sz w:val="20"/>
                <w:szCs w:val="20"/>
                <w:lang w:eastAsia="sk-SK"/>
              </w:rPr>
              <w:t>121 707</w:t>
            </w:r>
          </w:p>
        </w:tc>
        <w:tc>
          <w:tcPr>
            <w:tcW w:w="514" w:type="pct"/>
            <w:tcBorders>
              <w:top w:val="nil"/>
              <w:left w:val="nil"/>
              <w:right w:val="nil"/>
            </w:tcBorders>
            <w:shd w:val="clear" w:color="auto" w:fill="auto"/>
            <w:noWrap/>
            <w:vAlign w:val="bottom"/>
          </w:tcPr>
          <w:p w14:paraId="7F97D347" w14:textId="77777777" w:rsidR="004E5304" w:rsidRPr="00122125" w:rsidRDefault="004E5304" w:rsidP="00321687">
            <w:pPr>
              <w:spacing w:after="0" w:line="240" w:lineRule="auto"/>
              <w:jc w:val="right"/>
              <w:rPr>
                <w:sz w:val="20"/>
                <w:szCs w:val="20"/>
                <w:lang w:eastAsia="sk-SK"/>
              </w:rPr>
            </w:pPr>
            <w:r>
              <w:rPr>
                <w:sz w:val="20"/>
                <w:szCs w:val="20"/>
                <w:lang w:eastAsia="sk-SK"/>
              </w:rPr>
              <w:t>-188 635</w:t>
            </w:r>
          </w:p>
        </w:tc>
        <w:tc>
          <w:tcPr>
            <w:tcW w:w="542" w:type="pct"/>
            <w:tcBorders>
              <w:top w:val="nil"/>
              <w:left w:val="nil"/>
              <w:right w:val="nil"/>
            </w:tcBorders>
            <w:shd w:val="clear" w:color="auto" w:fill="auto"/>
            <w:noWrap/>
            <w:vAlign w:val="bottom"/>
          </w:tcPr>
          <w:p w14:paraId="7E913E1B"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1" w:type="pct"/>
            <w:tcBorders>
              <w:top w:val="nil"/>
              <w:left w:val="nil"/>
              <w:right w:val="nil"/>
            </w:tcBorders>
            <w:shd w:val="clear" w:color="auto" w:fill="auto"/>
            <w:noWrap/>
            <w:vAlign w:val="bottom"/>
          </w:tcPr>
          <w:p w14:paraId="250880A1"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top w:val="nil"/>
              <w:left w:val="nil"/>
              <w:right w:val="nil"/>
            </w:tcBorders>
            <w:shd w:val="clear" w:color="auto" w:fill="auto"/>
            <w:noWrap/>
            <w:vAlign w:val="bottom"/>
          </w:tcPr>
          <w:p w14:paraId="523B6CD7" w14:textId="77777777" w:rsidR="004E5304" w:rsidRPr="00122125" w:rsidRDefault="004E5304" w:rsidP="00321687">
            <w:pPr>
              <w:spacing w:after="0" w:line="240" w:lineRule="auto"/>
              <w:jc w:val="right"/>
              <w:rPr>
                <w:noProof/>
                <w:sz w:val="20"/>
                <w:szCs w:val="20"/>
                <w:lang w:eastAsia="sk-SK"/>
              </w:rPr>
            </w:pPr>
            <w:r>
              <w:rPr>
                <w:noProof/>
                <w:sz w:val="20"/>
                <w:szCs w:val="20"/>
                <w:lang w:eastAsia="sk-SK"/>
              </w:rPr>
              <w:t>0</w:t>
            </w:r>
          </w:p>
        </w:tc>
      </w:tr>
      <w:tr w:rsidR="004E5304" w:rsidRPr="000831FC" w14:paraId="23DB2A1F" w14:textId="77777777" w:rsidTr="00763D06">
        <w:trPr>
          <w:trHeight w:val="232"/>
        </w:trPr>
        <w:tc>
          <w:tcPr>
            <w:tcW w:w="1808" w:type="pct"/>
            <w:tcBorders>
              <w:left w:val="nil"/>
              <w:bottom w:val="single" w:sz="4" w:space="0" w:color="auto"/>
              <w:right w:val="nil"/>
            </w:tcBorders>
            <w:shd w:val="clear" w:color="auto" w:fill="auto"/>
            <w:noWrap/>
            <w:vAlign w:val="bottom"/>
          </w:tcPr>
          <w:p w14:paraId="2F012882" w14:textId="77777777" w:rsidR="004E5304" w:rsidRPr="00685588" w:rsidRDefault="004E5304" w:rsidP="00321687">
            <w:pPr>
              <w:spacing w:after="0" w:line="240" w:lineRule="auto"/>
              <w:rPr>
                <w:sz w:val="20"/>
                <w:szCs w:val="20"/>
                <w:lang w:eastAsia="sk-SK"/>
              </w:rPr>
            </w:pPr>
            <w:proofErr w:type="spellStart"/>
            <w:r w:rsidRPr="00685588">
              <w:rPr>
                <w:sz w:val="20"/>
                <w:szCs w:val="20"/>
                <w:lang w:eastAsia="sk-SK"/>
              </w:rPr>
              <w:t>Debitum</w:t>
            </w:r>
            <w:proofErr w:type="spellEnd"/>
            <w:r w:rsidRPr="00685588">
              <w:rPr>
                <w:sz w:val="20"/>
                <w:szCs w:val="20"/>
                <w:lang w:eastAsia="sk-SK"/>
              </w:rPr>
              <w:t xml:space="preserve">, </w:t>
            </w:r>
            <w:proofErr w:type="spellStart"/>
            <w:r w:rsidRPr="00685588">
              <w:rPr>
                <w:sz w:val="20"/>
                <w:szCs w:val="20"/>
                <w:lang w:eastAsia="sk-SK"/>
              </w:rPr>
              <w:t>a.s</w:t>
            </w:r>
            <w:proofErr w:type="spellEnd"/>
            <w:r w:rsidRPr="00685588">
              <w:rPr>
                <w:sz w:val="20"/>
                <w:szCs w:val="20"/>
                <w:lang w:eastAsia="sk-SK"/>
              </w:rPr>
              <w:t>.</w:t>
            </w:r>
          </w:p>
        </w:tc>
        <w:tc>
          <w:tcPr>
            <w:tcW w:w="474" w:type="pct"/>
            <w:tcBorders>
              <w:left w:val="nil"/>
              <w:bottom w:val="single" w:sz="4" w:space="0" w:color="auto"/>
              <w:right w:val="nil"/>
            </w:tcBorders>
            <w:shd w:val="clear" w:color="auto" w:fill="auto"/>
            <w:noWrap/>
            <w:vAlign w:val="bottom"/>
          </w:tcPr>
          <w:p w14:paraId="5A7BDABE" w14:textId="77777777" w:rsidR="004E5304" w:rsidRPr="000831FC" w:rsidRDefault="004E5304" w:rsidP="00321687">
            <w:pPr>
              <w:spacing w:after="0" w:line="240" w:lineRule="auto"/>
              <w:jc w:val="right"/>
              <w:rPr>
                <w:color w:val="FF0000"/>
                <w:sz w:val="20"/>
                <w:szCs w:val="20"/>
                <w:lang w:eastAsia="sk-SK"/>
              </w:rPr>
            </w:pPr>
            <w:r w:rsidRPr="00685588">
              <w:rPr>
                <w:sz w:val="20"/>
                <w:szCs w:val="20"/>
                <w:lang w:eastAsia="sk-SK"/>
              </w:rPr>
              <w:t>-109 33</w:t>
            </w:r>
            <w:r>
              <w:rPr>
                <w:sz w:val="20"/>
                <w:szCs w:val="20"/>
                <w:lang w:eastAsia="sk-SK"/>
              </w:rPr>
              <w:t>8</w:t>
            </w:r>
          </w:p>
        </w:tc>
        <w:tc>
          <w:tcPr>
            <w:tcW w:w="653" w:type="pct"/>
            <w:tcBorders>
              <w:left w:val="nil"/>
              <w:bottom w:val="single" w:sz="4" w:space="0" w:color="auto"/>
              <w:right w:val="nil"/>
            </w:tcBorders>
            <w:shd w:val="clear" w:color="auto" w:fill="auto"/>
            <w:noWrap/>
            <w:vAlign w:val="bottom"/>
          </w:tcPr>
          <w:p w14:paraId="5C838ADB" w14:textId="77777777" w:rsidR="004E5304" w:rsidRPr="00122125" w:rsidRDefault="004E5304" w:rsidP="00321687">
            <w:pPr>
              <w:spacing w:after="0" w:line="240" w:lineRule="auto"/>
              <w:jc w:val="right"/>
              <w:rPr>
                <w:sz w:val="20"/>
                <w:szCs w:val="20"/>
                <w:lang w:eastAsia="sk-SK"/>
              </w:rPr>
            </w:pPr>
            <w:r>
              <w:rPr>
                <w:sz w:val="20"/>
                <w:szCs w:val="20"/>
                <w:lang w:eastAsia="sk-SK"/>
              </w:rPr>
              <w:t>-109 338</w:t>
            </w:r>
          </w:p>
        </w:tc>
        <w:tc>
          <w:tcPr>
            <w:tcW w:w="514" w:type="pct"/>
            <w:tcBorders>
              <w:left w:val="nil"/>
              <w:bottom w:val="single" w:sz="4" w:space="0" w:color="auto"/>
              <w:right w:val="nil"/>
            </w:tcBorders>
            <w:shd w:val="clear" w:color="auto" w:fill="auto"/>
            <w:noWrap/>
            <w:vAlign w:val="bottom"/>
          </w:tcPr>
          <w:p w14:paraId="3D72D99D"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2" w:type="pct"/>
            <w:tcBorders>
              <w:left w:val="nil"/>
              <w:bottom w:val="single" w:sz="4" w:space="0" w:color="auto"/>
              <w:right w:val="nil"/>
            </w:tcBorders>
            <w:shd w:val="clear" w:color="auto" w:fill="auto"/>
            <w:noWrap/>
            <w:vAlign w:val="bottom"/>
          </w:tcPr>
          <w:p w14:paraId="7A131EA5"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541" w:type="pct"/>
            <w:tcBorders>
              <w:left w:val="nil"/>
              <w:bottom w:val="single" w:sz="4" w:space="0" w:color="auto"/>
              <w:right w:val="nil"/>
            </w:tcBorders>
            <w:shd w:val="clear" w:color="auto" w:fill="auto"/>
            <w:noWrap/>
            <w:vAlign w:val="bottom"/>
          </w:tcPr>
          <w:p w14:paraId="4A8B8C23"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c>
          <w:tcPr>
            <w:tcW w:w="468" w:type="pct"/>
            <w:gridSpan w:val="2"/>
            <w:tcBorders>
              <w:left w:val="nil"/>
              <w:bottom w:val="single" w:sz="4" w:space="0" w:color="auto"/>
              <w:right w:val="nil"/>
            </w:tcBorders>
            <w:shd w:val="clear" w:color="auto" w:fill="auto"/>
            <w:noWrap/>
            <w:vAlign w:val="bottom"/>
          </w:tcPr>
          <w:p w14:paraId="668BFFA4" w14:textId="77777777" w:rsidR="004E5304" w:rsidRPr="00122125" w:rsidRDefault="004E5304" w:rsidP="00321687">
            <w:pPr>
              <w:spacing w:after="0" w:line="240" w:lineRule="auto"/>
              <w:jc w:val="right"/>
              <w:rPr>
                <w:sz w:val="20"/>
                <w:szCs w:val="20"/>
                <w:lang w:eastAsia="sk-SK"/>
              </w:rPr>
            </w:pPr>
            <w:r>
              <w:rPr>
                <w:sz w:val="20"/>
                <w:szCs w:val="20"/>
                <w:lang w:eastAsia="sk-SK"/>
              </w:rPr>
              <w:t>0</w:t>
            </w:r>
          </w:p>
        </w:tc>
      </w:tr>
      <w:tr w:rsidR="004E5304" w:rsidRPr="000831FC" w14:paraId="1F554460" w14:textId="77777777" w:rsidTr="00763D06">
        <w:trPr>
          <w:trHeight w:val="232"/>
        </w:trPr>
        <w:tc>
          <w:tcPr>
            <w:tcW w:w="1808" w:type="pct"/>
            <w:tcBorders>
              <w:top w:val="nil"/>
              <w:left w:val="nil"/>
              <w:bottom w:val="nil"/>
              <w:right w:val="nil"/>
            </w:tcBorders>
            <w:shd w:val="clear" w:color="auto" w:fill="auto"/>
            <w:noWrap/>
            <w:vAlign w:val="bottom"/>
            <w:hideMark/>
          </w:tcPr>
          <w:p w14:paraId="29EB9E30" w14:textId="77777777" w:rsidR="004E5304" w:rsidRPr="000831FC" w:rsidRDefault="004E5304" w:rsidP="00321687">
            <w:pPr>
              <w:spacing w:after="0" w:line="240" w:lineRule="auto"/>
              <w:jc w:val="right"/>
              <w:rPr>
                <w:color w:val="FF0000"/>
                <w:sz w:val="20"/>
                <w:szCs w:val="20"/>
                <w:lang w:eastAsia="sk-SK"/>
              </w:rPr>
            </w:pPr>
          </w:p>
        </w:tc>
        <w:tc>
          <w:tcPr>
            <w:tcW w:w="474" w:type="pct"/>
            <w:tcBorders>
              <w:top w:val="nil"/>
              <w:left w:val="nil"/>
              <w:bottom w:val="nil"/>
              <w:right w:val="nil"/>
            </w:tcBorders>
            <w:shd w:val="clear" w:color="auto" w:fill="auto"/>
            <w:noWrap/>
            <w:vAlign w:val="bottom"/>
            <w:hideMark/>
          </w:tcPr>
          <w:p w14:paraId="4F205062" w14:textId="77777777" w:rsidR="004E5304" w:rsidRPr="000831FC" w:rsidRDefault="004E5304" w:rsidP="00321687">
            <w:pPr>
              <w:spacing w:after="0" w:line="240" w:lineRule="auto"/>
              <w:rPr>
                <w:color w:val="FF0000"/>
                <w:sz w:val="20"/>
                <w:szCs w:val="20"/>
                <w:lang w:eastAsia="sk-SK"/>
              </w:rPr>
            </w:pPr>
          </w:p>
        </w:tc>
        <w:tc>
          <w:tcPr>
            <w:tcW w:w="653" w:type="pct"/>
            <w:tcBorders>
              <w:top w:val="nil"/>
              <w:left w:val="nil"/>
              <w:bottom w:val="nil"/>
              <w:right w:val="nil"/>
            </w:tcBorders>
            <w:shd w:val="clear" w:color="auto" w:fill="auto"/>
            <w:noWrap/>
            <w:vAlign w:val="bottom"/>
            <w:hideMark/>
          </w:tcPr>
          <w:p w14:paraId="25B89B3E" w14:textId="77777777" w:rsidR="004E5304" w:rsidRPr="000831FC" w:rsidRDefault="004E5304" w:rsidP="00321687">
            <w:pPr>
              <w:spacing w:after="0" w:line="240" w:lineRule="auto"/>
              <w:rPr>
                <w:color w:val="FF0000"/>
                <w:sz w:val="20"/>
                <w:szCs w:val="20"/>
                <w:lang w:eastAsia="sk-SK"/>
              </w:rPr>
            </w:pPr>
          </w:p>
        </w:tc>
        <w:tc>
          <w:tcPr>
            <w:tcW w:w="514" w:type="pct"/>
            <w:tcBorders>
              <w:top w:val="nil"/>
              <w:left w:val="nil"/>
              <w:bottom w:val="nil"/>
              <w:right w:val="nil"/>
            </w:tcBorders>
            <w:shd w:val="clear" w:color="auto" w:fill="auto"/>
            <w:noWrap/>
            <w:vAlign w:val="bottom"/>
            <w:hideMark/>
          </w:tcPr>
          <w:p w14:paraId="3628529F" w14:textId="77777777" w:rsidR="004E5304" w:rsidRPr="000831FC" w:rsidRDefault="004E5304" w:rsidP="00321687">
            <w:pPr>
              <w:spacing w:after="0" w:line="240" w:lineRule="auto"/>
              <w:rPr>
                <w:color w:val="FF0000"/>
                <w:sz w:val="20"/>
                <w:szCs w:val="20"/>
                <w:lang w:eastAsia="sk-SK"/>
              </w:rPr>
            </w:pPr>
          </w:p>
        </w:tc>
        <w:tc>
          <w:tcPr>
            <w:tcW w:w="542" w:type="pct"/>
            <w:tcBorders>
              <w:top w:val="nil"/>
              <w:left w:val="nil"/>
              <w:bottom w:val="nil"/>
              <w:right w:val="nil"/>
            </w:tcBorders>
            <w:shd w:val="clear" w:color="auto" w:fill="auto"/>
            <w:noWrap/>
            <w:vAlign w:val="bottom"/>
            <w:hideMark/>
          </w:tcPr>
          <w:p w14:paraId="43F660F9" w14:textId="77777777" w:rsidR="004E5304" w:rsidRPr="000831FC" w:rsidRDefault="004E5304" w:rsidP="00321687">
            <w:pPr>
              <w:spacing w:after="0" w:line="240" w:lineRule="auto"/>
              <w:rPr>
                <w:color w:val="FF0000"/>
                <w:sz w:val="20"/>
                <w:szCs w:val="20"/>
                <w:lang w:eastAsia="sk-SK"/>
              </w:rPr>
            </w:pPr>
          </w:p>
        </w:tc>
        <w:tc>
          <w:tcPr>
            <w:tcW w:w="541" w:type="pct"/>
            <w:tcBorders>
              <w:top w:val="nil"/>
              <w:left w:val="nil"/>
              <w:bottom w:val="nil"/>
              <w:right w:val="nil"/>
            </w:tcBorders>
            <w:shd w:val="clear" w:color="auto" w:fill="auto"/>
            <w:noWrap/>
            <w:vAlign w:val="bottom"/>
            <w:hideMark/>
          </w:tcPr>
          <w:p w14:paraId="5DF307AC" w14:textId="77777777" w:rsidR="004E5304" w:rsidRPr="000831FC" w:rsidRDefault="004E5304" w:rsidP="00321687">
            <w:pPr>
              <w:spacing w:after="0" w:line="240" w:lineRule="auto"/>
              <w:rPr>
                <w:color w:val="FF0000"/>
                <w:sz w:val="20"/>
                <w:szCs w:val="20"/>
                <w:lang w:eastAsia="sk-SK"/>
              </w:rPr>
            </w:pPr>
          </w:p>
        </w:tc>
        <w:tc>
          <w:tcPr>
            <w:tcW w:w="468" w:type="pct"/>
            <w:gridSpan w:val="2"/>
            <w:tcBorders>
              <w:top w:val="nil"/>
              <w:left w:val="nil"/>
              <w:bottom w:val="nil"/>
              <w:right w:val="nil"/>
            </w:tcBorders>
            <w:shd w:val="clear" w:color="auto" w:fill="auto"/>
            <w:noWrap/>
            <w:vAlign w:val="center"/>
            <w:hideMark/>
          </w:tcPr>
          <w:p w14:paraId="4F7A3BCF" w14:textId="77777777" w:rsidR="004E5304" w:rsidRPr="000831FC" w:rsidRDefault="004E5304" w:rsidP="00321687">
            <w:pPr>
              <w:spacing w:after="0" w:line="240" w:lineRule="auto"/>
              <w:jc w:val="right"/>
              <w:rPr>
                <w:i/>
                <w:iCs/>
                <w:color w:val="FF0000"/>
                <w:sz w:val="16"/>
                <w:szCs w:val="16"/>
                <w:lang w:eastAsia="sk-SK"/>
              </w:rPr>
            </w:pPr>
            <w:r w:rsidRPr="00122125">
              <w:rPr>
                <w:i/>
                <w:iCs/>
                <w:sz w:val="16"/>
                <w:szCs w:val="16"/>
                <w:lang w:eastAsia="sk-SK"/>
              </w:rPr>
              <w:t>Zdroj: IÚZ</w:t>
            </w:r>
          </w:p>
        </w:tc>
      </w:tr>
      <w:tr w:rsidR="004E5304" w:rsidRPr="000831FC" w14:paraId="2D337CCC" w14:textId="77777777" w:rsidTr="00763D06">
        <w:trPr>
          <w:trHeight w:val="232"/>
        </w:trPr>
        <w:tc>
          <w:tcPr>
            <w:tcW w:w="1808" w:type="pct"/>
            <w:tcBorders>
              <w:top w:val="nil"/>
              <w:left w:val="nil"/>
              <w:bottom w:val="nil"/>
              <w:right w:val="nil"/>
            </w:tcBorders>
            <w:shd w:val="clear" w:color="auto" w:fill="auto"/>
            <w:noWrap/>
            <w:vAlign w:val="bottom"/>
          </w:tcPr>
          <w:p w14:paraId="252CD7FD" w14:textId="77777777" w:rsidR="004E5304" w:rsidRPr="000831FC" w:rsidRDefault="004E5304" w:rsidP="00321687">
            <w:pPr>
              <w:spacing w:after="0" w:line="240" w:lineRule="auto"/>
              <w:jc w:val="right"/>
              <w:rPr>
                <w:color w:val="FF0000"/>
                <w:sz w:val="20"/>
                <w:szCs w:val="20"/>
                <w:lang w:eastAsia="sk-SK"/>
              </w:rPr>
            </w:pPr>
          </w:p>
        </w:tc>
        <w:tc>
          <w:tcPr>
            <w:tcW w:w="474" w:type="pct"/>
            <w:tcBorders>
              <w:top w:val="nil"/>
              <w:left w:val="nil"/>
              <w:bottom w:val="nil"/>
              <w:right w:val="nil"/>
            </w:tcBorders>
            <w:shd w:val="clear" w:color="auto" w:fill="auto"/>
            <w:noWrap/>
            <w:vAlign w:val="bottom"/>
          </w:tcPr>
          <w:p w14:paraId="4466D8D4" w14:textId="77777777" w:rsidR="004E5304" w:rsidRPr="000831FC" w:rsidRDefault="004E5304" w:rsidP="00321687">
            <w:pPr>
              <w:spacing w:after="0" w:line="240" w:lineRule="auto"/>
              <w:rPr>
                <w:color w:val="FF0000"/>
                <w:sz w:val="20"/>
                <w:szCs w:val="20"/>
                <w:lang w:eastAsia="sk-SK"/>
              </w:rPr>
            </w:pPr>
          </w:p>
        </w:tc>
        <w:tc>
          <w:tcPr>
            <w:tcW w:w="653" w:type="pct"/>
            <w:tcBorders>
              <w:top w:val="nil"/>
              <w:left w:val="nil"/>
              <w:bottom w:val="nil"/>
              <w:right w:val="nil"/>
            </w:tcBorders>
            <w:shd w:val="clear" w:color="auto" w:fill="auto"/>
            <w:noWrap/>
            <w:vAlign w:val="bottom"/>
          </w:tcPr>
          <w:p w14:paraId="389927A4" w14:textId="77777777" w:rsidR="004E5304" w:rsidRPr="000831FC" w:rsidRDefault="004E5304" w:rsidP="00321687">
            <w:pPr>
              <w:spacing w:after="0" w:line="240" w:lineRule="auto"/>
              <w:rPr>
                <w:color w:val="FF0000"/>
                <w:sz w:val="20"/>
                <w:szCs w:val="20"/>
                <w:lang w:eastAsia="sk-SK"/>
              </w:rPr>
            </w:pPr>
          </w:p>
        </w:tc>
        <w:tc>
          <w:tcPr>
            <w:tcW w:w="514" w:type="pct"/>
            <w:tcBorders>
              <w:top w:val="nil"/>
              <w:left w:val="nil"/>
              <w:bottom w:val="nil"/>
              <w:right w:val="nil"/>
            </w:tcBorders>
            <w:shd w:val="clear" w:color="auto" w:fill="auto"/>
            <w:noWrap/>
            <w:vAlign w:val="bottom"/>
          </w:tcPr>
          <w:p w14:paraId="66928442" w14:textId="77777777" w:rsidR="004E5304" w:rsidRPr="000831FC" w:rsidRDefault="004E5304" w:rsidP="00321687">
            <w:pPr>
              <w:spacing w:after="0" w:line="240" w:lineRule="auto"/>
              <w:rPr>
                <w:color w:val="FF0000"/>
                <w:sz w:val="20"/>
                <w:szCs w:val="20"/>
                <w:lang w:eastAsia="sk-SK"/>
              </w:rPr>
            </w:pPr>
          </w:p>
        </w:tc>
        <w:tc>
          <w:tcPr>
            <w:tcW w:w="542" w:type="pct"/>
            <w:tcBorders>
              <w:top w:val="nil"/>
              <w:left w:val="nil"/>
              <w:bottom w:val="nil"/>
              <w:right w:val="nil"/>
            </w:tcBorders>
            <w:shd w:val="clear" w:color="auto" w:fill="auto"/>
            <w:noWrap/>
            <w:vAlign w:val="bottom"/>
          </w:tcPr>
          <w:p w14:paraId="1DE8D556" w14:textId="77777777" w:rsidR="004E5304" w:rsidRPr="000831FC" w:rsidRDefault="004E5304" w:rsidP="00321687">
            <w:pPr>
              <w:spacing w:after="0" w:line="240" w:lineRule="auto"/>
              <w:rPr>
                <w:color w:val="FF0000"/>
                <w:sz w:val="20"/>
                <w:szCs w:val="20"/>
                <w:lang w:eastAsia="sk-SK"/>
              </w:rPr>
            </w:pPr>
          </w:p>
        </w:tc>
        <w:tc>
          <w:tcPr>
            <w:tcW w:w="541" w:type="pct"/>
            <w:tcBorders>
              <w:top w:val="nil"/>
              <w:left w:val="nil"/>
              <w:bottom w:val="nil"/>
              <w:right w:val="nil"/>
            </w:tcBorders>
            <w:shd w:val="clear" w:color="auto" w:fill="auto"/>
            <w:noWrap/>
            <w:vAlign w:val="bottom"/>
          </w:tcPr>
          <w:p w14:paraId="084CF34D" w14:textId="77777777" w:rsidR="004E5304" w:rsidRPr="000831FC" w:rsidRDefault="004E5304" w:rsidP="00321687">
            <w:pPr>
              <w:spacing w:after="0" w:line="240" w:lineRule="auto"/>
              <w:rPr>
                <w:color w:val="FF0000"/>
                <w:sz w:val="20"/>
                <w:szCs w:val="20"/>
                <w:lang w:eastAsia="sk-SK"/>
              </w:rPr>
            </w:pPr>
          </w:p>
        </w:tc>
        <w:tc>
          <w:tcPr>
            <w:tcW w:w="468" w:type="pct"/>
            <w:gridSpan w:val="2"/>
            <w:tcBorders>
              <w:top w:val="nil"/>
              <w:left w:val="nil"/>
              <w:bottom w:val="nil"/>
              <w:right w:val="nil"/>
            </w:tcBorders>
            <w:shd w:val="clear" w:color="auto" w:fill="auto"/>
            <w:noWrap/>
            <w:vAlign w:val="center"/>
          </w:tcPr>
          <w:p w14:paraId="0B1E8726" w14:textId="77777777" w:rsidR="004E5304" w:rsidRPr="000831FC" w:rsidRDefault="004E5304" w:rsidP="00321687">
            <w:pPr>
              <w:spacing w:after="0" w:line="240" w:lineRule="auto"/>
              <w:jc w:val="right"/>
              <w:rPr>
                <w:i/>
                <w:iCs/>
                <w:color w:val="FF0000"/>
                <w:sz w:val="16"/>
                <w:szCs w:val="16"/>
                <w:lang w:eastAsia="sk-SK"/>
              </w:rPr>
            </w:pPr>
          </w:p>
        </w:tc>
      </w:tr>
    </w:tbl>
    <w:p w14:paraId="2B47563B" w14:textId="77777777" w:rsidR="004E5304" w:rsidRPr="000831FC" w:rsidRDefault="004E5304" w:rsidP="008F25E7">
      <w:pPr>
        <w:spacing w:after="120" w:line="240" w:lineRule="auto"/>
        <w:jc w:val="both"/>
        <w:rPr>
          <w:szCs w:val="22"/>
        </w:rPr>
      </w:pPr>
      <w:r w:rsidRPr="000831FC">
        <w:rPr>
          <w:szCs w:val="22"/>
        </w:rPr>
        <w:t>V nasledujúcom texte uvádzame podrobnejšie hodnotenie medziročnej zmeny vlastného imania vybraných štátnych podnikov a  individuálne grafické zobrazenie vývoja ich  vlastného imania na trojročnom horizonte 2018</w:t>
      </w:r>
      <w:r>
        <w:rPr>
          <w:szCs w:val="22"/>
        </w:rPr>
        <w:t xml:space="preserve"> </w:t>
      </w:r>
      <w:r w:rsidRPr="000831FC">
        <w:rPr>
          <w:szCs w:val="22"/>
        </w:rPr>
        <w:t>-</w:t>
      </w:r>
      <w:r>
        <w:rPr>
          <w:szCs w:val="22"/>
        </w:rPr>
        <w:t xml:space="preserve"> </w:t>
      </w:r>
      <w:r w:rsidRPr="000831FC">
        <w:rPr>
          <w:szCs w:val="22"/>
        </w:rPr>
        <w:t>2020. Analýza bola vykonaná na základe verejne dostupných údajov z účtovných závierok a výročných správ.</w:t>
      </w:r>
    </w:p>
    <w:p w14:paraId="1CE22585" w14:textId="6858023C" w:rsidR="00BC53F8" w:rsidRDefault="004E5304" w:rsidP="001C0B35">
      <w:pPr>
        <w:spacing w:after="120" w:line="240" w:lineRule="auto"/>
        <w:jc w:val="both"/>
        <w:rPr>
          <w:b/>
          <w:szCs w:val="22"/>
        </w:rPr>
      </w:pPr>
      <w:r w:rsidRPr="000831FC">
        <w:rPr>
          <w:szCs w:val="22"/>
        </w:rPr>
        <w:t xml:space="preserve">Modrou farbou v grafoch sú označené stavy vlastného imania ku koncu príslušného roka, červenou farbou sa označujú negatívne vplyvy (resp. vplyvy znižujúce hodnotu vlastného imania) a zelenou farbou sa označujú pozitívne vplyvy (resp. vplyvy zvyšujúce stav vlastného imania). </w:t>
      </w:r>
    </w:p>
    <w:p w14:paraId="796C7019" w14:textId="38728842" w:rsidR="004E5304" w:rsidRPr="00F861DC" w:rsidRDefault="004E5304" w:rsidP="008F25E7">
      <w:pPr>
        <w:spacing w:after="120" w:line="240" w:lineRule="auto"/>
        <w:jc w:val="both"/>
        <w:rPr>
          <w:b/>
          <w:szCs w:val="22"/>
        </w:rPr>
      </w:pPr>
      <w:r w:rsidRPr="00F861DC">
        <w:rPr>
          <w:b/>
          <w:szCs w:val="22"/>
        </w:rPr>
        <w:t xml:space="preserve">Slovenská elektrizačná prenosová sústava, a.s. </w:t>
      </w:r>
      <w:r w:rsidRPr="00F861DC">
        <w:rPr>
          <w:szCs w:val="22"/>
        </w:rPr>
        <w:t>(ďalej „SEPS“)</w:t>
      </w:r>
      <w:r w:rsidRPr="00F861DC">
        <w:rPr>
          <w:b/>
          <w:szCs w:val="22"/>
        </w:rPr>
        <w:t xml:space="preserve">  </w:t>
      </w:r>
    </w:p>
    <w:p w14:paraId="50156D30" w14:textId="7EC2C183" w:rsidR="004E5304" w:rsidRDefault="004E5304" w:rsidP="008F25E7">
      <w:pPr>
        <w:spacing w:after="120" w:line="240" w:lineRule="auto"/>
        <w:jc w:val="both"/>
        <w:rPr>
          <w:szCs w:val="22"/>
        </w:rPr>
      </w:pPr>
      <w:r w:rsidRPr="007E5058">
        <w:rPr>
          <w:szCs w:val="22"/>
        </w:rPr>
        <w:t>Vývoj štruktúry zmien vlastného imania bol počas sledovaného obdobia pomerne stabilný. Výsledok bežného obdobia (zisk) zaisťoval pozitívnu zmenu stavu a výplata dividend negatívnu zmenu stavu vlastného imania. Zdrojom tvorby zisku bol hlavne rozdiel výnosov a nákladov na prenos elektrickej energie, ktor</w:t>
      </w:r>
      <w:r>
        <w:rPr>
          <w:szCs w:val="22"/>
        </w:rPr>
        <w:t>ý</w:t>
      </w:r>
      <w:r w:rsidRPr="007E5058">
        <w:rPr>
          <w:szCs w:val="22"/>
        </w:rPr>
        <w:t xml:space="preserve"> významne ovplyvňuje vývoj cezhraničného prenosu. Výsledok bežného obdobia (s výnimkou roku 2019) sa využil na výplatu dividend pre akcionára, zisk za rok 201</w:t>
      </w:r>
      <w:r>
        <w:rPr>
          <w:szCs w:val="22"/>
        </w:rPr>
        <w:t xml:space="preserve">9 </w:t>
      </w:r>
      <w:r w:rsidRPr="007E5058">
        <w:rPr>
          <w:szCs w:val="22"/>
        </w:rPr>
        <w:t xml:space="preserve"> bol ponechaný v spoločnosti v plnej výške.</w:t>
      </w:r>
    </w:p>
    <w:p w14:paraId="385CC89F" w14:textId="77777777" w:rsidR="0015751D" w:rsidRDefault="0015751D" w:rsidP="008F25E7">
      <w:pPr>
        <w:spacing w:after="120" w:line="240" w:lineRule="auto"/>
        <w:jc w:val="both"/>
        <w:rPr>
          <w:szCs w:val="22"/>
        </w:rPr>
      </w:pPr>
    </w:p>
    <w:p w14:paraId="7F16B0DF" w14:textId="77777777" w:rsidR="0015751D" w:rsidRDefault="0015751D" w:rsidP="008F25E7">
      <w:pPr>
        <w:spacing w:after="120" w:line="240" w:lineRule="auto"/>
        <w:jc w:val="both"/>
        <w:rPr>
          <w:szCs w:val="22"/>
        </w:rPr>
      </w:pPr>
    </w:p>
    <w:p w14:paraId="19C3103A" w14:textId="77777777" w:rsidR="0015751D" w:rsidRDefault="0015751D" w:rsidP="008F25E7">
      <w:pPr>
        <w:spacing w:after="120" w:line="240" w:lineRule="auto"/>
        <w:jc w:val="both"/>
        <w:rPr>
          <w:szCs w:val="22"/>
        </w:rPr>
      </w:pPr>
    </w:p>
    <w:p w14:paraId="558E120C" w14:textId="77777777" w:rsidR="0015751D" w:rsidRDefault="0015751D" w:rsidP="008F25E7">
      <w:pPr>
        <w:spacing w:after="120" w:line="240" w:lineRule="auto"/>
        <w:jc w:val="both"/>
        <w:rPr>
          <w:szCs w:val="22"/>
        </w:rPr>
      </w:pPr>
    </w:p>
    <w:p w14:paraId="04C4FB43" w14:textId="77777777" w:rsidR="0015751D" w:rsidRDefault="0015751D" w:rsidP="008F25E7">
      <w:pPr>
        <w:spacing w:after="120" w:line="240" w:lineRule="auto"/>
        <w:jc w:val="both"/>
        <w:rPr>
          <w:szCs w:val="22"/>
        </w:rPr>
      </w:pPr>
    </w:p>
    <w:p w14:paraId="5D972442" w14:textId="77777777" w:rsidR="0015751D" w:rsidRDefault="0015751D" w:rsidP="008F25E7">
      <w:pPr>
        <w:spacing w:after="120" w:line="240" w:lineRule="auto"/>
        <w:jc w:val="both"/>
        <w:rPr>
          <w:szCs w:val="22"/>
        </w:rPr>
      </w:pPr>
    </w:p>
    <w:p w14:paraId="5A897990" w14:textId="77777777" w:rsidR="0015751D" w:rsidRDefault="0015751D" w:rsidP="008F25E7">
      <w:pPr>
        <w:spacing w:after="120" w:line="240" w:lineRule="auto"/>
        <w:jc w:val="both"/>
        <w:rPr>
          <w:szCs w:val="22"/>
        </w:rPr>
      </w:pPr>
    </w:p>
    <w:p w14:paraId="3490837C" w14:textId="77777777" w:rsidR="0015751D" w:rsidRDefault="0015751D" w:rsidP="008F25E7">
      <w:pPr>
        <w:spacing w:after="120" w:line="240" w:lineRule="auto"/>
        <w:jc w:val="both"/>
        <w:rPr>
          <w:szCs w:val="22"/>
        </w:rPr>
      </w:pPr>
    </w:p>
    <w:p w14:paraId="1B34DE20" w14:textId="77777777" w:rsidR="00763D06" w:rsidRDefault="00763D06">
      <w:pPr>
        <w:rPr>
          <w:szCs w:val="22"/>
        </w:rPr>
      </w:pPr>
      <w:r>
        <w:rPr>
          <w:szCs w:val="22"/>
        </w:rPr>
        <w:br w:type="page"/>
      </w:r>
    </w:p>
    <w:p w14:paraId="1086AA57" w14:textId="41F97CC8" w:rsidR="0015751D" w:rsidRPr="007E5058" w:rsidRDefault="0015751D" w:rsidP="008F25E7">
      <w:pPr>
        <w:spacing w:after="120" w:line="240" w:lineRule="auto"/>
        <w:jc w:val="both"/>
        <w:rPr>
          <w:szCs w:val="22"/>
        </w:rPr>
      </w:pPr>
      <w:r>
        <w:rPr>
          <w:szCs w:val="22"/>
        </w:rPr>
        <w:lastRenderedPageBreak/>
        <w:t>Graf 8</w:t>
      </w:r>
    </w:p>
    <w:p w14:paraId="610A98E3" w14:textId="77777777" w:rsidR="004E5304" w:rsidRPr="000831FC" w:rsidRDefault="004E5304" w:rsidP="004E5304">
      <w:pPr>
        <w:spacing w:after="120" w:line="336" w:lineRule="auto"/>
        <w:jc w:val="center"/>
        <w:rPr>
          <w:b/>
          <w:color w:val="FF0000"/>
          <w:szCs w:val="22"/>
        </w:rPr>
      </w:pPr>
      <w:r>
        <w:rPr>
          <w:b/>
          <w:noProof/>
          <w:color w:val="FF0000"/>
          <w:szCs w:val="22"/>
          <w:lang w:eastAsia="sk-SK"/>
        </w:rPr>
        <w:drawing>
          <wp:inline distT="0" distB="0" distL="0" distR="0" wp14:anchorId="12972871" wp14:editId="5B99675B">
            <wp:extent cx="4619373" cy="2989691"/>
            <wp:effectExtent l="0" t="0" r="0" b="1270"/>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3387" cy="3018177"/>
                    </a:xfrm>
                    <a:prstGeom prst="rect">
                      <a:avLst/>
                    </a:prstGeom>
                    <a:noFill/>
                  </pic:spPr>
                </pic:pic>
              </a:graphicData>
            </a:graphic>
          </wp:inline>
        </w:drawing>
      </w:r>
    </w:p>
    <w:p w14:paraId="6E981D1F" w14:textId="77777777" w:rsidR="004E5304" w:rsidRPr="00A13E51" w:rsidRDefault="004E5304" w:rsidP="009A0FBB">
      <w:pPr>
        <w:spacing w:after="120" w:line="240" w:lineRule="auto"/>
        <w:jc w:val="both"/>
        <w:rPr>
          <w:szCs w:val="22"/>
        </w:rPr>
      </w:pPr>
      <w:r w:rsidRPr="00A13E51">
        <w:rPr>
          <w:szCs w:val="22"/>
        </w:rPr>
        <w:t>Vlastné imanie SEPS sa v roku 2020 zvýšilo oproti predchádzajúcemu roku o 190 58</w:t>
      </w:r>
      <w:r>
        <w:rPr>
          <w:szCs w:val="22"/>
        </w:rPr>
        <w:t>8</w:t>
      </w:r>
      <w:r w:rsidRPr="00A13E51">
        <w:rPr>
          <w:szCs w:val="22"/>
        </w:rPr>
        <w:t xml:space="preserve"> tis. eur vplyvom peňažných príspevkov akcionára do kapitálového fondu tvoreného z príspevkov akcionára vo výške 130 000 tis. eur, dosiahnutého zisku za bežné obdobie vo výške 59 306 tis. eur a vplyvom výslednej pozitívnej zmeny stavu na fondoch z precenenia vo výške 1 282 tis. eur (najmä vplyv aktualizácie rezerv na zamestnanecké požitky).</w:t>
      </w:r>
    </w:p>
    <w:p w14:paraId="5CA2143D" w14:textId="77777777" w:rsidR="004E5304" w:rsidRPr="00102100" w:rsidRDefault="004E5304" w:rsidP="009A0FBB">
      <w:pPr>
        <w:spacing w:after="120" w:line="240" w:lineRule="auto"/>
        <w:jc w:val="both"/>
        <w:rPr>
          <w:color w:val="FF0000"/>
          <w:szCs w:val="22"/>
          <w:vertAlign w:val="subscript"/>
          <w:lang w:eastAsia="sk-SK"/>
        </w:rPr>
      </w:pPr>
      <w:r w:rsidRPr="00830842">
        <w:rPr>
          <w:szCs w:val="22"/>
          <w:lang w:eastAsia="sk-SK"/>
        </w:rPr>
        <w:t xml:space="preserve">Čistý zisk klesol oproti predchádzajúcemu roku o 14,4 %, pričom medziročný rast objemu výroby elektrickej energie bol miernejší, iba vo výške 1,1 %. Spotreba elektriny na Slovensku oproti tomu medziročne  zaznamenala pokles o 3,5 %. Hlavným zdrojom medziročného poklesu </w:t>
      </w:r>
      <w:r w:rsidRPr="00102100">
        <w:rPr>
          <w:szCs w:val="22"/>
          <w:lang w:eastAsia="sk-SK"/>
        </w:rPr>
        <w:t xml:space="preserve">zisku boli nižšie tržby o 3,3 %  vplyvom najmä nižších výnosov plynúcich z prístupu do siete (pokles o 4,8 %), zo systémových služieb (o 5,0 %) a zo </w:t>
      </w:r>
      <w:proofErr w:type="spellStart"/>
      <w:r w:rsidRPr="00102100">
        <w:rPr>
          <w:szCs w:val="22"/>
          <w:lang w:eastAsia="sk-SK"/>
        </w:rPr>
        <w:t>shippingu</w:t>
      </w:r>
      <w:proofErr w:type="spellEnd"/>
      <w:r w:rsidRPr="00102100">
        <w:rPr>
          <w:szCs w:val="22"/>
          <w:lang w:eastAsia="sk-SK"/>
        </w:rPr>
        <w:t>.</w:t>
      </w:r>
      <w:r>
        <w:rPr>
          <w:szCs w:val="22"/>
          <w:lang w:eastAsia="sk-SK"/>
        </w:rPr>
        <w:t xml:space="preserve"> Negatívny vplyv na celoročný výsledok hospodárenia zaznamenali aj odpisy a amortizácie, ktoré medziročne vzrástli o 12,7 % z dôvodu obstarania a zaradenia do používania nového majetku (IT softvér SAP, softvér pre registratúru,  </w:t>
      </w:r>
      <w:proofErr w:type="spellStart"/>
      <w:r>
        <w:rPr>
          <w:szCs w:val="22"/>
          <w:lang w:eastAsia="sk-SK"/>
        </w:rPr>
        <w:t>Damas</w:t>
      </w:r>
      <w:proofErr w:type="spellEnd"/>
      <w:r>
        <w:rPr>
          <w:szCs w:val="22"/>
          <w:lang w:eastAsia="sk-SK"/>
        </w:rPr>
        <w:t xml:space="preserve"> Energy a upgrade obchodné systému).</w:t>
      </w:r>
    </w:p>
    <w:p w14:paraId="50EF4A3E" w14:textId="77777777" w:rsidR="004E5304" w:rsidRPr="00D21D0B" w:rsidRDefault="004E5304" w:rsidP="009A0FBB">
      <w:pPr>
        <w:spacing w:after="0" w:line="240" w:lineRule="auto"/>
        <w:jc w:val="both"/>
        <w:rPr>
          <w:szCs w:val="22"/>
          <w:lang w:eastAsia="sk-SK"/>
        </w:rPr>
      </w:pPr>
      <w:r w:rsidRPr="00D21D0B">
        <w:rPr>
          <w:szCs w:val="22"/>
          <w:lang w:eastAsia="sk-SK"/>
        </w:rPr>
        <w:t>Negatívny vplyv poklesu výnosov bol čiastočne eliminovaný úsporou prevádzkových nákladov (nižšie o 4,0 % najmä z dôvodu nižšieho čerpania nákladov na opravy a udržiavanie a podporné služby).</w:t>
      </w:r>
    </w:p>
    <w:p w14:paraId="06FFFD73" w14:textId="77777777" w:rsidR="004E5304" w:rsidRDefault="004E5304" w:rsidP="009A0FBB">
      <w:pPr>
        <w:spacing w:after="0" w:line="240" w:lineRule="auto"/>
        <w:jc w:val="both"/>
        <w:rPr>
          <w:szCs w:val="22"/>
          <w:lang w:eastAsia="sk-SK"/>
        </w:rPr>
      </w:pPr>
      <w:r w:rsidRPr="00830842">
        <w:rPr>
          <w:szCs w:val="22"/>
          <w:lang w:eastAsia="sk-SK"/>
        </w:rPr>
        <w:t xml:space="preserve">SEPS sa aj počas roku 2020 venovala nielen posilneniu bezpečnej a spoľahlivej prevádzke prenosovej sústavy, ale zároveň realizovala aj strategické projekty orientované na rozvoj siete. Výška investovaných prostriedkov v roku 2020 dosiahla úroveň 95 mil. eur. Projekty pritom boli zamerané nielen na posilnenie internej prenosovej sústavy Slovenska, ale aj na rozvoj cezhraničného vedenia, keďže výnosy z cezhraničných prenosov elektriny tvoria významný zdroj zisku. Vo vzájomnej spolupráci s maďarskou stranou sa realizovala výstavba cezhraničných slovensko-maďarských vedení 400 kV. Medzinárodná spolupráca </w:t>
      </w:r>
      <w:r w:rsidRPr="00823BB1">
        <w:rPr>
          <w:szCs w:val="22"/>
          <w:lang w:eastAsia="sk-SK"/>
        </w:rPr>
        <w:t>prebiehala aj v súvislosti s pokračujúcou implementáciu novej legislatívy – balíčka Čistej energie pre všetkých Európanov</w:t>
      </w:r>
      <w:r w:rsidRPr="00823BB1">
        <w:rPr>
          <w:rStyle w:val="Odkaznapoznmkupodiarou"/>
          <w:szCs w:val="22"/>
          <w:lang w:eastAsia="sk-SK"/>
        </w:rPr>
        <w:footnoteReference w:id="32"/>
      </w:r>
      <w:r w:rsidRPr="00823BB1">
        <w:rPr>
          <w:szCs w:val="22"/>
          <w:lang w:eastAsia="sk-SK"/>
        </w:rPr>
        <w:t>.</w:t>
      </w:r>
    </w:p>
    <w:p w14:paraId="25AADED9" w14:textId="77777777" w:rsidR="004E5304" w:rsidRDefault="004E5304" w:rsidP="004E5304">
      <w:pPr>
        <w:jc w:val="both"/>
        <w:rPr>
          <w:b/>
          <w:szCs w:val="22"/>
        </w:rPr>
      </w:pPr>
    </w:p>
    <w:p w14:paraId="2733FBE8" w14:textId="77777777" w:rsidR="004E5304" w:rsidRPr="007757FB" w:rsidRDefault="004E5304" w:rsidP="00B01A04">
      <w:pPr>
        <w:spacing w:after="120" w:line="240" w:lineRule="auto"/>
        <w:jc w:val="both"/>
        <w:rPr>
          <w:szCs w:val="22"/>
        </w:rPr>
      </w:pPr>
      <w:r w:rsidRPr="007757FB">
        <w:rPr>
          <w:b/>
          <w:szCs w:val="22"/>
        </w:rPr>
        <w:t>Všeobecná zdravotná poisťovňa, a.s.</w:t>
      </w:r>
      <w:r w:rsidRPr="007757FB">
        <w:rPr>
          <w:szCs w:val="22"/>
        </w:rPr>
        <w:t xml:space="preserve"> (ďalej „</w:t>
      </w:r>
      <w:proofErr w:type="spellStart"/>
      <w:r w:rsidRPr="007757FB">
        <w:rPr>
          <w:szCs w:val="22"/>
        </w:rPr>
        <w:t>VšZP</w:t>
      </w:r>
      <w:proofErr w:type="spellEnd"/>
      <w:r w:rsidRPr="007757FB">
        <w:rPr>
          <w:szCs w:val="22"/>
        </w:rPr>
        <w:t xml:space="preserve">“)  </w:t>
      </w:r>
    </w:p>
    <w:p w14:paraId="3D3995BA" w14:textId="77777777" w:rsidR="0015751D" w:rsidRDefault="004E5304" w:rsidP="0015751D">
      <w:pPr>
        <w:spacing w:after="120" w:line="240" w:lineRule="auto"/>
        <w:jc w:val="both"/>
        <w:rPr>
          <w:szCs w:val="22"/>
        </w:rPr>
      </w:pPr>
      <w:r w:rsidRPr="007757FB">
        <w:rPr>
          <w:szCs w:val="22"/>
        </w:rPr>
        <w:t xml:space="preserve">Počas sledovaného obdobia bol výsledok hospodárenia bežného obdobia </w:t>
      </w:r>
      <w:proofErr w:type="spellStart"/>
      <w:r w:rsidRPr="007757FB">
        <w:rPr>
          <w:szCs w:val="22"/>
        </w:rPr>
        <w:t>VšZP</w:t>
      </w:r>
      <w:proofErr w:type="spellEnd"/>
      <w:r w:rsidRPr="007757FB">
        <w:rPr>
          <w:szCs w:val="22"/>
        </w:rPr>
        <w:t xml:space="preserve"> položkou s najvyšším vplyvom na zmenu stavu vlastného imania. Výsledok hospodárenia ako hlavný zdroj pozitívnej zmeny stavu vlastného imania s rôznou intenzitou v rokoch 2018 (vplyvom hospodárskeho rastu)</w:t>
      </w:r>
      <w:r>
        <w:rPr>
          <w:szCs w:val="22"/>
        </w:rPr>
        <w:t xml:space="preserve"> a </w:t>
      </w:r>
      <w:r w:rsidRPr="007757FB">
        <w:rPr>
          <w:szCs w:val="22"/>
        </w:rPr>
        <w:t>2019</w:t>
      </w:r>
      <w:r>
        <w:rPr>
          <w:szCs w:val="22"/>
        </w:rPr>
        <w:t xml:space="preserve">. </w:t>
      </w:r>
      <w:r w:rsidRPr="007757FB">
        <w:rPr>
          <w:szCs w:val="22"/>
        </w:rPr>
        <w:t xml:space="preserve">Pričom </w:t>
      </w:r>
      <w:r w:rsidRPr="007757FB">
        <w:rPr>
          <w:szCs w:val="22"/>
        </w:rPr>
        <w:lastRenderedPageBreak/>
        <w:t xml:space="preserve">vygenerovaný zisk počas sledovaného obdobia bol ponechaný </w:t>
      </w:r>
      <w:proofErr w:type="spellStart"/>
      <w:r w:rsidRPr="007757FB">
        <w:rPr>
          <w:szCs w:val="22"/>
        </w:rPr>
        <w:t>VšZP</w:t>
      </w:r>
      <w:proofErr w:type="spellEnd"/>
      <w:r w:rsidRPr="007757FB">
        <w:rPr>
          <w:szCs w:val="22"/>
        </w:rPr>
        <w:t xml:space="preserve"> na vysporiadanie strát z minulých období.</w:t>
      </w:r>
      <w:r>
        <w:rPr>
          <w:szCs w:val="22"/>
        </w:rPr>
        <w:t xml:space="preserve"> V roku 2020 sa charakter vplyvu zmenil na negatívny (stratu)</w:t>
      </w:r>
      <w:r w:rsidRPr="007757FB">
        <w:rPr>
          <w:szCs w:val="22"/>
        </w:rPr>
        <w:t xml:space="preserve">. </w:t>
      </w:r>
    </w:p>
    <w:p w14:paraId="1053BB4A" w14:textId="11B2CA67" w:rsidR="004E5304" w:rsidRPr="007757FB" w:rsidRDefault="0015751D" w:rsidP="00B01A04">
      <w:pPr>
        <w:spacing w:after="120" w:line="240" w:lineRule="auto"/>
        <w:jc w:val="both"/>
        <w:rPr>
          <w:szCs w:val="22"/>
        </w:rPr>
      </w:pPr>
      <w:r>
        <w:rPr>
          <w:szCs w:val="22"/>
        </w:rPr>
        <w:t>Graf 9</w:t>
      </w:r>
    </w:p>
    <w:p w14:paraId="7744CEB6" w14:textId="77777777" w:rsidR="004E5304" w:rsidRPr="003956E4" w:rsidRDefault="004E5304" w:rsidP="004E5304">
      <w:pPr>
        <w:jc w:val="center"/>
        <w:rPr>
          <w:color w:val="FF0000"/>
          <w:szCs w:val="22"/>
        </w:rPr>
      </w:pPr>
      <w:r>
        <w:rPr>
          <w:noProof/>
          <w:color w:val="FF0000"/>
          <w:szCs w:val="22"/>
          <w:lang w:eastAsia="sk-SK"/>
        </w:rPr>
        <w:drawing>
          <wp:inline distT="0" distB="0" distL="0" distR="0" wp14:anchorId="65C53C17" wp14:editId="7B32F2A7">
            <wp:extent cx="5701498" cy="2947917"/>
            <wp:effectExtent l="0" t="0" r="0" b="508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46446" cy="2971157"/>
                    </a:xfrm>
                    <a:prstGeom prst="rect">
                      <a:avLst/>
                    </a:prstGeom>
                    <a:noFill/>
                  </pic:spPr>
                </pic:pic>
              </a:graphicData>
            </a:graphic>
          </wp:inline>
        </w:drawing>
      </w:r>
    </w:p>
    <w:p w14:paraId="25BB0B3D" w14:textId="77777777" w:rsidR="004E5304" w:rsidRPr="00F6695E" w:rsidRDefault="004E5304" w:rsidP="00B01A04">
      <w:pPr>
        <w:spacing w:after="120" w:line="240" w:lineRule="auto"/>
        <w:jc w:val="both"/>
        <w:rPr>
          <w:szCs w:val="22"/>
        </w:rPr>
      </w:pPr>
      <w:r w:rsidRPr="00F6695E">
        <w:rPr>
          <w:szCs w:val="22"/>
        </w:rPr>
        <w:t xml:space="preserve">Vlastné imanie </w:t>
      </w:r>
      <w:proofErr w:type="spellStart"/>
      <w:r w:rsidRPr="00F6695E">
        <w:rPr>
          <w:szCs w:val="22"/>
        </w:rPr>
        <w:t>VšZP</w:t>
      </w:r>
      <w:proofErr w:type="spellEnd"/>
      <w:r w:rsidRPr="00F6695E">
        <w:rPr>
          <w:szCs w:val="22"/>
        </w:rPr>
        <w:t xml:space="preserve"> sa v roku 2020 zvýšilo o 84 454 tis. eur vplyvom peňažného vkladu akcionára do základného imania vo výške 198 000 tis. eur. Pozitívny vplyv bol zaznamenaný aj na položke oceňovacích rozdielov z cenných papierov (precenenie akcií kúpeľov k 31.12.2020) vo výške  638 tis. eur. </w:t>
      </w:r>
      <w:r>
        <w:rPr>
          <w:szCs w:val="22"/>
        </w:rPr>
        <w:t>Celkovú medziročnú zmenu stavu vlastného imania negatívne ovplyvnila vygenerovaná strata za bežné obdobie vo výške 114 180 tis. eur.</w:t>
      </w:r>
    </w:p>
    <w:p w14:paraId="13AAE506" w14:textId="12D19934" w:rsidR="004E5304" w:rsidRPr="007E7BF2" w:rsidRDefault="004E5304" w:rsidP="00B01A04">
      <w:pPr>
        <w:spacing w:after="120" w:line="240" w:lineRule="auto"/>
        <w:jc w:val="both"/>
        <w:rPr>
          <w:szCs w:val="22"/>
        </w:rPr>
      </w:pPr>
      <w:r w:rsidRPr="00F6695E">
        <w:rPr>
          <w:szCs w:val="22"/>
        </w:rPr>
        <w:t>Výsledok bežného obdobia sa medziročne znížil zo zisku 7 293 tis. eur (r</w:t>
      </w:r>
      <w:r>
        <w:rPr>
          <w:szCs w:val="22"/>
        </w:rPr>
        <w:t>ok 2019) na stratu 114 180 tis. </w:t>
      </w:r>
      <w:r w:rsidRPr="00F6695E">
        <w:rPr>
          <w:szCs w:val="22"/>
        </w:rPr>
        <w:t xml:space="preserve">eur </w:t>
      </w:r>
      <w:r w:rsidRPr="0013582B">
        <w:rPr>
          <w:szCs w:val="22"/>
        </w:rPr>
        <w:t>(rok 2020), najmä vplyvom výsledku zo zdravotného poistenia</w:t>
      </w:r>
      <w:r>
        <w:rPr>
          <w:szCs w:val="22"/>
        </w:rPr>
        <w:t>.</w:t>
      </w:r>
      <w:r w:rsidRPr="0013582B">
        <w:rPr>
          <w:szCs w:val="22"/>
        </w:rPr>
        <w:t xml:space="preserve"> </w:t>
      </w:r>
      <w:r>
        <w:rPr>
          <w:szCs w:val="22"/>
        </w:rPr>
        <w:t>V</w:t>
      </w:r>
      <w:r w:rsidRPr="0013582B">
        <w:rPr>
          <w:szCs w:val="22"/>
        </w:rPr>
        <w:t xml:space="preserve">ýnosy z prijatého poistného klesali rýchlejšie </w:t>
      </w:r>
      <w:r>
        <w:rPr>
          <w:szCs w:val="22"/>
        </w:rPr>
        <w:t>(</w:t>
      </w:r>
      <w:r w:rsidRPr="0013582B">
        <w:rPr>
          <w:szCs w:val="22"/>
        </w:rPr>
        <w:t>o 2,8 %</w:t>
      </w:r>
      <w:r>
        <w:rPr>
          <w:szCs w:val="22"/>
        </w:rPr>
        <w:t>)</w:t>
      </w:r>
      <w:r w:rsidRPr="0013582B">
        <w:rPr>
          <w:szCs w:val="22"/>
        </w:rPr>
        <w:t xml:space="preserve"> ako náklady na zdravotnú starostlivosť (o 0,4 %). Pokles výnosov z predpísaného poistného spôsobila zmena štruktúry poistného kmeňa vplyvom COVID</w:t>
      </w:r>
      <w:r>
        <w:rPr>
          <w:szCs w:val="22"/>
        </w:rPr>
        <w:t>-</w:t>
      </w:r>
      <w:r w:rsidRPr="0013582B">
        <w:rPr>
          <w:szCs w:val="22"/>
        </w:rPr>
        <w:t xml:space="preserve">19, ktorý mal za následok pokles počtu ekonomicky aktívnych poistencov (pokles výnosov z predpísaného poistného od ekonomicky aktívnych poistencov o 3,3 %). Celkovo </w:t>
      </w:r>
      <w:proofErr w:type="spellStart"/>
      <w:r w:rsidRPr="0013582B">
        <w:rPr>
          <w:szCs w:val="22"/>
        </w:rPr>
        <w:t>VšZP</w:t>
      </w:r>
      <w:proofErr w:type="spellEnd"/>
      <w:r w:rsidRPr="0013582B">
        <w:rPr>
          <w:szCs w:val="22"/>
        </w:rPr>
        <w:t xml:space="preserve"> odhaduje výpadok na výnosoch vplyvom COVID</w:t>
      </w:r>
      <w:r>
        <w:rPr>
          <w:szCs w:val="22"/>
        </w:rPr>
        <w:t>-</w:t>
      </w:r>
      <w:r w:rsidRPr="0013582B">
        <w:rPr>
          <w:szCs w:val="22"/>
        </w:rPr>
        <w:t xml:space="preserve">19 vo výške 94 000 tis. eur.  Naopak náklady vyvolané pandémiou dosiahnu pravdepodobne úroveň 83 800 tis. eur. Náklady na zdravotnú starostlivosť zaznamenali medziročne mierny rast  (vplyvom </w:t>
      </w:r>
      <w:r>
        <w:rPr>
          <w:szCs w:val="22"/>
        </w:rPr>
        <w:t xml:space="preserve"> </w:t>
      </w:r>
      <w:r w:rsidRPr="0013582B">
        <w:rPr>
          <w:szCs w:val="22"/>
        </w:rPr>
        <w:t xml:space="preserve">rastu nákladov na výkony zariadení ústavnej starostlivosti a sociálnych služieb o 7,3 %), napriek tomu sa vplyvom pandémie presunul veľký objem najmä plánovaných výkonov zdravotnej </w:t>
      </w:r>
      <w:r w:rsidRPr="00574449">
        <w:rPr>
          <w:szCs w:val="22"/>
        </w:rPr>
        <w:t xml:space="preserve">starostlivosti do nasledujúceho roka 2021. Negatívny trend vývoja zaznamenali aj ostatné prevádzkové náklady, najmä vplyvom odpisu pohľadávok a ostatných nákladov (vplyv vyšších nákladov na právne zastupovanie a súdne trovy). Negatívny vplyv uvedených nákladových položiek čiastočne zmiernili ostatné technické výnosy (rast o 20,5 % vplyvom výnosov z použitia opravných položiek a technických </w:t>
      </w:r>
      <w:r w:rsidRPr="007E7BF2">
        <w:rPr>
          <w:szCs w:val="22"/>
        </w:rPr>
        <w:t>rezerv).</w:t>
      </w:r>
    </w:p>
    <w:p w14:paraId="1E20E40F" w14:textId="77777777" w:rsidR="004E5304" w:rsidRPr="003956E4" w:rsidRDefault="004E5304" w:rsidP="00B01A04">
      <w:pPr>
        <w:spacing w:after="120" w:line="240" w:lineRule="auto"/>
        <w:jc w:val="both"/>
        <w:rPr>
          <w:color w:val="FF0000"/>
          <w:szCs w:val="22"/>
        </w:rPr>
      </w:pPr>
      <w:r w:rsidRPr="007E7BF2">
        <w:rPr>
          <w:szCs w:val="22"/>
        </w:rPr>
        <w:t xml:space="preserve">Poistný kmeň </w:t>
      </w:r>
      <w:proofErr w:type="spellStart"/>
      <w:r w:rsidRPr="007E7BF2">
        <w:rPr>
          <w:szCs w:val="22"/>
        </w:rPr>
        <w:t>VšZP</w:t>
      </w:r>
      <w:proofErr w:type="spellEnd"/>
      <w:r w:rsidRPr="007E7BF2">
        <w:rPr>
          <w:szCs w:val="22"/>
        </w:rPr>
        <w:t xml:space="preserve"> sa v roku 2020 zmenšil – priemerný evidovaný počet poistencov v roku 20</w:t>
      </w:r>
      <w:r>
        <w:rPr>
          <w:szCs w:val="22"/>
        </w:rPr>
        <w:t>20</w:t>
      </w:r>
      <w:r w:rsidRPr="007E7BF2">
        <w:rPr>
          <w:szCs w:val="22"/>
        </w:rPr>
        <w:t xml:space="preserve"> bol 2 970 704, čo v porovnaní s minulým rokom bolo menej o 162 909 osôb, pričom z uvedeného počtu </w:t>
      </w:r>
      <w:r w:rsidRPr="006E22AB">
        <w:rPr>
          <w:szCs w:val="22"/>
        </w:rPr>
        <w:t xml:space="preserve">poistencov bolo 49,3 % mužov a 50,7 % žien. Štruktúra </w:t>
      </w:r>
      <w:r w:rsidRPr="002D358E">
        <w:rPr>
          <w:szCs w:val="22"/>
        </w:rPr>
        <w:t>poistného kmeňa v roku 2020 bola nasledovná: 56,2 % poistenci štátu; 35,0 % zamestnanci; 7,6 % samostatne zárobkovo činné osoby; 1,</w:t>
      </w:r>
      <w:r>
        <w:rPr>
          <w:szCs w:val="22"/>
        </w:rPr>
        <w:t>2</w:t>
      </w:r>
      <w:r w:rsidRPr="002D358E">
        <w:rPr>
          <w:szCs w:val="22"/>
        </w:rPr>
        <w:t xml:space="preserve"> % ostatní.  </w:t>
      </w:r>
    </w:p>
    <w:p w14:paraId="6ED9D4DC" w14:textId="77777777" w:rsidR="004E5304" w:rsidRDefault="004E5304" w:rsidP="00B01A04">
      <w:pPr>
        <w:spacing w:after="120" w:line="240" w:lineRule="auto"/>
        <w:jc w:val="both"/>
        <w:rPr>
          <w:szCs w:val="22"/>
        </w:rPr>
      </w:pPr>
      <w:r w:rsidRPr="00507C72">
        <w:rPr>
          <w:szCs w:val="22"/>
        </w:rPr>
        <w:t xml:space="preserve">Objem príjmov </w:t>
      </w:r>
      <w:proofErr w:type="spellStart"/>
      <w:r w:rsidRPr="00507C72">
        <w:rPr>
          <w:szCs w:val="22"/>
        </w:rPr>
        <w:t>VšZP</w:t>
      </w:r>
      <w:proofErr w:type="spellEnd"/>
      <w:r w:rsidRPr="00507C72">
        <w:rPr>
          <w:szCs w:val="22"/>
        </w:rPr>
        <w:t xml:space="preserve">, ktorý v roku 2020 dosiahol výšku 3 630 727 tis. eur, sa medziročne zvýšil o 2,4 %. V roku 2020 sa zmenila aj štruktúra príjmov: vzrástol podiel príjmov z poistného od ekonomicky aktívny poistencov o 1,3 %, príjmy z poistného od poistencov štátu klesli o 0,7 % a príjmy z prerozdelenia poistného od iných zdravotných poisťovní a iné príjmy klesli o 0,6 %. </w:t>
      </w:r>
    </w:p>
    <w:p w14:paraId="5B4F7FA2" w14:textId="77777777" w:rsidR="001A2E34" w:rsidRDefault="001A2E34">
      <w:pPr>
        <w:rPr>
          <w:b/>
          <w:szCs w:val="22"/>
        </w:rPr>
      </w:pPr>
      <w:r>
        <w:rPr>
          <w:b/>
          <w:szCs w:val="22"/>
        </w:rPr>
        <w:br w:type="page"/>
      </w:r>
    </w:p>
    <w:p w14:paraId="51AAA59E" w14:textId="549460B9" w:rsidR="004E5304" w:rsidRPr="000831FC" w:rsidRDefault="004E5304" w:rsidP="00B01A04">
      <w:pPr>
        <w:spacing w:after="120" w:line="240" w:lineRule="auto"/>
        <w:jc w:val="both"/>
        <w:rPr>
          <w:szCs w:val="22"/>
        </w:rPr>
      </w:pPr>
      <w:r w:rsidRPr="000831FC">
        <w:rPr>
          <w:b/>
          <w:szCs w:val="22"/>
        </w:rPr>
        <w:lastRenderedPageBreak/>
        <w:t xml:space="preserve">Slovenský plynárenský priemysel, </w:t>
      </w:r>
      <w:proofErr w:type="spellStart"/>
      <w:r w:rsidRPr="000831FC">
        <w:rPr>
          <w:b/>
          <w:szCs w:val="22"/>
        </w:rPr>
        <w:t>a.s</w:t>
      </w:r>
      <w:proofErr w:type="spellEnd"/>
      <w:r w:rsidRPr="000831FC">
        <w:rPr>
          <w:b/>
          <w:szCs w:val="22"/>
        </w:rPr>
        <w:t xml:space="preserve">. </w:t>
      </w:r>
      <w:r w:rsidRPr="000831FC">
        <w:rPr>
          <w:szCs w:val="22"/>
        </w:rPr>
        <w:t>(ďalej „SPP“)</w:t>
      </w:r>
    </w:p>
    <w:p w14:paraId="1AA08BF2" w14:textId="7E34ACE9" w:rsidR="004E5304" w:rsidRDefault="004E5304" w:rsidP="00B01A04">
      <w:pPr>
        <w:spacing w:after="120" w:line="240" w:lineRule="auto"/>
        <w:jc w:val="both"/>
        <w:rPr>
          <w:szCs w:val="22"/>
        </w:rPr>
      </w:pPr>
      <w:r w:rsidRPr="000831FC">
        <w:rPr>
          <w:szCs w:val="22"/>
        </w:rPr>
        <w:t>Štruktúra zmien vlastného imania sa vyvíjala stabilne, výsledok bežného obdobia ako pozitívna zmena stavu a výplata dividend s negatívnym dopadom na stav vlastného imania. Zastúpenie ostatných položiek v rámci štruktúry bolo možné do roku 2019 považovať, vzhľadom na veľkosť ich vplyvu, za nevýznamné. Rok 2020 priniesol nezanedbateľný vplyv precenenia na končený stav vlastného imania. Hlavným zdrojom tvorby výsledku bežného obdobia generovaného počas sledovaného obdobia vo forme zisku, sú stabilne výnosy z prijatých dividend od spoločných a pridružených podnikov. Zisk pritom nezostáva ponechaný v skupine SPP, ale je použitý na výplatu dividend pre akcionárov.</w:t>
      </w:r>
    </w:p>
    <w:p w14:paraId="45DA541D" w14:textId="5B552F06" w:rsidR="0015751D" w:rsidRPr="000831FC" w:rsidRDefault="0015751D" w:rsidP="00B01A04">
      <w:pPr>
        <w:spacing w:after="120" w:line="240" w:lineRule="auto"/>
        <w:jc w:val="both"/>
        <w:rPr>
          <w:color w:val="FF0000"/>
          <w:szCs w:val="22"/>
        </w:rPr>
      </w:pPr>
      <w:r>
        <w:rPr>
          <w:szCs w:val="22"/>
        </w:rPr>
        <w:t>Graf 10</w:t>
      </w:r>
    </w:p>
    <w:p w14:paraId="1C258BD2" w14:textId="77777777" w:rsidR="004E5304" w:rsidRPr="000831FC" w:rsidRDefault="004E5304" w:rsidP="004E5304">
      <w:pPr>
        <w:spacing w:after="120" w:line="336" w:lineRule="auto"/>
        <w:jc w:val="center"/>
        <w:rPr>
          <w:b/>
          <w:color w:val="FF0000"/>
          <w:szCs w:val="22"/>
        </w:rPr>
      </w:pPr>
      <w:r>
        <w:rPr>
          <w:b/>
          <w:noProof/>
          <w:color w:val="FF0000"/>
          <w:szCs w:val="22"/>
          <w:lang w:eastAsia="sk-SK"/>
        </w:rPr>
        <w:drawing>
          <wp:inline distT="0" distB="0" distL="0" distR="0" wp14:anchorId="276CA570" wp14:editId="73E5390C">
            <wp:extent cx="5167238" cy="3037399"/>
            <wp:effectExtent l="0" t="0" r="0" b="0"/>
            <wp:docPr id="126" name="Obrázo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94677" cy="3053528"/>
                    </a:xfrm>
                    <a:prstGeom prst="rect">
                      <a:avLst/>
                    </a:prstGeom>
                    <a:noFill/>
                  </pic:spPr>
                </pic:pic>
              </a:graphicData>
            </a:graphic>
          </wp:inline>
        </w:drawing>
      </w:r>
    </w:p>
    <w:p w14:paraId="6771C703" w14:textId="77777777" w:rsidR="004E5304" w:rsidRPr="000831FC" w:rsidRDefault="004E5304" w:rsidP="00B01A04">
      <w:pPr>
        <w:spacing w:after="120" w:line="240" w:lineRule="auto"/>
        <w:jc w:val="both"/>
        <w:rPr>
          <w:color w:val="FF0000"/>
          <w:szCs w:val="22"/>
        </w:rPr>
      </w:pPr>
      <w:r w:rsidRPr="00E60688">
        <w:rPr>
          <w:szCs w:val="22"/>
        </w:rPr>
        <w:t xml:space="preserve">Vlastné imanie SPP sa v roku 2020 </w:t>
      </w:r>
      <w:r>
        <w:rPr>
          <w:szCs w:val="22"/>
        </w:rPr>
        <w:t xml:space="preserve">zvýšilo </w:t>
      </w:r>
      <w:r w:rsidRPr="00E60688">
        <w:rPr>
          <w:szCs w:val="22"/>
        </w:rPr>
        <w:t>o 78 776 tis. eur najmä vplyvom dosiahnutého zisku bežného obdobia vo výške 259 080 tis. eur a vplyvom precenenia o 69 649 tis. eur. Výšku pozitívnej medziročnej zmeny stavu vlastného imania negatívne ovplyvnilo vyplateni</w:t>
      </w:r>
      <w:r>
        <w:rPr>
          <w:szCs w:val="22"/>
        </w:rPr>
        <w:t>e</w:t>
      </w:r>
      <w:r w:rsidRPr="00E60688">
        <w:rPr>
          <w:szCs w:val="22"/>
        </w:rPr>
        <w:t xml:space="preserve"> dividend vo výške 250 000 tis. eur, z nej </w:t>
      </w:r>
      <w:proofErr w:type="spellStart"/>
      <w:r w:rsidRPr="00E60688">
        <w:rPr>
          <w:szCs w:val="22"/>
        </w:rPr>
        <w:t>superdividenda</w:t>
      </w:r>
      <w:proofErr w:type="spellEnd"/>
      <w:r w:rsidRPr="00E60688">
        <w:rPr>
          <w:szCs w:val="22"/>
        </w:rPr>
        <w:t xml:space="preserve"> bola vo výške 82 150 tis. eur a ESA dividenda bola za rok 2020 vykázaná vo výške  167 850 tis. eur. </w:t>
      </w:r>
    </w:p>
    <w:p w14:paraId="12ECA21F" w14:textId="77777777" w:rsidR="004E5304" w:rsidRDefault="004E5304" w:rsidP="00B01A04">
      <w:pPr>
        <w:spacing w:after="120" w:line="240" w:lineRule="auto"/>
        <w:jc w:val="both"/>
        <w:rPr>
          <w:szCs w:val="22"/>
        </w:rPr>
      </w:pPr>
      <w:r w:rsidRPr="00E60688">
        <w:rPr>
          <w:szCs w:val="22"/>
        </w:rPr>
        <w:t>Zisk bežného obdobia vzrástol o 17,3 % vplyvom medziročného rastu prevádzkového výsledku hospodárenia, ktorý sa zmenil zo straty (-104 141 tis. eur v roku 2019) na zisk (6 596 tis. eur v roku 2020). Zisk z prevádzkovej činnosti bol vygenerovaný najmä vyšším rastom výnosov z predaja zemného plynu a elektrickej energie</w:t>
      </w:r>
      <w:r>
        <w:rPr>
          <w:szCs w:val="22"/>
        </w:rPr>
        <w:t xml:space="preserve"> (rast o 8,2 %)</w:t>
      </w:r>
      <w:r w:rsidRPr="00E60688">
        <w:rPr>
          <w:szCs w:val="22"/>
        </w:rPr>
        <w:t xml:space="preserve"> ako nákladov na nákup energií</w:t>
      </w:r>
      <w:r>
        <w:rPr>
          <w:szCs w:val="22"/>
        </w:rPr>
        <w:t xml:space="preserve"> (zvýšenie o 1,5 %).</w:t>
      </w:r>
      <w:r w:rsidRPr="00E60688">
        <w:rPr>
          <w:szCs w:val="22"/>
        </w:rPr>
        <w:t xml:space="preserve"> </w:t>
      </w:r>
    </w:p>
    <w:p w14:paraId="1B14458C" w14:textId="77777777" w:rsidR="004E5304" w:rsidRPr="004C0C97" w:rsidRDefault="004E5304" w:rsidP="00B01A04">
      <w:pPr>
        <w:spacing w:after="120" w:line="240" w:lineRule="auto"/>
        <w:jc w:val="both"/>
        <w:rPr>
          <w:szCs w:val="22"/>
        </w:rPr>
      </w:pPr>
      <w:r>
        <w:rPr>
          <w:szCs w:val="22"/>
        </w:rPr>
        <w:t>Zdrojom rastu v</w:t>
      </w:r>
      <w:r w:rsidRPr="002D0DD7">
        <w:rPr>
          <w:szCs w:val="22"/>
        </w:rPr>
        <w:t>ýnos</w:t>
      </w:r>
      <w:r>
        <w:rPr>
          <w:szCs w:val="22"/>
        </w:rPr>
        <w:t>ov</w:t>
      </w:r>
      <w:r w:rsidRPr="002D0DD7">
        <w:rPr>
          <w:szCs w:val="22"/>
        </w:rPr>
        <w:t xml:space="preserve"> z predaja </w:t>
      </w:r>
      <w:r>
        <w:rPr>
          <w:szCs w:val="22"/>
        </w:rPr>
        <w:t xml:space="preserve">energií boli hlavne výnosy z predaja elektriny, ktoré medziročne vzrástli o 46,6 % (vplyv jednotlivých segmentov bol pritom z dôvodu krízy vyvolanej COVID-19 rozdielny, kým v segmente firemných klientov spotreba klesla, v segmente domácností naopak stúpla).  Výnosy z predaja plynu zaznamenali zvýšenie o 1,6 % (vplyv najmä vyššieho objemu predaja v segmente veľkých odberateľov, naopak segment domácnosti vykázal negatívny trend výnosov z predaja z dôvodu rozhodnutia Ministerstva hospodárstva Slovenskej republiky ako jediného akcionára o uplatňovaní rovnakej cenovej politiky v roku 2020 ako v roku 2019 pre dodávky plynu domácnostiam). Náklady na nákup energií  počas roka 2020 klesli (o 20,4 %) z dôvodu nižších cien komodít v dôsledku spomaľovania svetovej </w:t>
      </w:r>
      <w:r w:rsidRPr="004C0C97">
        <w:rPr>
          <w:szCs w:val="22"/>
        </w:rPr>
        <w:t>ekonomicky v súvislosti so šírením COVID-19.</w:t>
      </w:r>
    </w:p>
    <w:p w14:paraId="73BCCDDE" w14:textId="77777777" w:rsidR="004E5304" w:rsidRPr="004C0C97" w:rsidRDefault="004E5304" w:rsidP="001B68C3">
      <w:pPr>
        <w:spacing w:after="120" w:line="240" w:lineRule="auto"/>
        <w:jc w:val="both"/>
        <w:rPr>
          <w:szCs w:val="22"/>
        </w:rPr>
      </w:pPr>
      <w:r w:rsidRPr="004C0C97">
        <w:rPr>
          <w:szCs w:val="22"/>
        </w:rPr>
        <w:t>Pozitívny vývoj výnosov umocnil aj vývoj ostatných prevádzkových položiek (pozitívny vplyv použitia rezervy na nevýhodné zmluvy a rozpustenia opravných položiek ku krátkodobým pohľadávkam z dôvodu aktualizácie stavu).</w:t>
      </w:r>
    </w:p>
    <w:p w14:paraId="2D32BED4" w14:textId="77777777" w:rsidR="004E5304" w:rsidRPr="00B22412" w:rsidRDefault="004E5304" w:rsidP="001B68C3">
      <w:pPr>
        <w:spacing w:after="120" w:line="240" w:lineRule="auto"/>
        <w:jc w:val="both"/>
        <w:rPr>
          <w:szCs w:val="22"/>
        </w:rPr>
      </w:pPr>
      <w:r w:rsidRPr="00B22412">
        <w:rPr>
          <w:szCs w:val="22"/>
        </w:rPr>
        <w:lastRenderedPageBreak/>
        <w:t>Pozitívny vplyv prevádzkového výsledku čiastočne eliminoval pokles objemu prijatých dividend zo spoločností skupiny SPP (o 21,</w:t>
      </w:r>
      <w:r>
        <w:rPr>
          <w:szCs w:val="22"/>
        </w:rPr>
        <w:t>2</w:t>
      </w:r>
      <w:r w:rsidRPr="00B22412">
        <w:rPr>
          <w:szCs w:val="22"/>
        </w:rPr>
        <w:t xml:space="preserve"> % z dôvodu nižšieho prerozdelenie výsledku z precenenia majetku skupiny SPP, ktorý bol ponechaný v nerozdelenom zisku).</w:t>
      </w:r>
    </w:p>
    <w:p w14:paraId="0ECF8430" w14:textId="77777777" w:rsidR="004E5304" w:rsidRPr="0021195F" w:rsidRDefault="004E5304" w:rsidP="001B68C3">
      <w:pPr>
        <w:spacing w:after="120" w:line="240" w:lineRule="auto"/>
        <w:jc w:val="both"/>
        <w:rPr>
          <w:szCs w:val="22"/>
        </w:rPr>
      </w:pPr>
      <w:r w:rsidRPr="0021195F">
        <w:rPr>
          <w:szCs w:val="22"/>
        </w:rPr>
        <w:t xml:space="preserve">SPP ako dodávateľ energií s tradíciou nezostáva pozadu. Svoju dlhodobú stratégiu doplnil o snahu transformácie spoločnosti nielen na dodávateľa „zelenej energie“, ale zároveň na spoločnosť orientovanú na ochranu životného prostredia. V nahradení uhlia plynom vidí SPP možnosť zníženia emisií skleníkových plynov na Slovensku, preto sa orientuje na podporu projektov výroby elektriny a tepla z plynu a rozšírenie využívania plynu aj v doprave, či už vo forme CNG (stlačený plyn) alebo LNG (skvapalnený plyn) najmä v doprave. </w:t>
      </w:r>
      <w:r>
        <w:rPr>
          <w:szCs w:val="22"/>
        </w:rPr>
        <w:t xml:space="preserve">Práve v doprave, ako významnom producentovi skleníkových plynov, SPP pripravuje moderné rozvojové projekty strednodobého charakteru v oblasti využitia </w:t>
      </w:r>
      <w:proofErr w:type="spellStart"/>
      <w:r w:rsidRPr="0021195F">
        <w:rPr>
          <w:szCs w:val="22"/>
        </w:rPr>
        <w:t>biometánu</w:t>
      </w:r>
      <w:proofErr w:type="spellEnd"/>
      <w:r w:rsidRPr="0021195F">
        <w:rPr>
          <w:szCs w:val="22"/>
        </w:rPr>
        <w:t>.</w:t>
      </w:r>
    </w:p>
    <w:p w14:paraId="5A443FB1" w14:textId="2E466F0C" w:rsidR="00FD0E0D" w:rsidRDefault="004E5304" w:rsidP="00FD0E0D">
      <w:pPr>
        <w:spacing w:after="120" w:line="240" w:lineRule="auto"/>
        <w:jc w:val="both"/>
        <w:rPr>
          <w:b/>
          <w:szCs w:val="22"/>
        </w:rPr>
      </w:pPr>
      <w:r w:rsidRPr="0021195F">
        <w:rPr>
          <w:szCs w:val="22"/>
        </w:rPr>
        <w:t>Rok 2020 bol prvým rokom spôsobenia SPP ako výkupcu elektriny vyrobenej  z obnoviteľných zdrojov a zároveň si udržal svoj</w:t>
      </w:r>
      <w:r>
        <w:rPr>
          <w:szCs w:val="22"/>
        </w:rPr>
        <w:t>u</w:t>
      </w:r>
      <w:r w:rsidRPr="0021195F">
        <w:rPr>
          <w:szCs w:val="22"/>
        </w:rPr>
        <w:t xml:space="preserve"> pozíciu významného hráča na poli obchodovania so zelenou energiou.</w:t>
      </w:r>
    </w:p>
    <w:p w14:paraId="5F8EF378" w14:textId="16ABDCD9" w:rsidR="004E5304" w:rsidRPr="009B2198" w:rsidRDefault="004E5304" w:rsidP="00510498">
      <w:pPr>
        <w:spacing w:before="240" w:after="120" w:line="240" w:lineRule="auto"/>
        <w:jc w:val="both"/>
        <w:rPr>
          <w:szCs w:val="22"/>
        </w:rPr>
      </w:pPr>
      <w:r w:rsidRPr="009B2198">
        <w:rPr>
          <w:b/>
          <w:szCs w:val="22"/>
        </w:rPr>
        <w:t>MH Manažment, a.s.</w:t>
      </w:r>
      <w:r w:rsidRPr="009B2198">
        <w:rPr>
          <w:szCs w:val="22"/>
        </w:rPr>
        <w:t xml:space="preserve"> (ďalej „MHM“)</w:t>
      </w:r>
    </w:p>
    <w:p w14:paraId="0A1F359D" w14:textId="45D8937B" w:rsidR="004E5304" w:rsidRDefault="004E5304" w:rsidP="00C25A13">
      <w:pPr>
        <w:spacing w:after="120" w:line="240" w:lineRule="auto"/>
        <w:jc w:val="both"/>
        <w:rPr>
          <w:szCs w:val="22"/>
        </w:rPr>
      </w:pPr>
      <w:r w:rsidRPr="009B67ED">
        <w:rPr>
          <w:szCs w:val="22"/>
        </w:rPr>
        <w:t xml:space="preserve">Vývoj štruktúry zmien vlastného imania kopíroval presun úloh a povinností z pôvodného subjektu (Fond národného majetku) na MHM. Spočiatku v súvislosti s prevodom majetku a záväzkov z pôvodného subjektu boli významným prvkom s vplyvom na vývoj zmeny stavu vlastného imania vklady a precenenia (s negatívnym vplyvom).  </w:t>
      </w:r>
    </w:p>
    <w:p w14:paraId="209EC1BC" w14:textId="310EF7D3" w:rsidR="0015751D" w:rsidRPr="009B67ED" w:rsidRDefault="0015751D" w:rsidP="00C25A13">
      <w:pPr>
        <w:spacing w:after="120" w:line="240" w:lineRule="auto"/>
        <w:jc w:val="both"/>
        <w:rPr>
          <w:szCs w:val="22"/>
        </w:rPr>
      </w:pPr>
      <w:r>
        <w:rPr>
          <w:szCs w:val="22"/>
        </w:rPr>
        <w:t>Graf 11</w:t>
      </w:r>
    </w:p>
    <w:p w14:paraId="6A58748A" w14:textId="77777777" w:rsidR="004E5304" w:rsidRPr="000831FC" w:rsidRDefault="004E5304" w:rsidP="004E5304">
      <w:pPr>
        <w:jc w:val="center"/>
        <w:rPr>
          <w:color w:val="FF0000"/>
          <w:szCs w:val="22"/>
        </w:rPr>
      </w:pPr>
      <w:r>
        <w:rPr>
          <w:noProof/>
          <w:color w:val="FF0000"/>
          <w:szCs w:val="22"/>
          <w:lang w:eastAsia="sk-SK"/>
        </w:rPr>
        <w:drawing>
          <wp:inline distT="0" distB="0" distL="0" distR="0" wp14:anchorId="1CB11A84" wp14:editId="7CF0F664">
            <wp:extent cx="5042837" cy="3188473"/>
            <wp:effectExtent l="0" t="0" r="5715"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85450" cy="3215416"/>
                    </a:xfrm>
                    <a:prstGeom prst="rect">
                      <a:avLst/>
                    </a:prstGeom>
                    <a:noFill/>
                  </pic:spPr>
                </pic:pic>
              </a:graphicData>
            </a:graphic>
          </wp:inline>
        </w:drawing>
      </w:r>
    </w:p>
    <w:p w14:paraId="5E7BCE4A" w14:textId="7F6802DA" w:rsidR="004E5304" w:rsidRPr="000831FC" w:rsidRDefault="004E5304" w:rsidP="009D787B">
      <w:pPr>
        <w:spacing w:after="120" w:line="240" w:lineRule="auto"/>
        <w:jc w:val="both"/>
        <w:rPr>
          <w:color w:val="FF0000"/>
          <w:szCs w:val="22"/>
        </w:rPr>
      </w:pPr>
      <w:r w:rsidRPr="006B33AF">
        <w:rPr>
          <w:szCs w:val="22"/>
        </w:rPr>
        <w:t>Vlastné imanie MHM sa v roku 2020 zvýšilo o 75 623 tis. eur predovšetkým vplyvom peňažného vkladu akcionára vo výške 20 000 tis. eur,  pozitívneho vplyvu precenenia finančných investícii (precenenie  cenných papierov) vo výške  41 094 tis. eur</w:t>
      </w:r>
      <w:r>
        <w:rPr>
          <w:szCs w:val="22"/>
        </w:rPr>
        <w:t xml:space="preserve"> a pozitívneho vplyvu zúčtovania opravy chyby minulého účtovného obdobia vo výške 15 130 tis. eur (účtovanie o zániku povinnosti MHM vyplatiť dlhopisy, </w:t>
      </w:r>
      <w:r w:rsidRPr="00742E29">
        <w:rPr>
          <w:szCs w:val="22"/>
        </w:rPr>
        <w:t>ktor</w:t>
      </w:r>
      <w:r>
        <w:rPr>
          <w:szCs w:val="22"/>
        </w:rPr>
        <w:t>ý</w:t>
      </w:r>
      <w:r w:rsidRPr="00742E29">
        <w:rPr>
          <w:szCs w:val="22"/>
        </w:rPr>
        <w:t xml:space="preserve"> zanik</w:t>
      </w:r>
      <w:r>
        <w:rPr>
          <w:szCs w:val="22"/>
        </w:rPr>
        <w:t>o</w:t>
      </w:r>
      <w:r w:rsidRPr="00742E29">
        <w:rPr>
          <w:szCs w:val="22"/>
        </w:rPr>
        <w:t>l ešte k 1.</w:t>
      </w:r>
      <w:r>
        <w:rPr>
          <w:szCs w:val="22"/>
        </w:rPr>
        <w:t xml:space="preserve"> </w:t>
      </w:r>
      <w:r w:rsidRPr="00742E29">
        <w:rPr>
          <w:szCs w:val="22"/>
        </w:rPr>
        <w:t>1.</w:t>
      </w:r>
      <w:r>
        <w:rPr>
          <w:szCs w:val="22"/>
        </w:rPr>
        <w:t xml:space="preserve"> </w:t>
      </w:r>
      <w:r w:rsidRPr="00742E29">
        <w:rPr>
          <w:szCs w:val="22"/>
        </w:rPr>
        <w:t>2017). Pozitívne zmeny uvedených položiek vlastného imania čiastočne eliminoval výsledok bežného obdobia generovaný vo forme straty vo výške  601 tis. eur.</w:t>
      </w:r>
    </w:p>
    <w:p w14:paraId="3462E74F" w14:textId="17CB2A30" w:rsidR="00A50FE7" w:rsidRDefault="004E5304" w:rsidP="00FD0E0D">
      <w:pPr>
        <w:spacing w:after="120" w:line="240" w:lineRule="auto"/>
        <w:jc w:val="both"/>
        <w:rPr>
          <w:b/>
          <w:szCs w:val="22"/>
        </w:rPr>
      </w:pPr>
      <w:r w:rsidRPr="00533536">
        <w:rPr>
          <w:szCs w:val="22"/>
        </w:rPr>
        <w:t xml:space="preserve">Výsledok bežného obdobia sa zvýšil o 93,9 % strata za rok 2019 vo výške  9 848 tis. eur sa zmiernila na úroveň 601 tis. eur za rok 2020. Hlavný vplyv na medziročné zmiernenie straty </w:t>
      </w:r>
      <w:r>
        <w:rPr>
          <w:szCs w:val="22"/>
        </w:rPr>
        <w:t>mal pokles</w:t>
      </w:r>
      <w:r w:rsidRPr="00533536">
        <w:rPr>
          <w:szCs w:val="22"/>
        </w:rPr>
        <w:t xml:space="preserve"> negatívneho vplyvu zaznamenan</w:t>
      </w:r>
      <w:r>
        <w:rPr>
          <w:szCs w:val="22"/>
        </w:rPr>
        <w:t>ý</w:t>
      </w:r>
      <w:r w:rsidRPr="00533536">
        <w:rPr>
          <w:szCs w:val="22"/>
        </w:rPr>
        <w:t xml:space="preserve"> na položke ostatných nákladov na finančnú činnosť </w:t>
      </w:r>
      <w:r>
        <w:rPr>
          <w:szCs w:val="22"/>
        </w:rPr>
        <w:t xml:space="preserve">(pokles nákladov </w:t>
      </w:r>
      <w:r w:rsidRPr="00533536">
        <w:rPr>
          <w:szCs w:val="22"/>
        </w:rPr>
        <w:t>o 99,2 % v dôsledku absencie nákladov na zrušenie emisie cenných papierov z dôvodu zrušenia registrov emitentov - zánik bez právneho nástupcu  Podpolianske strojárne Detva, a.s.  a </w:t>
      </w:r>
      <w:proofErr w:type="spellStart"/>
      <w:r w:rsidRPr="00533536">
        <w:rPr>
          <w:szCs w:val="22"/>
        </w:rPr>
        <w:t>Kovomont</w:t>
      </w:r>
      <w:proofErr w:type="spellEnd"/>
      <w:r w:rsidRPr="00533536">
        <w:rPr>
          <w:szCs w:val="22"/>
        </w:rPr>
        <w:t xml:space="preserve">, </w:t>
      </w:r>
      <w:proofErr w:type="spellStart"/>
      <w:r w:rsidRPr="00533536">
        <w:rPr>
          <w:szCs w:val="22"/>
        </w:rPr>
        <w:t>a.s</w:t>
      </w:r>
      <w:proofErr w:type="spellEnd"/>
      <w:r w:rsidRPr="00533536">
        <w:rPr>
          <w:szCs w:val="22"/>
        </w:rPr>
        <w:t>. Šahy – zúčtovaných v minulom roku).</w:t>
      </w:r>
    </w:p>
    <w:p w14:paraId="1DB49C55" w14:textId="2C4C22E0" w:rsidR="004E5304" w:rsidRPr="001515B4" w:rsidRDefault="003660ED" w:rsidP="001A2E34">
      <w:pPr>
        <w:rPr>
          <w:szCs w:val="22"/>
        </w:rPr>
      </w:pPr>
      <w:r>
        <w:rPr>
          <w:b/>
          <w:szCs w:val="22"/>
        </w:rPr>
        <w:br w:type="page"/>
      </w:r>
      <w:r w:rsidR="004E5304" w:rsidRPr="001515B4">
        <w:rPr>
          <w:b/>
          <w:szCs w:val="22"/>
        </w:rPr>
        <w:lastRenderedPageBreak/>
        <w:t xml:space="preserve">Národná diaľničná spoločnosť </w:t>
      </w:r>
      <w:r w:rsidR="004E5304" w:rsidRPr="001515B4">
        <w:rPr>
          <w:szCs w:val="22"/>
        </w:rPr>
        <w:t>(ďalej „NDS“)</w:t>
      </w:r>
    </w:p>
    <w:p w14:paraId="34DE32FC" w14:textId="4B5526A5" w:rsidR="004E5304" w:rsidRDefault="004E5304" w:rsidP="009D787B">
      <w:pPr>
        <w:spacing w:after="120" w:line="240" w:lineRule="auto"/>
        <w:jc w:val="both"/>
        <w:rPr>
          <w:szCs w:val="22"/>
        </w:rPr>
      </w:pPr>
      <w:r w:rsidRPr="00BE4B37">
        <w:rPr>
          <w:szCs w:val="22"/>
        </w:rPr>
        <w:t>Zdrojom zmien vlastného imania bol počas sledovaného obdobia výsledok bežného obdobia vo forme zisku a teda s pozitívnym vplyvom na stav vlastného imania. Hlavným zdrojov generovania zisku počas sledovaného obdobia boli stabilne výnosy z predaja diaľničných známok a elektronického mýta. Významným prvkom s vplyvom na vývoj zmeny stavu vlastného imania bol v roku 2020 vklad akcionára do základného imania spoločnosti</w:t>
      </w:r>
      <w:r>
        <w:rPr>
          <w:szCs w:val="22"/>
        </w:rPr>
        <w:t>.</w:t>
      </w:r>
      <w:r w:rsidRPr="000831FC">
        <w:rPr>
          <w:color w:val="FF0000"/>
          <w:szCs w:val="22"/>
        </w:rPr>
        <w:t xml:space="preserve"> </w:t>
      </w:r>
      <w:r w:rsidRPr="00BE4B37">
        <w:rPr>
          <w:szCs w:val="22"/>
        </w:rPr>
        <w:t>Zastúpenie ostatných položiek v rámci štruktúry, vzhľadom na veľkosť ich vplyvu, možno považovať za nevýznamné.</w:t>
      </w:r>
    </w:p>
    <w:p w14:paraId="1CB8726B" w14:textId="7BD5A280" w:rsidR="0015751D" w:rsidRPr="00BE4B37" w:rsidRDefault="0015751D" w:rsidP="009D787B">
      <w:pPr>
        <w:spacing w:after="120" w:line="240" w:lineRule="auto"/>
        <w:jc w:val="both"/>
        <w:rPr>
          <w:szCs w:val="22"/>
        </w:rPr>
      </w:pPr>
      <w:r>
        <w:rPr>
          <w:szCs w:val="22"/>
        </w:rPr>
        <w:t>Graf 12</w:t>
      </w:r>
    </w:p>
    <w:p w14:paraId="4B56B9AC" w14:textId="77777777" w:rsidR="004E5304" w:rsidRPr="000831FC" w:rsidRDefault="004E5304" w:rsidP="004E5304">
      <w:pPr>
        <w:jc w:val="center"/>
        <w:rPr>
          <w:b/>
          <w:color w:val="FF0000"/>
          <w:szCs w:val="22"/>
        </w:rPr>
      </w:pPr>
      <w:r>
        <w:rPr>
          <w:b/>
          <w:noProof/>
          <w:color w:val="FF0000"/>
          <w:szCs w:val="22"/>
          <w:lang w:eastAsia="sk-SK"/>
        </w:rPr>
        <w:drawing>
          <wp:inline distT="0" distB="0" distL="0" distR="0" wp14:anchorId="76A79867" wp14:editId="58B5F332">
            <wp:extent cx="5261827" cy="274320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15954" cy="2875687"/>
                    </a:xfrm>
                    <a:prstGeom prst="rect">
                      <a:avLst/>
                    </a:prstGeom>
                    <a:noFill/>
                  </pic:spPr>
                </pic:pic>
              </a:graphicData>
            </a:graphic>
          </wp:inline>
        </w:drawing>
      </w:r>
    </w:p>
    <w:p w14:paraId="591DEA4D" w14:textId="77777777" w:rsidR="004E5304" w:rsidRPr="0006176F" w:rsidRDefault="004E5304" w:rsidP="00D953EC">
      <w:pPr>
        <w:spacing w:after="120" w:line="240" w:lineRule="auto"/>
        <w:jc w:val="both"/>
        <w:rPr>
          <w:szCs w:val="22"/>
        </w:rPr>
      </w:pPr>
      <w:r w:rsidRPr="0006176F">
        <w:rPr>
          <w:szCs w:val="22"/>
        </w:rPr>
        <w:t xml:space="preserve">Vlastné imanie NDS sa v roku 2020 zvýšilo oproti predchádzajúcemu roku o 54 497 tis. eur najmä vplyvom dosiahnutého čistého zisku vo výške 33 970 tis. eur a vplyvom </w:t>
      </w:r>
      <w:r>
        <w:rPr>
          <w:szCs w:val="22"/>
        </w:rPr>
        <w:t>ne</w:t>
      </w:r>
      <w:r w:rsidRPr="0006176F">
        <w:rPr>
          <w:szCs w:val="22"/>
        </w:rPr>
        <w:t xml:space="preserve">peňažného vkladu akcionára do imania vo výške 22 876 tis. eur. </w:t>
      </w:r>
    </w:p>
    <w:p w14:paraId="6BB27E9C" w14:textId="77777777" w:rsidR="004E5304" w:rsidRDefault="004E5304" w:rsidP="00D55A1C">
      <w:pPr>
        <w:spacing w:after="120" w:line="240" w:lineRule="auto"/>
        <w:jc w:val="both"/>
        <w:rPr>
          <w:szCs w:val="22"/>
        </w:rPr>
      </w:pPr>
      <w:r w:rsidRPr="0006176F">
        <w:rPr>
          <w:szCs w:val="22"/>
        </w:rPr>
        <w:t xml:space="preserve">Medziročne čistý zisk vzrástol 2,4 násobne. </w:t>
      </w:r>
      <w:r>
        <w:rPr>
          <w:szCs w:val="22"/>
        </w:rPr>
        <w:t>Rast</w:t>
      </w:r>
      <w:r w:rsidRPr="0006176F">
        <w:rPr>
          <w:szCs w:val="22"/>
        </w:rPr>
        <w:t xml:space="preserve"> bol spôsobený najmä </w:t>
      </w:r>
      <w:r>
        <w:rPr>
          <w:szCs w:val="22"/>
        </w:rPr>
        <w:t>zvýšením výnosov z dotácii (o 39,5 %) a úsporou nákladov na spotrebovaný materiál a služby (o 37,0 %).  Výnosy z prijatých dotácii boli vyššie z dôvodu prijatia kompenzácie negatívneho vplyvu COVID-19 na výnosy NDS (kompenzácia poklesu výnosov zo spoplatnenia). Úspora nákladov na spotrebovaný materiál a služby bola výsledkom úspory čerpania nákladov najmä na položke opravy a udržiavanie, ktorá medziročne klesla o 49,3 % (vplyvom opatrení proti šíreniu COVID-19).</w:t>
      </w:r>
    </w:p>
    <w:p w14:paraId="39B0236E" w14:textId="240A4727" w:rsidR="004E5304" w:rsidRPr="000831FC" w:rsidRDefault="004E5304" w:rsidP="00D55A1C">
      <w:pPr>
        <w:spacing w:after="120" w:line="240" w:lineRule="auto"/>
        <w:jc w:val="both"/>
        <w:rPr>
          <w:color w:val="FF0000"/>
          <w:szCs w:val="22"/>
        </w:rPr>
      </w:pPr>
      <w:r w:rsidRPr="00D325D2">
        <w:rPr>
          <w:szCs w:val="22"/>
        </w:rPr>
        <w:t>Pozitívny vplyv prijatej kompenzácie a úspor nákladov bol</w:t>
      </w:r>
      <w:r>
        <w:rPr>
          <w:szCs w:val="22"/>
        </w:rPr>
        <w:t xml:space="preserve"> čiastočne eliminovaný</w:t>
      </w:r>
      <w:r w:rsidRPr="00D325D2">
        <w:rPr>
          <w:szCs w:val="22"/>
        </w:rPr>
        <w:t xml:space="preserve"> medziročným poklesom tržieb z elektronického mýta a z predaja diaľničných známok. Medziročný pokles tržieb z elektronického mýta bol vo výške 5,</w:t>
      </w:r>
      <w:r w:rsidRPr="00AF779D">
        <w:rPr>
          <w:szCs w:val="22"/>
        </w:rPr>
        <w:t xml:space="preserve">1 % (vplyv pandémie COVID-19). Na vybranom mýte sa podieľali diaľnice  67,3 % podielom a cesty 1. triedy 32,7 % podielom. </w:t>
      </w:r>
      <w:r w:rsidRPr="00421039">
        <w:rPr>
          <w:szCs w:val="22"/>
        </w:rPr>
        <w:t>Výnosy z predaja diaľničných z</w:t>
      </w:r>
      <w:r w:rsidRPr="00AF779D">
        <w:rPr>
          <w:szCs w:val="22"/>
        </w:rPr>
        <w:t xml:space="preserve">námok klesli o  17,9 % (v dôsledku </w:t>
      </w:r>
      <w:proofErr w:type="spellStart"/>
      <w:r w:rsidRPr="00AF779D">
        <w:rPr>
          <w:szCs w:val="22"/>
        </w:rPr>
        <w:t>protipandemických</w:t>
      </w:r>
      <w:proofErr w:type="spellEnd"/>
      <w:r w:rsidRPr="00AF779D">
        <w:rPr>
          <w:szCs w:val="22"/>
        </w:rPr>
        <w:t xml:space="preserve"> opatrení</w:t>
      </w:r>
      <w:r w:rsidR="00D55A1C">
        <w:rPr>
          <w:szCs w:val="22"/>
        </w:rPr>
        <w:t xml:space="preserve"> Slovenska ako aj ostatných krajín</w:t>
      </w:r>
      <w:r w:rsidRPr="00AF779D">
        <w:rPr>
          <w:szCs w:val="22"/>
        </w:rPr>
        <w:t xml:space="preserve">, ktoré znížili mobilitu obyvateľstva), príjem z predaja ročných známok a 365-dňových známok predstavoval 73,6 % z celkového príjmu za diaľničné známky (percentuálny podiel jednotlivých druhov pritom bol 54:46), pričom najviac sa predalo v ks 10 dňových diaľničných známok, a to 50,5 % z celkového objemu predaja. </w:t>
      </w:r>
    </w:p>
    <w:p w14:paraId="354BF712" w14:textId="77777777" w:rsidR="004E5304" w:rsidRPr="000831FC" w:rsidRDefault="004E5304" w:rsidP="00D55A1C">
      <w:pPr>
        <w:spacing w:after="120" w:line="240" w:lineRule="auto"/>
        <w:jc w:val="both"/>
        <w:rPr>
          <w:color w:val="FF0000"/>
          <w:szCs w:val="22"/>
        </w:rPr>
      </w:pPr>
      <w:r w:rsidRPr="00564D5B">
        <w:rPr>
          <w:szCs w:val="22"/>
        </w:rPr>
        <w:t>NDS počas roka 2020 investovala do rozvoja siete diaľnic a rýchlostných ciest na Slovensku prostriedky vo  výške takmer 428 mil. eur. Výdavky na projektovú prípravu pritom tvorili 12,0 %, stavebné práce 81,7 % a ostatné výdavky 6,3 %. V priebehu roka 2020 bolo stavieb vo výstavbe (úseky diaľnic a rýchlostných ciest) v celkovej dĺžke  80,2 km a do fázy realizácie  so začiatkom v roku 202</w:t>
      </w:r>
      <w:r>
        <w:rPr>
          <w:szCs w:val="22"/>
        </w:rPr>
        <w:t>1</w:t>
      </w:r>
      <w:r w:rsidRPr="00564D5B">
        <w:rPr>
          <w:szCs w:val="22"/>
        </w:rPr>
        <w:t xml:space="preserve"> bolo dopracovaných projektov výstavby s celkovou dĺžkou 32,4 km.</w:t>
      </w:r>
    </w:p>
    <w:p w14:paraId="34B83570" w14:textId="26CF5C57" w:rsidR="00A50FE7" w:rsidRDefault="004E5304" w:rsidP="003660ED">
      <w:pPr>
        <w:spacing w:after="120" w:line="240" w:lineRule="auto"/>
        <w:jc w:val="both"/>
        <w:rPr>
          <w:b/>
          <w:szCs w:val="22"/>
        </w:rPr>
      </w:pPr>
      <w:r w:rsidRPr="0006176F">
        <w:rPr>
          <w:szCs w:val="22"/>
        </w:rPr>
        <w:t xml:space="preserve">S platnosťou od 3.3.2020 bolo do Obchodného registra zapísané zvýšenie základného imania NDS na základe zápisnice z 26.11.2019 o 13 884 tis. eur (výsledok znižujúcej transakcie vo výške 8 993 tis. eur – </w:t>
      </w:r>
      <w:r w:rsidRPr="0006176F">
        <w:rPr>
          <w:szCs w:val="22"/>
        </w:rPr>
        <w:lastRenderedPageBreak/>
        <w:t>vysporiadanie vzťahov s akcionárom a zvyšujúcej transakcie vo výške 22 876 tis. eur –  nepeňažný vklad do spoločnosti).</w:t>
      </w:r>
    </w:p>
    <w:p w14:paraId="762CFE89" w14:textId="42DD093D" w:rsidR="004E5304" w:rsidRPr="00DE6023" w:rsidRDefault="004E5304" w:rsidP="004E5304">
      <w:pPr>
        <w:spacing w:after="120" w:line="336" w:lineRule="auto"/>
        <w:jc w:val="both"/>
        <w:rPr>
          <w:szCs w:val="22"/>
        </w:rPr>
      </w:pPr>
      <w:r w:rsidRPr="00DE6023">
        <w:rPr>
          <w:b/>
          <w:szCs w:val="22"/>
        </w:rPr>
        <w:t xml:space="preserve">Stredoslovenská energetika Holding, a.s. </w:t>
      </w:r>
      <w:r w:rsidRPr="00DE6023">
        <w:rPr>
          <w:szCs w:val="22"/>
        </w:rPr>
        <w:t>(ďalej „SSEH“)</w:t>
      </w:r>
    </w:p>
    <w:p w14:paraId="372DC8CD" w14:textId="46D46655" w:rsidR="004E5304" w:rsidRDefault="004E5304" w:rsidP="009D79AD">
      <w:pPr>
        <w:spacing w:after="120" w:line="240" w:lineRule="auto"/>
        <w:jc w:val="both"/>
        <w:rPr>
          <w:szCs w:val="22"/>
        </w:rPr>
      </w:pPr>
      <w:r w:rsidRPr="00DE6023">
        <w:rPr>
          <w:szCs w:val="22"/>
        </w:rPr>
        <w:t xml:space="preserve">Štruktúra zmien vlastného imania sa vyvíjala stabilne, výsledok bežného obdobia ako pozitívna zmena stavu a výplata dividend ako negatívna zmena stavu vlastného imania. Zastúpenie ostatných položiek v rámci štruktúry bolo možné považovať, vzhľadom na veľkosť ich vplyvu, za nevýznamné. Hlavným zdrojom tvorby výsledku bežného obdobia generovaného </w:t>
      </w:r>
      <w:r>
        <w:rPr>
          <w:szCs w:val="22"/>
        </w:rPr>
        <w:t>do</w:t>
      </w:r>
      <w:r w:rsidRPr="00DE6023">
        <w:rPr>
          <w:szCs w:val="22"/>
        </w:rPr>
        <w:t xml:space="preserve"> rok</w:t>
      </w:r>
      <w:r>
        <w:rPr>
          <w:szCs w:val="22"/>
        </w:rPr>
        <w:t>u</w:t>
      </w:r>
      <w:r w:rsidRPr="00DE6023">
        <w:rPr>
          <w:szCs w:val="22"/>
        </w:rPr>
        <w:t xml:space="preserve"> </w:t>
      </w:r>
      <w:r>
        <w:rPr>
          <w:szCs w:val="22"/>
        </w:rPr>
        <w:t>2018</w:t>
      </w:r>
      <w:r w:rsidRPr="00DE6023">
        <w:rPr>
          <w:szCs w:val="22"/>
        </w:rPr>
        <w:t>, boli  výnosy z dodávky energií. Zisk pritom nezostával ponechaný v skupine SSE, ale bol použitý na výplatu dividend pre akcionárov. Rok 2019 bol pre spoločnosť SSEH, ale aj pre celú skupinu SSE prelomovým. S platnosťou od 1.1.2019 bola zrealizovaná reorganizácia skupiny s cieľom vytvoriť holdingové zoskupenie. Spoločnosť Stredoslovenská energetika, a.s. zmenila obchodný názov na Stredoslovenská energetika Holding, a.s. a spoločnosť SSE – Obchod, a.s. sa premenovala na Stredoslovenská energetika, a.s. S reorganizáciou boli spojené aj presuny činností, majetku a záväzkov medzi spoločnosťami v rámci skupiny.</w:t>
      </w:r>
    </w:p>
    <w:p w14:paraId="5D669462" w14:textId="4A65C7D9" w:rsidR="0015751D" w:rsidRPr="00DE6023" w:rsidRDefault="0015751D" w:rsidP="009D79AD">
      <w:pPr>
        <w:spacing w:after="120" w:line="240" w:lineRule="auto"/>
        <w:jc w:val="both"/>
        <w:rPr>
          <w:szCs w:val="22"/>
        </w:rPr>
      </w:pPr>
      <w:r>
        <w:rPr>
          <w:szCs w:val="22"/>
        </w:rPr>
        <w:t>Graf 13</w:t>
      </w:r>
    </w:p>
    <w:p w14:paraId="727D4433" w14:textId="77777777" w:rsidR="004E5304" w:rsidRPr="000831FC" w:rsidRDefault="004E5304" w:rsidP="004E5304">
      <w:pPr>
        <w:spacing w:after="120" w:line="336" w:lineRule="auto"/>
        <w:jc w:val="center"/>
        <w:rPr>
          <w:b/>
          <w:color w:val="FF0000"/>
          <w:szCs w:val="22"/>
        </w:rPr>
      </w:pPr>
      <w:r>
        <w:rPr>
          <w:noProof/>
          <w:color w:val="FF0000"/>
          <w:szCs w:val="22"/>
          <w:lang w:eastAsia="sk-SK"/>
        </w:rPr>
        <w:drawing>
          <wp:inline distT="0" distB="0" distL="0" distR="0" wp14:anchorId="7ABE4520" wp14:editId="2B71F99D">
            <wp:extent cx="4845593" cy="3005594"/>
            <wp:effectExtent l="0" t="0" r="0" b="4445"/>
            <wp:docPr id="128" name="Obrázo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75343" cy="3024047"/>
                    </a:xfrm>
                    <a:prstGeom prst="rect">
                      <a:avLst/>
                    </a:prstGeom>
                    <a:noFill/>
                  </pic:spPr>
                </pic:pic>
              </a:graphicData>
            </a:graphic>
          </wp:inline>
        </w:drawing>
      </w:r>
    </w:p>
    <w:p w14:paraId="4AAE4FAA" w14:textId="77777777" w:rsidR="004E5304" w:rsidRPr="000E6B02" w:rsidRDefault="004E5304" w:rsidP="00ED34CD">
      <w:pPr>
        <w:spacing w:after="120" w:line="240" w:lineRule="auto"/>
        <w:jc w:val="both"/>
        <w:rPr>
          <w:szCs w:val="22"/>
        </w:rPr>
      </w:pPr>
      <w:r w:rsidRPr="000E6B02">
        <w:rPr>
          <w:szCs w:val="22"/>
        </w:rPr>
        <w:t xml:space="preserve">Vlastné imanie SSEH sa v roku 2020 znížilo o 66 928 tis. eur vplyvom výplaty dividend vo výške 188 635 tis. eur (dividenda pripadajúca na vlastnícky podiel štátu bola vo výške 96 204 tis. eur, z toho </w:t>
      </w:r>
      <w:proofErr w:type="spellStart"/>
      <w:r w:rsidRPr="000E6B02">
        <w:rPr>
          <w:szCs w:val="22"/>
        </w:rPr>
        <w:t>superdividenda</w:t>
      </w:r>
      <w:proofErr w:type="spellEnd"/>
      <w:r w:rsidRPr="000E6B02">
        <w:rPr>
          <w:szCs w:val="22"/>
        </w:rPr>
        <w:t xml:space="preserve"> vo výške 75 106 tis. eur).  Negatívny vplyv vyplatenej dividendy čiastočne eliminoval vygenerovaný výsledok za bežné obdobie vo forme zisku vo výške 121 707 tis. eur.</w:t>
      </w:r>
    </w:p>
    <w:p w14:paraId="1C32FF68" w14:textId="77777777" w:rsidR="004E5304" w:rsidRPr="000831FC" w:rsidRDefault="004E5304" w:rsidP="00ED34CD">
      <w:pPr>
        <w:spacing w:after="120" w:line="240" w:lineRule="auto"/>
        <w:jc w:val="both"/>
        <w:rPr>
          <w:color w:val="FF0000"/>
          <w:szCs w:val="22"/>
        </w:rPr>
      </w:pPr>
      <w:r w:rsidRPr="000E6B02">
        <w:rPr>
          <w:szCs w:val="22"/>
        </w:rPr>
        <w:t>Čistý zisk medziročne klesol o 45,0 % vplyvom absentujúci</w:t>
      </w:r>
      <w:r>
        <w:rPr>
          <w:szCs w:val="22"/>
        </w:rPr>
        <w:t>ch</w:t>
      </w:r>
      <w:r w:rsidRPr="000E6B02">
        <w:rPr>
          <w:szCs w:val="22"/>
        </w:rPr>
        <w:t xml:space="preserve"> výnosov z vkladu časti SSEH do dcérskych spoločností SSE a SSE – MVE (vo výške 38 </w:t>
      </w:r>
      <w:r>
        <w:rPr>
          <w:szCs w:val="22"/>
        </w:rPr>
        <w:t>738</w:t>
      </w:r>
      <w:r w:rsidRPr="000E6B02">
        <w:rPr>
          <w:szCs w:val="22"/>
        </w:rPr>
        <w:t xml:space="preserve"> tis. eur), </w:t>
      </w:r>
      <w:r>
        <w:rPr>
          <w:szCs w:val="22"/>
        </w:rPr>
        <w:t xml:space="preserve">zároveň </w:t>
      </w:r>
      <w:r w:rsidRPr="000E6B02">
        <w:rPr>
          <w:szCs w:val="22"/>
        </w:rPr>
        <w:t>výnosy a náklady na dodávky energií sa presunuli na dcérske spoločnosti, ktoré boli vykázané v roku 2019. Činnosti spojené s dodávkou energií, podpornou činnosťou a realizáciou projektov energetickej efektívnosti sa presunuli vkladom podniku do spoločnosti SSE, a.s. a činnosti spojené s vodnými elektrárňami sa vkladom presunuli do spoločnosti SSE – MVE, s.r.o. Predmetom vkladu boli aj zamestnanci, majetok a záväzky súvisiace s príslušnými činnosťami. Vplyvom reorganizácie sa tak presunuli nielen náklady a výnosy priamo súvisiace s postúpenými činnosťami, ale aj náklady na samotné prevádzkovanie týchto činností.</w:t>
      </w:r>
    </w:p>
    <w:p w14:paraId="6B7CF9AB" w14:textId="77777777" w:rsidR="004E5304" w:rsidRDefault="004E5304" w:rsidP="000C3860">
      <w:pPr>
        <w:spacing w:after="240" w:line="240" w:lineRule="auto"/>
        <w:jc w:val="both"/>
        <w:rPr>
          <w:szCs w:val="22"/>
        </w:rPr>
      </w:pPr>
      <w:r w:rsidRPr="007D292D">
        <w:rPr>
          <w:szCs w:val="22"/>
        </w:rPr>
        <w:t>Výnosy z dividend ako nový ťažiskový zdroj zisku SSEH zaznamenali medziročný pokles o 33,9 % z dôvodu nižších dividend prijatých od spoločnosti Stredoslovenská distribučná, a.s., medziročný pokles o 35,3 %  (spoločnosť Stredoslovenská distribučná, a.s. dividendy v rokoch 2017 a 2018 nevyplácala na základe rozhodnutia akcionára o ponechaní zisku v imaní, v </w:t>
      </w:r>
      <w:r w:rsidRPr="00E4360D">
        <w:rPr>
          <w:szCs w:val="22"/>
        </w:rPr>
        <w:t>priebehu roka 2019 akcionár rozhodol o vyplatení dividend aj zo ziskov minulých období, počas roku 2020 vyplatila dividendu na úrovni výsledku za bežné obdobie).</w:t>
      </w:r>
    </w:p>
    <w:p w14:paraId="1FD0D133" w14:textId="33BA681A" w:rsidR="004E5304" w:rsidRPr="00EE58A5" w:rsidRDefault="004E5304" w:rsidP="004E5304">
      <w:pPr>
        <w:jc w:val="both"/>
        <w:rPr>
          <w:szCs w:val="22"/>
        </w:rPr>
      </w:pPr>
      <w:proofErr w:type="spellStart"/>
      <w:r w:rsidRPr="00EE58A5">
        <w:rPr>
          <w:b/>
          <w:szCs w:val="22"/>
        </w:rPr>
        <w:lastRenderedPageBreak/>
        <w:t>Debitum</w:t>
      </w:r>
      <w:proofErr w:type="spellEnd"/>
      <w:r w:rsidRPr="00EE58A5">
        <w:rPr>
          <w:b/>
          <w:szCs w:val="22"/>
        </w:rPr>
        <w:t xml:space="preserve">, </w:t>
      </w:r>
      <w:proofErr w:type="spellStart"/>
      <w:r w:rsidRPr="00EE58A5">
        <w:rPr>
          <w:b/>
          <w:szCs w:val="22"/>
        </w:rPr>
        <w:t>a.s</w:t>
      </w:r>
      <w:proofErr w:type="spellEnd"/>
      <w:r w:rsidRPr="00EE58A5">
        <w:rPr>
          <w:b/>
          <w:szCs w:val="22"/>
        </w:rPr>
        <w:t>.</w:t>
      </w:r>
      <w:r w:rsidRPr="00EE58A5">
        <w:rPr>
          <w:szCs w:val="22"/>
        </w:rPr>
        <w:t xml:space="preserve"> (ďalej „Spoločnosť“)</w:t>
      </w:r>
    </w:p>
    <w:p w14:paraId="28F65D0F" w14:textId="47CFC0EB" w:rsidR="004E5304" w:rsidRDefault="004E5304" w:rsidP="000C3860">
      <w:pPr>
        <w:spacing w:after="120" w:line="240" w:lineRule="auto"/>
        <w:jc w:val="both"/>
        <w:rPr>
          <w:szCs w:val="22"/>
        </w:rPr>
      </w:pPr>
      <w:r w:rsidRPr="00EE58A5">
        <w:rPr>
          <w:szCs w:val="22"/>
        </w:rPr>
        <w:t>Hospodárenie Spoločnosti v rokoch 2018</w:t>
      </w:r>
      <w:r>
        <w:rPr>
          <w:szCs w:val="22"/>
        </w:rPr>
        <w:t xml:space="preserve"> </w:t>
      </w:r>
      <w:r w:rsidRPr="00EE58A5">
        <w:rPr>
          <w:szCs w:val="22"/>
        </w:rPr>
        <w:t>a</w:t>
      </w:r>
      <w:r>
        <w:rPr>
          <w:szCs w:val="22"/>
        </w:rPr>
        <w:t>ž</w:t>
      </w:r>
      <w:r w:rsidRPr="00EE58A5">
        <w:rPr>
          <w:szCs w:val="22"/>
        </w:rPr>
        <w:t xml:space="preserve"> 2020 bolo výrazne ovplyvnené realizovaním Koncepcie oddlženia zdravotníckych zariadení, ktorá bola schválená vládou dňa 13.9.2017</w:t>
      </w:r>
      <w:r w:rsidRPr="00EE58A5">
        <w:rPr>
          <w:vertAlign w:val="superscript"/>
        </w:rPr>
        <w:footnoteReference w:id="33"/>
      </w:r>
      <w:r w:rsidRPr="00EE58A5">
        <w:rPr>
          <w:szCs w:val="22"/>
        </w:rPr>
        <w:t xml:space="preserve">. </w:t>
      </w:r>
    </w:p>
    <w:p w14:paraId="0828DB08" w14:textId="5D654593" w:rsidR="0015751D" w:rsidRPr="00EE58A5" w:rsidRDefault="0015751D" w:rsidP="000C3860">
      <w:pPr>
        <w:spacing w:after="120" w:line="240" w:lineRule="auto"/>
        <w:jc w:val="both"/>
        <w:rPr>
          <w:noProof/>
          <w:color w:val="FF0000"/>
          <w:szCs w:val="22"/>
          <w:lang w:eastAsia="sk-SK"/>
        </w:rPr>
      </w:pPr>
      <w:r>
        <w:rPr>
          <w:szCs w:val="22"/>
        </w:rPr>
        <w:t>Graf 14</w:t>
      </w:r>
    </w:p>
    <w:p w14:paraId="0E5CBF86" w14:textId="77777777" w:rsidR="004E5304" w:rsidRPr="000831FC" w:rsidRDefault="004E5304" w:rsidP="004E5304">
      <w:pPr>
        <w:jc w:val="center"/>
        <w:rPr>
          <w:color w:val="FF0000"/>
          <w:szCs w:val="22"/>
        </w:rPr>
      </w:pPr>
      <w:r>
        <w:rPr>
          <w:noProof/>
          <w:color w:val="FF0000"/>
          <w:szCs w:val="22"/>
          <w:lang w:eastAsia="sk-SK"/>
        </w:rPr>
        <w:drawing>
          <wp:inline distT="0" distB="0" distL="0" distR="0" wp14:anchorId="6679B596" wp14:editId="3EF496CC">
            <wp:extent cx="5478726" cy="3363402"/>
            <wp:effectExtent l="0" t="0" r="8255" b="889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7569" cy="3374970"/>
                    </a:xfrm>
                    <a:prstGeom prst="rect">
                      <a:avLst/>
                    </a:prstGeom>
                    <a:noFill/>
                  </pic:spPr>
                </pic:pic>
              </a:graphicData>
            </a:graphic>
          </wp:inline>
        </w:drawing>
      </w:r>
    </w:p>
    <w:p w14:paraId="2B6B02D6" w14:textId="321DC535" w:rsidR="004E5304" w:rsidRDefault="004E5304" w:rsidP="000C3860">
      <w:pPr>
        <w:spacing w:after="120" w:line="240" w:lineRule="auto"/>
        <w:jc w:val="both"/>
        <w:rPr>
          <w:szCs w:val="22"/>
        </w:rPr>
      </w:pPr>
      <w:r w:rsidRPr="00EE58A5">
        <w:rPr>
          <w:szCs w:val="22"/>
        </w:rPr>
        <w:t>Vlastné imanie Spoločnosti sa v roku 2020 znížilo o 109 33</w:t>
      </w:r>
      <w:r>
        <w:rPr>
          <w:szCs w:val="22"/>
        </w:rPr>
        <w:t>8</w:t>
      </w:r>
      <w:r w:rsidRPr="00EE58A5">
        <w:rPr>
          <w:szCs w:val="22"/>
        </w:rPr>
        <w:t xml:space="preserve"> tis. eur vplyvom výsledku hospodárenia za bežné obdobie v podobe straty vo výške </w:t>
      </w:r>
      <w:r>
        <w:rPr>
          <w:szCs w:val="22"/>
        </w:rPr>
        <w:t>109</w:t>
      </w:r>
      <w:r w:rsidRPr="00EE58A5">
        <w:rPr>
          <w:szCs w:val="22"/>
        </w:rPr>
        <w:t> </w:t>
      </w:r>
      <w:r>
        <w:rPr>
          <w:szCs w:val="22"/>
        </w:rPr>
        <w:t>338</w:t>
      </w:r>
      <w:r w:rsidRPr="00EE58A5">
        <w:rPr>
          <w:szCs w:val="22"/>
        </w:rPr>
        <w:t xml:space="preserve"> tis. eur  (vplyv odpisu získaných pohľadávok na sociálnom poistení z dôvodu odpustenia).</w:t>
      </w:r>
    </w:p>
    <w:p w14:paraId="3B235EDE" w14:textId="77777777" w:rsidR="000C3860" w:rsidRDefault="000C3860" w:rsidP="000C3860">
      <w:pPr>
        <w:spacing w:after="120" w:line="240" w:lineRule="auto"/>
        <w:jc w:val="both"/>
        <w:rPr>
          <w:szCs w:val="22"/>
        </w:rPr>
      </w:pPr>
    </w:p>
    <w:p w14:paraId="43588D4E" w14:textId="6D5FFF7A" w:rsidR="004E5304" w:rsidRPr="00003225" w:rsidRDefault="004E5304" w:rsidP="00182A70">
      <w:pPr>
        <w:pStyle w:val="Nadpis3"/>
        <w:numPr>
          <w:ilvl w:val="2"/>
          <w:numId w:val="14"/>
        </w:numPr>
      </w:pPr>
      <w:bookmarkStart w:id="74" w:name="_Toc465258494"/>
      <w:bookmarkStart w:id="75" w:name="_Toc85718911"/>
      <w:r w:rsidRPr="00003225">
        <w:rPr>
          <w:rFonts w:eastAsiaTheme="minorHAnsi"/>
        </w:rPr>
        <w:t>Vlastné imanie Národnej banky Slovenska</w:t>
      </w:r>
      <w:bookmarkEnd w:id="74"/>
      <w:bookmarkEnd w:id="75"/>
    </w:p>
    <w:p w14:paraId="135421C8" w14:textId="78120992" w:rsidR="00617B8A" w:rsidRDefault="00617B8A" w:rsidP="00617B8A">
      <w:pPr>
        <w:spacing w:after="120" w:line="240" w:lineRule="auto"/>
        <w:jc w:val="both"/>
        <w:rPr>
          <w:szCs w:val="22"/>
        </w:rPr>
      </w:pPr>
      <w:r w:rsidRPr="00003225">
        <w:rPr>
          <w:szCs w:val="22"/>
        </w:rPr>
        <w:t xml:space="preserve">Štruktúra zmien vlastného imania sa vyvíjala stabilne, výsledok bežného obdobia ako pozitívna zmena stavu, ako aj vplyv </w:t>
      </w:r>
      <w:r w:rsidRPr="00F2443A">
        <w:rPr>
          <w:szCs w:val="22"/>
        </w:rPr>
        <w:t>precenenia s pozitívnym dopadom na zmenu stavu vlastného imania. Hlavným zdrojom tvorby výsledku bežného obdobia generovaného počas sledovaného obdobia vo forme zisku, je stabilne zisk z finančných operáci</w:t>
      </w:r>
      <w:r>
        <w:rPr>
          <w:szCs w:val="22"/>
        </w:rPr>
        <w:t>í</w:t>
      </w:r>
      <w:r w:rsidRPr="00F2443A">
        <w:rPr>
          <w:szCs w:val="22"/>
        </w:rPr>
        <w:t>. Vývoj zisku z finančných operácií závisí podobne ako veľkosť vplyvu precenenia, od vývoja podmienok v domácej ako aj globálnej ekonomike. Zastúpenie ostatných položiek v rámci štruktúry možno považovať, vzhľadom na veľkosť ich vplyvu, za nevýznamné.</w:t>
      </w:r>
    </w:p>
    <w:p w14:paraId="30F432B7" w14:textId="77777777" w:rsidR="0015751D" w:rsidRDefault="0015751D" w:rsidP="0015751D">
      <w:pPr>
        <w:spacing w:after="120" w:line="240" w:lineRule="auto"/>
        <w:jc w:val="both"/>
        <w:rPr>
          <w:szCs w:val="22"/>
        </w:rPr>
      </w:pPr>
    </w:p>
    <w:p w14:paraId="10258C9B" w14:textId="77777777" w:rsidR="0015751D" w:rsidRDefault="0015751D" w:rsidP="0015751D">
      <w:pPr>
        <w:spacing w:after="120" w:line="240" w:lineRule="auto"/>
        <w:jc w:val="both"/>
        <w:rPr>
          <w:szCs w:val="22"/>
        </w:rPr>
      </w:pPr>
    </w:p>
    <w:p w14:paraId="31728257" w14:textId="77777777" w:rsidR="0015751D" w:rsidRDefault="0015751D" w:rsidP="0015751D">
      <w:pPr>
        <w:spacing w:after="120" w:line="240" w:lineRule="auto"/>
        <w:jc w:val="both"/>
        <w:rPr>
          <w:szCs w:val="22"/>
        </w:rPr>
      </w:pPr>
    </w:p>
    <w:p w14:paraId="5ADE52F1" w14:textId="77777777" w:rsidR="0015751D" w:rsidRDefault="0015751D" w:rsidP="0015751D">
      <w:pPr>
        <w:spacing w:after="120" w:line="240" w:lineRule="auto"/>
        <w:jc w:val="both"/>
        <w:rPr>
          <w:szCs w:val="22"/>
        </w:rPr>
      </w:pPr>
    </w:p>
    <w:p w14:paraId="36C34914" w14:textId="77777777" w:rsidR="0015751D" w:rsidRDefault="0015751D" w:rsidP="0015751D">
      <w:pPr>
        <w:spacing w:after="120" w:line="240" w:lineRule="auto"/>
        <w:jc w:val="both"/>
        <w:rPr>
          <w:szCs w:val="22"/>
        </w:rPr>
      </w:pPr>
    </w:p>
    <w:p w14:paraId="44031F7A" w14:textId="77777777" w:rsidR="0015751D" w:rsidRDefault="0015751D" w:rsidP="0015751D">
      <w:pPr>
        <w:spacing w:after="120" w:line="240" w:lineRule="auto"/>
        <w:jc w:val="both"/>
        <w:rPr>
          <w:szCs w:val="22"/>
        </w:rPr>
      </w:pPr>
    </w:p>
    <w:p w14:paraId="173DCB71" w14:textId="77777777" w:rsidR="0015751D" w:rsidRDefault="0015751D" w:rsidP="0015751D">
      <w:pPr>
        <w:spacing w:after="120" w:line="240" w:lineRule="auto"/>
        <w:jc w:val="both"/>
        <w:rPr>
          <w:szCs w:val="22"/>
        </w:rPr>
      </w:pPr>
    </w:p>
    <w:p w14:paraId="247CE3E4" w14:textId="77777777" w:rsidR="0015751D" w:rsidRDefault="0015751D" w:rsidP="0015751D">
      <w:pPr>
        <w:spacing w:after="120" w:line="240" w:lineRule="auto"/>
        <w:jc w:val="both"/>
        <w:rPr>
          <w:szCs w:val="22"/>
        </w:rPr>
      </w:pPr>
    </w:p>
    <w:p w14:paraId="1995C8FB" w14:textId="27453131" w:rsidR="0015751D" w:rsidRPr="007E5058" w:rsidRDefault="0015751D" w:rsidP="0015751D">
      <w:pPr>
        <w:spacing w:after="120" w:line="240" w:lineRule="auto"/>
        <w:jc w:val="both"/>
        <w:rPr>
          <w:szCs w:val="22"/>
        </w:rPr>
      </w:pPr>
      <w:r>
        <w:rPr>
          <w:szCs w:val="22"/>
        </w:rPr>
        <w:lastRenderedPageBreak/>
        <w:t>Graf 15</w:t>
      </w:r>
    </w:p>
    <w:p w14:paraId="317E5DD1" w14:textId="77777777" w:rsidR="004E5304" w:rsidRPr="000831FC" w:rsidRDefault="004E5304" w:rsidP="004E5304">
      <w:pPr>
        <w:spacing w:after="120" w:line="336" w:lineRule="auto"/>
        <w:jc w:val="center"/>
        <w:rPr>
          <w:color w:val="FF0000"/>
          <w:szCs w:val="22"/>
        </w:rPr>
      </w:pPr>
      <w:r>
        <w:rPr>
          <w:noProof/>
          <w:color w:val="FF0000"/>
          <w:szCs w:val="22"/>
          <w:lang w:eastAsia="sk-SK"/>
        </w:rPr>
        <w:drawing>
          <wp:inline distT="0" distB="0" distL="0" distR="0" wp14:anchorId="15EF71FF" wp14:editId="18182EB3">
            <wp:extent cx="5136543" cy="2969109"/>
            <wp:effectExtent l="0" t="0" r="6985" b="317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67468" cy="2986985"/>
                    </a:xfrm>
                    <a:prstGeom prst="rect">
                      <a:avLst/>
                    </a:prstGeom>
                    <a:noFill/>
                  </pic:spPr>
                </pic:pic>
              </a:graphicData>
            </a:graphic>
          </wp:inline>
        </w:drawing>
      </w:r>
    </w:p>
    <w:p w14:paraId="0EDFFE43" w14:textId="77777777" w:rsidR="004E5304" w:rsidRPr="00003225" w:rsidRDefault="004E5304" w:rsidP="0079147B">
      <w:pPr>
        <w:spacing w:after="120" w:line="240" w:lineRule="auto"/>
        <w:jc w:val="both"/>
        <w:rPr>
          <w:szCs w:val="22"/>
        </w:rPr>
      </w:pPr>
      <w:r w:rsidRPr="00003225">
        <w:rPr>
          <w:szCs w:val="22"/>
        </w:rPr>
        <w:t>Vlastné imanie NBS sa v roku 2020 zvýšilo o 437 859 tis. eur  vplyvom zisku bežného obdobia vo výške 26</w:t>
      </w:r>
      <w:r>
        <w:rPr>
          <w:szCs w:val="22"/>
        </w:rPr>
        <w:t xml:space="preserve"> </w:t>
      </w:r>
      <w:r w:rsidRPr="00003225">
        <w:rPr>
          <w:szCs w:val="22"/>
        </w:rPr>
        <w:t xml:space="preserve">043 tis. eur, ktorého pozitívny vplyv ešte viac umocnilo zvýšenie stavu účtov precenenia o 411 816 tis. eur.  </w:t>
      </w:r>
    </w:p>
    <w:p w14:paraId="422A11C1" w14:textId="58C35409" w:rsidR="004E5304" w:rsidRDefault="004E5304" w:rsidP="00FE6A86">
      <w:pPr>
        <w:spacing w:after="120" w:line="240" w:lineRule="auto"/>
        <w:jc w:val="both"/>
        <w:rPr>
          <w:szCs w:val="22"/>
        </w:rPr>
      </w:pPr>
      <w:r w:rsidRPr="00F2443A">
        <w:rPr>
          <w:szCs w:val="22"/>
        </w:rPr>
        <w:t xml:space="preserve">Zisk bežného obdobia sa znížil o 87,7 % najmä vplyvom tvorby rezervy na finančné riziká vo výške 140 000 tis. eur a poklesom zisku z finančných operácii o 9,0 %. </w:t>
      </w:r>
      <w:r>
        <w:rPr>
          <w:szCs w:val="22"/>
        </w:rPr>
        <w:t xml:space="preserve">Zvýšenie stavu rezervy na finančné riziká bolo dôsledkom rastu rizika z </w:t>
      </w:r>
      <w:proofErr w:type="spellStart"/>
      <w:r>
        <w:rPr>
          <w:szCs w:val="22"/>
        </w:rPr>
        <w:t>menovopolitických</w:t>
      </w:r>
      <w:proofErr w:type="spellEnd"/>
      <w:r>
        <w:rPr>
          <w:szCs w:val="22"/>
        </w:rPr>
        <w:t xml:space="preserve"> operácií ako reakcia na nestabilitu a rast rizika na finančných trhov spôsobený COVID-19. </w:t>
      </w:r>
      <w:r w:rsidRPr="00F2443A">
        <w:rPr>
          <w:szCs w:val="22"/>
        </w:rPr>
        <w:t>Negatívny vývoj zisku z finančných operácii ovplyvnili najmä</w:t>
      </w:r>
      <w:r>
        <w:rPr>
          <w:szCs w:val="22"/>
        </w:rPr>
        <w:t xml:space="preserve"> </w:t>
      </w:r>
      <w:r w:rsidRPr="007C2C64">
        <w:rPr>
          <w:szCs w:val="22"/>
        </w:rPr>
        <w:t>poklesu zisku z výkonu menovej politiky (pokles o 42,7 %)</w:t>
      </w:r>
      <w:r>
        <w:rPr>
          <w:szCs w:val="22"/>
        </w:rPr>
        <w:t xml:space="preserve">, pokles ktorého spôsobil najmä pokles výnosu </w:t>
      </w:r>
      <w:r w:rsidRPr="007C2C64">
        <w:rPr>
          <w:szCs w:val="22"/>
        </w:rPr>
        <w:t xml:space="preserve">z podielu NBS na menovom </w:t>
      </w:r>
      <w:r w:rsidRPr="0052748F">
        <w:rPr>
          <w:szCs w:val="22"/>
        </w:rPr>
        <w:t xml:space="preserve">príjme Eurosystému (ako prejav zavedenia núdzových </w:t>
      </w:r>
      <w:proofErr w:type="spellStart"/>
      <w:r w:rsidRPr="0052748F">
        <w:rPr>
          <w:szCs w:val="22"/>
        </w:rPr>
        <w:t>pandemických</w:t>
      </w:r>
      <w:proofErr w:type="spellEnd"/>
      <w:r w:rsidRPr="0052748F">
        <w:rPr>
          <w:szCs w:val="22"/>
        </w:rPr>
        <w:t xml:space="preserve"> nástrojov a neštandardných opatrení s cieľom znížiť vplyvy pandémie). Negatívny vplyv uvedených položiek čiastočne zmiernil medziročný</w:t>
      </w:r>
      <w:r w:rsidR="00FE6A86">
        <w:rPr>
          <w:szCs w:val="22"/>
        </w:rPr>
        <w:t xml:space="preserve"> 2-</w:t>
      </w:r>
      <w:r w:rsidRPr="0052748F">
        <w:rPr>
          <w:szCs w:val="22"/>
        </w:rPr>
        <w:t>násobný rast zisku zo správy investičných rezerv, ktorý  bol spôsobený nižšími nákladmi na úverové obchody</w:t>
      </w:r>
      <w:r>
        <w:rPr>
          <w:szCs w:val="22"/>
        </w:rPr>
        <w:t xml:space="preserve"> (pokles úrokových sadzieb v USD a GBP) a výsledok z operácií s klientmi o 28,2 % (prijaté úroky zo zostatkov účtov klientov netvoriacich </w:t>
      </w:r>
      <w:r w:rsidRPr="00C67A2C">
        <w:rPr>
          <w:szCs w:val="22"/>
        </w:rPr>
        <w:t xml:space="preserve">povinné minimálne rezervy). </w:t>
      </w:r>
    </w:p>
    <w:p w14:paraId="62F7E28B" w14:textId="77777777" w:rsidR="004E5304" w:rsidRPr="00C67A2C" w:rsidRDefault="004E5304" w:rsidP="00FE6A86">
      <w:pPr>
        <w:spacing w:after="120" w:line="240" w:lineRule="auto"/>
        <w:jc w:val="both"/>
        <w:rPr>
          <w:szCs w:val="22"/>
        </w:rPr>
      </w:pPr>
      <w:r w:rsidRPr="003F7E8C">
        <w:rPr>
          <w:szCs w:val="22"/>
        </w:rPr>
        <w:t xml:space="preserve">Rast nákladov bol zaznamenaný na položke nákladov na </w:t>
      </w:r>
      <w:r w:rsidRPr="003F7E8C">
        <w:rPr>
          <w:bCs/>
          <w:szCs w:val="22"/>
        </w:rPr>
        <w:t>emisiu bankoviek a mincí o 91,5 % (vplyv vyššie množstva vyrobených eurobankoviek o 34,2 mil. ks a vyrazených obehových mincí o 61,1 mil. ks)</w:t>
      </w:r>
      <w:r>
        <w:rPr>
          <w:bCs/>
          <w:szCs w:val="22"/>
        </w:rPr>
        <w:t>.</w:t>
      </w:r>
    </w:p>
    <w:p w14:paraId="5ABAC8A2" w14:textId="77777777" w:rsidR="004E5304" w:rsidRDefault="004E5304" w:rsidP="00617B8A">
      <w:pPr>
        <w:spacing w:line="240" w:lineRule="auto"/>
        <w:jc w:val="both"/>
        <w:rPr>
          <w:bCs/>
          <w:szCs w:val="22"/>
        </w:rPr>
      </w:pPr>
      <w:r w:rsidRPr="00C67A2C">
        <w:rPr>
          <w:bCs/>
          <w:szCs w:val="22"/>
        </w:rPr>
        <w:t>K tvorbe konečnej úrovne zisku prispelo aj medziročné zvýšenie  nákladov na prevádzku</w:t>
      </w:r>
      <w:r>
        <w:rPr>
          <w:bCs/>
          <w:szCs w:val="22"/>
        </w:rPr>
        <w:t xml:space="preserve"> (o 6,4 % z dôvodu rastu osobných nákladov – zvýšenie počtu zamestnancov)</w:t>
      </w:r>
      <w:r w:rsidRPr="00C67A2C">
        <w:rPr>
          <w:bCs/>
          <w:szCs w:val="22"/>
        </w:rPr>
        <w:t xml:space="preserve"> a pokles prevádzkových</w:t>
      </w:r>
      <w:r>
        <w:rPr>
          <w:bCs/>
          <w:szCs w:val="22"/>
        </w:rPr>
        <w:t xml:space="preserve"> (o 91,0 %)</w:t>
      </w:r>
      <w:r w:rsidRPr="00C67A2C">
        <w:rPr>
          <w:bCs/>
          <w:szCs w:val="22"/>
        </w:rPr>
        <w:t xml:space="preserve"> a ostatných výnosov</w:t>
      </w:r>
      <w:r>
        <w:rPr>
          <w:bCs/>
          <w:szCs w:val="22"/>
        </w:rPr>
        <w:t xml:space="preserve"> (32,6 %) vplyvom rozhodnutia NBS o odpustení ročných príspevkov na druhý polrok 2020 dohliadaným subjektom finančného trhu ako príspevok na zmiernenie dopadov COVID-19 na finančný sektor</w:t>
      </w:r>
      <w:r w:rsidRPr="00C67A2C">
        <w:rPr>
          <w:bCs/>
          <w:szCs w:val="22"/>
        </w:rPr>
        <w:t xml:space="preserve">. </w:t>
      </w:r>
    </w:p>
    <w:p w14:paraId="7FB53807" w14:textId="77777777" w:rsidR="00FD0E0D" w:rsidRDefault="00FD0E0D">
      <w:pPr>
        <w:rPr>
          <w:rFonts w:eastAsiaTheme="minorHAnsi"/>
          <w:b/>
          <w:szCs w:val="22"/>
        </w:rPr>
      </w:pPr>
      <w:r>
        <w:rPr>
          <w:rFonts w:eastAsiaTheme="minorHAnsi"/>
        </w:rPr>
        <w:br w:type="page"/>
      </w:r>
    </w:p>
    <w:p w14:paraId="502E4DF0" w14:textId="79FB1116" w:rsidR="004E5304" w:rsidRDefault="004E5304" w:rsidP="004E5304">
      <w:pPr>
        <w:pStyle w:val="Nadpis3"/>
        <w:numPr>
          <w:ilvl w:val="0"/>
          <w:numId w:val="0"/>
        </w:numPr>
        <w:ind w:left="1080" w:hanging="720"/>
        <w:rPr>
          <w:rFonts w:eastAsiaTheme="minorHAnsi"/>
        </w:rPr>
      </w:pPr>
      <w:bookmarkStart w:id="76" w:name="_Toc85718912"/>
      <w:r>
        <w:rPr>
          <w:rFonts w:eastAsiaTheme="minorHAnsi"/>
        </w:rPr>
        <w:lastRenderedPageBreak/>
        <w:t>3.2.</w:t>
      </w:r>
      <w:r w:rsidR="00182A70">
        <w:rPr>
          <w:rFonts w:eastAsiaTheme="minorHAnsi"/>
        </w:rPr>
        <w:t>4.</w:t>
      </w:r>
      <w:r>
        <w:rPr>
          <w:rFonts w:eastAsiaTheme="minorHAnsi"/>
        </w:rPr>
        <w:t xml:space="preserve"> Vývoj stavu vlastného imania podnikov štátnej správy za 10 rokov</w:t>
      </w:r>
      <w:bookmarkEnd w:id="76"/>
    </w:p>
    <w:p w14:paraId="1B70CF0D" w14:textId="46C84ECD" w:rsidR="004E5304" w:rsidRDefault="004E5304" w:rsidP="00C910AB">
      <w:pPr>
        <w:spacing w:line="240" w:lineRule="auto"/>
        <w:jc w:val="both"/>
        <w:rPr>
          <w:szCs w:val="22"/>
        </w:rPr>
      </w:pPr>
      <w:r>
        <w:rPr>
          <w:szCs w:val="22"/>
        </w:rPr>
        <w:t>Nasledujúci graf prezentuje prírastky a úbytky na celkovom objeme vlastného imania podnikov štátnej správy (prepočítanom na majetkový podiel štátu v mil. eur) za posledných 10 rokov. Bližšie vysvetlenie medziročnej zmeny s výškou nad 100 mil. eur vysvetľuje nasledujúca tabuľka s detailom na podniky štátnej správy s rozhodujúcim vplyvom na výške medziročnej zmeny.</w:t>
      </w:r>
    </w:p>
    <w:p w14:paraId="0D83E492" w14:textId="63383AFA" w:rsidR="0015751D" w:rsidRPr="00ED49C8" w:rsidRDefault="0015751D" w:rsidP="0015751D">
      <w:pPr>
        <w:spacing w:after="120" w:line="240" w:lineRule="auto"/>
        <w:jc w:val="both"/>
        <w:rPr>
          <w:szCs w:val="22"/>
        </w:rPr>
      </w:pPr>
      <w:r>
        <w:rPr>
          <w:szCs w:val="22"/>
        </w:rPr>
        <w:t>Graf 16</w:t>
      </w:r>
    </w:p>
    <w:p w14:paraId="51C3D78D" w14:textId="77777777" w:rsidR="004E5304" w:rsidRDefault="004E5304" w:rsidP="004E5304">
      <w:pPr>
        <w:jc w:val="center"/>
      </w:pPr>
      <w:r>
        <w:rPr>
          <w:noProof/>
          <w:lang w:eastAsia="sk-SK"/>
        </w:rPr>
        <w:drawing>
          <wp:inline distT="0" distB="0" distL="0" distR="0" wp14:anchorId="58E42EC7" wp14:editId="0C263D04">
            <wp:extent cx="5991902" cy="3085106"/>
            <wp:effectExtent l="0" t="0" r="889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44185" cy="3112025"/>
                    </a:xfrm>
                    <a:prstGeom prst="rect">
                      <a:avLst/>
                    </a:prstGeom>
                    <a:noFill/>
                  </pic:spPr>
                </pic:pic>
              </a:graphicData>
            </a:graphic>
          </wp:inline>
        </w:drawing>
      </w:r>
    </w:p>
    <w:tbl>
      <w:tblPr>
        <w:tblW w:w="9204" w:type="dxa"/>
        <w:jc w:val="center"/>
        <w:tblCellMar>
          <w:left w:w="70" w:type="dxa"/>
          <w:right w:w="70" w:type="dxa"/>
        </w:tblCellMar>
        <w:tblLook w:val="04A0" w:firstRow="1" w:lastRow="0" w:firstColumn="1" w:lastColumn="0" w:noHBand="0" w:noVBand="1"/>
      </w:tblPr>
      <w:tblGrid>
        <w:gridCol w:w="1269"/>
        <w:gridCol w:w="848"/>
        <w:gridCol w:w="850"/>
        <w:gridCol w:w="1559"/>
        <w:gridCol w:w="4678"/>
      </w:tblGrid>
      <w:tr w:rsidR="00FD0E0D" w:rsidRPr="003660ED" w14:paraId="7F2DCDC4" w14:textId="77777777" w:rsidTr="00816B05">
        <w:trPr>
          <w:trHeight w:val="240"/>
          <w:jc w:val="center"/>
        </w:trPr>
        <w:tc>
          <w:tcPr>
            <w:tcW w:w="9204" w:type="dxa"/>
            <w:gridSpan w:val="5"/>
            <w:tcBorders>
              <w:top w:val="single" w:sz="8" w:space="0" w:color="auto"/>
              <w:left w:val="single" w:sz="8" w:space="0" w:color="auto"/>
              <w:bottom w:val="nil"/>
              <w:right w:val="single" w:sz="8" w:space="0" w:color="000000"/>
            </w:tcBorders>
            <w:shd w:val="clear" w:color="auto" w:fill="000000" w:themeFill="text1"/>
            <w:noWrap/>
            <w:vAlign w:val="bottom"/>
            <w:hideMark/>
          </w:tcPr>
          <w:p w14:paraId="651C0662" w14:textId="30B3EE6F" w:rsidR="00FD0E0D" w:rsidRPr="003660ED" w:rsidRDefault="00BF3BAF" w:rsidP="003660ED">
            <w:pPr>
              <w:spacing w:after="0" w:line="240" w:lineRule="auto"/>
              <w:rPr>
                <w:b/>
                <w:bCs/>
                <w:color w:val="FFFFFF" w:themeColor="background1"/>
                <w:sz w:val="20"/>
                <w:szCs w:val="20"/>
                <w:lang w:eastAsia="sk-SK"/>
              </w:rPr>
            </w:pPr>
            <w:r w:rsidRPr="003660ED">
              <w:rPr>
                <w:b/>
                <w:sz w:val="20"/>
                <w:szCs w:val="20"/>
              </w:rPr>
              <w:br w:type="page"/>
            </w:r>
            <w:r w:rsidR="003660ED" w:rsidRPr="003660ED">
              <w:rPr>
                <w:b/>
                <w:sz w:val="20"/>
                <w:szCs w:val="20"/>
              </w:rPr>
              <w:t xml:space="preserve">Tab. 17 - </w:t>
            </w:r>
            <w:r w:rsidR="00FD0E0D" w:rsidRPr="003660ED">
              <w:rPr>
                <w:b/>
                <w:bCs/>
                <w:color w:val="FFFFFF" w:themeColor="background1"/>
                <w:sz w:val="20"/>
                <w:szCs w:val="20"/>
                <w:lang w:eastAsia="sk-SK"/>
              </w:rPr>
              <w:t>Detail medziročných zmien s výškou nad 100 mil. eur</w:t>
            </w:r>
          </w:p>
        </w:tc>
      </w:tr>
      <w:tr w:rsidR="00FD0E0D" w:rsidRPr="00CC14B1" w14:paraId="5C32704F" w14:textId="77777777" w:rsidTr="00816B05">
        <w:trPr>
          <w:trHeight w:val="630"/>
          <w:jc w:val="center"/>
        </w:trPr>
        <w:tc>
          <w:tcPr>
            <w:tcW w:w="1269"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1B3BD530" w14:textId="77777777" w:rsidR="00FD0E0D" w:rsidRPr="00CC14B1" w:rsidRDefault="00FD0E0D" w:rsidP="00FD0E0D">
            <w:pPr>
              <w:spacing w:after="0" w:line="240" w:lineRule="auto"/>
              <w:jc w:val="center"/>
              <w:rPr>
                <w:b/>
                <w:bCs/>
                <w:color w:val="000000"/>
                <w:sz w:val="16"/>
                <w:szCs w:val="16"/>
                <w:lang w:eastAsia="sk-SK"/>
              </w:rPr>
            </w:pPr>
            <w:r w:rsidRPr="00CC14B1">
              <w:rPr>
                <w:b/>
                <w:bCs/>
                <w:color w:val="000000"/>
                <w:sz w:val="16"/>
                <w:szCs w:val="16"/>
                <w:lang w:eastAsia="sk-SK"/>
              </w:rPr>
              <w:t>Rok zmeny</w:t>
            </w:r>
          </w:p>
        </w:tc>
        <w:tc>
          <w:tcPr>
            <w:tcW w:w="8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6E4503" w14:textId="77777777" w:rsidR="00FD0E0D" w:rsidRPr="00CC14B1" w:rsidRDefault="00FD0E0D" w:rsidP="00FD0E0D">
            <w:pPr>
              <w:spacing w:after="0" w:line="240" w:lineRule="auto"/>
              <w:jc w:val="center"/>
              <w:rPr>
                <w:b/>
                <w:bCs/>
                <w:color w:val="000000"/>
                <w:sz w:val="16"/>
                <w:szCs w:val="16"/>
                <w:lang w:eastAsia="sk-SK"/>
              </w:rPr>
            </w:pPr>
            <w:r w:rsidRPr="00CC14B1">
              <w:rPr>
                <w:b/>
                <w:bCs/>
                <w:color w:val="000000"/>
                <w:sz w:val="16"/>
                <w:szCs w:val="16"/>
                <w:lang w:eastAsia="sk-SK"/>
              </w:rPr>
              <w:t>Výška zmeny v</w:t>
            </w:r>
            <w:r>
              <w:rPr>
                <w:b/>
                <w:bCs/>
                <w:color w:val="000000"/>
                <w:sz w:val="16"/>
                <w:szCs w:val="16"/>
                <w:lang w:eastAsia="sk-SK"/>
              </w:rPr>
              <w:t> mil.</w:t>
            </w:r>
            <w:r w:rsidRPr="00CC14B1">
              <w:rPr>
                <w:b/>
                <w:bCs/>
                <w:color w:val="000000"/>
                <w:sz w:val="16"/>
                <w:szCs w:val="16"/>
                <w:lang w:eastAsia="sk-SK"/>
              </w:rPr>
              <w:t xml:space="preserve"> €</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5A753B" w14:textId="77777777" w:rsidR="00FD0E0D" w:rsidRPr="00CC14B1" w:rsidRDefault="00FD0E0D" w:rsidP="00FD0E0D">
            <w:pPr>
              <w:spacing w:after="0" w:line="240" w:lineRule="auto"/>
              <w:jc w:val="center"/>
              <w:rPr>
                <w:b/>
                <w:bCs/>
                <w:color w:val="000000"/>
                <w:sz w:val="16"/>
                <w:szCs w:val="16"/>
                <w:lang w:eastAsia="sk-SK"/>
              </w:rPr>
            </w:pPr>
            <w:r w:rsidRPr="00CC14B1">
              <w:rPr>
                <w:b/>
                <w:bCs/>
                <w:color w:val="000000"/>
                <w:sz w:val="16"/>
                <w:szCs w:val="16"/>
                <w:lang w:eastAsia="sk-SK"/>
              </w:rPr>
              <w:t>Detail</w:t>
            </w:r>
            <w:r>
              <w:rPr>
                <w:b/>
                <w:bCs/>
                <w:color w:val="000000"/>
                <w:sz w:val="16"/>
                <w:szCs w:val="16"/>
                <w:lang w:eastAsia="sk-SK"/>
              </w:rPr>
              <w:t xml:space="preserve"> v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F503CE9" w14:textId="77777777" w:rsidR="00FD0E0D" w:rsidRPr="00CC14B1" w:rsidRDefault="00FD0E0D" w:rsidP="00FD0E0D">
            <w:pPr>
              <w:spacing w:after="0" w:line="240" w:lineRule="auto"/>
              <w:jc w:val="center"/>
              <w:rPr>
                <w:b/>
                <w:bCs/>
                <w:color w:val="000000"/>
                <w:sz w:val="16"/>
                <w:szCs w:val="16"/>
                <w:lang w:eastAsia="sk-SK"/>
              </w:rPr>
            </w:pPr>
            <w:r w:rsidRPr="00CC14B1">
              <w:rPr>
                <w:b/>
                <w:bCs/>
                <w:color w:val="000000"/>
                <w:sz w:val="16"/>
                <w:szCs w:val="16"/>
                <w:lang w:eastAsia="sk-SK"/>
              </w:rPr>
              <w:t>Podnik</w:t>
            </w:r>
          </w:p>
        </w:tc>
        <w:tc>
          <w:tcPr>
            <w:tcW w:w="4678" w:type="dxa"/>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543DA6BD" w14:textId="77777777" w:rsidR="00FD0E0D" w:rsidRPr="00CC14B1" w:rsidRDefault="00FD0E0D" w:rsidP="00FD0E0D">
            <w:pPr>
              <w:spacing w:after="0" w:line="240" w:lineRule="auto"/>
              <w:jc w:val="center"/>
              <w:rPr>
                <w:b/>
                <w:bCs/>
                <w:color w:val="000000"/>
                <w:sz w:val="16"/>
                <w:szCs w:val="16"/>
                <w:lang w:eastAsia="sk-SK"/>
              </w:rPr>
            </w:pPr>
            <w:r w:rsidRPr="00CC14B1">
              <w:rPr>
                <w:b/>
                <w:bCs/>
                <w:color w:val="000000"/>
                <w:sz w:val="16"/>
                <w:szCs w:val="16"/>
                <w:lang w:eastAsia="sk-SK"/>
              </w:rPr>
              <w:t>Ťažiskový vplyv</w:t>
            </w:r>
          </w:p>
        </w:tc>
      </w:tr>
      <w:tr w:rsidR="00FD0E0D" w:rsidRPr="00CC14B1" w14:paraId="71C2E9BD" w14:textId="77777777" w:rsidTr="00816B05">
        <w:trPr>
          <w:trHeight w:val="480"/>
          <w:jc w:val="center"/>
        </w:trPr>
        <w:tc>
          <w:tcPr>
            <w:tcW w:w="1269" w:type="dxa"/>
            <w:vMerge w:val="restart"/>
            <w:tcBorders>
              <w:top w:val="nil"/>
              <w:left w:val="single" w:sz="8" w:space="0" w:color="auto"/>
              <w:bottom w:val="nil"/>
              <w:right w:val="single" w:sz="4" w:space="0" w:color="auto"/>
            </w:tcBorders>
            <w:shd w:val="clear" w:color="000000" w:fill="FFFFFF"/>
            <w:noWrap/>
            <w:vAlign w:val="center"/>
            <w:hideMark/>
          </w:tcPr>
          <w:p w14:paraId="160B63C3" w14:textId="77777777" w:rsidR="00FD0E0D" w:rsidRPr="00CC14B1" w:rsidRDefault="00FD0E0D" w:rsidP="00FD0E0D">
            <w:pPr>
              <w:spacing w:after="0" w:line="240" w:lineRule="auto"/>
              <w:jc w:val="center"/>
              <w:rPr>
                <w:color w:val="000000"/>
                <w:sz w:val="16"/>
                <w:szCs w:val="16"/>
                <w:lang w:eastAsia="sk-SK"/>
              </w:rPr>
            </w:pPr>
            <w:r w:rsidRPr="00CC14B1">
              <w:rPr>
                <w:color w:val="000000"/>
                <w:sz w:val="16"/>
                <w:szCs w:val="16"/>
                <w:lang w:eastAsia="sk-SK"/>
              </w:rPr>
              <w:t>2011</w:t>
            </w:r>
          </w:p>
        </w:tc>
        <w:tc>
          <w:tcPr>
            <w:tcW w:w="848" w:type="dxa"/>
            <w:vMerge w:val="restart"/>
            <w:tcBorders>
              <w:top w:val="nil"/>
              <w:left w:val="single" w:sz="4" w:space="0" w:color="auto"/>
              <w:bottom w:val="nil"/>
              <w:right w:val="single" w:sz="4" w:space="0" w:color="auto"/>
            </w:tcBorders>
            <w:shd w:val="clear" w:color="auto" w:fill="auto"/>
            <w:noWrap/>
            <w:vAlign w:val="center"/>
            <w:hideMark/>
          </w:tcPr>
          <w:p w14:paraId="4DFEFA3E" w14:textId="77777777" w:rsidR="00FD0E0D" w:rsidRPr="00CC14B1" w:rsidRDefault="00FD0E0D" w:rsidP="00FD0E0D">
            <w:pPr>
              <w:spacing w:after="0" w:line="240" w:lineRule="auto"/>
              <w:jc w:val="center"/>
              <w:rPr>
                <w:color w:val="92D050"/>
                <w:sz w:val="16"/>
                <w:szCs w:val="16"/>
                <w:lang w:eastAsia="sk-SK"/>
              </w:rPr>
            </w:pPr>
            <w:r w:rsidRPr="006056B3">
              <w:rPr>
                <w:color w:val="00B050"/>
                <w:sz w:val="16"/>
                <w:szCs w:val="16"/>
                <w:lang w:eastAsia="sk-SK"/>
              </w:rPr>
              <w:t>986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9D30486" w14:textId="77777777" w:rsidR="00FD0E0D" w:rsidRPr="00CC14B1" w:rsidRDefault="00FD0E0D" w:rsidP="00FD0E0D">
            <w:pPr>
              <w:spacing w:after="0" w:line="240" w:lineRule="auto"/>
              <w:jc w:val="right"/>
              <w:rPr>
                <w:sz w:val="16"/>
                <w:szCs w:val="16"/>
                <w:lang w:eastAsia="sk-SK"/>
              </w:rPr>
            </w:pPr>
            <w:r w:rsidRPr="00CC14B1">
              <w:rPr>
                <w:sz w:val="16"/>
                <w:szCs w:val="16"/>
                <w:lang w:eastAsia="sk-SK"/>
              </w:rPr>
              <w:t>2</w:t>
            </w:r>
            <w:r>
              <w:rPr>
                <w:sz w:val="16"/>
                <w:szCs w:val="16"/>
                <w:lang w:eastAsia="sk-SK"/>
              </w:rPr>
              <w:t>90</w:t>
            </w:r>
          </w:p>
        </w:tc>
        <w:tc>
          <w:tcPr>
            <w:tcW w:w="1559" w:type="dxa"/>
            <w:tcBorders>
              <w:top w:val="nil"/>
              <w:left w:val="nil"/>
              <w:bottom w:val="single" w:sz="4" w:space="0" w:color="auto"/>
              <w:right w:val="single" w:sz="4" w:space="0" w:color="auto"/>
            </w:tcBorders>
            <w:shd w:val="clear" w:color="auto" w:fill="auto"/>
            <w:noWrap/>
            <w:vAlign w:val="center"/>
            <w:hideMark/>
          </w:tcPr>
          <w:p w14:paraId="3F616704" w14:textId="77777777" w:rsidR="00FD0E0D" w:rsidRPr="00CC14B1" w:rsidRDefault="00FD0E0D" w:rsidP="00FD0E0D">
            <w:pPr>
              <w:spacing w:after="0" w:line="240" w:lineRule="auto"/>
              <w:rPr>
                <w:sz w:val="16"/>
                <w:szCs w:val="16"/>
                <w:lang w:eastAsia="sk-SK"/>
              </w:rPr>
            </w:pPr>
            <w:r w:rsidRPr="00CC14B1">
              <w:rPr>
                <w:sz w:val="16"/>
                <w:szCs w:val="16"/>
                <w:lang w:eastAsia="sk-SK"/>
              </w:rPr>
              <w:t>SEPS</w:t>
            </w:r>
          </w:p>
        </w:tc>
        <w:tc>
          <w:tcPr>
            <w:tcW w:w="4678" w:type="dxa"/>
            <w:tcBorders>
              <w:top w:val="single" w:sz="4" w:space="0" w:color="auto"/>
              <w:left w:val="nil"/>
              <w:bottom w:val="single" w:sz="4" w:space="0" w:color="auto"/>
              <w:right w:val="single" w:sz="8" w:space="0" w:color="000000"/>
            </w:tcBorders>
            <w:shd w:val="clear" w:color="auto" w:fill="auto"/>
            <w:hideMark/>
          </w:tcPr>
          <w:p w14:paraId="16B9D23B"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Zisk bežného obdobia (42 mil. eur),  precenenie majetku podľa IAS 16 cez VI (266 mil. eur) a vyplatenie dividend (1</w:t>
            </w:r>
            <w:r>
              <w:rPr>
                <w:color w:val="000000"/>
                <w:sz w:val="16"/>
                <w:szCs w:val="16"/>
                <w:lang w:eastAsia="sk-SK"/>
              </w:rPr>
              <w:t>7</w:t>
            </w:r>
            <w:r w:rsidRPr="00CC14B1">
              <w:rPr>
                <w:color w:val="000000"/>
                <w:sz w:val="16"/>
                <w:szCs w:val="16"/>
                <w:lang w:eastAsia="sk-SK"/>
              </w:rPr>
              <w:t xml:space="preserve"> mil. eur).</w:t>
            </w:r>
          </w:p>
        </w:tc>
      </w:tr>
      <w:tr w:rsidR="00FD0E0D" w:rsidRPr="00CC14B1" w14:paraId="066CCDF2" w14:textId="77777777" w:rsidTr="00816B05">
        <w:trPr>
          <w:trHeight w:val="510"/>
          <w:jc w:val="center"/>
        </w:trPr>
        <w:tc>
          <w:tcPr>
            <w:tcW w:w="1269" w:type="dxa"/>
            <w:vMerge/>
            <w:tcBorders>
              <w:top w:val="nil"/>
              <w:left w:val="single" w:sz="8" w:space="0" w:color="auto"/>
              <w:bottom w:val="nil"/>
              <w:right w:val="single" w:sz="4" w:space="0" w:color="auto"/>
            </w:tcBorders>
            <w:vAlign w:val="center"/>
            <w:hideMark/>
          </w:tcPr>
          <w:p w14:paraId="5D8DDC5D" w14:textId="77777777" w:rsidR="00FD0E0D" w:rsidRPr="00CC14B1" w:rsidRDefault="00FD0E0D" w:rsidP="00FD0E0D">
            <w:pPr>
              <w:spacing w:after="0" w:line="240" w:lineRule="auto"/>
              <w:rPr>
                <w:color w:val="000000"/>
                <w:sz w:val="16"/>
                <w:szCs w:val="16"/>
                <w:lang w:eastAsia="sk-SK"/>
              </w:rPr>
            </w:pPr>
          </w:p>
        </w:tc>
        <w:tc>
          <w:tcPr>
            <w:tcW w:w="848" w:type="dxa"/>
            <w:vMerge/>
            <w:tcBorders>
              <w:top w:val="nil"/>
              <w:left w:val="single" w:sz="4" w:space="0" w:color="auto"/>
              <w:bottom w:val="nil"/>
              <w:right w:val="single" w:sz="4" w:space="0" w:color="auto"/>
            </w:tcBorders>
            <w:vAlign w:val="center"/>
            <w:hideMark/>
          </w:tcPr>
          <w:p w14:paraId="264BBA6C" w14:textId="77777777" w:rsidR="00FD0E0D" w:rsidRPr="00CC14B1" w:rsidRDefault="00FD0E0D" w:rsidP="00FD0E0D">
            <w:pPr>
              <w:spacing w:after="0" w:line="240" w:lineRule="auto"/>
              <w:rPr>
                <w:color w:val="92D050"/>
                <w:sz w:val="16"/>
                <w:szCs w:val="16"/>
                <w:lang w:eastAsia="sk-SK"/>
              </w:rPr>
            </w:pPr>
          </w:p>
        </w:tc>
        <w:tc>
          <w:tcPr>
            <w:tcW w:w="850" w:type="dxa"/>
            <w:tcBorders>
              <w:top w:val="nil"/>
              <w:left w:val="nil"/>
              <w:bottom w:val="single" w:sz="4" w:space="0" w:color="auto"/>
              <w:right w:val="single" w:sz="4" w:space="0" w:color="auto"/>
            </w:tcBorders>
            <w:shd w:val="clear" w:color="auto" w:fill="auto"/>
            <w:noWrap/>
            <w:vAlign w:val="center"/>
            <w:hideMark/>
          </w:tcPr>
          <w:p w14:paraId="423B8485" w14:textId="77777777" w:rsidR="00FD0E0D" w:rsidRPr="00CC14B1" w:rsidRDefault="00FD0E0D" w:rsidP="00FD0E0D">
            <w:pPr>
              <w:spacing w:after="0" w:line="240" w:lineRule="auto"/>
              <w:jc w:val="right"/>
              <w:rPr>
                <w:color w:val="000000"/>
                <w:sz w:val="16"/>
                <w:szCs w:val="16"/>
                <w:lang w:eastAsia="sk-SK"/>
              </w:rPr>
            </w:pPr>
            <w:r w:rsidRPr="00CC14B1">
              <w:rPr>
                <w:color w:val="000000"/>
                <w:sz w:val="16"/>
                <w:szCs w:val="16"/>
                <w:lang w:eastAsia="sk-SK"/>
              </w:rPr>
              <w:t>2</w:t>
            </w:r>
            <w:r>
              <w:rPr>
                <w:color w:val="000000"/>
                <w:sz w:val="16"/>
                <w:szCs w:val="16"/>
                <w:lang w:eastAsia="sk-SK"/>
              </w:rPr>
              <w:t>40</w:t>
            </w:r>
          </w:p>
        </w:tc>
        <w:tc>
          <w:tcPr>
            <w:tcW w:w="1559" w:type="dxa"/>
            <w:tcBorders>
              <w:top w:val="nil"/>
              <w:left w:val="nil"/>
              <w:bottom w:val="single" w:sz="4" w:space="0" w:color="auto"/>
              <w:right w:val="single" w:sz="4" w:space="0" w:color="auto"/>
            </w:tcBorders>
            <w:shd w:val="clear" w:color="auto" w:fill="auto"/>
            <w:noWrap/>
            <w:vAlign w:val="center"/>
            <w:hideMark/>
          </w:tcPr>
          <w:p w14:paraId="0057C081"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SPP</w:t>
            </w:r>
          </w:p>
        </w:tc>
        <w:tc>
          <w:tcPr>
            <w:tcW w:w="4678" w:type="dxa"/>
            <w:tcBorders>
              <w:top w:val="single" w:sz="4" w:space="0" w:color="auto"/>
              <w:left w:val="nil"/>
              <w:bottom w:val="single" w:sz="4" w:space="0" w:color="auto"/>
              <w:right w:val="single" w:sz="8" w:space="0" w:color="000000"/>
            </w:tcBorders>
            <w:shd w:val="clear" w:color="auto" w:fill="auto"/>
            <w:hideMark/>
          </w:tcPr>
          <w:p w14:paraId="4180D4B4"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 xml:space="preserve">Zisk za bežné obdobie (747 mil. eur), fondov z precenenia (273 mil. eur) a vyplatenie dividend (550 mil. eur z toho pre štát </w:t>
            </w:r>
            <w:r>
              <w:rPr>
                <w:color w:val="000000"/>
                <w:sz w:val="16"/>
                <w:szCs w:val="16"/>
                <w:lang w:eastAsia="sk-SK"/>
              </w:rPr>
              <w:t>281</w:t>
            </w:r>
            <w:r w:rsidRPr="00CC14B1">
              <w:rPr>
                <w:color w:val="000000"/>
                <w:sz w:val="16"/>
                <w:szCs w:val="16"/>
                <w:lang w:eastAsia="sk-SK"/>
              </w:rPr>
              <w:t xml:space="preserve"> mil. eur; </w:t>
            </w:r>
            <w:proofErr w:type="spellStart"/>
            <w:r w:rsidRPr="00CC14B1">
              <w:rPr>
                <w:color w:val="000000"/>
                <w:sz w:val="16"/>
                <w:szCs w:val="16"/>
                <w:lang w:eastAsia="sk-SK"/>
              </w:rPr>
              <w:t>superdividenda</w:t>
            </w:r>
            <w:proofErr w:type="spellEnd"/>
            <w:r w:rsidRPr="00CC14B1">
              <w:rPr>
                <w:color w:val="000000"/>
                <w:sz w:val="16"/>
                <w:szCs w:val="16"/>
                <w:lang w:eastAsia="sk-SK"/>
              </w:rPr>
              <w:t xml:space="preserve"> 55 mil. eur).</w:t>
            </w:r>
          </w:p>
        </w:tc>
      </w:tr>
      <w:tr w:rsidR="00FD0E0D" w:rsidRPr="00CC14B1" w14:paraId="3FA0180B" w14:textId="77777777" w:rsidTr="00816B05">
        <w:trPr>
          <w:trHeight w:val="240"/>
          <w:jc w:val="center"/>
        </w:trPr>
        <w:tc>
          <w:tcPr>
            <w:tcW w:w="1269" w:type="dxa"/>
            <w:vMerge/>
            <w:tcBorders>
              <w:top w:val="nil"/>
              <w:left w:val="single" w:sz="8" w:space="0" w:color="auto"/>
              <w:bottom w:val="nil"/>
              <w:right w:val="single" w:sz="4" w:space="0" w:color="auto"/>
            </w:tcBorders>
            <w:vAlign w:val="center"/>
            <w:hideMark/>
          </w:tcPr>
          <w:p w14:paraId="17256288" w14:textId="77777777" w:rsidR="00FD0E0D" w:rsidRPr="00CC14B1" w:rsidRDefault="00FD0E0D" w:rsidP="00FD0E0D">
            <w:pPr>
              <w:spacing w:after="0" w:line="240" w:lineRule="auto"/>
              <w:rPr>
                <w:color w:val="000000"/>
                <w:sz w:val="16"/>
                <w:szCs w:val="16"/>
                <w:lang w:eastAsia="sk-SK"/>
              </w:rPr>
            </w:pPr>
          </w:p>
        </w:tc>
        <w:tc>
          <w:tcPr>
            <w:tcW w:w="848" w:type="dxa"/>
            <w:vMerge/>
            <w:tcBorders>
              <w:top w:val="nil"/>
              <w:left w:val="single" w:sz="4" w:space="0" w:color="auto"/>
              <w:bottom w:val="nil"/>
              <w:right w:val="single" w:sz="4" w:space="0" w:color="auto"/>
            </w:tcBorders>
            <w:vAlign w:val="center"/>
            <w:hideMark/>
          </w:tcPr>
          <w:p w14:paraId="1041B5EE" w14:textId="77777777" w:rsidR="00FD0E0D" w:rsidRPr="00CC14B1" w:rsidRDefault="00FD0E0D" w:rsidP="00FD0E0D">
            <w:pPr>
              <w:spacing w:after="0" w:line="240" w:lineRule="auto"/>
              <w:rPr>
                <w:color w:val="92D050"/>
                <w:sz w:val="16"/>
                <w:szCs w:val="16"/>
                <w:lang w:eastAsia="sk-SK"/>
              </w:rPr>
            </w:pPr>
          </w:p>
        </w:tc>
        <w:tc>
          <w:tcPr>
            <w:tcW w:w="850" w:type="dxa"/>
            <w:tcBorders>
              <w:top w:val="nil"/>
              <w:left w:val="nil"/>
              <w:bottom w:val="single" w:sz="4" w:space="0" w:color="auto"/>
              <w:right w:val="single" w:sz="4" w:space="0" w:color="auto"/>
            </w:tcBorders>
            <w:shd w:val="clear" w:color="auto" w:fill="auto"/>
            <w:noWrap/>
            <w:vAlign w:val="center"/>
            <w:hideMark/>
          </w:tcPr>
          <w:p w14:paraId="43ED199E" w14:textId="77777777" w:rsidR="00FD0E0D" w:rsidRPr="00CC14B1" w:rsidRDefault="00FD0E0D" w:rsidP="00FD0E0D">
            <w:pPr>
              <w:spacing w:after="0" w:line="240" w:lineRule="auto"/>
              <w:jc w:val="right"/>
              <w:rPr>
                <w:color w:val="000000"/>
                <w:sz w:val="16"/>
                <w:szCs w:val="16"/>
                <w:lang w:eastAsia="sk-SK"/>
              </w:rPr>
            </w:pPr>
            <w:r w:rsidRPr="00CC14B1">
              <w:rPr>
                <w:color w:val="000000"/>
                <w:sz w:val="16"/>
                <w:szCs w:val="16"/>
                <w:lang w:eastAsia="sk-SK"/>
              </w:rPr>
              <w:t>185</w:t>
            </w:r>
          </w:p>
        </w:tc>
        <w:tc>
          <w:tcPr>
            <w:tcW w:w="1559" w:type="dxa"/>
            <w:tcBorders>
              <w:top w:val="nil"/>
              <w:left w:val="nil"/>
              <w:bottom w:val="single" w:sz="4" w:space="0" w:color="auto"/>
              <w:right w:val="single" w:sz="4" w:space="0" w:color="auto"/>
            </w:tcBorders>
            <w:shd w:val="clear" w:color="auto" w:fill="auto"/>
            <w:noWrap/>
            <w:vAlign w:val="center"/>
            <w:hideMark/>
          </w:tcPr>
          <w:p w14:paraId="79FC980A"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NDS</w:t>
            </w:r>
          </w:p>
        </w:tc>
        <w:tc>
          <w:tcPr>
            <w:tcW w:w="4678" w:type="dxa"/>
            <w:tcBorders>
              <w:top w:val="single" w:sz="4" w:space="0" w:color="auto"/>
              <w:left w:val="nil"/>
              <w:bottom w:val="single" w:sz="4" w:space="0" w:color="auto"/>
              <w:right w:val="single" w:sz="8" w:space="0" w:color="000000"/>
            </w:tcBorders>
            <w:shd w:val="clear" w:color="auto" w:fill="auto"/>
            <w:noWrap/>
            <w:vAlign w:val="bottom"/>
            <w:hideMark/>
          </w:tcPr>
          <w:p w14:paraId="6A61A912"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Zisk bežného obdobia (</w:t>
            </w:r>
            <w:r>
              <w:rPr>
                <w:color w:val="000000"/>
                <w:sz w:val="16"/>
                <w:szCs w:val="16"/>
                <w:lang w:eastAsia="sk-SK"/>
              </w:rPr>
              <w:t>3</w:t>
            </w:r>
            <w:r w:rsidRPr="00CC14B1">
              <w:rPr>
                <w:color w:val="000000"/>
                <w:sz w:val="16"/>
                <w:szCs w:val="16"/>
                <w:lang w:eastAsia="sk-SK"/>
              </w:rPr>
              <w:t>8 mil. eur), vklad akcionára do imania spoločnosti (1</w:t>
            </w:r>
            <w:r>
              <w:rPr>
                <w:color w:val="000000"/>
                <w:sz w:val="16"/>
                <w:szCs w:val="16"/>
                <w:lang w:eastAsia="sk-SK"/>
              </w:rPr>
              <w:t>42</w:t>
            </w:r>
            <w:r w:rsidRPr="00CC14B1">
              <w:rPr>
                <w:color w:val="000000"/>
                <w:sz w:val="16"/>
                <w:szCs w:val="16"/>
                <w:lang w:eastAsia="sk-SK"/>
              </w:rPr>
              <w:t xml:space="preserve"> mil. eur).</w:t>
            </w:r>
          </w:p>
        </w:tc>
      </w:tr>
      <w:tr w:rsidR="00FD0E0D" w:rsidRPr="00CC14B1" w14:paraId="23150A9F" w14:textId="77777777" w:rsidTr="00816B05">
        <w:trPr>
          <w:trHeight w:val="240"/>
          <w:jc w:val="center"/>
        </w:trPr>
        <w:tc>
          <w:tcPr>
            <w:tcW w:w="1269" w:type="dxa"/>
            <w:vMerge/>
            <w:tcBorders>
              <w:top w:val="nil"/>
              <w:left w:val="single" w:sz="8" w:space="0" w:color="auto"/>
              <w:bottom w:val="nil"/>
              <w:right w:val="single" w:sz="4" w:space="0" w:color="auto"/>
            </w:tcBorders>
            <w:vAlign w:val="center"/>
            <w:hideMark/>
          </w:tcPr>
          <w:p w14:paraId="7BC7252D" w14:textId="77777777" w:rsidR="00FD0E0D" w:rsidRPr="00CC14B1" w:rsidRDefault="00FD0E0D" w:rsidP="00FD0E0D">
            <w:pPr>
              <w:spacing w:after="0" w:line="240" w:lineRule="auto"/>
              <w:rPr>
                <w:color w:val="000000"/>
                <w:sz w:val="16"/>
                <w:szCs w:val="16"/>
                <w:lang w:eastAsia="sk-SK"/>
              </w:rPr>
            </w:pPr>
          </w:p>
        </w:tc>
        <w:tc>
          <w:tcPr>
            <w:tcW w:w="848" w:type="dxa"/>
            <w:vMerge/>
            <w:tcBorders>
              <w:top w:val="nil"/>
              <w:left w:val="single" w:sz="4" w:space="0" w:color="auto"/>
              <w:bottom w:val="nil"/>
              <w:right w:val="single" w:sz="4" w:space="0" w:color="auto"/>
            </w:tcBorders>
            <w:vAlign w:val="center"/>
            <w:hideMark/>
          </w:tcPr>
          <w:p w14:paraId="21EA1E9E" w14:textId="77777777" w:rsidR="00FD0E0D" w:rsidRPr="00CC14B1" w:rsidRDefault="00FD0E0D" w:rsidP="00FD0E0D">
            <w:pPr>
              <w:spacing w:after="0" w:line="240" w:lineRule="auto"/>
              <w:rPr>
                <w:color w:val="92D050"/>
                <w:sz w:val="16"/>
                <w:szCs w:val="16"/>
                <w:lang w:eastAsia="sk-SK"/>
              </w:rPr>
            </w:pPr>
          </w:p>
        </w:tc>
        <w:tc>
          <w:tcPr>
            <w:tcW w:w="850" w:type="dxa"/>
            <w:tcBorders>
              <w:top w:val="nil"/>
              <w:left w:val="nil"/>
              <w:bottom w:val="single" w:sz="4" w:space="0" w:color="auto"/>
              <w:right w:val="single" w:sz="4" w:space="0" w:color="auto"/>
            </w:tcBorders>
            <w:shd w:val="clear" w:color="auto" w:fill="auto"/>
            <w:noWrap/>
            <w:vAlign w:val="center"/>
            <w:hideMark/>
          </w:tcPr>
          <w:p w14:paraId="2DA56333" w14:textId="77777777" w:rsidR="00FD0E0D" w:rsidRPr="00CC14B1" w:rsidRDefault="00FD0E0D" w:rsidP="00FD0E0D">
            <w:pPr>
              <w:spacing w:after="0" w:line="240" w:lineRule="auto"/>
              <w:jc w:val="right"/>
              <w:rPr>
                <w:color w:val="000000"/>
                <w:sz w:val="16"/>
                <w:szCs w:val="16"/>
                <w:lang w:eastAsia="sk-SK"/>
              </w:rPr>
            </w:pPr>
            <w:r w:rsidRPr="00CC14B1">
              <w:rPr>
                <w:color w:val="000000"/>
                <w:sz w:val="16"/>
                <w:szCs w:val="16"/>
                <w:lang w:eastAsia="sk-SK"/>
              </w:rPr>
              <w:t>150</w:t>
            </w:r>
          </w:p>
        </w:tc>
        <w:tc>
          <w:tcPr>
            <w:tcW w:w="1559" w:type="dxa"/>
            <w:tcBorders>
              <w:top w:val="nil"/>
              <w:left w:val="nil"/>
              <w:bottom w:val="single" w:sz="4" w:space="0" w:color="auto"/>
              <w:right w:val="single" w:sz="4" w:space="0" w:color="auto"/>
            </w:tcBorders>
            <w:shd w:val="clear" w:color="auto" w:fill="auto"/>
            <w:noWrap/>
            <w:vAlign w:val="center"/>
            <w:hideMark/>
          </w:tcPr>
          <w:p w14:paraId="3CDB602A"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ŽSR</w:t>
            </w:r>
          </w:p>
        </w:tc>
        <w:tc>
          <w:tcPr>
            <w:tcW w:w="4678" w:type="dxa"/>
            <w:tcBorders>
              <w:top w:val="single" w:sz="4" w:space="0" w:color="auto"/>
              <w:left w:val="nil"/>
              <w:bottom w:val="single" w:sz="4" w:space="0" w:color="auto"/>
              <w:right w:val="single" w:sz="8" w:space="0" w:color="000000"/>
            </w:tcBorders>
            <w:shd w:val="clear" w:color="auto" w:fill="auto"/>
            <w:hideMark/>
          </w:tcPr>
          <w:p w14:paraId="4704ED6B"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Strata bežného obdobia (32 mil. eur), vysporiadanie straty minulých období zriaďovateľom (177 mil. eur).</w:t>
            </w:r>
          </w:p>
        </w:tc>
      </w:tr>
      <w:tr w:rsidR="00FD0E0D" w:rsidRPr="00CC14B1" w14:paraId="0E5C2585" w14:textId="77777777" w:rsidTr="00816B05">
        <w:trPr>
          <w:trHeight w:val="240"/>
          <w:jc w:val="center"/>
        </w:trPr>
        <w:tc>
          <w:tcPr>
            <w:tcW w:w="1269" w:type="dxa"/>
            <w:vMerge/>
            <w:tcBorders>
              <w:top w:val="nil"/>
              <w:left w:val="single" w:sz="8" w:space="0" w:color="auto"/>
              <w:bottom w:val="nil"/>
              <w:right w:val="single" w:sz="4" w:space="0" w:color="auto"/>
            </w:tcBorders>
            <w:vAlign w:val="center"/>
            <w:hideMark/>
          </w:tcPr>
          <w:p w14:paraId="79454D0D" w14:textId="77777777" w:rsidR="00FD0E0D" w:rsidRPr="00CC14B1" w:rsidRDefault="00FD0E0D" w:rsidP="00FD0E0D">
            <w:pPr>
              <w:spacing w:after="0" w:line="240" w:lineRule="auto"/>
              <w:rPr>
                <w:color w:val="000000"/>
                <w:sz w:val="16"/>
                <w:szCs w:val="16"/>
                <w:lang w:eastAsia="sk-SK"/>
              </w:rPr>
            </w:pPr>
          </w:p>
        </w:tc>
        <w:tc>
          <w:tcPr>
            <w:tcW w:w="848" w:type="dxa"/>
            <w:vMerge/>
            <w:tcBorders>
              <w:top w:val="nil"/>
              <w:left w:val="single" w:sz="4" w:space="0" w:color="auto"/>
              <w:bottom w:val="nil"/>
              <w:right w:val="single" w:sz="4" w:space="0" w:color="auto"/>
            </w:tcBorders>
            <w:vAlign w:val="center"/>
            <w:hideMark/>
          </w:tcPr>
          <w:p w14:paraId="72A9DD03" w14:textId="77777777" w:rsidR="00FD0E0D" w:rsidRPr="00CC14B1" w:rsidRDefault="00FD0E0D" w:rsidP="00FD0E0D">
            <w:pPr>
              <w:spacing w:after="0" w:line="240" w:lineRule="auto"/>
              <w:rPr>
                <w:color w:val="92D050"/>
                <w:sz w:val="16"/>
                <w:szCs w:val="16"/>
                <w:lang w:eastAsia="sk-SK"/>
              </w:rPr>
            </w:pPr>
          </w:p>
        </w:tc>
        <w:tc>
          <w:tcPr>
            <w:tcW w:w="850" w:type="dxa"/>
            <w:tcBorders>
              <w:top w:val="nil"/>
              <w:left w:val="nil"/>
              <w:bottom w:val="single" w:sz="4" w:space="0" w:color="auto"/>
              <w:right w:val="single" w:sz="4" w:space="0" w:color="auto"/>
            </w:tcBorders>
            <w:shd w:val="clear" w:color="auto" w:fill="auto"/>
            <w:noWrap/>
            <w:vAlign w:val="center"/>
            <w:hideMark/>
          </w:tcPr>
          <w:p w14:paraId="7990AE81" w14:textId="77777777" w:rsidR="00FD0E0D" w:rsidRPr="00CC14B1" w:rsidRDefault="00FD0E0D" w:rsidP="00FD0E0D">
            <w:pPr>
              <w:spacing w:after="0" w:line="240" w:lineRule="auto"/>
              <w:jc w:val="right"/>
              <w:rPr>
                <w:color w:val="000000"/>
                <w:sz w:val="16"/>
                <w:szCs w:val="16"/>
                <w:lang w:eastAsia="sk-SK"/>
              </w:rPr>
            </w:pPr>
            <w:r w:rsidRPr="00CC14B1">
              <w:rPr>
                <w:color w:val="000000"/>
                <w:sz w:val="16"/>
                <w:szCs w:val="16"/>
                <w:lang w:eastAsia="sk-SK"/>
              </w:rPr>
              <w:t>14</w:t>
            </w:r>
            <w:r>
              <w:rPr>
                <w:color w:val="000000"/>
                <w:sz w:val="16"/>
                <w:szCs w:val="16"/>
                <w:lang w:eastAsia="sk-SK"/>
              </w:rPr>
              <w:t>8</w:t>
            </w:r>
          </w:p>
        </w:tc>
        <w:tc>
          <w:tcPr>
            <w:tcW w:w="1559" w:type="dxa"/>
            <w:tcBorders>
              <w:top w:val="nil"/>
              <w:left w:val="nil"/>
              <w:bottom w:val="single" w:sz="4" w:space="0" w:color="auto"/>
              <w:right w:val="single" w:sz="4" w:space="0" w:color="auto"/>
            </w:tcBorders>
            <w:shd w:val="clear" w:color="auto" w:fill="auto"/>
            <w:noWrap/>
            <w:vAlign w:val="center"/>
            <w:hideMark/>
          </w:tcPr>
          <w:p w14:paraId="3E8372CA"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SE</w:t>
            </w:r>
          </w:p>
        </w:tc>
        <w:tc>
          <w:tcPr>
            <w:tcW w:w="4678" w:type="dxa"/>
            <w:tcBorders>
              <w:top w:val="single" w:sz="4" w:space="0" w:color="auto"/>
              <w:left w:val="nil"/>
              <w:bottom w:val="single" w:sz="4" w:space="0" w:color="auto"/>
              <w:right w:val="single" w:sz="8" w:space="0" w:color="000000"/>
            </w:tcBorders>
            <w:shd w:val="clear" w:color="auto" w:fill="auto"/>
            <w:noWrap/>
            <w:vAlign w:val="bottom"/>
            <w:hideMark/>
          </w:tcPr>
          <w:p w14:paraId="53D786D3"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Zisk bežného obdobia a aktualizácie stavu rezerv.</w:t>
            </w:r>
          </w:p>
        </w:tc>
      </w:tr>
      <w:tr w:rsidR="00FD0E0D" w:rsidRPr="00CC14B1" w14:paraId="7F90B0B7" w14:textId="77777777" w:rsidTr="00816B05">
        <w:trPr>
          <w:trHeight w:val="240"/>
          <w:jc w:val="center"/>
        </w:trPr>
        <w:tc>
          <w:tcPr>
            <w:tcW w:w="1269" w:type="dxa"/>
            <w:vMerge w:val="restart"/>
            <w:tcBorders>
              <w:top w:val="single" w:sz="4" w:space="0" w:color="auto"/>
              <w:left w:val="single" w:sz="8" w:space="0" w:color="auto"/>
              <w:bottom w:val="single" w:sz="4" w:space="0" w:color="000000"/>
              <w:right w:val="single" w:sz="4" w:space="0" w:color="auto"/>
            </w:tcBorders>
            <w:shd w:val="clear" w:color="000000" w:fill="FFFFFF"/>
            <w:noWrap/>
            <w:vAlign w:val="center"/>
            <w:hideMark/>
          </w:tcPr>
          <w:p w14:paraId="00182321" w14:textId="77777777" w:rsidR="00FD0E0D" w:rsidRPr="00CC14B1" w:rsidRDefault="00FD0E0D" w:rsidP="00FD0E0D">
            <w:pPr>
              <w:spacing w:after="0" w:line="240" w:lineRule="auto"/>
              <w:jc w:val="center"/>
              <w:rPr>
                <w:color w:val="000000"/>
                <w:sz w:val="16"/>
                <w:szCs w:val="16"/>
                <w:lang w:eastAsia="sk-SK"/>
              </w:rPr>
            </w:pPr>
            <w:r w:rsidRPr="00CC14B1">
              <w:rPr>
                <w:color w:val="000000"/>
                <w:sz w:val="16"/>
                <w:szCs w:val="16"/>
                <w:lang w:eastAsia="sk-SK"/>
              </w:rPr>
              <w:t>2013</w:t>
            </w:r>
          </w:p>
        </w:tc>
        <w:tc>
          <w:tcPr>
            <w:tcW w:w="8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086B3A" w14:textId="77777777" w:rsidR="00FD0E0D" w:rsidRPr="00CC14B1" w:rsidRDefault="00FD0E0D" w:rsidP="00FD0E0D">
            <w:pPr>
              <w:spacing w:after="0" w:line="240" w:lineRule="auto"/>
              <w:jc w:val="center"/>
              <w:rPr>
                <w:color w:val="FF0000"/>
                <w:sz w:val="16"/>
                <w:szCs w:val="16"/>
                <w:lang w:eastAsia="sk-SK"/>
              </w:rPr>
            </w:pPr>
            <w:r w:rsidRPr="006056B3">
              <w:rPr>
                <w:color w:val="C00000"/>
                <w:sz w:val="16"/>
                <w:szCs w:val="16"/>
                <w:lang w:eastAsia="sk-SK"/>
              </w:rPr>
              <w:t>-171</w:t>
            </w:r>
          </w:p>
        </w:tc>
        <w:tc>
          <w:tcPr>
            <w:tcW w:w="850" w:type="dxa"/>
            <w:tcBorders>
              <w:top w:val="nil"/>
              <w:left w:val="nil"/>
              <w:bottom w:val="single" w:sz="4" w:space="0" w:color="auto"/>
              <w:right w:val="single" w:sz="4" w:space="0" w:color="auto"/>
            </w:tcBorders>
            <w:shd w:val="clear" w:color="auto" w:fill="auto"/>
            <w:noWrap/>
            <w:vAlign w:val="center"/>
            <w:hideMark/>
          </w:tcPr>
          <w:p w14:paraId="1306596E" w14:textId="77777777" w:rsidR="00FD0E0D" w:rsidRPr="00CC14B1" w:rsidRDefault="00FD0E0D" w:rsidP="00FD0E0D">
            <w:pPr>
              <w:spacing w:after="0" w:line="240" w:lineRule="auto"/>
              <w:jc w:val="right"/>
              <w:rPr>
                <w:color w:val="000000"/>
                <w:sz w:val="16"/>
                <w:szCs w:val="16"/>
                <w:lang w:eastAsia="sk-SK"/>
              </w:rPr>
            </w:pPr>
            <w:r w:rsidRPr="00CC14B1">
              <w:rPr>
                <w:color w:val="000000"/>
                <w:sz w:val="16"/>
                <w:szCs w:val="16"/>
                <w:lang w:eastAsia="sk-SK"/>
              </w:rPr>
              <w:t>-30</w:t>
            </w:r>
            <w:r>
              <w:rPr>
                <w:color w:val="000000"/>
                <w:sz w:val="16"/>
                <w:szCs w:val="16"/>
                <w:lang w:eastAsia="sk-SK"/>
              </w:rPr>
              <w:t>6</w:t>
            </w:r>
          </w:p>
        </w:tc>
        <w:tc>
          <w:tcPr>
            <w:tcW w:w="1559" w:type="dxa"/>
            <w:tcBorders>
              <w:top w:val="nil"/>
              <w:left w:val="nil"/>
              <w:bottom w:val="single" w:sz="4" w:space="0" w:color="auto"/>
              <w:right w:val="single" w:sz="4" w:space="0" w:color="auto"/>
            </w:tcBorders>
            <w:shd w:val="clear" w:color="auto" w:fill="auto"/>
            <w:noWrap/>
            <w:vAlign w:val="center"/>
            <w:hideMark/>
          </w:tcPr>
          <w:p w14:paraId="75A18B67"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ZSE</w:t>
            </w:r>
          </w:p>
        </w:tc>
        <w:tc>
          <w:tcPr>
            <w:tcW w:w="4678" w:type="dxa"/>
            <w:tcBorders>
              <w:top w:val="nil"/>
              <w:left w:val="nil"/>
              <w:bottom w:val="single" w:sz="4" w:space="0" w:color="auto"/>
              <w:right w:val="single" w:sz="8" w:space="0" w:color="000000"/>
            </w:tcBorders>
            <w:shd w:val="clear" w:color="auto" w:fill="auto"/>
            <w:noWrap/>
            <w:vAlign w:val="bottom"/>
            <w:hideMark/>
          </w:tcPr>
          <w:p w14:paraId="516DE255"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Zisk bežného obdobia (</w:t>
            </w:r>
            <w:r>
              <w:rPr>
                <w:color w:val="000000"/>
                <w:sz w:val="16"/>
                <w:szCs w:val="16"/>
                <w:lang w:eastAsia="sk-SK"/>
              </w:rPr>
              <w:t>98</w:t>
            </w:r>
            <w:r w:rsidRPr="00CC14B1">
              <w:rPr>
                <w:color w:val="000000"/>
                <w:sz w:val="16"/>
                <w:szCs w:val="16"/>
                <w:lang w:eastAsia="sk-SK"/>
              </w:rPr>
              <w:t xml:space="preserve"> mil. eur) a vyplatenie mimoriadnych dividend (697 mil. eur).</w:t>
            </w:r>
          </w:p>
        </w:tc>
      </w:tr>
      <w:tr w:rsidR="00FD0E0D" w:rsidRPr="00CC14B1" w14:paraId="30AFC928" w14:textId="77777777" w:rsidTr="00816B05">
        <w:trPr>
          <w:trHeight w:val="480"/>
          <w:jc w:val="center"/>
        </w:trPr>
        <w:tc>
          <w:tcPr>
            <w:tcW w:w="1269" w:type="dxa"/>
            <w:vMerge/>
            <w:tcBorders>
              <w:top w:val="single" w:sz="4" w:space="0" w:color="auto"/>
              <w:left w:val="single" w:sz="8" w:space="0" w:color="auto"/>
              <w:bottom w:val="single" w:sz="4" w:space="0" w:color="000000"/>
              <w:right w:val="single" w:sz="4" w:space="0" w:color="auto"/>
            </w:tcBorders>
            <w:vAlign w:val="center"/>
            <w:hideMark/>
          </w:tcPr>
          <w:p w14:paraId="6CD85483" w14:textId="77777777" w:rsidR="00FD0E0D" w:rsidRPr="00CC14B1" w:rsidRDefault="00FD0E0D" w:rsidP="00FD0E0D">
            <w:pPr>
              <w:spacing w:after="0" w:line="240" w:lineRule="auto"/>
              <w:rPr>
                <w:color w:val="000000"/>
                <w:sz w:val="16"/>
                <w:szCs w:val="16"/>
                <w:lang w:eastAsia="sk-SK"/>
              </w:rPr>
            </w:pPr>
          </w:p>
        </w:tc>
        <w:tc>
          <w:tcPr>
            <w:tcW w:w="848" w:type="dxa"/>
            <w:vMerge/>
            <w:tcBorders>
              <w:top w:val="single" w:sz="4" w:space="0" w:color="auto"/>
              <w:left w:val="single" w:sz="4" w:space="0" w:color="auto"/>
              <w:bottom w:val="single" w:sz="4" w:space="0" w:color="000000"/>
              <w:right w:val="single" w:sz="4" w:space="0" w:color="auto"/>
            </w:tcBorders>
            <w:vAlign w:val="center"/>
            <w:hideMark/>
          </w:tcPr>
          <w:p w14:paraId="422F257E" w14:textId="77777777" w:rsidR="00FD0E0D" w:rsidRPr="00CC14B1" w:rsidRDefault="00FD0E0D" w:rsidP="00FD0E0D">
            <w:pPr>
              <w:spacing w:after="0" w:line="240" w:lineRule="auto"/>
              <w:rPr>
                <w:color w:val="FF0000"/>
                <w:sz w:val="16"/>
                <w:szCs w:val="16"/>
                <w:lang w:eastAsia="sk-SK"/>
              </w:rPr>
            </w:pPr>
          </w:p>
        </w:tc>
        <w:tc>
          <w:tcPr>
            <w:tcW w:w="850" w:type="dxa"/>
            <w:tcBorders>
              <w:top w:val="nil"/>
              <w:left w:val="nil"/>
              <w:bottom w:val="single" w:sz="4" w:space="0" w:color="auto"/>
              <w:right w:val="single" w:sz="4" w:space="0" w:color="auto"/>
            </w:tcBorders>
            <w:shd w:val="clear" w:color="auto" w:fill="auto"/>
            <w:noWrap/>
            <w:vAlign w:val="center"/>
            <w:hideMark/>
          </w:tcPr>
          <w:p w14:paraId="25BE2F03" w14:textId="77777777" w:rsidR="00FD0E0D" w:rsidRPr="00CC14B1" w:rsidRDefault="00FD0E0D" w:rsidP="00FD0E0D">
            <w:pPr>
              <w:spacing w:after="0" w:line="240" w:lineRule="auto"/>
              <w:jc w:val="right"/>
              <w:rPr>
                <w:color w:val="000000"/>
                <w:sz w:val="16"/>
                <w:szCs w:val="16"/>
                <w:lang w:eastAsia="sk-SK"/>
              </w:rPr>
            </w:pPr>
            <w:r w:rsidRPr="00CC14B1">
              <w:rPr>
                <w:color w:val="000000"/>
                <w:sz w:val="16"/>
                <w:szCs w:val="16"/>
                <w:lang w:eastAsia="sk-SK"/>
              </w:rPr>
              <w:t>-5</w:t>
            </w:r>
            <w:r>
              <w:rPr>
                <w:color w:val="000000"/>
                <w:sz w:val="16"/>
                <w:szCs w:val="16"/>
                <w:lang w:eastAsia="sk-SK"/>
              </w:rPr>
              <w:t>9</w:t>
            </w:r>
          </w:p>
        </w:tc>
        <w:tc>
          <w:tcPr>
            <w:tcW w:w="1559" w:type="dxa"/>
            <w:tcBorders>
              <w:top w:val="nil"/>
              <w:left w:val="nil"/>
              <w:bottom w:val="single" w:sz="4" w:space="0" w:color="auto"/>
              <w:right w:val="single" w:sz="4" w:space="0" w:color="auto"/>
            </w:tcBorders>
            <w:shd w:val="clear" w:color="auto" w:fill="auto"/>
            <w:noWrap/>
            <w:vAlign w:val="center"/>
            <w:hideMark/>
          </w:tcPr>
          <w:p w14:paraId="0C1E5092"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SPP</w:t>
            </w:r>
          </w:p>
        </w:tc>
        <w:tc>
          <w:tcPr>
            <w:tcW w:w="4678" w:type="dxa"/>
            <w:tcBorders>
              <w:top w:val="single" w:sz="4" w:space="0" w:color="auto"/>
              <w:left w:val="nil"/>
              <w:bottom w:val="single" w:sz="4" w:space="0" w:color="auto"/>
              <w:right w:val="single" w:sz="8" w:space="0" w:color="000000"/>
            </w:tcBorders>
            <w:shd w:val="clear" w:color="auto" w:fill="auto"/>
            <w:hideMark/>
          </w:tcPr>
          <w:p w14:paraId="0205B9A6"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 xml:space="preserve">Zisk bežného obdobia (268 mil. eur) a vyplatenie dividend (365 mil. eur  z toho pre štát  186 mil. eur; </w:t>
            </w:r>
            <w:proofErr w:type="spellStart"/>
            <w:r w:rsidRPr="00CC14B1">
              <w:rPr>
                <w:color w:val="000000"/>
                <w:sz w:val="16"/>
                <w:szCs w:val="16"/>
                <w:lang w:eastAsia="sk-SK"/>
              </w:rPr>
              <w:t>superdividenda</w:t>
            </w:r>
            <w:proofErr w:type="spellEnd"/>
            <w:r w:rsidRPr="00CC14B1">
              <w:rPr>
                <w:color w:val="000000"/>
                <w:sz w:val="16"/>
                <w:szCs w:val="16"/>
                <w:lang w:eastAsia="sk-SK"/>
              </w:rPr>
              <w:t xml:space="preserve"> 1 mil. eur).</w:t>
            </w:r>
          </w:p>
        </w:tc>
      </w:tr>
      <w:tr w:rsidR="00FD0E0D" w:rsidRPr="00CC14B1" w14:paraId="4A522AD5" w14:textId="77777777" w:rsidTr="00816B05">
        <w:trPr>
          <w:trHeight w:val="240"/>
          <w:jc w:val="center"/>
        </w:trPr>
        <w:tc>
          <w:tcPr>
            <w:tcW w:w="1269" w:type="dxa"/>
            <w:vMerge/>
            <w:tcBorders>
              <w:top w:val="single" w:sz="4" w:space="0" w:color="auto"/>
              <w:left w:val="single" w:sz="8" w:space="0" w:color="auto"/>
              <w:bottom w:val="single" w:sz="4" w:space="0" w:color="000000"/>
              <w:right w:val="single" w:sz="4" w:space="0" w:color="auto"/>
            </w:tcBorders>
            <w:vAlign w:val="center"/>
            <w:hideMark/>
          </w:tcPr>
          <w:p w14:paraId="62C4D1AF" w14:textId="77777777" w:rsidR="00FD0E0D" w:rsidRPr="00CC14B1" w:rsidRDefault="00FD0E0D" w:rsidP="00FD0E0D">
            <w:pPr>
              <w:spacing w:after="0" w:line="240" w:lineRule="auto"/>
              <w:rPr>
                <w:color w:val="000000"/>
                <w:sz w:val="16"/>
                <w:szCs w:val="16"/>
                <w:lang w:eastAsia="sk-SK"/>
              </w:rPr>
            </w:pPr>
          </w:p>
        </w:tc>
        <w:tc>
          <w:tcPr>
            <w:tcW w:w="848" w:type="dxa"/>
            <w:vMerge/>
            <w:tcBorders>
              <w:top w:val="single" w:sz="4" w:space="0" w:color="auto"/>
              <w:left w:val="single" w:sz="4" w:space="0" w:color="auto"/>
              <w:bottom w:val="single" w:sz="4" w:space="0" w:color="000000"/>
              <w:right w:val="single" w:sz="4" w:space="0" w:color="auto"/>
            </w:tcBorders>
            <w:vAlign w:val="center"/>
            <w:hideMark/>
          </w:tcPr>
          <w:p w14:paraId="33AD025D" w14:textId="77777777" w:rsidR="00FD0E0D" w:rsidRPr="00CC14B1" w:rsidRDefault="00FD0E0D" w:rsidP="00FD0E0D">
            <w:pPr>
              <w:spacing w:after="0" w:line="240" w:lineRule="auto"/>
              <w:rPr>
                <w:color w:val="FF0000"/>
                <w:sz w:val="16"/>
                <w:szCs w:val="16"/>
                <w:lang w:eastAsia="sk-SK"/>
              </w:rPr>
            </w:pPr>
          </w:p>
        </w:tc>
        <w:tc>
          <w:tcPr>
            <w:tcW w:w="850" w:type="dxa"/>
            <w:tcBorders>
              <w:top w:val="nil"/>
              <w:left w:val="nil"/>
              <w:bottom w:val="nil"/>
              <w:right w:val="single" w:sz="4" w:space="0" w:color="auto"/>
            </w:tcBorders>
            <w:shd w:val="clear" w:color="auto" w:fill="auto"/>
            <w:noWrap/>
            <w:vAlign w:val="center"/>
            <w:hideMark/>
          </w:tcPr>
          <w:p w14:paraId="0F4070D2" w14:textId="77777777" w:rsidR="00FD0E0D" w:rsidRPr="00CC14B1" w:rsidRDefault="00FD0E0D" w:rsidP="00FD0E0D">
            <w:pPr>
              <w:spacing w:after="0" w:line="240" w:lineRule="auto"/>
              <w:jc w:val="right"/>
              <w:rPr>
                <w:color w:val="000000"/>
                <w:sz w:val="16"/>
                <w:szCs w:val="16"/>
                <w:lang w:eastAsia="sk-SK"/>
              </w:rPr>
            </w:pPr>
            <w:r w:rsidRPr="00CC14B1">
              <w:rPr>
                <w:color w:val="000000"/>
                <w:sz w:val="16"/>
                <w:szCs w:val="16"/>
                <w:lang w:eastAsia="sk-SK"/>
              </w:rPr>
              <w:t>19</w:t>
            </w:r>
            <w:r>
              <w:rPr>
                <w:color w:val="000000"/>
                <w:sz w:val="16"/>
                <w:szCs w:val="16"/>
                <w:lang w:eastAsia="sk-SK"/>
              </w:rPr>
              <w:t>1</w:t>
            </w:r>
          </w:p>
        </w:tc>
        <w:tc>
          <w:tcPr>
            <w:tcW w:w="1559" w:type="dxa"/>
            <w:tcBorders>
              <w:top w:val="nil"/>
              <w:left w:val="nil"/>
              <w:bottom w:val="nil"/>
              <w:right w:val="single" w:sz="4" w:space="0" w:color="auto"/>
            </w:tcBorders>
            <w:shd w:val="clear" w:color="auto" w:fill="auto"/>
            <w:noWrap/>
            <w:vAlign w:val="center"/>
            <w:hideMark/>
          </w:tcPr>
          <w:p w14:paraId="3634E342"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SE</w:t>
            </w:r>
          </w:p>
        </w:tc>
        <w:tc>
          <w:tcPr>
            <w:tcW w:w="4678" w:type="dxa"/>
            <w:tcBorders>
              <w:top w:val="nil"/>
              <w:left w:val="nil"/>
              <w:bottom w:val="nil"/>
              <w:right w:val="single" w:sz="8" w:space="0" w:color="000000"/>
            </w:tcBorders>
            <w:shd w:val="clear" w:color="auto" w:fill="auto"/>
            <w:noWrap/>
            <w:vAlign w:val="bottom"/>
            <w:hideMark/>
          </w:tcPr>
          <w:p w14:paraId="25FF32F2"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Zisk bežného obdobia a aktualizácie stavu rezerv na vyraďovanie a likvidáciu jadrov</w:t>
            </w:r>
            <w:r>
              <w:rPr>
                <w:color w:val="000000"/>
                <w:sz w:val="16"/>
                <w:szCs w:val="16"/>
                <w:lang w:eastAsia="sk-SK"/>
              </w:rPr>
              <w:t>ých elektrární</w:t>
            </w:r>
            <w:r w:rsidRPr="00CC14B1">
              <w:rPr>
                <w:color w:val="000000"/>
                <w:sz w:val="16"/>
                <w:szCs w:val="16"/>
                <w:lang w:eastAsia="sk-SK"/>
              </w:rPr>
              <w:t>.</w:t>
            </w:r>
          </w:p>
        </w:tc>
      </w:tr>
      <w:tr w:rsidR="00FD0E0D" w:rsidRPr="00CC14B1" w14:paraId="22B0F242" w14:textId="77777777" w:rsidTr="00816B05">
        <w:trPr>
          <w:trHeight w:val="510"/>
          <w:jc w:val="center"/>
        </w:trPr>
        <w:tc>
          <w:tcPr>
            <w:tcW w:w="1269"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4D41FAB4" w14:textId="77777777" w:rsidR="00FD0E0D" w:rsidRPr="00CC14B1" w:rsidRDefault="00FD0E0D" w:rsidP="00FD0E0D">
            <w:pPr>
              <w:spacing w:after="0" w:line="240" w:lineRule="auto"/>
              <w:jc w:val="center"/>
              <w:rPr>
                <w:color w:val="000000"/>
                <w:sz w:val="16"/>
                <w:szCs w:val="16"/>
                <w:lang w:eastAsia="sk-SK"/>
              </w:rPr>
            </w:pPr>
            <w:r w:rsidRPr="00CC14B1">
              <w:rPr>
                <w:color w:val="000000"/>
                <w:sz w:val="16"/>
                <w:szCs w:val="16"/>
                <w:lang w:eastAsia="sk-SK"/>
              </w:rPr>
              <w:t>2016</w:t>
            </w:r>
          </w:p>
        </w:tc>
        <w:tc>
          <w:tcPr>
            <w:tcW w:w="8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3BB69C" w14:textId="77777777" w:rsidR="00FD0E0D" w:rsidRPr="006056B3" w:rsidRDefault="00FD0E0D" w:rsidP="00FD0E0D">
            <w:pPr>
              <w:spacing w:after="0" w:line="240" w:lineRule="auto"/>
              <w:jc w:val="center"/>
              <w:rPr>
                <w:color w:val="00B050"/>
                <w:sz w:val="16"/>
                <w:szCs w:val="16"/>
                <w:lang w:eastAsia="sk-SK"/>
              </w:rPr>
            </w:pPr>
            <w:r w:rsidRPr="006056B3">
              <w:rPr>
                <w:color w:val="00B050"/>
                <w:sz w:val="16"/>
                <w:szCs w:val="16"/>
                <w:lang w:eastAsia="sk-SK"/>
              </w:rPr>
              <w:t>384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8D97C1A" w14:textId="77777777" w:rsidR="00FD0E0D" w:rsidRPr="00CC14B1" w:rsidRDefault="00FD0E0D" w:rsidP="00FD0E0D">
            <w:pPr>
              <w:spacing w:after="0" w:line="240" w:lineRule="auto"/>
              <w:jc w:val="right"/>
              <w:rPr>
                <w:color w:val="000000"/>
                <w:sz w:val="16"/>
                <w:szCs w:val="16"/>
                <w:lang w:eastAsia="sk-SK"/>
              </w:rPr>
            </w:pPr>
            <w:r w:rsidRPr="00CC14B1">
              <w:rPr>
                <w:color w:val="000000"/>
                <w:sz w:val="16"/>
                <w:szCs w:val="16"/>
                <w:lang w:eastAsia="sk-SK"/>
              </w:rPr>
              <w:t>248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A7ACDFB"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NDS</w:t>
            </w:r>
          </w:p>
        </w:tc>
        <w:tc>
          <w:tcPr>
            <w:tcW w:w="4678" w:type="dxa"/>
            <w:tcBorders>
              <w:top w:val="single" w:sz="4" w:space="0" w:color="auto"/>
              <w:left w:val="nil"/>
              <w:bottom w:val="single" w:sz="4" w:space="0" w:color="auto"/>
              <w:right w:val="single" w:sz="8" w:space="0" w:color="000000"/>
            </w:tcBorders>
            <w:shd w:val="clear" w:color="auto" w:fill="auto"/>
            <w:vAlign w:val="center"/>
            <w:hideMark/>
          </w:tcPr>
          <w:p w14:paraId="343CFC89"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Peňažný vklad akcionára do imania (220 mil. eur - iniciovala realizácia úloh v rámci príprav PPP projektu vo verejnom záujme úsekov diaľnic D4 a rýchlostnej cesty R7)</w:t>
            </w:r>
            <w:r>
              <w:rPr>
                <w:color w:val="000000"/>
                <w:sz w:val="16"/>
                <w:szCs w:val="16"/>
                <w:lang w:eastAsia="sk-SK"/>
              </w:rPr>
              <w:t xml:space="preserve"> a zisk za bežné obdobie (28 mil. eur)</w:t>
            </w:r>
            <w:r w:rsidRPr="00CC14B1">
              <w:rPr>
                <w:color w:val="000000"/>
                <w:sz w:val="16"/>
                <w:szCs w:val="16"/>
                <w:lang w:eastAsia="sk-SK"/>
              </w:rPr>
              <w:t>.</w:t>
            </w:r>
          </w:p>
        </w:tc>
      </w:tr>
      <w:tr w:rsidR="00FD0E0D" w:rsidRPr="00CC14B1" w14:paraId="6487D642" w14:textId="77777777" w:rsidTr="00816B05">
        <w:trPr>
          <w:trHeight w:val="240"/>
          <w:jc w:val="center"/>
        </w:trPr>
        <w:tc>
          <w:tcPr>
            <w:tcW w:w="1269" w:type="dxa"/>
            <w:vMerge/>
            <w:tcBorders>
              <w:top w:val="nil"/>
              <w:left w:val="single" w:sz="8" w:space="0" w:color="auto"/>
              <w:bottom w:val="single" w:sz="4" w:space="0" w:color="000000"/>
              <w:right w:val="single" w:sz="4" w:space="0" w:color="auto"/>
            </w:tcBorders>
            <w:vAlign w:val="center"/>
            <w:hideMark/>
          </w:tcPr>
          <w:p w14:paraId="794A8353" w14:textId="77777777" w:rsidR="00FD0E0D" w:rsidRPr="00CC14B1" w:rsidRDefault="00FD0E0D" w:rsidP="00FD0E0D">
            <w:pPr>
              <w:spacing w:after="0" w:line="240" w:lineRule="auto"/>
              <w:rPr>
                <w:color w:val="000000"/>
                <w:sz w:val="16"/>
                <w:szCs w:val="16"/>
                <w:lang w:eastAsia="sk-SK"/>
              </w:rPr>
            </w:pPr>
          </w:p>
        </w:tc>
        <w:tc>
          <w:tcPr>
            <w:tcW w:w="848" w:type="dxa"/>
            <w:vMerge/>
            <w:tcBorders>
              <w:top w:val="nil"/>
              <w:left w:val="single" w:sz="4" w:space="0" w:color="auto"/>
              <w:bottom w:val="single" w:sz="4" w:space="0" w:color="000000"/>
              <w:right w:val="single" w:sz="4" w:space="0" w:color="auto"/>
            </w:tcBorders>
            <w:vAlign w:val="center"/>
            <w:hideMark/>
          </w:tcPr>
          <w:p w14:paraId="3A9CED94" w14:textId="77777777" w:rsidR="00FD0E0D" w:rsidRPr="006056B3" w:rsidRDefault="00FD0E0D" w:rsidP="00FD0E0D">
            <w:pPr>
              <w:spacing w:after="0" w:line="240" w:lineRule="auto"/>
              <w:rPr>
                <w:color w:val="00B050"/>
                <w:sz w:val="16"/>
                <w:szCs w:val="16"/>
                <w:lang w:eastAsia="sk-SK"/>
              </w:rPr>
            </w:pPr>
          </w:p>
        </w:tc>
        <w:tc>
          <w:tcPr>
            <w:tcW w:w="850" w:type="dxa"/>
            <w:tcBorders>
              <w:top w:val="nil"/>
              <w:left w:val="nil"/>
              <w:bottom w:val="single" w:sz="4" w:space="0" w:color="auto"/>
              <w:right w:val="single" w:sz="4" w:space="0" w:color="auto"/>
            </w:tcBorders>
            <w:shd w:val="clear" w:color="auto" w:fill="auto"/>
            <w:noWrap/>
            <w:vAlign w:val="center"/>
            <w:hideMark/>
          </w:tcPr>
          <w:p w14:paraId="31532C4B" w14:textId="77777777" w:rsidR="00FD0E0D" w:rsidRPr="00CC14B1" w:rsidRDefault="00FD0E0D" w:rsidP="00FD0E0D">
            <w:pPr>
              <w:spacing w:after="0" w:line="240" w:lineRule="auto"/>
              <w:jc w:val="right"/>
              <w:rPr>
                <w:color w:val="000000"/>
                <w:sz w:val="16"/>
                <w:szCs w:val="16"/>
                <w:lang w:eastAsia="sk-SK"/>
              </w:rPr>
            </w:pPr>
            <w:r w:rsidRPr="00CC14B1">
              <w:rPr>
                <w:color w:val="000000"/>
                <w:sz w:val="16"/>
                <w:szCs w:val="16"/>
                <w:lang w:eastAsia="sk-SK"/>
              </w:rPr>
              <w:t>15</w:t>
            </w:r>
            <w:r>
              <w:rPr>
                <w:color w:val="000000"/>
                <w:sz w:val="16"/>
                <w:szCs w:val="16"/>
                <w:lang w:eastAsia="sk-SK"/>
              </w:rPr>
              <w:t>2</w:t>
            </w:r>
          </w:p>
        </w:tc>
        <w:tc>
          <w:tcPr>
            <w:tcW w:w="1559" w:type="dxa"/>
            <w:tcBorders>
              <w:top w:val="nil"/>
              <w:left w:val="nil"/>
              <w:bottom w:val="single" w:sz="4" w:space="0" w:color="auto"/>
              <w:right w:val="single" w:sz="4" w:space="0" w:color="auto"/>
            </w:tcBorders>
            <w:shd w:val="clear" w:color="auto" w:fill="auto"/>
            <w:noWrap/>
            <w:vAlign w:val="center"/>
            <w:hideMark/>
          </w:tcPr>
          <w:p w14:paraId="5ED717CE"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SPP</w:t>
            </w:r>
          </w:p>
        </w:tc>
        <w:tc>
          <w:tcPr>
            <w:tcW w:w="4678" w:type="dxa"/>
            <w:tcBorders>
              <w:top w:val="single" w:sz="4" w:space="0" w:color="auto"/>
              <w:left w:val="nil"/>
              <w:bottom w:val="single" w:sz="4" w:space="0" w:color="auto"/>
              <w:right w:val="single" w:sz="8" w:space="0" w:color="000000"/>
            </w:tcBorders>
            <w:shd w:val="clear" w:color="auto" w:fill="auto"/>
            <w:noWrap/>
            <w:vAlign w:val="bottom"/>
            <w:hideMark/>
          </w:tcPr>
          <w:p w14:paraId="7CB91C83"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 xml:space="preserve">Zisk bežného obdobia (463 mil. eur) a vyplatenie dividendy (315 mil. eur z toho </w:t>
            </w:r>
            <w:proofErr w:type="spellStart"/>
            <w:r w:rsidRPr="00CC14B1">
              <w:rPr>
                <w:color w:val="000000"/>
                <w:sz w:val="16"/>
                <w:szCs w:val="16"/>
                <w:lang w:eastAsia="sk-SK"/>
              </w:rPr>
              <w:t>superdividenda</w:t>
            </w:r>
            <w:proofErr w:type="spellEnd"/>
            <w:r w:rsidRPr="00CC14B1">
              <w:rPr>
                <w:color w:val="000000"/>
                <w:sz w:val="16"/>
                <w:szCs w:val="16"/>
                <w:lang w:eastAsia="sk-SK"/>
              </w:rPr>
              <w:t xml:space="preserve"> 14 mil. eur).</w:t>
            </w:r>
          </w:p>
        </w:tc>
      </w:tr>
      <w:tr w:rsidR="00FD0E0D" w:rsidRPr="00CC14B1" w14:paraId="56EAE299" w14:textId="77777777" w:rsidTr="00816B05">
        <w:trPr>
          <w:trHeight w:val="480"/>
          <w:jc w:val="center"/>
        </w:trPr>
        <w:tc>
          <w:tcPr>
            <w:tcW w:w="1269" w:type="dxa"/>
            <w:vMerge/>
            <w:tcBorders>
              <w:top w:val="nil"/>
              <w:left w:val="single" w:sz="8" w:space="0" w:color="auto"/>
              <w:bottom w:val="single" w:sz="4" w:space="0" w:color="000000"/>
              <w:right w:val="single" w:sz="4" w:space="0" w:color="auto"/>
            </w:tcBorders>
            <w:vAlign w:val="center"/>
            <w:hideMark/>
          </w:tcPr>
          <w:p w14:paraId="4A3387CE" w14:textId="77777777" w:rsidR="00FD0E0D" w:rsidRPr="00CC14B1" w:rsidRDefault="00FD0E0D" w:rsidP="00FD0E0D">
            <w:pPr>
              <w:spacing w:after="0" w:line="240" w:lineRule="auto"/>
              <w:rPr>
                <w:color w:val="000000"/>
                <w:sz w:val="16"/>
                <w:szCs w:val="16"/>
                <w:lang w:eastAsia="sk-SK"/>
              </w:rPr>
            </w:pPr>
          </w:p>
        </w:tc>
        <w:tc>
          <w:tcPr>
            <w:tcW w:w="848" w:type="dxa"/>
            <w:vMerge/>
            <w:tcBorders>
              <w:top w:val="nil"/>
              <w:left w:val="single" w:sz="4" w:space="0" w:color="auto"/>
              <w:bottom w:val="single" w:sz="4" w:space="0" w:color="000000"/>
              <w:right w:val="single" w:sz="4" w:space="0" w:color="auto"/>
            </w:tcBorders>
            <w:vAlign w:val="center"/>
            <w:hideMark/>
          </w:tcPr>
          <w:p w14:paraId="35EDBDE8" w14:textId="77777777" w:rsidR="00FD0E0D" w:rsidRPr="006056B3" w:rsidRDefault="00FD0E0D" w:rsidP="00FD0E0D">
            <w:pPr>
              <w:spacing w:after="0" w:line="240" w:lineRule="auto"/>
              <w:rPr>
                <w:color w:val="00B050"/>
                <w:sz w:val="16"/>
                <w:szCs w:val="16"/>
                <w:lang w:eastAsia="sk-SK"/>
              </w:rPr>
            </w:pPr>
          </w:p>
        </w:tc>
        <w:tc>
          <w:tcPr>
            <w:tcW w:w="850" w:type="dxa"/>
            <w:tcBorders>
              <w:top w:val="nil"/>
              <w:left w:val="nil"/>
              <w:bottom w:val="single" w:sz="4" w:space="0" w:color="auto"/>
              <w:right w:val="single" w:sz="4" w:space="0" w:color="auto"/>
            </w:tcBorders>
            <w:shd w:val="clear" w:color="auto" w:fill="auto"/>
            <w:noWrap/>
            <w:vAlign w:val="center"/>
            <w:hideMark/>
          </w:tcPr>
          <w:p w14:paraId="7C9B3F79" w14:textId="77777777" w:rsidR="00FD0E0D" w:rsidRPr="00CC14B1" w:rsidRDefault="00FD0E0D" w:rsidP="00FD0E0D">
            <w:pPr>
              <w:spacing w:after="0" w:line="240" w:lineRule="auto"/>
              <w:jc w:val="right"/>
              <w:rPr>
                <w:color w:val="000000"/>
                <w:sz w:val="16"/>
                <w:szCs w:val="16"/>
                <w:lang w:eastAsia="sk-SK"/>
              </w:rPr>
            </w:pPr>
            <w:r w:rsidRPr="00CC14B1">
              <w:rPr>
                <w:color w:val="000000"/>
                <w:sz w:val="16"/>
                <w:szCs w:val="16"/>
                <w:lang w:eastAsia="sk-SK"/>
              </w:rPr>
              <w:t>133</w:t>
            </w:r>
          </w:p>
        </w:tc>
        <w:tc>
          <w:tcPr>
            <w:tcW w:w="1559" w:type="dxa"/>
            <w:tcBorders>
              <w:top w:val="nil"/>
              <w:left w:val="nil"/>
              <w:bottom w:val="single" w:sz="4" w:space="0" w:color="auto"/>
              <w:right w:val="single" w:sz="4" w:space="0" w:color="auto"/>
            </w:tcBorders>
            <w:shd w:val="clear" w:color="auto" w:fill="auto"/>
            <w:noWrap/>
            <w:vAlign w:val="center"/>
            <w:hideMark/>
          </w:tcPr>
          <w:p w14:paraId="6ADF0F1F"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MHM</w:t>
            </w:r>
          </w:p>
        </w:tc>
        <w:tc>
          <w:tcPr>
            <w:tcW w:w="4678" w:type="dxa"/>
            <w:tcBorders>
              <w:top w:val="single" w:sz="4" w:space="0" w:color="auto"/>
              <w:left w:val="nil"/>
              <w:bottom w:val="single" w:sz="4" w:space="0" w:color="auto"/>
              <w:right w:val="single" w:sz="8" w:space="0" w:color="000000"/>
            </w:tcBorders>
            <w:shd w:val="clear" w:color="auto" w:fill="auto"/>
            <w:vAlign w:val="center"/>
            <w:hideMark/>
          </w:tcPr>
          <w:p w14:paraId="0A54165F"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Kapitálový fond (417 mil. eur), precenenie (-83 mil. eur), straty minulých období (181 mil. eur) a strata za bežné obdobie (19 mil. eur) -  transformáci</w:t>
            </w:r>
            <w:r>
              <w:rPr>
                <w:color w:val="000000"/>
                <w:sz w:val="16"/>
                <w:szCs w:val="16"/>
                <w:lang w:eastAsia="sk-SK"/>
              </w:rPr>
              <w:t>a</w:t>
            </w:r>
            <w:r w:rsidRPr="00CC14B1">
              <w:rPr>
                <w:color w:val="000000"/>
                <w:sz w:val="16"/>
                <w:szCs w:val="16"/>
                <w:lang w:eastAsia="sk-SK"/>
              </w:rPr>
              <w:t xml:space="preserve"> Fondu národného majetku na akciovú spoločnosť.</w:t>
            </w:r>
          </w:p>
        </w:tc>
      </w:tr>
      <w:tr w:rsidR="00FD0E0D" w:rsidRPr="00CC14B1" w14:paraId="3640BE7A" w14:textId="77777777" w:rsidTr="00816B05">
        <w:trPr>
          <w:trHeight w:val="240"/>
          <w:jc w:val="center"/>
        </w:trPr>
        <w:tc>
          <w:tcPr>
            <w:tcW w:w="1269" w:type="dxa"/>
            <w:vMerge/>
            <w:tcBorders>
              <w:top w:val="nil"/>
              <w:left w:val="single" w:sz="8" w:space="0" w:color="auto"/>
              <w:bottom w:val="single" w:sz="4" w:space="0" w:color="000000"/>
              <w:right w:val="single" w:sz="4" w:space="0" w:color="auto"/>
            </w:tcBorders>
            <w:vAlign w:val="center"/>
            <w:hideMark/>
          </w:tcPr>
          <w:p w14:paraId="0C03E83E" w14:textId="77777777" w:rsidR="00FD0E0D" w:rsidRPr="00CC14B1" w:rsidRDefault="00FD0E0D" w:rsidP="00FD0E0D">
            <w:pPr>
              <w:spacing w:after="0" w:line="240" w:lineRule="auto"/>
              <w:rPr>
                <w:color w:val="000000"/>
                <w:sz w:val="16"/>
                <w:szCs w:val="16"/>
                <w:lang w:eastAsia="sk-SK"/>
              </w:rPr>
            </w:pPr>
          </w:p>
        </w:tc>
        <w:tc>
          <w:tcPr>
            <w:tcW w:w="848" w:type="dxa"/>
            <w:vMerge/>
            <w:tcBorders>
              <w:top w:val="nil"/>
              <w:left w:val="single" w:sz="4" w:space="0" w:color="auto"/>
              <w:bottom w:val="single" w:sz="4" w:space="0" w:color="auto"/>
              <w:right w:val="single" w:sz="4" w:space="0" w:color="auto"/>
            </w:tcBorders>
            <w:vAlign w:val="center"/>
            <w:hideMark/>
          </w:tcPr>
          <w:p w14:paraId="0CF15224" w14:textId="77777777" w:rsidR="00FD0E0D" w:rsidRPr="006056B3" w:rsidRDefault="00FD0E0D" w:rsidP="00FD0E0D">
            <w:pPr>
              <w:spacing w:after="0" w:line="240" w:lineRule="auto"/>
              <w:rPr>
                <w:color w:val="00B050"/>
                <w:sz w:val="16"/>
                <w:szCs w:val="16"/>
                <w:lang w:eastAsia="sk-SK"/>
              </w:rPr>
            </w:pPr>
          </w:p>
        </w:tc>
        <w:tc>
          <w:tcPr>
            <w:tcW w:w="850" w:type="dxa"/>
            <w:tcBorders>
              <w:top w:val="nil"/>
              <w:left w:val="nil"/>
              <w:bottom w:val="single" w:sz="4" w:space="0" w:color="auto"/>
              <w:right w:val="single" w:sz="4" w:space="0" w:color="auto"/>
            </w:tcBorders>
            <w:shd w:val="clear" w:color="auto" w:fill="auto"/>
            <w:noWrap/>
            <w:vAlign w:val="center"/>
            <w:hideMark/>
          </w:tcPr>
          <w:p w14:paraId="20E8EAB9" w14:textId="77777777" w:rsidR="00FD0E0D" w:rsidRPr="00CC14B1" w:rsidRDefault="00FD0E0D" w:rsidP="00FD0E0D">
            <w:pPr>
              <w:spacing w:after="0" w:line="240" w:lineRule="auto"/>
              <w:jc w:val="right"/>
              <w:rPr>
                <w:color w:val="000000"/>
                <w:sz w:val="16"/>
                <w:szCs w:val="16"/>
                <w:lang w:eastAsia="sk-SK"/>
              </w:rPr>
            </w:pPr>
            <w:r w:rsidRPr="00CC14B1">
              <w:rPr>
                <w:color w:val="000000"/>
                <w:sz w:val="16"/>
                <w:szCs w:val="16"/>
                <w:lang w:eastAsia="sk-SK"/>
              </w:rPr>
              <w:t>-193</w:t>
            </w:r>
          </w:p>
        </w:tc>
        <w:tc>
          <w:tcPr>
            <w:tcW w:w="1559" w:type="dxa"/>
            <w:tcBorders>
              <w:top w:val="nil"/>
              <w:left w:val="nil"/>
              <w:bottom w:val="single" w:sz="4" w:space="0" w:color="auto"/>
              <w:right w:val="single" w:sz="4" w:space="0" w:color="auto"/>
            </w:tcBorders>
            <w:shd w:val="clear" w:color="auto" w:fill="auto"/>
            <w:noWrap/>
            <w:vAlign w:val="center"/>
            <w:hideMark/>
          </w:tcPr>
          <w:p w14:paraId="2281852A" w14:textId="77777777" w:rsidR="00FD0E0D" w:rsidRPr="00CC14B1" w:rsidRDefault="00FD0E0D" w:rsidP="00FD0E0D">
            <w:pPr>
              <w:spacing w:after="0" w:line="240" w:lineRule="auto"/>
              <w:rPr>
                <w:color w:val="000000"/>
                <w:sz w:val="16"/>
                <w:szCs w:val="16"/>
                <w:lang w:eastAsia="sk-SK"/>
              </w:rPr>
            </w:pPr>
            <w:proofErr w:type="spellStart"/>
            <w:r w:rsidRPr="00CC14B1">
              <w:rPr>
                <w:color w:val="000000"/>
                <w:sz w:val="16"/>
                <w:szCs w:val="16"/>
                <w:lang w:eastAsia="sk-SK"/>
              </w:rPr>
              <w:t>VšZP</w:t>
            </w:r>
            <w:proofErr w:type="spellEnd"/>
          </w:p>
        </w:tc>
        <w:tc>
          <w:tcPr>
            <w:tcW w:w="4678" w:type="dxa"/>
            <w:tcBorders>
              <w:top w:val="nil"/>
              <w:left w:val="nil"/>
              <w:bottom w:val="single" w:sz="4" w:space="0" w:color="auto"/>
              <w:right w:val="single" w:sz="8" w:space="0" w:color="000000"/>
            </w:tcBorders>
            <w:shd w:val="clear" w:color="auto" w:fill="auto"/>
            <w:noWrap/>
            <w:vAlign w:val="bottom"/>
            <w:hideMark/>
          </w:tcPr>
          <w:p w14:paraId="5DDE5A72"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Strata za bežné obdobie (112 mil. eur) a 78 mil. eur (doúčtovanie technických rezerv minulých období).</w:t>
            </w:r>
          </w:p>
        </w:tc>
      </w:tr>
    </w:tbl>
    <w:p w14:paraId="649FBCC1" w14:textId="77777777" w:rsidR="00816B05" w:rsidRDefault="00816B05">
      <w:r>
        <w:br w:type="page"/>
      </w:r>
    </w:p>
    <w:tbl>
      <w:tblPr>
        <w:tblW w:w="9204" w:type="dxa"/>
        <w:jc w:val="center"/>
        <w:tblCellMar>
          <w:left w:w="70" w:type="dxa"/>
          <w:right w:w="70" w:type="dxa"/>
        </w:tblCellMar>
        <w:tblLook w:val="04A0" w:firstRow="1" w:lastRow="0" w:firstColumn="1" w:lastColumn="0" w:noHBand="0" w:noVBand="1"/>
      </w:tblPr>
      <w:tblGrid>
        <w:gridCol w:w="1269"/>
        <w:gridCol w:w="848"/>
        <w:gridCol w:w="850"/>
        <w:gridCol w:w="1559"/>
        <w:gridCol w:w="4678"/>
      </w:tblGrid>
      <w:tr w:rsidR="00816B05" w:rsidRPr="00CC14B1" w14:paraId="28527CBC" w14:textId="77777777" w:rsidTr="0039640B">
        <w:trPr>
          <w:trHeight w:val="630"/>
          <w:jc w:val="center"/>
        </w:trPr>
        <w:tc>
          <w:tcPr>
            <w:tcW w:w="1269"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40C18AEE" w14:textId="77777777" w:rsidR="00816B05" w:rsidRPr="00CC14B1" w:rsidRDefault="00816B05" w:rsidP="0039640B">
            <w:pPr>
              <w:spacing w:after="0" w:line="240" w:lineRule="auto"/>
              <w:jc w:val="center"/>
              <w:rPr>
                <w:b/>
                <w:bCs/>
                <w:color w:val="000000"/>
                <w:sz w:val="16"/>
                <w:szCs w:val="16"/>
                <w:lang w:eastAsia="sk-SK"/>
              </w:rPr>
            </w:pPr>
            <w:r w:rsidRPr="00CC14B1">
              <w:rPr>
                <w:b/>
                <w:bCs/>
                <w:color w:val="000000"/>
                <w:sz w:val="16"/>
                <w:szCs w:val="16"/>
                <w:lang w:eastAsia="sk-SK"/>
              </w:rPr>
              <w:lastRenderedPageBreak/>
              <w:t>Rok zmeny</w:t>
            </w:r>
          </w:p>
        </w:tc>
        <w:tc>
          <w:tcPr>
            <w:tcW w:w="8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FBAF11" w14:textId="77777777" w:rsidR="00816B05" w:rsidRPr="00CC14B1" w:rsidRDefault="00816B05" w:rsidP="0039640B">
            <w:pPr>
              <w:spacing w:after="0" w:line="240" w:lineRule="auto"/>
              <w:jc w:val="center"/>
              <w:rPr>
                <w:b/>
                <w:bCs/>
                <w:color w:val="000000"/>
                <w:sz w:val="16"/>
                <w:szCs w:val="16"/>
                <w:lang w:eastAsia="sk-SK"/>
              </w:rPr>
            </w:pPr>
            <w:r w:rsidRPr="00CC14B1">
              <w:rPr>
                <w:b/>
                <w:bCs/>
                <w:color w:val="000000"/>
                <w:sz w:val="16"/>
                <w:szCs w:val="16"/>
                <w:lang w:eastAsia="sk-SK"/>
              </w:rPr>
              <w:t>Výška zmeny v</w:t>
            </w:r>
            <w:r>
              <w:rPr>
                <w:b/>
                <w:bCs/>
                <w:color w:val="000000"/>
                <w:sz w:val="16"/>
                <w:szCs w:val="16"/>
                <w:lang w:eastAsia="sk-SK"/>
              </w:rPr>
              <w:t> mil.</w:t>
            </w:r>
            <w:r w:rsidRPr="00CC14B1">
              <w:rPr>
                <w:b/>
                <w:bCs/>
                <w:color w:val="000000"/>
                <w:sz w:val="16"/>
                <w:szCs w:val="16"/>
                <w:lang w:eastAsia="sk-SK"/>
              </w:rPr>
              <w:t xml:space="preserve"> €</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177FA83" w14:textId="77777777" w:rsidR="00816B05" w:rsidRPr="00CC14B1" w:rsidRDefault="00816B05" w:rsidP="0039640B">
            <w:pPr>
              <w:spacing w:after="0" w:line="240" w:lineRule="auto"/>
              <w:jc w:val="center"/>
              <w:rPr>
                <w:b/>
                <w:bCs/>
                <w:color w:val="000000"/>
                <w:sz w:val="16"/>
                <w:szCs w:val="16"/>
                <w:lang w:eastAsia="sk-SK"/>
              </w:rPr>
            </w:pPr>
            <w:r w:rsidRPr="00CC14B1">
              <w:rPr>
                <w:b/>
                <w:bCs/>
                <w:color w:val="000000"/>
                <w:sz w:val="16"/>
                <w:szCs w:val="16"/>
                <w:lang w:eastAsia="sk-SK"/>
              </w:rPr>
              <w:t>Detail</w:t>
            </w:r>
            <w:r>
              <w:rPr>
                <w:b/>
                <w:bCs/>
                <w:color w:val="000000"/>
                <w:sz w:val="16"/>
                <w:szCs w:val="16"/>
                <w:lang w:eastAsia="sk-SK"/>
              </w:rPr>
              <w:t xml:space="preserve"> v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2D25D8A" w14:textId="77777777" w:rsidR="00816B05" w:rsidRPr="00CC14B1" w:rsidRDefault="00816B05" w:rsidP="0039640B">
            <w:pPr>
              <w:spacing w:after="0" w:line="240" w:lineRule="auto"/>
              <w:jc w:val="center"/>
              <w:rPr>
                <w:b/>
                <w:bCs/>
                <w:color w:val="000000"/>
                <w:sz w:val="16"/>
                <w:szCs w:val="16"/>
                <w:lang w:eastAsia="sk-SK"/>
              </w:rPr>
            </w:pPr>
            <w:r w:rsidRPr="00CC14B1">
              <w:rPr>
                <w:b/>
                <w:bCs/>
                <w:color w:val="000000"/>
                <w:sz w:val="16"/>
                <w:szCs w:val="16"/>
                <w:lang w:eastAsia="sk-SK"/>
              </w:rPr>
              <w:t>Podnik</w:t>
            </w:r>
          </w:p>
        </w:tc>
        <w:tc>
          <w:tcPr>
            <w:tcW w:w="4678" w:type="dxa"/>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6B5B4AD3" w14:textId="77777777" w:rsidR="00816B05" w:rsidRPr="00CC14B1" w:rsidRDefault="00816B05" w:rsidP="0039640B">
            <w:pPr>
              <w:spacing w:after="0" w:line="240" w:lineRule="auto"/>
              <w:jc w:val="center"/>
              <w:rPr>
                <w:b/>
                <w:bCs/>
                <w:color w:val="000000"/>
                <w:sz w:val="16"/>
                <w:szCs w:val="16"/>
                <w:lang w:eastAsia="sk-SK"/>
              </w:rPr>
            </w:pPr>
            <w:r w:rsidRPr="00CC14B1">
              <w:rPr>
                <w:b/>
                <w:bCs/>
                <w:color w:val="000000"/>
                <w:sz w:val="16"/>
                <w:szCs w:val="16"/>
                <w:lang w:eastAsia="sk-SK"/>
              </w:rPr>
              <w:t>Ťažiskový vplyv</w:t>
            </w:r>
          </w:p>
        </w:tc>
      </w:tr>
      <w:tr w:rsidR="00FD0E0D" w:rsidRPr="00CC14B1" w14:paraId="12D5A40A" w14:textId="77777777" w:rsidTr="00816B05">
        <w:trPr>
          <w:trHeight w:val="525"/>
          <w:jc w:val="center"/>
        </w:trPr>
        <w:tc>
          <w:tcPr>
            <w:tcW w:w="1269"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6CD819D8" w14:textId="77777777" w:rsidR="00FD0E0D" w:rsidRPr="00CC14B1" w:rsidRDefault="00FD0E0D" w:rsidP="00FD0E0D">
            <w:pPr>
              <w:spacing w:after="0" w:line="240" w:lineRule="auto"/>
              <w:jc w:val="center"/>
              <w:rPr>
                <w:color w:val="000000"/>
                <w:sz w:val="16"/>
                <w:szCs w:val="16"/>
                <w:lang w:eastAsia="sk-SK"/>
              </w:rPr>
            </w:pPr>
            <w:r w:rsidRPr="00CC14B1">
              <w:rPr>
                <w:color w:val="000000"/>
                <w:sz w:val="16"/>
                <w:szCs w:val="16"/>
                <w:lang w:eastAsia="sk-SK"/>
              </w:rPr>
              <w:t>2017</w:t>
            </w:r>
          </w:p>
        </w:tc>
        <w:tc>
          <w:tcPr>
            <w:tcW w:w="8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647745" w14:textId="77777777" w:rsidR="00FD0E0D" w:rsidRPr="006056B3" w:rsidRDefault="00FD0E0D" w:rsidP="00FD0E0D">
            <w:pPr>
              <w:spacing w:after="0" w:line="240" w:lineRule="auto"/>
              <w:jc w:val="center"/>
              <w:rPr>
                <w:color w:val="00B050"/>
                <w:sz w:val="16"/>
                <w:szCs w:val="16"/>
                <w:lang w:eastAsia="sk-SK"/>
              </w:rPr>
            </w:pPr>
            <w:r w:rsidRPr="006056B3">
              <w:rPr>
                <w:color w:val="00B050"/>
                <w:sz w:val="16"/>
                <w:szCs w:val="16"/>
                <w:lang w:eastAsia="sk-SK"/>
              </w:rPr>
              <w:t>115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E405906" w14:textId="77777777" w:rsidR="00FD0E0D" w:rsidRPr="00CC14B1" w:rsidRDefault="00FD0E0D" w:rsidP="00FD0E0D">
            <w:pPr>
              <w:spacing w:after="0" w:line="240" w:lineRule="auto"/>
              <w:jc w:val="right"/>
              <w:rPr>
                <w:color w:val="000000"/>
                <w:sz w:val="16"/>
                <w:szCs w:val="16"/>
                <w:lang w:eastAsia="sk-SK"/>
              </w:rPr>
            </w:pPr>
            <w:r w:rsidRPr="00CC14B1">
              <w:rPr>
                <w:color w:val="000000"/>
                <w:sz w:val="16"/>
                <w:szCs w:val="16"/>
                <w:lang w:eastAsia="sk-SK"/>
              </w:rPr>
              <w:t>8</w:t>
            </w:r>
            <w:r>
              <w:rPr>
                <w:color w:val="000000"/>
                <w:sz w:val="16"/>
                <w:szCs w:val="16"/>
                <w:lang w:eastAsia="sk-SK"/>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5A4158B"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MHM</w:t>
            </w:r>
          </w:p>
        </w:tc>
        <w:tc>
          <w:tcPr>
            <w:tcW w:w="4678" w:type="dxa"/>
            <w:tcBorders>
              <w:top w:val="single" w:sz="4" w:space="0" w:color="auto"/>
              <w:left w:val="nil"/>
              <w:bottom w:val="single" w:sz="4" w:space="0" w:color="auto"/>
              <w:right w:val="single" w:sz="8" w:space="0" w:color="000000"/>
            </w:tcBorders>
            <w:shd w:val="clear" w:color="auto" w:fill="auto"/>
            <w:vAlign w:val="center"/>
            <w:hideMark/>
          </w:tcPr>
          <w:p w14:paraId="62DB5195"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Zisku bežného obdobia (79 mil. eur - zrušenie rezerv z dôvodu pominutia dôvodu existencie - 64,1% voči Slovenským elektrárňam, a.s.).</w:t>
            </w:r>
          </w:p>
        </w:tc>
      </w:tr>
      <w:tr w:rsidR="00FD0E0D" w:rsidRPr="00CC14B1" w14:paraId="603F7D27" w14:textId="77777777" w:rsidTr="00816B05">
        <w:trPr>
          <w:trHeight w:val="240"/>
          <w:jc w:val="center"/>
        </w:trPr>
        <w:tc>
          <w:tcPr>
            <w:tcW w:w="1269" w:type="dxa"/>
            <w:vMerge/>
            <w:tcBorders>
              <w:top w:val="nil"/>
              <w:left w:val="single" w:sz="8" w:space="0" w:color="auto"/>
              <w:bottom w:val="single" w:sz="4" w:space="0" w:color="000000"/>
              <w:right w:val="single" w:sz="4" w:space="0" w:color="auto"/>
            </w:tcBorders>
            <w:vAlign w:val="center"/>
            <w:hideMark/>
          </w:tcPr>
          <w:p w14:paraId="2902BE1E" w14:textId="77777777" w:rsidR="00FD0E0D" w:rsidRPr="00CC14B1" w:rsidRDefault="00FD0E0D" w:rsidP="00FD0E0D">
            <w:pPr>
              <w:spacing w:after="0" w:line="240" w:lineRule="auto"/>
              <w:rPr>
                <w:color w:val="000000"/>
                <w:sz w:val="16"/>
                <w:szCs w:val="16"/>
                <w:lang w:eastAsia="sk-SK"/>
              </w:rPr>
            </w:pPr>
          </w:p>
        </w:tc>
        <w:tc>
          <w:tcPr>
            <w:tcW w:w="848" w:type="dxa"/>
            <w:vMerge/>
            <w:tcBorders>
              <w:top w:val="nil"/>
              <w:left w:val="single" w:sz="4" w:space="0" w:color="auto"/>
              <w:bottom w:val="single" w:sz="4" w:space="0" w:color="000000"/>
              <w:right w:val="single" w:sz="4" w:space="0" w:color="auto"/>
            </w:tcBorders>
            <w:vAlign w:val="center"/>
            <w:hideMark/>
          </w:tcPr>
          <w:p w14:paraId="69445E5C" w14:textId="77777777" w:rsidR="00FD0E0D" w:rsidRPr="00CC14B1" w:rsidRDefault="00FD0E0D" w:rsidP="00FD0E0D">
            <w:pPr>
              <w:spacing w:after="0" w:line="240" w:lineRule="auto"/>
              <w:rPr>
                <w:color w:val="92D050"/>
                <w:sz w:val="16"/>
                <w:szCs w:val="16"/>
                <w:lang w:eastAsia="sk-SK"/>
              </w:rPr>
            </w:pPr>
          </w:p>
        </w:tc>
        <w:tc>
          <w:tcPr>
            <w:tcW w:w="850" w:type="dxa"/>
            <w:tcBorders>
              <w:top w:val="nil"/>
              <w:left w:val="nil"/>
              <w:bottom w:val="single" w:sz="4" w:space="0" w:color="auto"/>
              <w:right w:val="single" w:sz="4" w:space="0" w:color="auto"/>
            </w:tcBorders>
            <w:shd w:val="clear" w:color="auto" w:fill="auto"/>
            <w:noWrap/>
            <w:vAlign w:val="center"/>
            <w:hideMark/>
          </w:tcPr>
          <w:p w14:paraId="7EE4EAFA" w14:textId="77777777" w:rsidR="00FD0E0D" w:rsidRPr="00CC14B1" w:rsidRDefault="00FD0E0D" w:rsidP="00FD0E0D">
            <w:pPr>
              <w:spacing w:after="0" w:line="240" w:lineRule="auto"/>
              <w:jc w:val="right"/>
              <w:rPr>
                <w:color w:val="000000"/>
                <w:sz w:val="16"/>
                <w:szCs w:val="16"/>
                <w:lang w:eastAsia="sk-SK"/>
              </w:rPr>
            </w:pPr>
            <w:r w:rsidRPr="00CC14B1">
              <w:rPr>
                <w:color w:val="000000"/>
                <w:sz w:val="16"/>
                <w:szCs w:val="16"/>
                <w:lang w:eastAsia="sk-SK"/>
              </w:rPr>
              <w:t>4</w:t>
            </w:r>
            <w:r>
              <w:rPr>
                <w:color w:val="000000"/>
                <w:sz w:val="16"/>
                <w:szCs w:val="16"/>
                <w:lang w:eastAsia="sk-SK"/>
              </w:rPr>
              <w:t>9</w:t>
            </w:r>
          </w:p>
        </w:tc>
        <w:tc>
          <w:tcPr>
            <w:tcW w:w="1559" w:type="dxa"/>
            <w:tcBorders>
              <w:top w:val="nil"/>
              <w:left w:val="nil"/>
              <w:bottom w:val="single" w:sz="4" w:space="0" w:color="auto"/>
              <w:right w:val="single" w:sz="4" w:space="0" w:color="auto"/>
            </w:tcBorders>
            <w:shd w:val="clear" w:color="auto" w:fill="auto"/>
            <w:noWrap/>
            <w:vAlign w:val="center"/>
            <w:hideMark/>
          </w:tcPr>
          <w:p w14:paraId="2F1766D1"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NDS</w:t>
            </w:r>
          </w:p>
        </w:tc>
        <w:tc>
          <w:tcPr>
            <w:tcW w:w="4678" w:type="dxa"/>
            <w:tcBorders>
              <w:top w:val="single" w:sz="4" w:space="0" w:color="auto"/>
              <w:left w:val="nil"/>
              <w:bottom w:val="single" w:sz="4" w:space="0" w:color="auto"/>
              <w:right w:val="single" w:sz="8" w:space="0" w:color="000000"/>
            </w:tcBorders>
            <w:shd w:val="clear" w:color="auto" w:fill="auto"/>
            <w:noWrap/>
            <w:vAlign w:val="bottom"/>
            <w:hideMark/>
          </w:tcPr>
          <w:p w14:paraId="2FD02C47"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Zisk bežného obdobia (29 mil. eur) a peňažný vklad akcionára do imania (20 mil. eur).</w:t>
            </w:r>
          </w:p>
        </w:tc>
      </w:tr>
      <w:tr w:rsidR="00FD0E0D" w:rsidRPr="00CC14B1" w14:paraId="75193A37" w14:textId="77777777" w:rsidTr="00816B05">
        <w:trPr>
          <w:trHeight w:val="240"/>
          <w:jc w:val="center"/>
        </w:trPr>
        <w:tc>
          <w:tcPr>
            <w:tcW w:w="1269" w:type="dxa"/>
            <w:vMerge/>
            <w:tcBorders>
              <w:top w:val="nil"/>
              <w:left w:val="single" w:sz="8" w:space="0" w:color="auto"/>
              <w:bottom w:val="single" w:sz="4" w:space="0" w:color="000000"/>
              <w:right w:val="single" w:sz="4" w:space="0" w:color="auto"/>
            </w:tcBorders>
            <w:vAlign w:val="center"/>
            <w:hideMark/>
          </w:tcPr>
          <w:p w14:paraId="7EB12771" w14:textId="77777777" w:rsidR="00FD0E0D" w:rsidRPr="00CC14B1" w:rsidRDefault="00FD0E0D" w:rsidP="00FD0E0D">
            <w:pPr>
              <w:spacing w:after="0" w:line="240" w:lineRule="auto"/>
              <w:rPr>
                <w:color w:val="000000"/>
                <w:sz w:val="16"/>
                <w:szCs w:val="16"/>
                <w:lang w:eastAsia="sk-SK"/>
              </w:rPr>
            </w:pPr>
          </w:p>
        </w:tc>
        <w:tc>
          <w:tcPr>
            <w:tcW w:w="848" w:type="dxa"/>
            <w:vMerge/>
            <w:tcBorders>
              <w:top w:val="nil"/>
              <w:left w:val="single" w:sz="4" w:space="0" w:color="auto"/>
              <w:bottom w:val="single" w:sz="4" w:space="0" w:color="000000"/>
              <w:right w:val="single" w:sz="4" w:space="0" w:color="auto"/>
            </w:tcBorders>
            <w:vAlign w:val="center"/>
            <w:hideMark/>
          </w:tcPr>
          <w:p w14:paraId="6D4317EE" w14:textId="77777777" w:rsidR="00FD0E0D" w:rsidRPr="00CC14B1" w:rsidRDefault="00FD0E0D" w:rsidP="00FD0E0D">
            <w:pPr>
              <w:spacing w:after="0" w:line="240" w:lineRule="auto"/>
              <w:rPr>
                <w:color w:val="92D050"/>
                <w:sz w:val="16"/>
                <w:szCs w:val="16"/>
                <w:lang w:eastAsia="sk-SK"/>
              </w:rPr>
            </w:pPr>
          </w:p>
        </w:tc>
        <w:tc>
          <w:tcPr>
            <w:tcW w:w="850" w:type="dxa"/>
            <w:tcBorders>
              <w:top w:val="nil"/>
              <w:left w:val="nil"/>
              <w:bottom w:val="single" w:sz="4" w:space="0" w:color="auto"/>
              <w:right w:val="single" w:sz="4" w:space="0" w:color="auto"/>
            </w:tcBorders>
            <w:shd w:val="clear" w:color="auto" w:fill="auto"/>
            <w:noWrap/>
            <w:vAlign w:val="center"/>
            <w:hideMark/>
          </w:tcPr>
          <w:p w14:paraId="41F9E54B" w14:textId="77777777" w:rsidR="00FD0E0D" w:rsidRPr="00CC14B1" w:rsidRDefault="00FD0E0D" w:rsidP="00FD0E0D">
            <w:pPr>
              <w:spacing w:after="0" w:line="240" w:lineRule="auto"/>
              <w:jc w:val="right"/>
              <w:rPr>
                <w:color w:val="000000"/>
                <w:sz w:val="16"/>
                <w:szCs w:val="16"/>
                <w:lang w:eastAsia="sk-SK"/>
              </w:rPr>
            </w:pPr>
            <w:r w:rsidRPr="00CC14B1">
              <w:rPr>
                <w:color w:val="000000"/>
                <w:sz w:val="16"/>
                <w:szCs w:val="16"/>
                <w:lang w:eastAsia="sk-SK"/>
              </w:rPr>
              <w:t>35</w:t>
            </w:r>
          </w:p>
        </w:tc>
        <w:tc>
          <w:tcPr>
            <w:tcW w:w="1559" w:type="dxa"/>
            <w:tcBorders>
              <w:top w:val="nil"/>
              <w:left w:val="nil"/>
              <w:bottom w:val="single" w:sz="4" w:space="0" w:color="auto"/>
              <w:right w:val="single" w:sz="4" w:space="0" w:color="auto"/>
            </w:tcBorders>
            <w:shd w:val="clear" w:color="auto" w:fill="auto"/>
            <w:noWrap/>
            <w:vAlign w:val="center"/>
            <w:hideMark/>
          </w:tcPr>
          <w:p w14:paraId="2ADE5460" w14:textId="77777777" w:rsidR="00FD0E0D" w:rsidRPr="00CC14B1" w:rsidRDefault="00FD0E0D" w:rsidP="00FD0E0D">
            <w:pPr>
              <w:spacing w:after="0" w:line="240" w:lineRule="auto"/>
              <w:rPr>
                <w:color w:val="000000"/>
                <w:sz w:val="16"/>
                <w:szCs w:val="16"/>
                <w:lang w:eastAsia="sk-SK"/>
              </w:rPr>
            </w:pPr>
            <w:proofErr w:type="spellStart"/>
            <w:r w:rsidRPr="00CC14B1">
              <w:rPr>
                <w:color w:val="000000"/>
                <w:sz w:val="16"/>
                <w:szCs w:val="16"/>
                <w:lang w:eastAsia="sk-SK"/>
              </w:rPr>
              <w:t>VšZP</w:t>
            </w:r>
            <w:proofErr w:type="spellEnd"/>
          </w:p>
        </w:tc>
        <w:tc>
          <w:tcPr>
            <w:tcW w:w="4678" w:type="dxa"/>
            <w:tcBorders>
              <w:top w:val="single" w:sz="4" w:space="0" w:color="auto"/>
              <w:left w:val="nil"/>
              <w:bottom w:val="single" w:sz="4" w:space="0" w:color="auto"/>
              <w:right w:val="single" w:sz="8" w:space="0" w:color="000000"/>
            </w:tcBorders>
            <w:shd w:val="clear" w:color="auto" w:fill="auto"/>
            <w:noWrap/>
            <w:vAlign w:val="bottom"/>
            <w:hideMark/>
          </w:tcPr>
          <w:p w14:paraId="2E57B075"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 xml:space="preserve">Zisk bežného obdobia (36 mil. eur - vplyv ozdravného plánu finančnej stability </w:t>
            </w:r>
            <w:proofErr w:type="spellStart"/>
            <w:r w:rsidRPr="00CC14B1">
              <w:rPr>
                <w:color w:val="000000"/>
                <w:sz w:val="16"/>
                <w:szCs w:val="16"/>
                <w:lang w:eastAsia="sk-SK"/>
              </w:rPr>
              <w:t>VšZP</w:t>
            </w:r>
            <w:proofErr w:type="spellEnd"/>
            <w:r w:rsidRPr="00CC14B1">
              <w:rPr>
                <w:color w:val="000000"/>
                <w:sz w:val="16"/>
                <w:szCs w:val="16"/>
                <w:lang w:eastAsia="sk-SK"/>
              </w:rPr>
              <w:t>).</w:t>
            </w:r>
          </w:p>
        </w:tc>
      </w:tr>
      <w:tr w:rsidR="00FD0E0D" w:rsidRPr="00CC14B1" w14:paraId="225EB4E3" w14:textId="77777777" w:rsidTr="00816B05">
        <w:trPr>
          <w:trHeight w:val="495"/>
          <w:jc w:val="center"/>
        </w:trPr>
        <w:tc>
          <w:tcPr>
            <w:tcW w:w="1269" w:type="dxa"/>
            <w:vMerge/>
            <w:tcBorders>
              <w:top w:val="nil"/>
              <w:left w:val="single" w:sz="8" w:space="0" w:color="auto"/>
              <w:bottom w:val="single" w:sz="4" w:space="0" w:color="000000"/>
              <w:right w:val="single" w:sz="4" w:space="0" w:color="auto"/>
            </w:tcBorders>
            <w:vAlign w:val="center"/>
            <w:hideMark/>
          </w:tcPr>
          <w:p w14:paraId="63DB3548" w14:textId="77777777" w:rsidR="00FD0E0D" w:rsidRPr="00CC14B1" w:rsidRDefault="00FD0E0D" w:rsidP="00FD0E0D">
            <w:pPr>
              <w:spacing w:after="0" w:line="240" w:lineRule="auto"/>
              <w:rPr>
                <w:color w:val="000000"/>
                <w:sz w:val="16"/>
                <w:szCs w:val="16"/>
                <w:lang w:eastAsia="sk-SK"/>
              </w:rPr>
            </w:pPr>
          </w:p>
        </w:tc>
        <w:tc>
          <w:tcPr>
            <w:tcW w:w="848" w:type="dxa"/>
            <w:vMerge/>
            <w:tcBorders>
              <w:top w:val="nil"/>
              <w:left w:val="single" w:sz="4" w:space="0" w:color="auto"/>
              <w:bottom w:val="single" w:sz="4" w:space="0" w:color="000000"/>
              <w:right w:val="single" w:sz="4" w:space="0" w:color="auto"/>
            </w:tcBorders>
            <w:vAlign w:val="center"/>
            <w:hideMark/>
          </w:tcPr>
          <w:p w14:paraId="6B97FB2C" w14:textId="77777777" w:rsidR="00FD0E0D" w:rsidRPr="00CC14B1" w:rsidRDefault="00FD0E0D" w:rsidP="00FD0E0D">
            <w:pPr>
              <w:spacing w:after="0" w:line="240" w:lineRule="auto"/>
              <w:rPr>
                <w:color w:val="92D050"/>
                <w:sz w:val="16"/>
                <w:szCs w:val="16"/>
                <w:lang w:eastAsia="sk-SK"/>
              </w:rPr>
            </w:pPr>
          </w:p>
        </w:tc>
        <w:tc>
          <w:tcPr>
            <w:tcW w:w="850" w:type="dxa"/>
            <w:tcBorders>
              <w:top w:val="nil"/>
              <w:left w:val="nil"/>
              <w:bottom w:val="single" w:sz="4" w:space="0" w:color="auto"/>
              <w:right w:val="single" w:sz="4" w:space="0" w:color="auto"/>
            </w:tcBorders>
            <w:shd w:val="clear" w:color="auto" w:fill="auto"/>
            <w:noWrap/>
            <w:vAlign w:val="center"/>
            <w:hideMark/>
          </w:tcPr>
          <w:p w14:paraId="408BB607" w14:textId="77777777" w:rsidR="00FD0E0D" w:rsidRPr="00CC14B1" w:rsidRDefault="00FD0E0D" w:rsidP="00FD0E0D">
            <w:pPr>
              <w:spacing w:after="0" w:line="240" w:lineRule="auto"/>
              <w:jc w:val="right"/>
              <w:rPr>
                <w:color w:val="000000"/>
                <w:sz w:val="16"/>
                <w:szCs w:val="16"/>
                <w:lang w:eastAsia="sk-SK"/>
              </w:rPr>
            </w:pPr>
            <w:r w:rsidRPr="00CC14B1">
              <w:rPr>
                <w:color w:val="000000"/>
                <w:sz w:val="16"/>
                <w:szCs w:val="16"/>
                <w:lang w:eastAsia="sk-SK"/>
              </w:rPr>
              <w:t>3</w:t>
            </w:r>
            <w:r>
              <w:rPr>
                <w:color w:val="000000"/>
                <w:sz w:val="16"/>
                <w:szCs w:val="16"/>
                <w:lang w:eastAsia="sk-SK"/>
              </w:rPr>
              <w:t>1</w:t>
            </w:r>
          </w:p>
        </w:tc>
        <w:tc>
          <w:tcPr>
            <w:tcW w:w="1559" w:type="dxa"/>
            <w:tcBorders>
              <w:top w:val="nil"/>
              <w:left w:val="nil"/>
              <w:bottom w:val="single" w:sz="4" w:space="0" w:color="auto"/>
              <w:right w:val="single" w:sz="4" w:space="0" w:color="auto"/>
            </w:tcBorders>
            <w:shd w:val="clear" w:color="auto" w:fill="auto"/>
            <w:noWrap/>
            <w:vAlign w:val="center"/>
            <w:hideMark/>
          </w:tcPr>
          <w:p w14:paraId="4AD30BE0"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MHI</w:t>
            </w:r>
          </w:p>
        </w:tc>
        <w:tc>
          <w:tcPr>
            <w:tcW w:w="4678" w:type="dxa"/>
            <w:tcBorders>
              <w:top w:val="single" w:sz="4" w:space="0" w:color="auto"/>
              <w:left w:val="nil"/>
              <w:bottom w:val="single" w:sz="4" w:space="0" w:color="auto"/>
              <w:right w:val="single" w:sz="8" w:space="0" w:color="000000"/>
            </w:tcBorders>
            <w:shd w:val="clear" w:color="auto" w:fill="auto"/>
            <w:vAlign w:val="center"/>
            <w:hideMark/>
          </w:tcPr>
          <w:p w14:paraId="1D7B6858"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Zreálnenia ceny pozemkov pod strategický park (precenenie vo výške 119 mil. eur) a strata za bežné obdobie (88 mil. eur).</w:t>
            </w:r>
          </w:p>
        </w:tc>
      </w:tr>
      <w:tr w:rsidR="00FD0E0D" w:rsidRPr="00CC14B1" w14:paraId="70CEF9D6" w14:textId="77777777" w:rsidTr="00816B05">
        <w:trPr>
          <w:trHeight w:val="240"/>
          <w:jc w:val="center"/>
        </w:trPr>
        <w:tc>
          <w:tcPr>
            <w:tcW w:w="1269" w:type="dxa"/>
            <w:vMerge/>
            <w:tcBorders>
              <w:top w:val="nil"/>
              <w:left w:val="single" w:sz="8" w:space="0" w:color="auto"/>
              <w:bottom w:val="single" w:sz="4" w:space="0" w:color="000000"/>
              <w:right w:val="single" w:sz="4" w:space="0" w:color="auto"/>
            </w:tcBorders>
            <w:vAlign w:val="center"/>
            <w:hideMark/>
          </w:tcPr>
          <w:p w14:paraId="264E35CB" w14:textId="77777777" w:rsidR="00FD0E0D" w:rsidRPr="00CC14B1" w:rsidRDefault="00FD0E0D" w:rsidP="00FD0E0D">
            <w:pPr>
              <w:spacing w:after="0" w:line="240" w:lineRule="auto"/>
              <w:rPr>
                <w:color w:val="000000"/>
                <w:sz w:val="16"/>
                <w:szCs w:val="16"/>
                <w:lang w:eastAsia="sk-SK"/>
              </w:rPr>
            </w:pPr>
          </w:p>
        </w:tc>
        <w:tc>
          <w:tcPr>
            <w:tcW w:w="848" w:type="dxa"/>
            <w:vMerge/>
            <w:tcBorders>
              <w:top w:val="nil"/>
              <w:left w:val="single" w:sz="4" w:space="0" w:color="auto"/>
              <w:bottom w:val="single" w:sz="4" w:space="0" w:color="000000"/>
              <w:right w:val="single" w:sz="4" w:space="0" w:color="auto"/>
            </w:tcBorders>
            <w:vAlign w:val="center"/>
            <w:hideMark/>
          </w:tcPr>
          <w:p w14:paraId="2172719B" w14:textId="77777777" w:rsidR="00FD0E0D" w:rsidRPr="00CC14B1" w:rsidRDefault="00FD0E0D" w:rsidP="00FD0E0D">
            <w:pPr>
              <w:spacing w:after="0" w:line="240" w:lineRule="auto"/>
              <w:rPr>
                <w:color w:val="92D050"/>
                <w:sz w:val="16"/>
                <w:szCs w:val="16"/>
                <w:lang w:eastAsia="sk-SK"/>
              </w:rPr>
            </w:pPr>
          </w:p>
        </w:tc>
        <w:tc>
          <w:tcPr>
            <w:tcW w:w="850" w:type="dxa"/>
            <w:tcBorders>
              <w:top w:val="nil"/>
              <w:left w:val="nil"/>
              <w:bottom w:val="single" w:sz="4" w:space="0" w:color="auto"/>
              <w:right w:val="single" w:sz="4" w:space="0" w:color="auto"/>
            </w:tcBorders>
            <w:shd w:val="clear" w:color="auto" w:fill="auto"/>
            <w:noWrap/>
            <w:vAlign w:val="center"/>
            <w:hideMark/>
          </w:tcPr>
          <w:p w14:paraId="3E7D1E60" w14:textId="77777777" w:rsidR="00FD0E0D" w:rsidRPr="00CC14B1" w:rsidRDefault="00FD0E0D" w:rsidP="00FD0E0D">
            <w:pPr>
              <w:spacing w:after="0" w:line="240" w:lineRule="auto"/>
              <w:jc w:val="right"/>
              <w:rPr>
                <w:color w:val="000000"/>
                <w:sz w:val="16"/>
                <w:szCs w:val="16"/>
                <w:lang w:eastAsia="sk-SK"/>
              </w:rPr>
            </w:pPr>
            <w:r w:rsidRPr="00CC14B1">
              <w:rPr>
                <w:color w:val="000000"/>
                <w:sz w:val="16"/>
                <w:szCs w:val="16"/>
                <w:lang w:eastAsia="sk-SK"/>
              </w:rPr>
              <w:t>27</w:t>
            </w:r>
          </w:p>
        </w:tc>
        <w:tc>
          <w:tcPr>
            <w:tcW w:w="1559" w:type="dxa"/>
            <w:tcBorders>
              <w:top w:val="nil"/>
              <w:left w:val="nil"/>
              <w:bottom w:val="single" w:sz="4" w:space="0" w:color="auto"/>
              <w:right w:val="single" w:sz="4" w:space="0" w:color="auto"/>
            </w:tcBorders>
            <w:shd w:val="clear" w:color="auto" w:fill="auto"/>
            <w:noWrap/>
            <w:vAlign w:val="center"/>
            <w:hideMark/>
          </w:tcPr>
          <w:p w14:paraId="61032543"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MHI2</w:t>
            </w:r>
          </w:p>
        </w:tc>
        <w:tc>
          <w:tcPr>
            <w:tcW w:w="4678" w:type="dxa"/>
            <w:tcBorders>
              <w:top w:val="single" w:sz="4" w:space="0" w:color="auto"/>
              <w:left w:val="nil"/>
              <w:bottom w:val="single" w:sz="4" w:space="0" w:color="auto"/>
              <w:right w:val="single" w:sz="8" w:space="0" w:color="000000"/>
            </w:tcBorders>
            <w:shd w:val="clear" w:color="auto" w:fill="auto"/>
            <w:noWrap/>
            <w:vAlign w:val="bottom"/>
            <w:hideMark/>
          </w:tcPr>
          <w:p w14:paraId="50B953C1"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Vklad akcionára do imania spoločnosti (28 mil. eur).</w:t>
            </w:r>
          </w:p>
        </w:tc>
      </w:tr>
      <w:tr w:rsidR="00FD0E0D" w:rsidRPr="00CC14B1" w14:paraId="1A853562" w14:textId="77777777" w:rsidTr="00816B05">
        <w:trPr>
          <w:trHeight w:val="240"/>
          <w:jc w:val="center"/>
        </w:trPr>
        <w:tc>
          <w:tcPr>
            <w:tcW w:w="1269" w:type="dxa"/>
            <w:vMerge/>
            <w:tcBorders>
              <w:top w:val="nil"/>
              <w:left w:val="single" w:sz="8" w:space="0" w:color="auto"/>
              <w:bottom w:val="single" w:sz="4" w:space="0" w:color="000000"/>
              <w:right w:val="single" w:sz="4" w:space="0" w:color="auto"/>
            </w:tcBorders>
            <w:vAlign w:val="center"/>
            <w:hideMark/>
          </w:tcPr>
          <w:p w14:paraId="4F538811" w14:textId="77777777" w:rsidR="00FD0E0D" w:rsidRPr="00CC14B1" w:rsidRDefault="00FD0E0D" w:rsidP="00FD0E0D">
            <w:pPr>
              <w:spacing w:after="0" w:line="240" w:lineRule="auto"/>
              <w:rPr>
                <w:color w:val="000000"/>
                <w:sz w:val="16"/>
                <w:szCs w:val="16"/>
                <w:lang w:eastAsia="sk-SK"/>
              </w:rPr>
            </w:pPr>
          </w:p>
        </w:tc>
        <w:tc>
          <w:tcPr>
            <w:tcW w:w="848" w:type="dxa"/>
            <w:vMerge/>
            <w:tcBorders>
              <w:top w:val="nil"/>
              <w:left w:val="single" w:sz="4" w:space="0" w:color="auto"/>
              <w:bottom w:val="single" w:sz="4" w:space="0" w:color="000000"/>
              <w:right w:val="single" w:sz="4" w:space="0" w:color="auto"/>
            </w:tcBorders>
            <w:vAlign w:val="center"/>
            <w:hideMark/>
          </w:tcPr>
          <w:p w14:paraId="5297E1CC" w14:textId="77777777" w:rsidR="00FD0E0D" w:rsidRPr="00CC14B1" w:rsidRDefault="00FD0E0D" w:rsidP="00FD0E0D">
            <w:pPr>
              <w:spacing w:after="0" w:line="240" w:lineRule="auto"/>
              <w:rPr>
                <w:color w:val="92D050"/>
                <w:sz w:val="16"/>
                <w:szCs w:val="16"/>
                <w:lang w:eastAsia="sk-SK"/>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7BE1EFC" w14:textId="77777777" w:rsidR="00FD0E0D" w:rsidRPr="00CC14B1" w:rsidRDefault="00FD0E0D" w:rsidP="00FD0E0D">
            <w:pPr>
              <w:spacing w:after="0" w:line="240" w:lineRule="auto"/>
              <w:jc w:val="right"/>
              <w:rPr>
                <w:color w:val="000000"/>
                <w:sz w:val="16"/>
                <w:szCs w:val="16"/>
                <w:lang w:eastAsia="sk-SK"/>
              </w:rPr>
            </w:pPr>
            <w:r w:rsidRPr="00CC14B1">
              <w:rPr>
                <w:color w:val="000000"/>
                <w:sz w:val="16"/>
                <w:szCs w:val="16"/>
                <w:lang w:eastAsia="sk-SK"/>
              </w:rPr>
              <w:t>-11</w:t>
            </w:r>
            <w:r>
              <w:rPr>
                <w:color w:val="000000"/>
                <w:sz w:val="16"/>
                <w:szCs w:val="16"/>
                <w:lang w:eastAsia="sk-SK"/>
              </w:rPr>
              <w:t>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3B77526"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SPP</w:t>
            </w:r>
          </w:p>
        </w:tc>
        <w:tc>
          <w:tcPr>
            <w:tcW w:w="4678" w:type="dxa"/>
            <w:tcBorders>
              <w:top w:val="single" w:sz="4" w:space="0" w:color="auto"/>
              <w:left w:val="nil"/>
              <w:bottom w:val="single" w:sz="4" w:space="0" w:color="auto"/>
              <w:right w:val="single" w:sz="8" w:space="0" w:color="000000"/>
            </w:tcBorders>
            <w:shd w:val="clear" w:color="auto" w:fill="auto"/>
            <w:noWrap/>
            <w:vAlign w:val="bottom"/>
            <w:hideMark/>
          </w:tcPr>
          <w:p w14:paraId="70161735" w14:textId="77777777" w:rsidR="00FD0E0D" w:rsidRPr="00CC14B1" w:rsidRDefault="00FD0E0D" w:rsidP="00FD0E0D">
            <w:pPr>
              <w:spacing w:after="0" w:line="240" w:lineRule="auto"/>
              <w:rPr>
                <w:color w:val="000000"/>
                <w:sz w:val="16"/>
                <w:szCs w:val="16"/>
                <w:lang w:eastAsia="sk-SK"/>
              </w:rPr>
            </w:pPr>
            <w:r w:rsidRPr="00CC14B1">
              <w:rPr>
                <w:color w:val="000000"/>
                <w:sz w:val="16"/>
                <w:szCs w:val="16"/>
                <w:lang w:eastAsia="sk-SK"/>
              </w:rPr>
              <w:t>Zisk za bežné obdobie (319 mil. eur) a vyplatenie dividend (43</w:t>
            </w:r>
            <w:r>
              <w:rPr>
                <w:color w:val="000000"/>
                <w:sz w:val="16"/>
                <w:szCs w:val="16"/>
                <w:lang w:eastAsia="sk-SK"/>
              </w:rPr>
              <w:t>5</w:t>
            </w:r>
            <w:r w:rsidRPr="00CC14B1">
              <w:rPr>
                <w:color w:val="000000"/>
                <w:sz w:val="16"/>
                <w:szCs w:val="16"/>
                <w:lang w:eastAsia="sk-SK"/>
              </w:rPr>
              <w:t xml:space="preserve"> mil. eur z toho </w:t>
            </w:r>
            <w:proofErr w:type="spellStart"/>
            <w:r w:rsidRPr="00CC14B1">
              <w:rPr>
                <w:color w:val="000000"/>
                <w:sz w:val="16"/>
                <w:szCs w:val="16"/>
                <w:lang w:eastAsia="sk-SK"/>
              </w:rPr>
              <w:t>superdividenda</w:t>
            </w:r>
            <w:proofErr w:type="spellEnd"/>
            <w:r w:rsidRPr="00CC14B1">
              <w:rPr>
                <w:color w:val="000000"/>
                <w:sz w:val="16"/>
                <w:szCs w:val="16"/>
                <w:lang w:eastAsia="sk-SK"/>
              </w:rPr>
              <w:t xml:space="preserve"> 22</w:t>
            </w:r>
            <w:r>
              <w:rPr>
                <w:color w:val="000000"/>
                <w:sz w:val="16"/>
                <w:szCs w:val="16"/>
                <w:lang w:eastAsia="sk-SK"/>
              </w:rPr>
              <w:t>7</w:t>
            </w:r>
            <w:r w:rsidRPr="00CC14B1">
              <w:rPr>
                <w:color w:val="000000"/>
                <w:sz w:val="16"/>
                <w:szCs w:val="16"/>
                <w:lang w:eastAsia="sk-SK"/>
              </w:rPr>
              <w:t xml:space="preserve"> mil. eur).</w:t>
            </w:r>
          </w:p>
        </w:tc>
      </w:tr>
      <w:tr w:rsidR="004E5304" w:rsidRPr="00CC14B1" w14:paraId="663B62E7" w14:textId="77777777" w:rsidTr="00816B05">
        <w:trPr>
          <w:trHeight w:val="240"/>
          <w:jc w:val="center"/>
        </w:trPr>
        <w:tc>
          <w:tcPr>
            <w:tcW w:w="1269"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1BED771E" w14:textId="0C00E788" w:rsidR="004E5304" w:rsidRPr="00CC14B1" w:rsidRDefault="004E5304" w:rsidP="00321687">
            <w:pPr>
              <w:spacing w:after="0" w:line="240" w:lineRule="auto"/>
              <w:jc w:val="center"/>
              <w:rPr>
                <w:color w:val="000000"/>
                <w:sz w:val="16"/>
                <w:szCs w:val="16"/>
                <w:lang w:eastAsia="sk-SK"/>
              </w:rPr>
            </w:pPr>
            <w:r w:rsidRPr="00CC14B1">
              <w:rPr>
                <w:color w:val="000000"/>
                <w:sz w:val="16"/>
                <w:szCs w:val="16"/>
                <w:lang w:eastAsia="sk-SK"/>
              </w:rPr>
              <w:t>2019</w:t>
            </w:r>
          </w:p>
        </w:tc>
        <w:tc>
          <w:tcPr>
            <w:tcW w:w="8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FF6C8C" w14:textId="77777777" w:rsidR="004E5304" w:rsidRPr="006056B3" w:rsidRDefault="004E5304" w:rsidP="00321687">
            <w:pPr>
              <w:spacing w:after="0" w:line="240" w:lineRule="auto"/>
              <w:jc w:val="center"/>
              <w:rPr>
                <w:color w:val="00B050"/>
                <w:sz w:val="16"/>
                <w:szCs w:val="16"/>
                <w:lang w:eastAsia="sk-SK"/>
              </w:rPr>
            </w:pPr>
            <w:r w:rsidRPr="006056B3">
              <w:rPr>
                <w:color w:val="00B050"/>
                <w:sz w:val="16"/>
                <w:szCs w:val="16"/>
                <w:lang w:eastAsia="sk-SK"/>
              </w:rPr>
              <w:t>239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4F42EF9" w14:textId="77777777" w:rsidR="004E5304" w:rsidRPr="00CC14B1" w:rsidRDefault="004E5304" w:rsidP="00321687">
            <w:pPr>
              <w:spacing w:after="0" w:line="240" w:lineRule="auto"/>
              <w:jc w:val="right"/>
              <w:rPr>
                <w:color w:val="000000"/>
                <w:sz w:val="16"/>
                <w:szCs w:val="16"/>
                <w:lang w:eastAsia="sk-SK"/>
              </w:rPr>
            </w:pPr>
            <w:r w:rsidRPr="00CC14B1">
              <w:rPr>
                <w:color w:val="000000"/>
                <w:sz w:val="16"/>
                <w:szCs w:val="16"/>
                <w:lang w:eastAsia="sk-SK"/>
              </w:rPr>
              <w:t>192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6BAC087" w14:textId="77777777" w:rsidR="004E5304" w:rsidRPr="00CC14B1" w:rsidRDefault="004E5304" w:rsidP="00321687">
            <w:pPr>
              <w:spacing w:after="0" w:line="240" w:lineRule="auto"/>
              <w:rPr>
                <w:color w:val="000000"/>
                <w:sz w:val="16"/>
                <w:szCs w:val="16"/>
                <w:lang w:eastAsia="sk-SK"/>
              </w:rPr>
            </w:pPr>
            <w:proofErr w:type="spellStart"/>
            <w:r w:rsidRPr="00CC14B1">
              <w:rPr>
                <w:color w:val="000000"/>
                <w:sz w:val="16"/>
                <w:szCs w:val="16"/>
                <w:lang w:eastAsia="sk-SK"/>
              </w:rPr>
              <w:t>Slov.elektrárne</w:t>
            </w:r>
            <w:proofErr w:type="spellEnd"/>
            <w:r w:rsidRPr="00CC14B1">
              <w:rPr>
                <w:color w:val="000000"/>
                <w:sz w:val="16"/>
                <w:szCs w:val="16"/>
                <w:lang w:eastAsia="sk-SK"/>
              </w:rPr>
              <w:t xml:space="preserve">, </w:t>
            </w:r>
            <w:proofErr w:type="spellStart"/>
            <w:r w:rsidRPr="00CC14B1">
              <w:rPr>
                <w:color w:val="000000"/>
                <w:sz w:val="16"/>
                <w:szCs w:val="16"/>
                <w:lang w:eastAsia="sk-SK"/>
              </w:rPr>
              <w:t>a.s</w:t>
            </w:r>
            <w:proofErr w:type="spellEnd"/>
            <w:r w:rsidRPr="00CC14B1">
              <w:rPr>
                <w:color w:val="000000"/>
                <w:sz w:val="16"/>
                <w:szCs w:val="16"/>
                <w:lang w:eastAsia="sk-SK"/>
              </w:rPr>
              <w:t>.</w:t>
            </w:r>
          </w:p>
        </w:tc>
        <w:tc>
          <w:tcPr>
            <w:tcW w:w="4678" w:type="dxa"/>
            <w:tcBorders>
              <w:top w:val="single" w:sz="4" w:space="0" w:color="auto"/>
              <w:left w:val="nil"/>
              <w:bottom w:val="single" w:sz="4" w:space="0" w:color="auto"/>
              <w:right w:val="single" w:sz="8" w:space="0" w:color="000000"/>
            </w:tcBorders>
            <w:shd w:val="clear" w:color="auto" w:fill="auto"/>
            <w:noWrap/>
            <w:vAlign w:val="bottom"/>
            <w:hideMark/>
          </w:tcPr>
          <w:p w14:paraId="6578CC1D" w14:textId="77777777" w:rsidR="004E5304" w:rsidRPr="00CC14B1" w:rsidRDefault="004E5304" w:rsidP="00321687">
            <w:pPr>
              <w:spacing w:after="0" w:line="240" w:lineRule="auto"/>
              <w:rPr>
                <w:color w:val="000000"/>
                <w:sz w:val="16"/>
                <w:szCs w:val="16"/>
                <w:lang w:eastAsia="sk-SK"/>
              </w:rPr>
            </w:pPr>
            <w:r w:rsidRPr="00CC14B1">
              <w:rPr>
                <w:color w:val="000000"/>
                <w:sz w:val="16"/>
                <w:szCs w:val="16"/>
                <w:lang w:eastAsia="sk-SK"/>
              </w:rPr>
              <w:t>Precenenia dlhodobého hmotného  majetku.</w:t>
            </w:r>
          </w:p>
        </w:tc>
      </w:tr>
      <w:tr w:rsidR="004E5304" w:rsidRPr="00CC14B1" w14:paraId="4B6159F1" w14:textId="77777777" w:rsidTr="00816B05">
        <w:trPr>
          <w:trHeight w:val="525"/>
          <w:jc w:val="center"/>
        </w:trPr>
        <w:tc>
          <w:tcPr>
            <w:tcW w:w="1269" w:type="dxa"/>
            <w:vMerge/>
            <w:tcBorders>
              <w:top w:val="nil"/>
              <w:left w:val="single" w:sz="8" w:space="0" w:color="auto"/>
              <w:bottom w:val="single" w:sz="4" w:space="0" w:color="000000"/>
              <w:right w:val="single" w:sz="4" w:space="0" w:color="auto"/>
            </w:tcBorders>
            <w:vAlign w:val="center"/>
            <w:hideMark/>
          </w:tcPr>
          <w:p w14:paraId="0F4E271D" w14:textId="77777777" w:rsidR="004E5304" w:rsidRPr="00CC14B1" w:rsidRDefault="004E5304" w:rsidP="00321687">
            <w:pPr>
              <w:spacing w:after="0" w:line="240" w:lineRule="auto"/>
              <w:rPr>
                <w:color w:val="000000"/>
                <w:sz w:val="16"/>
                <w:szCs w:val="16"/>
                <w:lang w:eastAsia="sk-SK"/>
              </w:rPr>
            </w:pPr>
          </w:p>
        </w:tc>
        <w:tc>
          <w:tcPr>
            <w:tcW w:w="848" w:type="dxa"/>
            <w:vMerge/>
            <w:tcBorders>
              <w:top w:val="nil"/>
              <w:left w:val="single" w:sz="4" w:space="0" w:color="auto"/>
              <w:bottom w:val="single" w:sz="4" w:space="0" w:color="000000"/>
              <w:right w:val="single" w:sz="4" w:space="0" w:color="auto"/>
            </w:tcBorders>
            <w:vAlign w:val="center"/>
            <w:hideMark/>
          </w:tcPr>
          <w:p w14:paraId="443F4C4A" w14:textId="77777777" w:rsidR="004E5304" w:rsidRPr="006056B3" w:rsidRDefault="004E5304" w:rsidP="00321687">
            <w:pPr>
              <w:spacing w:after="0" w:line="240" w:lineRule="auto"/>
              <w:rPr>
                <w:color w:val="00B050"/>
                <w:sz w:val="16"/>
                <w:szCs w:val="16"/>
                <w:lang w:eastAsia="sk-SK"/>
              </w:rPr>
            </w:pPr>
          </w:p>
        </w:tc>
        <w:tc>
          <w:tcPr>
            <w:tcW w:w="850" w:type="dxa"/>
            <w:tcBorders>
              <w:top w:val="nil"/>
              <w:left w:val="nil"/>
              <w:bottom w:val="single" w:sz="4" w:space="0" w:color="auto"/>
              <w:right w:val="single" w:sz="4" w:space="0" w:color="auto"/>
            </w:tcBorders>
            <w:shd w:val="clear" w:color="auto" w:fill="auto"/>
            <w:noWrap/>
            <w:vAlign w:val="center"/>
            <w:hideMark/>
          </w:tcPr>
          <w:p w14:paraId="4B5E9B08" w14:textId="77777777" w:rsidR="004E5304" w:rsidRPr="00CC14B1" w:rsidRDefault="004E5304" w:rsidP="00321687">
            <w:pPr>
              <w:spacing w:after="0" w:line="240" w:lineRule="auto"/>
              <w:jc w:val="right"/>
              <w:rPr>
                <w:color w:val="000000"/>
                <w:sz w:val="16"/>
                <w:szCs w:val="16"/>
                <w:lang w:eastAsia="sk-SK"/>
              </w:rPr>
            </w:pPr>
            <w:r w:rsidRPr="00CC14B1">
              <w:rPr>
                <w:color w:val="000000"/>
                <w:sz w:val="16"/>
                <w:szCs w:val="16"/>
                <w:lang w:eastAsia="sk-SK"/>
              </w:rPr>
              <w:t>108</w:t>
            </w:r>
          </w:p>
        </w:tc>
        <w:tc>
          <w:tcPr>
            <w:tcW w:w="1559" w:type="dxa"/>
            <w:tcBorders>
              <w:top w:val="nil"/>
              <w:left w:val="nil"/>
              <w:bottom w:val="single" w:sz="4" w:space="0" w:color="auto"/>
              <w:right w:val="single" w:sz="4" w:space="0" w:color="auto"/>
            </w:tcBorders>
            <w:shd w:val="clear" w:color="auto" w:fill="auto"/>
            <w:noWrap/>
            <w:vAlign w:val="center"/>
            <w:hideMark/>
          </w:tcPr>
          <w:p w14:paraId="076E6E2E" w14:textId="77777777" w:rsidR="004E5304" w:rsidRPr="00CC14B1" w:rsidRDefault="004E5304" w:rsidP="00321687">
            <w:pPr>
              <w:spacing w:after="0" w:line="240" w:lineRule="auto"/>
              <w:rPr>
                <w:sz w:val="16"/>
                <w:szCs w:val="16"/>
                <w:lang w:eastAsia="sk-SK"/>
              </w:rPr>
            </w:pPr>
            <w:r w:rsidRPr="00CC14B1">
              <w:rPr>
                <w:sz w:val="16"/>
                <w:szCs w:val="16"/>
                <w:lang w:eastAsia="sk-SK"/>
              </w:rPr>
              <w:t>SSEH</w:t>
            </w:r>
          </w:p>
        </w:tc>
        <w:tc>
          <w:tcPr>
            <w:tcW w:w="4678" w:type="dxa"/>
            <w:tcBorders>
              <w:top w:val="single" w:sz="4" w:space="0" w:color="auto"/>
              <w:left w:val="nil"/>
              <w:bottom w:val="single" w:sz="4" w:space="0" w:color="auto"/>
              <w:right w:val="single" w:sz="8" w:space="0" w:color="000000"/>
            </w:tcBorders>
            <w:shd w:val="clear" w:color="auto" w:fill="auto"/>
            <w:vAlign w:val="center"/>
            <w:hideMark/>
          </w:tcPr>
          <w:p w14:paraId="3285A03F" w14:textId="77777777" w:rsidR="004E5304" w:rsidRPr="00CC14B1" w:rsidRDefault="004E5304" w:rsidP="00321687">
            <w:pPr>
              <w:spacing w:after="0" w:line="240" w:lineRule="auto"/>
              <w:rPr>
                <w:color w:val="000000"/>
                <w:sz w:val="16"/>
                <w:szCs w:val="16"/>
                <w:lang w:eastAsia="sk-SK"/>
              </w:rPr>
            </w:pPr>
            <w:r w:rsidRPr="00CC14B1">
              <w:rPr>
                <w:color w:val="000000"/>
                <w:sz w:val="16"/>
                <w:szCs w:val="16"/>
                <w:lang w:eastAsia="sk-SK"/>
              </w:rPr>
              <w:t>Zisk bežného obdobia (221 mil. eur) výsledok reorganizácie skupiny (vplyv z výnosov z prijatých dividend; SSE distribučná vyplácala zisky aj minulých rokov).</w:t>
            </w:r>
          </w:p>
        </w:tc>
      </w:tr>
      <w:tr w:rsidR="004E5304" w:rsidRPr="00CC14B1" w14:paraId="2AD3C204" w14:textId="77777777" w:rsidTr="00816B05">
        <w:trPr>
          <w:trHeight w:val="240"/>
          <w:jc w:val="center"/>
        </w:trPr>
        <w:tc>
          <w:tcPr>
            <w:tcW w:w="1269" w:type="dxa"/>
            <w:vMerge/>
            <w:tcBorders>
              <w:top w:val="nil"/>
              <w:left w:val="single" w:sz="8" w:space="0" w:color="auto"/>
              <w:bottom w:val="single" w:sz="4" w:space="0" w:color="000000"/>
              <w:right w:val="single" w:sz="4" w:space="0" w:color="auto"/>
            </w:tcBorders>
            <w:vAlign w:val="center"/>
            <w:hideMark/>
          </w:tcPr>
          <w:p w14:paraId="70C45035" w14:textId="77777777" w:rsidR="004E5304" w:rsidRPr="00CC14B1" w:rsidRDefault="004E5304" w:rsidP="00321687">
            <w:pPr>
              <w:spacing w:after="0" w:line="240" w:lineRule="auto"/>
              <w:rPr>
                <w:color w:val="000000"/>
                <w:sz w:val="16"/>
                <w:szCs w:val="16"/>
                <w:lang w:eastAsia="sk-SK"/>
              </w:rPr>
            </w:pPr>
          </w:p>
        </w:tc>
        <w:tc>
          <w:tcPr>
            <w:tcW w:w="848" w:type="dxa"/>
            <w:vMerge/>
            <w:tcBorders>
              <w:top w:val="nil"/>
              <w:left w:val="single" w:sz="4" w:space="0" w:color="auto"/>
              <w:bottom w:val="single" w:sz="4" w:space="0" w:color="000000"/>
              <w:right w:val="single" w:sz="4" w:space="0" w:color="auto"/>
            </w:tcBorders>
            <w:vAlign w:val="center"/>
            <w:hideMark/>
          </w:tcPr>
          <w:p w14:paraId="36460368" w14:textId="77777777" w:rsidR="004E5304" w:rsidRPr="006056B3" w:rsidRDefault="004E5304" w:rsidP="00321687">
            <w:pPr>
              <w:spacing w:after="0" w:line="240" w:lineRule="auto"/>
              <w:rPr>
                <w:color w:val="00B050"/>
                <w:sz w:val="16"/>
                <w:szCs w:val="16"/>
                <w:lang w:eastAsia="sk-SK"/>
              </w:rPr>
            </w:pPr>
          </w:p>
        </w:tc>
        <w:tc>
          <w:tcPr>
            <w:tcW w:w="850" w:type="dxa"/>
            <w:tcBorders>
              <w:top w:val="nil"/>
              <w:left w:val="nil"/>
              <w:bottom w:val="single" w:sz="4" w:space="0" w:color="auto"/>
              <w:right w:val="single" w:sz="4" w:space="0" w:color="auto"/>
            </w:tcBorders>
            <w:shd w:val="clear" w:color="auto" w:fill="auto"/>
            <w:noWrap/>
            <w:vAlign w:val="center"/>
            <w:hideMark/>
          </w:tcPr>
          <w:p w14:paraId="36FD73E4" w14:textId="77777777" w:rsidR="004E5304" w:rsidRPr="00CC14B1" w:rsidRDefault="004E5304" w:rsidP="00321687">
            <w:pPr>
              <w:spacing w:after="0" w:line="240" w:lineRule="auto"/>
              <w:jc w:val="right"/>
              <w:rPr>
                <w:color w:val="000000"/>
                <w:sz w:val="16"/>
                <w:szCs w:val="16"/>
                <w:lang w:eastAsia="sk-SK"/>
              </w:rPr>
            </w:pPr>
            <w:r w:rsidRPr="00CC14B1">
              <w:rPr>
                <w:color w:val="000000"/>
                <w:sz w:val="16"/>
                <w:szCs w:val="16"/>
                <w:lang w:eastAsia="sk-SK"/>
              </w:rPr>
              <w:t>7</w:t>
            </w:r>
            <w:r>
              <w:rPr>
                <w:color w:val="000000"/>
                <w:sz w:val="16"/>
                <w:szCs w:val="16"/>
                <w:lang w:eastAsia="sk-SK"/>
              </w:rPr>
              <w:t>2</w:t>
            </w:r>
          </w:p>
        </w:tc>
        <w:tc>
          <w:tcPr>
            <w:tcW w:w="1559" w:type="dxa"/>
            <w:tcBorders>
              <w:top w:val="nil"/>
              <w:left w:val="nil"/>
              <w:bottom w:val="single" w:sz="4" w:space="0" w:color="auto"/>
              <w:right w:val="single" w:sz="4" w:space="0" w:color="auto"/>
            </w:tcBorders>
            <w:shd w:val="clear" w:color="auto" w:fill="auto"/>
            <w:noWrap/>
            <w:vAlign w:val="center"/>
            <w:hideMark/>
          </w:tcPr>
          <w:p w14:paraId="3453B3C4" w14:textId="77777777" w:rsidR="004E5304" w:rsidRPr="00CC14B1" w:rsidRDefault="004E5304" w:rsidP="00321687">
            <w:pPr>
              <w:spacing w:after="0" w:line="240" w:lineRule="auto"/>
              <w:rPr>
                <w:sz w:val="16"/>
                <w:szCs w:val="16"/>
                <w:lang w:eastAsia="sk-SK"/>
              </w:rPr>
            </w:pPr>
            <w:r w:rsidRPr="00CC14B1">
              <w:rPr>
                <w:sz w:val="16"/>
                <w:szCs w:val="16"/>
                <w:lang w:eastAsia="sk-SK"/>
              </w:rPr>
              <w:t>DEBITUM</w:t>
            </w:r>
          </w:p>
        </w:tc>
        <w:tc>
          <w:tcPr>
            <w:tcW w:w="4678" w:type="dxa"/>
            <w:tcBorders>
              <w:top w:val="single" w:sz="4" w:space="0" w:color="auto"/>
              <w:left w:val="nil"/>
              <w:bottom w:val="single" w:sz="4" w:space="0" w:color="auto"/>
              <w:right w:val="single" w:sz="8" w:space="0" w:color="000000"/>
            </w:tcBorders>
            <w:shd w:val="clear" w:color="auto" w:fill="auto"/>
            <w:noWrap/>
            <w:vAlign w:val="bottom"/>
            <w:hideMark/>
          </w:tcPr>
          <w:p w14:paraId="0A243A0D" w14:textId="77777777" w:rsidR="004E5304" w:rsidRPr="00CC14B1" w:rsidRDefault="004E5304" w:rsidP="00321687">
            <w:pPr>
              <w:spacing w:after="0" w:line="240" w:lineRule="auto"/>
              <w:rPr>
                <w:color w:val="000000"/>
                <w:sz w:val="16"/>
                <w:szCs w:val="16"/>
                <w:lang w:eastAsia="sk-SK"/>
              </w:rPr>
            </w:pPr>
            <w:r w:rsidRPr="00CC14B1">
              <w:rPr>
                <w:color w:val="000000"/>
                <w:sz w:val="16"/>
                <w:szCs w:val="16"/>
                <w:lang w:eastAsia="sk-SK"/>
              </w:rPr>
              <w:t>Peňažný vklad do fondov spoločnosti (109 mil. eur).</w:t>
            </w:r>
          </w:p>
        </w:tc>
      </w:tr>
      <w:tr w:rsidR="004E5304" w:rsidRPr="00CC14B1" w14:paraId="324C8934" w14:textId="77777777" w:rsidTr="00816B05">
        <w:trPr>
          <w:trHeight w:val="240"/>
          <w:jc w:val="center"/>
        </w:trPr>
        <w:tc>
          <w:tcPr>
            <w:tcW w:w="1269" w:type="dxa"/>
            <w:vMerge/>
            <w:tcBorders>
              <w:top w:val="nil"/>
              <w:left w:val="single" w:sz="8" w:space="0" w:color="auto"/>
              <w:bottom w:val="single" w:sz="4" w:space="0" w:color="000000"/>
              <w:right w:val="single" w:sz="4" w:space="0" w:color="auto"/>
            </w:tcBorders>
            <w:vAlign w:val="center"/>
            <w:hideMark/>
          </w:tcPr>
          <w:p w14:paraId="18C6DD43" w14:textId="77777777" w:rsidR="004E5304" w:rsidRPr="00CC14B1" w:rsidRDefault="004E5304" w:rsidP="00321687">
            <w:pPr>
              <w:spacing w:after="0" w:line="240" w:lineRule="auto"/>
              <w:rPr>
                <w:color w:val="000000"/>
                <w:sz w:val="16"/>
                <w:szCs w:val="16"/>
                <w:lang w:eastAsia="sk-SK"/>
              </w:rPr>
            </w:pPr>
          </w:p>
        </w:tc>
        <w:tc>
          <w:tcPr>
            <w:tcW w:w="848" w:type="dxa"/>
            <w:vMerge/>
            <w:tcBorders>
              <w:top w:val="nil"/>
              <w:left w:val="single" w:sz="4" w:space="0" w:color="auto"/>
              <w:bottom w:val="single" w:sz="4" w:space="0" w:color="000000"/>
              <w:right w:val="single" w:sz="4" w:space="0" w:color="auto"/>
            </w:tcBorders>
            <w:vAlign w:val="center"/>
            <w:hideMark/>
          </w:tcPr>
          <w:p w14:paraId="20230399" w14:textId="77777777" w:rsidR="004E5304" w:rsidRPr="006056B3" w:rsidRDefault="004E5304" w:rsidP="00321687">
            <w:pPr>
              <w:spacing w:after="0" w:line="240" w:lineRule="auto"/>
              <w:rPr>
                <w:color w:val="00B050"/>
                <w:sz w:val="16"/>
                <w:szCs w:val="16"/>
                <w:lang w:eastAsia="sk-SK"/>
              </w:rPr>
            </w:pPr>
          </w:p>
        </w:tc>
        <w:tc>
          <w:tcPr>
            <w:tcW w:w="850" w:type="dxa"/>
            <w:tcBorders>
              <w:top w:val="nil"/>
              <w:left w:val="nil"/>
              <w:bottom w:val="single" w:sz="4" w:space="0" w:color="auto"/>
              <w:right w:val="single" w:sz="4" w:space="0" w:color="auto"/>
            </w:tcBorders>
            <w:shd w:val="clear" w:color="auto" w:fill="auto"/>
            <w:noWrap/>
            <w:vAlign w:val="center"/>
            <w:hideMark/>
          </w:tcPr>
          <w:p w14:paraId="7A4DB728" w14:textId="77777777" w:rsidR="004E5304" w:rsidRPr="00CC14B1" w:rsidRDefault="004E5304" w:rsidP="00321687">
            <w:pPr>
              <w:spacing w:after="0" w:line="240" w:lineRule="auto"/>
              <w:jc w:val="right"/>
              <w:rPr>
                <w:color w:val="000000"/>
                <w:sz w:val="16"/>
                <w:szCs w:val="16"/>
                <w:lang w:eastAsia="sk-SK"/>
              </w:rPr>
            </w:pPr>
            <w:r w:rsidRPr="00CC14B1">
              <w:rPr>
                <w:color w:val="000000"/>
                <w:sz w:val="16"/>
                <w:szCs w:val="16"/>
                <w:lang w:eastAsia="sk-SK"/>
              </w:rPr>
              <w:t>25</w:t>
            </w:r>
          </w:p>
        </w:tc>
        <w:tc>
          <w:tcPr>
            <w:tcW w:w="1559" w:type="dxa"/>
            <w:tcBorders>
              <w:top w:val="nil"/>
              <w:left w:val="nil"/>
              <w:bottom w:val="single" w:sz="4" w:space="0" w:color="auto"/>
              <w:right w:val="single" w:sz="4" w:space="0" w:color="auto"/>
            </w:tcBorders>
            <w:shd w:val="clear" w:color="auto" w:fill="auto"/>
            <w:noWrap/>
            <w:vAlign w:val="center"/>
            <w:hideMark/>
          </w:tcPr>
          <w:p w14:paraId="12786AAD" w14:textId="77777777" w:rsidR="004E5304" w:rsidRPr="00CC14B1" w:rsidRDefault="004E5304" w:rsidP="00321687">
            <w:pPr>
              <w:spacing w:after="0" w:line="240" w:lineRule="auto"/>
              <w:rPr>
                <w:sz w:val="16"/>
                <w:szCs w:val="16"/>
                <w:lang w:eastAsia="sk-SK"/>
              </w:rPr>
            </w:pPr>
            <w:r w:rsidRPr="00CC14B1">
              <w:rPr>
                <w:sz w:val="16"/>
                <w:szCs w:val="16"/>
                <w:lang w:eastAsia="sk-SK"/>
              </w:rPr>
              <w:t>MHM</w:t>
            </w:r>
          </w:p>
        </w:tc>
        <w:tc>
          <w:tcPr>
            <w:tcW w:w="4678" w:type="dxa"/>
            <w:tcBorders>
              <w:top w:val="single" w:sz="4" w:space="0" w:color="auto"/>
              <w:left w:val="nil"/>
              <w:bottom w:val="single" w:sz="4" w:space="0" w:color="auto"/>
              <w:right w:val="single" w:sz="8" w:space="0" w:color="000000"/>
            </w:tcBorders>
            <w:shd w:val="clear" w:color="auto" w:fill="auto"/>
            <w:noWrap/>
            <w:vAlign w:val="bottom"/>
            <w:hideMark/>
          </w:tcPr>
          <w:p w14:paraId="30A12D1D" w14:textId="77777777" w:rsidR="004E5304" w:rsidRPr="00CC14B1" w:rsidRDefault="004E5304" w:rsidP="00321687">
            <w:pPr>
              <w:spacing w:after="0" w:line="240" w:lineRule="auto"/>
              <w:rPr>
                <w:color w:val="000000"/>
                <w:sz w:val="16"/>
                <w:szCs w:val="16"/>
                <w:lang w:eastAsia="sk-SK"/>
              </w:rPr>
            </w:pPr>
            <w:r w:rsidRPr="00CC14B1">
              <w:rPr>
                <w:color w:val="000000"/>
                <w:sz w:val="16"/>
                <w:szCs w:val="16"/>
                <w:lang w:eastAsia="sk-SK"/>
              </w:rPr>
              <w:t>Zúčtovanie zmeny metodiky tvorby rezerv do výsledku minulých období (30 mil. eur).</w:t>
            </w:r>
          </w:p>
        </w:tc>
      </w:tr>
      <w:tr w:rsidR="004E5304" w:rsidRPr="00CC14B1" w14:paraId="3E10E024" w14:textId="77777777" w:rsidTr="00816B05">
        <w:trPr>
          <w:trHeight w:val="465"/>
          <w:jc w:val="center"/>
        </w:trPr>
        <w:tc>
          <w:tcPr>
            <w:tcW w:w="1269" w:type="dxa"/>
            <w:vMerge/>
            <w:tcBorders>
              <w:top w:val="nil"/>
              <w:left w:val="single" w:sz="8" w:space="0" w:color="auto"/>
              <w:bottom w:val="single" w:sz="4" w:space="0" w:color="auto"/>
              <w:right w:val="single" w:sz="4" w:space="0" w:color="auto"/>
            </w:tcBorders>
            <w:vAlign w:val="center"/>
            <w:hideMark/>
          </w:tcPr>
          <w:p w14:paraId="3D38574C" w14:textId="77777777" w:rsidR="004E5304" w:rsidRPr="00CC14B1" w:rsidRDefault="004E5304" w:rsidP="00321687">
            <w:pPr>
              <w:spacing w:after="0" w:line="240" w:lineRule="auto"/>
              <w:rPr>
                <w:color w:val="000000"/>
                <w:sz w:val="16"/>
                <w:szCs w:val="16"/>
                <w:lang w:eastAsia="sk-SK"/>
              </w:rPr>
            </w:pPr>
          </w:p>
        </w:tc>
        <w:tc>
          <w:tcPr>
            <w:tcW w:w="848" w:type="dxa"/>
            <w:vMerge/>
            <w:tcBorders>
              <w:top w:val="nil"/>
              <w:left w:val="single" w:sz="4" w:space="0" w:color="auto"/>
              <w:bottom w:val="single" w:sz="4" w:space="0" w:color="auto"/>
              <w:right w:val="single" w:sz="4" w:space="0" w:color="auto"/>
            </w:tcBorders>
            <w:vAlign w:val="center"/>
            <w:hideMark/>
          </w:tcPr>
          <w:p w14:paraId="3579DC6C" w14:textId="77777777" w:rsidR="004E5304" w:rsidRPr="006056B3" w:rsidRDefault="004E5304" w:rsidP="00321687">
            <w:pPr>
              <w:spacing w:after="0" w:line="240" w:lineRule="auto"/>
              <w:rPr>
                <w:color w:val="00B050"/>
                <w:sz w:val="16"/>
                <w:szCs w:val="16"/>
                <w:lang w:eastAsia="sk-SK"/>
              </w:rPr>
            </w:pPr>
          </w:p>
        </w:tc>
        <w:tc>
          <w:tcPr>
            <w:tcW w:w="850" w:type="dxa"/>
            <w:tcBorders>
              <w:top w:val="nil"/>
              <w:left w:val="nil"/>
              <w:bottom w:val="single" w:sz="4" w:space="0" w:color="auto"/>
              <w:right w:val="single" w:sz="4" w:space="0" w:color="auto"/>
            </w:tcBorders>
            <w:shd w:val="clear" w:color="auto" w:fill="auto"/>
            <w:noWrap/>
            <w:vAlign w:val="center"/>
            <w:hideMark/>
          </w:tcPr>
          <w:p w14:paraId="1F09DE99" w14:textId="77777777" w:rsidR="004E5304" w:rsidRPr="00CC14B1" w:rsidRDefault="004E5304" w:rsidP="00321687">
            <w:pPr>
              <w:spacing w:after="0" w:line="240" w:lineRule="auto"/>
              <w:jc w:val="right"/>
              <w:rPr>
                <w:color w:val="000000"/>
                <w:sz w:val="16"/>
                <w:szCs w:val="16"/>
                <w:lang w:eastAsia="sk-SK"/>
              </w:rPr>
            </w:pPr>
            <w:r w:rsidRPr="00CC14B1">
              <w:rPr>
                <w:color w:val="000000"/>
                <w:sz w:val="16"/>
                <w:szCs w:val="16"/>
                <w:lang w:eastAsia="sk-SK"/>
              </w:rPr>
              <w:t>-18</w:t>
            </w:r>
            <w:r>
              <w:rPr>
                <w:color w:val="000000"/>
                <w:sz w:val="16"/>
                <w:szCs w:val="16"/>
                <w:lang w:eastAsia="sk-SK"/>
              </w:rPr>
              <w:t>2</w:t>
            </w:r>
          </w:p>
        </w:tc>
        <w:tc>
          <w:tcPr>
            <w:tcW w:w="1559" w:type="dxa"/>
            <w:tcBorders>
              <w:top w:val="nil"/>
              <w:left w:val="nil"/>
              <w:bottom w:val="single" w:sz="4" w:space="0" w:color="auto"/>
              <w:right w:val="single" w:sz="4" w:space="0" w:color="auto"/>
            </w:tcBorders>
            <w:shd w:val="clear" w:color="auto" w:fill="auto"/>
            <w:noWrap/>
            <w:vAlign w:val="center"/>
            <w:hideMark/>
          </w:tcPr>
          <w:p w14:paraId="58AD525F" w14:textId="77777777" w:rsidR="004E5304" w:rsidRPr="00CC14B1" w:rsidRDefault="004E5304" w:rsidP="00321687">
            <w:pPr>
              <w:spacing w:after="0" w:line="240" w:lineRule="auto"/>
              <w:rPr>
                <w:sz w:val="16"/>
                <w:szCs w:val="16"/>
                <w:lang w:eastAsia="sk-SK"/>
              </w:rPr>
            </w:pPr>
            <w:r w:rsidRPr="00CC14B1">
              <w:rPr>
                <w:sz w:val="16"/>
                <w:szCs w:val="16"/>
                <w:lang w:eastAsia="sk-SK"/>
              </w:rPr>
              <w:t>SPP</w:t>
            </w:r>
          </w:p>
        </w:tc>
        <w:tc>
          <w:tcPr>
            <w:tcW w:w="4678" w:type="dxa"/>
            <w:tcBorders>
              <w:top w:val="single" w:sz="4" w:space="0" w:color="auto"/>
              <w:left w:val="nil"/>
              <w:bottom w:val="single" w:sz="4" w:space="0" w:color="auto"/>
              <w:right w:val="single" w:sz="8" w:space="0" w:color="000000"/>
            </w:tcBorders>
            <w:shd w:val="clear" w:color="auto" w:fill="auto"/>
            <w:vAlign w:val="center"/>
            <w:hideMark/>
          </w:tcPr>
          <w:p w14:paraId="0C3DE899" w14:textId="77777777" w:rsidR="004E5304" w:rsidRPr="00CC14B1" w:rsidRDefault="004E5304" w:rsidP="00321687">
            <w:pPr>
              <w:spacing w:after="0" w:line="240" w:lineRule="auto"/>
              <w:rPr>
                <w:color w:val="000000"/>
                <w:sz w:val="16"/>
                <w:szCs w:val="16"/>
                <w:lang w:eastAsia="sk-SK"/>
              </w:rPr>
            </w:pPr>
            <w:r w:rsidRPr="00CC14B1">
              <w:rPr>
                <w:color w:val="000000"/>
                <w:sz w:val="16"/>
                <w:szCs w:val="16"/>
                <w:lang w:eastAsia="sk-SK"/>
              </w:rPr>
              <w:t>Zisk bežného obdobia (221 mil. eur) a vyplatenie dividend (37</w:t>
            </w:r>
            <w:r>
              <w:rPr>
                <w:color w:val="000000"/>
                <w:sz w:val="16"/>
                <w:szCs w:val="16"/>
                <w:lang w:eastAsia="sk-SK"/>
              </w:rPr>
              <w:t>7</w:t>
            </w:r>
            <w:r w:rsidRPr="00CC14B1">
              <w:rPr>
                <w:color w:val="000000"/>
                <w:sz w:val="16"/>
                <w:szCs w:val="16"/>
                <w:lang w:eastAsia="sk-SK"/>
              </w:rPr>
              <w:t xml:space="preserve"> mil. eur z toho </w:t>
            </w:r>
            <w:proofErr w:type="spellStart"/>
            <w:r w:rsidRPr="00CC14B1">
              <w:rPr>
                <w:color w:val="000000"/>
                <w:sz w:val="16"/>
                <w:szCs w:val="16"/>
                <w:lang w:eastAsia="sk-SK"/>
              </w:rPr>
              <w:t>superdividenda</w:t>
            </w:r>
            <w:proofErr w:type="spellEnd"/>
            <w:r w:rsidRPr="00CC14B1">
              <w:rPr>
                <w:color w:val="000000"/>
                <w:sz w:val="16"/>
                <w:szCs w:val="16"/>
                <w:lang w:eastAsia="sk-SK"/>
              </w:rPr>
              <w:t xml:space="preserve"> vo výške 20</w:t>
            </w:r>
            <w:r>
              <w:rPr>
                <w:color w:val="000000"/>
                <w:sz w:val="16"/>
                <w:szCs w:val="16"/>
                <w:lang w:eastAsia="sk-SK"/>
              </w:rPr>
              <w:t>9</w:t>
            </w:r>
            <w:r w:rsidRPr="00CC14B1">
              <w:rPr>
                <w:color w:val="000000"/>
                <w:sz w:val="16"/>
                <w:szCs w:val="16"/>
                <w:lang w:eastAsia="sk-SK"/>
              </w:rPr>
              <w:t xml:space="preserve"> mil. eur).</w:t>
            </w:r>
          </w:p>
        </w:tc>
      </w:tr>
      <w:tr w:rsidR="004E5304" w:rsidRPr="00CC14B1" w14:paraId="58FA6608" w14:textId="77777777" w:rsidTr="00816B05">
        <w:trPr>
          <w:trHeight w:val="240"/>
          <w:jc w:val="center"/>
        </w:trPr>
        <w:tc>
          <w:tcPr>
            <w:tcW w:w="1269"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36C1DAFE" w14:textId="77777777" w:rsidR="004E5304" w:rsidRPr="00CC14B1" w:rsidRDefault="004E5304" w:rsidP="00321687">
            <w:pPr>
              <w:spacing w:after="0" w:line="240" w:lineRule="auto"/>
              <w:jc w:val="center"/>
              <w:rPr>
                <w:color w:val="000000"/>
                <w:sz w:val="16"/>
                <w:szCs w:val="16"/>
                <w:lang w:eastAsia="sk-SK"/>
              </w:rPr>
            </w:pPr>
            <w:r w:rsidRPr="00CC14B1">
              <w:rPr>
                <w:color w:val="000000"/>
                <w:sz w:val="16"/>
                <w:szCs w:val="16"/>
                <w:lang w:eastAsia="sk-SK"/>
              </w:rPr>
              <w:t>2020</w:t>
            </w:r>
          </w:p>
        </w:tc>
        <w:tc>
          <w:tcPr>
            <w:tcW w:w="84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5FB0449" w14:textId="77777777" w:rsidR="004E5304" w:rsidRPr="006056B3" w:rsidRDefault="004E5304" w:rsidP="00321687">
            <w:pPr>
              <w:spacing w:after="0" w:line="240" w:lineRule="auto"/>
              <w:jc w:val="center"/>
              <w:rPr>
                <w:color w:val="00B050"/>
                <w:sz w:val="16"/>
                <w:szCs w:val="16"/>
                <w:lang w:eastAsia="sk-SK"/>
              </w:rPr>
            </w:pPr>
            <w:r w:rsidRPr="006056B3">
              <w:rPr>
                <w:color w:val="00B050"/>
                <w:sz w:val="16"/>
                <w:szCs w:val="16"/>
                <w:lang w:eastAsia="sk-SK"/>
              </w:rPr>
              <w:t>316</w:t>
            </w:r>
          </w:p>
        </w:tc>
        <w:tc>
          <w:tcPr>
            <w:tcW w:w="850" w:type="dxa"/>
            <w:tcBorders>
              <w:top w:val="nil"/>
              <w:left w:val="nil"/>
              <w:bottom w:val="single" w:sz="4" w:space="0" w:color="auto"/>
              <w:right w:val="nil"/>
            </w:tcBorders>
            <w:shd w:val="clear" w:color="auto" w:fill="auto"/>
            <w:noWrap/>
            <w:vAlign w:val="center"/>
            <w:hideMark/>
          </w:tcPr>
          <w:p w14:paraId="49E03F55" w14:textId="77777777" w:rsidR="004E5304" w:rsidRPr="00CC14B1" w:rsidRDefault="004E5304" w:rsidP="00321687">
            <w:pPr>
              <w:spacing w:after="0" w:line="240" w:lineRule="auto"/>
              <w:jc w:val="right"/>
              <w:rPr>
                <w:color w:val="000000"/>
                <w:sz w:val="16"/>
                <w:szCs w:val="16"/>
                <w:lang w:eastAsia="sk-SK"/>
              </w:rPr>
            </w:pPr>
            <w:r w:rsidRPr="00CC14B1">
              <w:rPr>
                <w:color w:val="000000"/>
                <w:sz w:val="16"/>
                <w:szCs w:val="16"/>
                <w:lang w:eastAsia="sk-SK"/>
              </w:rPr>
              <w:t>19</w:t>
            </w:r>
            <w:r>
              <w:rPr>
                <w:color w:val="000000"/>
                <w:sz w:val="16"/>
                <w:szCs w:val="16"/>
                <w:lang w:eastAsia="sk-SK"/>
              </w:rPr>
              <w:t>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AEA7F6A" w14:textId="77777777" w:rsidR="004E5304" w:rsidRPr="00CC14B1" w:rsidRDefault="004E5304" w:rsidP="00321687">
            <w:pPr>
              <w:spacing w:after="0" w:line="240" w:lineRule="auto"/>
              <w:rPr>
                <w:sz w:val="16"/>
                <w:szCs w:val="16"/>
                <w:lang w:eastAsia="sk-SK"/>
              </w:rPr>
            </w:pPr>
            <w:r w:rsidRPr="00CC14B1">
              <w:rPr>
                <w:sz w:val="16"/>
                <w:szCs w:val="16"/>
                <w:lang w:eastAsia="sk-SK"/>
              </w:rPr>
              <w:t>SEPS</w:t>
            </w:r>
          </w:p>
        </w:tc>
        <w:tc>
          <w:tcPr>
            <w:tcW w:w="4678" w:type="dxa"/>
            <w:tcBorders>
              <w:top w:val="single" w:sz="4" w:space="0" w:color="auto"/>
              <w:left w:val="nil"/>
              <w:bottom w:val="single" w:sz="4" w:space="0" w:color="auto"/>
              <w:right w:val="single" w:sz="8" w:space="0" w:color="000000"/>
            </w:tcBorders>
            <w:shd w:val="clear" w:color="auto" w:fill="auto"/>
            <w:noWrap/>
            <w:vAlign w:val="bottom"/>
            <w:hideMark/>
          </w:tcPr>
          <w:p w14:paraId="5126CFB0" w14:textId="77777777" w:rsidR="004E5304" w:rsidRPr="00CC14B1" w:rsidRDefault="004E5304" w:rsidP="00321687">
            <w:pPr>
              <w:spacing w:after="0" w:line="240" w:lineRule="auto"/>
              <w:rPr>
                <w:color w:val="000000"/>
                <w:sz w:val="16"/>
                <w:szCs w:val="16"/>
                <w:lang w:eastAsia="sk-SK"/>
              </w:rPr>
            </w:pPr>
            <w:r w:rsidRPr="00CC14B1">
              <w:rPr>
                <w:color w:val="000000"/>
                <w:sz w:val="16"/>
                <w:szCs w:val="16"/>
                <w:lang w:eastAsia="sk-SK"/>
              </w:rPr>
              <w:t>Peňažný vklad akcionára do imania spoločnosti (130 mil. eur) a zisk za bežné obdobie (59 mil. eur).</w:t>
            </w:r>
          </w:p>
        </w:tc>
      </w:tr>
      <w:tr w:rsidR="004E5304" w:rsidRPr="00CC14B1" w14:paraId="26C0C9C8" w14:textId="77777777" w:rsidTr="00816B05">
        <w:trPr>
          <w:trHeight w:val="311"/>
          <w:jc w:val="center"/>
        </w:trPr>
        <w:tc>
          <w:tcPr>
            <w:tcW w:w="1269" w:type="dxa"/>
            <w:vMerge/>
            <w:tcBorders>
              <w:top w:val="nil"/>
              <w:left w:val="single" w:sz="8" w:space="0" w:color="auto"/>
              <w:bottom w:val="single" w:sz="8" w:space="0" w:color="000000"/>
              <w:right w:val="single" w:sz="4" w:space="0" w:color="auto"/>
            </w:tcBorders>
            <w:vAlign w:val="center"/>
            <w:hideMark/>
          </w:tcPr>
          <w:p w14:paraId="19292B9B" w14:textId="77777777" w:rsidR="004E5304" w:rsidRPr="00CC14B1" w:rsidRDefault="004E5304" w:rsidP="00321687">
            <w:pPr>
              <w:spacing w:after="0" w:line="240" w:lineRule="auto"/>
              <w:rPr>
                <w:color w:val="000000"/>
                <w:sz w:val="16"/>
                <w:szCs w:val="16"/>
                <w:lang w:eastAsia="sk-SK"/>
              </w:rPr>
            </w:pPr>
          </w:p>
        </w:tc>
        <w:tc>
          <w:tcPr>
            <w:tcW w:w="848" w:type="dxa"/>
            <w:vMerge/>
            <w:tcBorders>
              <w:top w:val="nil"/>
              <w:left w:val="single" w:sz="4" w:space="0" w:color="auto"/>
              <w:bottom w:val="single" w:sz="8" w:space="0" w:color="000000"/>
              <w:right w:val="single" w:sz="4" w:space="0" w:color="auto"/>
            </w:tcBorders>
            <w:vAlign w:val="center"/>
            <w:hideMark/>
          </w:tcPr>
          <w:p w14:paraId="5B7AA5F5" w14:textId="77777777" w:rsidR="004E5304" w:rsidRPr="00CC14B1" w:rsidRDefault="004E5304" w:rsidP="00321687">
            <w:pPr>
              <w:spacing w:after="0" w:line="240" w:lineRule="auto"/>
              <w:rPr>
                <w:color w:val="92D050"/>
                <w:sz w:val="16"/>
                <w:szCs w:val="16"/>
                <w:lang w:eastAsia="sk-SK"/>
              </w:rPr>
            </w:pPr>
          </w:p>
        </w:tc>
        <w:tc>
          <w:tcPr>
            <w:tcW w:w="850" w:type="dxa"/>
            <w:tcBorders>
              <w:top w:val="nil"/>
              <w:left w:val="nil"/>
              <w:bottom w:val="single" w:sz="4" w:space="0" w:color="auto"/>
              <w:right w:val="nil"/>
            </w:tcBorders>
            <w:shd w:val="clear" w:color="auto" w:fill="auto"/>
            <w:noWrap/>
            <w:vAlign w:val="center"/>
            <w:hideMark/>
          </w:tcPr>
          <w:p w14:paraId="0B3DA13E" w14:textId="77777777" w:rsidR="004E5304" w:rsidRPr="00CC14B1" w:rsidRDefault="004E5304" w:rsidP="00321687">
            <w:pPr>
              <w:spacing w:after="0" w:line="240" w:lineRule="auto"/>
              <w:jc w:val="right"/>
              <w:rPr>
                <w:color w:val="000000"/>
                <w:sz w:val="16"/>
                <w:szCs w:val="16"/>
                <w:lang w:eastAsia="sk-SK"/>
              </w:rPr>
            </w:pPr>
            <w:r w:rsidRPr="00CC14B1">
              <w:rPr>
                <w:color w:val="000000"/>
                <w:sz w:val="16"/>
                <w:szCs w:val="16"/>
                <w:lang w:eastAsia="sk-SK"/>
              </w:rPr>
              <w:t>8</w:t>
            </w:r>
            <w:r>
              <w:rPr>
                <w:color w:val="000000"/>
                <w:sz w:val="16"/>
                <w:szCs w:val="16"/>
                <w:lang w:eastAsia="sk-SK"/>
              </w:rPr>
              <w:t>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65F76F4" w14:textId="77777777" w:rsidR="004E5304" w:rsidRPr="00CC14B1" w:rsidRDefault="004E5304" w:rsidP="00321687">
            <w:pPr>
              <w:spacing w:after="0" w:line="240" w:lineRule="auto"/>
              <w:rPr>
                <w:sz w:val="16"/>
                <w:szCs w:val="16"/>
                <w:lang w:eastAsia="sk-SK"/>
              </w:rPr>
            </w:pPr>
            <w:proofErr w:type="spellStart"/>
            <w:r w:rsidRPr="00CC14B1">
              <w:rPr>
                <w:sz w:val="16"/>
                <w:szCs w:val="16"/>
                <w:lang w:eastAsia="sk-SK"/>
              </w:rPr>
              <w:t>VšZP</w:t>
            </w:r>
            <w:proofErr w:type="spellEnd"/>
          </w:p>
        </w:tc>
        <w:tc>
          <w:tcPr>
            <w:tcW w:w="4678" w:type="dxa"/>
            <w:tcBorders>
              <w:top w:val="single" w:sz="4" w:space="0" w:color="auto"/>
              <w:left w:val="nil"/>
              <w:bottom w:val="single" w:sz="4" w:space="0" w:color="auto"/>
              <w:right w:val="single" w:sz="8" w:space="0" w:color="000000"/>
            </w:tcBorders>
            <w:shd w:val="clear" w:color="auto" w:fill="auto"/>
            <w:vAlign w:val="center"/>
            <w:hideMark/>
          </w:tcPr>
          <w:p w14:paraId="276347A8" w14:textId="77777777" w:rsidR="004E5304" w:rsidRPr="00CC14B1" w:rsidRDefault="004E5304" w:rsidP="00321687">
            <w:pPr>
              <w:spacing w:after="0" w:line="240" w:lineRule="auto"/>
              <w:rPr>
                <w:color w:val="000000"/>
                <w:sz w:val="16"/>
                <w:szCs w:val="16"/>
                <w:lang w:eastAsia="sk-SK"/>
              </w:rPr>
            </w:pPr>
            <w:r w:rsidRPr="00CC14B1">
              <w:rPr>
                <w:color w:val="000000"/>
                <w:sz w:val="16"/>
                <w:szCs w:val="16"/>
                <w:lang w:eastAsia="sk-SK"/>
              </w:rPr>
              <w:t>Peňažný vklad akcionára do imania vo výške 198 mil. eur zmiernený stratou za bežné účtovné obdobie vo výške 114 mil. eur.</w:t>
            </w:r>
          </w:p>
        </w:tc>
      </w:tr>
      <w:tr w:rsidR="004E5304" w:rsidRPr="00CC14B1" w14:paraId="6F46A657" w14:textId="77777777" w:rsidTr="00816B05">
        <w:trPr>
          <w:trHeight w:val="510"/>
          <w:jc w:val="center"/>
        </w:trPr>
        <w:tc>
          <w:tcPr>
            <w:tcW w:w="1269" w:type="dxa"/>
            <w:vMerge/>
            <w:tcBorders>
              <w:top w:val="nil"/>
              <w:left w:val="single" w:sz="8" w:space="0" w:color="auto"/>
              <w:bottom w:val="single" w:sz="8" w:space="0" w:color="000000"/>
              <w:right w:val="single" w:sz="4" w:space="0" w:color="auto"/>
            </w:tcBorders>
            <w:vAlign w:val="center"/>
            <w:hideMark/>
          </w:tcPr>
          <w:p w14:paraId="4D09B7A6" w14:textId="77777777" w:rsidR="004E5304" w:rsidRPr="00CC14B1" w:rsidRDefault="004E5304" w:rsidP="00321687">
            <w:pPr>
              <w:spacing w:after="0" w:line="240" w:lineRule="auto"/>
              <w:rPr>
                <w:color w:val="000000"/>
                <w:sz w:val="16"/>
                <w:szCs w:val="16"/>
                <w:lang w:eastAsia="sk-SK"/>
              </w:rPr>
            </w:pPr>
          </w:p>
        </w:tc>
        <w:tc>
          <w:tcPr>
            <w:tcW w:w="848" w:type="dxa"/>
            <w:vMerge/>
            <w:tcBorders>
              <w:top w:val="nil"/>
              <w:left w:val="single" w:sz="4" w:space="0" w:color="auto"/>
              <w:bottom w:val="single" w:sz="8" w:space="0" w:color="000000"/>
              <w:right w:val="single" w:sz="4" w:space="0" w:color="auto"/>
            </w:tcBorders>
            <w:vAlign w:val="center"/>
            <w:hideMark/>
          </w:tcPr>
          <w:p w14:paraId="08D74BC7" w14:textId="77777777" w:rsidR="004E5304" w:rsidRPr="00CC14B1" w:rsidRDefault="004E5304" w:rsidP="00321687">
            <w:pPr>
              <w:spacing w:after="0" w:line="240" w:lineRule="auto"/>
              <w:rPr>
                <w:color w:val="92D050"/>
                <w:sz w:val="16"/>
                <w:szCs w:val="16"/>
                <w:lang w:eastAsia="sk-SK"/>
              </w:rPr>
            </w:pPr>
          </w:p>
        </w:tc>
        <w:tc>
          <w:tcPr>
            <w:tcW w:w="850" w:type="dxa"/>
            <w:tcBorders>
              <w:top w:val="nil"/>
              <w:left w:val="nil"/>
              <w:bottom w:val="single" w:sz="4" w:space="0" w:color="auto"/>
              <w:right w:val="nil"/>
            </w:tcBorders>
            <w:shd w:val="clear" w:color="auto" w:fill="auto"/>
            <w:noWrap/>
            <w:vAlign w:val="center"/>
            <w:hideMark/>
          </w:tcPr>
          <w:p w14:paraId="4682B70F" w14:textId="77777777" w:rsidR="004E5304" w:rsidRPr="00CC14B1" w:rsidRDefault="004E5304" w:rsidP="00321687">
            <w:pPr>
              <w:spacing w:after="0" w:line="240" w:lineRule="auto"/>
              <w:jc w:val="right"/>
              <w:rPr>
                <w:color w:val="000000"/>
                <w:sz w:val="16"/>
                <w:szCs w:val="16"/>
                <w:lang w:eastAsia="sk-SK"/>
              </w:rPr>
            </w:pPr>
            <w:r w:rsidRPr="00CC14B1">
              <w:rPr>
                <w:color w:val="000000"/>
                <w:sz w:val="16"/>
                <w:szCs w:val="16"/>
                <w:lang w:eastAsia="sk-SK"/>
              </w:rPr>
              <w:t>7</w:t>
            </w:r>
            <w:r>
              <w:rPr>
                <w:color w:val="000000"/>
                <w:sz w:val="16"/>
                <w:szCs w:val="16"/>
                <w:lang w:eastAsia="sk-SK"/>
              </w:rPr>
              <w:t>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FB582E8" w14:textId="77777777" w:rsidR="004E5304" w:rsidRPr="00CC14B1" w:rsidRDefault="004E5304" w:rsidP="00321687">
            <w:pPr>
              <w:spacing w:after="0" w:line="240" w:lineRule="auto"/>
              <w:rPr>
                <w:sz w:val="16"/>
                <w:szCs w:val="16"/>
                <w:lang w:eastAsia="sk-SK"/>
              </w:rPr>
            </w:pPr>
            <w:r w:rsidRPr="00CC14B1">
              <w:rPr>
                <w:sz w:val="16"/>
                <w:szCs w:val="16"/>
                <w:lang w:eastAsia="sk-SK"/>
              </w:rPr>
              <w:t>SPP</w:t>
            </w:r>
          </w:p>
        </w:tc>
        <w:tc>
          <w:tcPr>
            <w:tcW w:w="4678" w:type="dxa"/>
            <w:tcBorders>
              <w:top w:val="single" w:sz="4" w:space="0" w:color="auto"/>
              <w:left w:val="nil"/>
              <w:bottom w:val="single" w:sz="4" w:space="0" w:color="auto"/>
              <w:right w:val="single" w:sz="8" w:space="0" w:color="000000"/>
            </w:tcBorders>
            <w:shd w:val="clear" w:color="auto" w:fill="auto"/>
            <w:vAlign w:val="center"/>
            <w:hideMark/>
          </w:tcPr>
          <w:p w14:paraId="116BCA90" w14:textId="77777777" w:rsidR="004E5304" w:rsidRPr="00CC14B1" w:rsidRDefault="004E5304" w:rsidP="00321687">
            <w:pPr>
              <w:spacing w:after="0" w:line="240" w:lineRule="auto"/>
              <w:rPr>
                <w:color w:val="000000"/>
                <w:sz w:val="16"/>
                <w:szCs w:val="16"/>
                <w:lang w:eastAsia="sk-SK"/>
              </w:rPr>
            </w:pPr>
            <w:r w:rsidRPr="00CC14B1">
              <w:rPr>
                <w:color w:val="000000"/>
                <w:sz w:val="16"/>
                <w:szCs w:val="16"/>
                <w:lang w:eastAsia="sk-SK"/>
              </w:rPr>
              <w:t>Zisk za bežné obdobie 259 mil. eur a precenenie  70 mil. eur, zmiernen</w:t>
            </w:r>
            <w:r>
              <w:rPr>
                <w:color w:val="000000"/>
                <w:sz w:val="16"/>
                <w:szCs w:val="16"/>
                <w:lang w:eastAsia="sk-SK"/>
              </w:rPr>
              <w:t>é</w:t>
            </w:r>
            <w:r w:rsidRPr="00CC14B1">
              <w:rPr>
                <w:color w:val="000000"/>
                <w:sz w:val="16"/>
                <w:szCs w:val="16"/>
                <w:lang w:eastAsia="sk-SK"/>
              </w:rPr>
              <w:t xml:space="preserve"> vyplatením dividend vo výške 250 mil. eur (z toho </w:t>
            </w:r>
            <w:proofErr w:type="spellStart"/>
            <w:r w:rsidRPr="00CC14B1">
              <w:rPr>
                <w:color w:val="000000"/>
                <w:sz w:val="16"/>
                <w:szCs w:val="16"/>
                <w:lang w:eastAsia="sk-SK"/>
              </w:rPr>
              <w:t>superdividenda</w:t>
            </w:r>
            <w:proofErr w:type="spellEnd"/>
            <w:r w:rsidRPr="00CC14B1">
              <w:rPr>
                <w:color w:val="000000"/>
                <w:sz w:val="16"/>
                <w:szCs w:val="16"/>
                <w:lang w:eastAsia="sk-SK"/>
              </w:rPr>
              <w:t xml:space="preserve"> vo výške 82 mil. eur).</w:t>
            </w:r>
          </w:p>
        </w:tc>
      </w:tr>
      <w:tr w:rsidR="004E5304" w:rsidRPr="00CC14B1" w14:paraId="0B505E98" w14:textId="77777777" w:rsidTr="00816B05">
        <w:trPr>
          <w:trHeight w:val="510"/>
          <w:jc w:val="center"/>
        </w:trPr>
        <w:tc>
          <w:tcPr>
            <w:tcW w:w="1269" w:type="dxa"/>
            <w:vMerge/>
            <w:tcBorders>
              <w:top w:val="nil"/>
              <w:left w:val="single" w:sz="8" w:space="0" w:color="auto"/>
              <w:bottom w:val="single" w:sz="8" w:space="0" w:color="000000"/>
              <w:right w:val="single" w:sz="4" w:space="0" w:color="auto"/>
            </w:tcBorders>
            <w:vAlign w:val="center"/>
            <w:hideMark/>
          </w:tcPr>
          <w:p w14:paraId="04684202" w14:textId="77777777" w:rsidR="004E5304" w:rsidRPr="00CC14B1" w:rsidRDefault="004E5304" w:rsidP="00321687">
            <w:pPr>
              <w:spacing w:after="0" w:line="240" w:lineRule="auto"/>
              <w:rPr>
                <w:color w:val="000000"/>
                <w:sz w:val="16"/>
                <w:szCs w:val="16"/>
                <w:lang w:eastAsia="sk-SK"/>
              </w:rPr>
            </w:pPr>
          </w:p>
        </w:tc>
        <w:tc>
          <w:tcPr>
            <w:tcW w:w="848" w:type="dxa"/>
            <w:vMerge/>
            <w:tcBorders>
              <w:top w:val="nil"/>
              <w:left w:val="single" w:sz="4" w:space="0" w:color="auto"/>
              <w:bottom w:val="single" w:sz="8" w:space="0" w:color="000000"/>
              <w:right w:val="single" w:sz="4" w:space="0" w:color="auto"/>
            </w:tcBorders>
            <w:vAlign w:val="center"/>
            <w:hideMark/>
          </w:tcPr>
          <w:p w14:paraId="2EB8F782" w14:textId="77777777" w:rsidR="004E5304" w:rsidRPr="00CC14B1" w:rsidRDefault="004E5304" w:rsidP="00321687">
            <w:pPr>
              <w:spacing w:after="0" w:line="240" w:lineRule="auto"/>
              <w:rPr>
                <w:color w:val="92D050"/>
                <w:sz w:val="16"/>
                <w:szCs w:val="16"/>
                <w:lang w:eastAsia="sk-SK"/>
              </w:rPr>
            </w:pPr>
          </w:p>
        </w:tc>
        <w:tc>
          <w:tcPr>
            <w:tcW w:w="850" w:type="dxa"/>
            <w:tcBorders>
              <w:top w:val="nil"/>
              <w:left w:val="nil"/>
              <w:bottom w:val="single" w:sz="4" w:space="0" w:color="auto"/>
              <w:right w:val="nil"/>
            </w:tcBorders>
            <w:shd w:val="clear" w:color="auto" w:fill="auto"/>
            <w:noWrap/>
            <w:vAlign w:val="center"/>
            <w:hideMark/>
          </w:tcPr>
          <w:p w14:paraId="08FBF339" w14:textId="77777777" w:rsidR="004E5304" w:rsidRPr="00CC14B1" w:rsidRDefault="004E5304" w:rsidP="00321687">
            <w:pPr>
              <w:spacing w:after="0" w:line="240" w:lineRule="auto"/>
              <w:jc w:val="right"/>
              <w:rPr>
                <w:color w:val="000000"/>
                <w:sz w:val="16"/>
                <w:szCs w:val="16"/>
                <w:lang w:eastAsia="sk-SK"/>
              </w:rPr>
            </w:pPr>
            <w:r w:rsidRPr="00CC14B1">
              <w:rPr>
                <w:color w:val="000000"/>
                <w:sz w:val="16"/>
                <w:szCs w:val="16"/>
                <w:lang w:eastAsia="sk-SK"/>
              </w:rPr>
              <w:t>76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4AE7FA3" w14:textId="77777777" w:rsidR="004E5304" w:rsidRPr="00CC14B1" w:rsidRDefault="004E5304" w:rsidP="00321687">
            <w:pPr>
              <w:spacing w:after="0" w:line="240" w:lineRule="auto"/>
              <w:rPr>
                <w:sz w:val="16"/>
                <w:szCs w:val="16"/>
                <w:lang w:eastAsia="sk-SK"/>
              </w:rPr>
            </w:pPr>
            <w:r w:rsidRPr="00CC14B1">
              <w:rPr>
                <w:sz w:val="16"/>
                <w:szCs w:val="16"/>
                <w:lang w:eastAsia="sk-SK"/>
              </w:rPr>
              <w:t>MHM</w:t>
            </w:r>
          </w:p>
        </w:tc>
        <w:tc>
          <w:tcPr>
            <w:tcW w:w="4678" w:type="dxa"/>
            <w:tcBorders>
              <w:top w:val="single" w:sz="4" w:space="0" w:color="auto"/>
              <w:left w:val="nil"/>
              <w:bottom w:val="single" w:sz="4" w:space="0" w:color="auto"/>
              <w:right w:val="single" w:sz="8" w:space="0" w:color="000000"/>
            </w:tcBorders>
            <w:shd w:val="clear" w:color="auto" w:fill="auto"/>
            <w:vAlign w:val="center"/>
            <w:hideMark/>
          </w:tcPr>
          <w:p w14:paraId="75637750" w14:textId="77777777" w:rsidR="004E5304" w:rsidRDefault="004E5304" w:rsidP="00321687">
            <w:pPr>
              <w:spacing w:after="0" w:line="240" w:lineRule="auto"/>
              <w:rPr>
                <w:color w:val="000000"/>
                <w:sz w:val="16"/>
                <w:szCs w:val="16"/>
                <w:lang w:eastAsia="sk-SK"/>
              </w:rPr>
            </w:pPr>
            <w:r w:rsidRPr="00CC14B1">
              <w:rPr>
                <w:color w:val="000000"/>
                <w:sz w:val="16"/>
                <w:szCs w:val="16"/>
                <w:lang w:eastAsia="sk-SK"/>
              </w:rPr>
              <w:t>Vklad akcionára (20 mil. eur), precenenie cenných papierov (41 mil. eur) a zúčtovanie zániku povinn</w:t>
            </w:r>
            <w:r>
              <w:rPr>
                <w:color w:val="000000"/>
                <w:sz w:val="16"/>
                <w:szCs w:val="16"/>
                <w:lang w:eastAsia="sk-SK"/>
              </w:rPr>
              <w:t>osti vyplatiť dlhopisy</w:t>
            </w:r>
          </w:p>
          <w:p w14:paraId="03E535DF" w14:textId="77777777" w:rsidR="004E5304" w:rsidRPr="00CC14B1" w:rsidRDefault="004E5304" w:rsidP="00321687">
            <w:pPr>
              <w:spacing w:after="0" w:line="240" w:lineRule="auto"/>
              <w:rPr>
                <w:color w:val="000000"/>
                <w:sz w:val="16"/>
                <w:szCs w:val="16"/>
                <w:lang w:eastAsia="sk-SK"/>
              </w:rPr>
            </w:pPr>
            <w:r>
              <w:rPr>
                <w:color w:val="000000"/>
                <w:sz w:val="16"/>
                <w:szCs w:val="16"/>
                <w:lang w:eastAsia="sk-SK"/>
              </w:rPr>
              <w:t xml:space="preserve"> (15 mil. </w:t>
            </w:r>
            <w:r w:rsidRPr="00CC14B1">
              <w:rPr>
                <w:color w:val="000000"/>
                <w:sz w:val="16"/>
                <w:szCs w:val="16"/>
                <w:lang w:eastAsia="sk-SK"/>
              </w:rPr>
              <w:t>eur).</w:t>
            </w:r>
          </w:p>
        </w:tc>
      </w:tr>
      <w:tr w:rsidR="004E5304" w:rsidRPr="00CC14B1" w14:paraId="0739E99A" w14:textId="77777777" w:rsidTr="00816B05">
        <w:trPr>
          <w:trHeight w:val="234"/>
          <w:jc w:val="center"/>
        </w:trPr>
        <w:tc>
          <w:tcPr>
            <w:tcW w:w="1269" w:type="dxa"/>
            <w:vMerge/>
            <w:tcBorders>
              <w:top w:val="nil"/>
              <w:left w:val="single" w:sz="8" w:space="0" w:color="auto"/>
              <w:bottom w:val="single" w:sz="8" w:space="0" w:color="000000"/>
              <w:right w:val="single" w:sz="4" w:space="0" w:color="auto"/>
            </w:tcBorders>
            <w:vAlign w:val="center"/>
            <w:hideMark/>
          </w:tcPr>
          <w:p w14:paraId="254991A3" w14:textId="77777777" w:rsidR="004E5304" w:rsidRPr="00CC14B1" w:rsidRDefault="004E5304" w:rsidP="00321687">
            <w:pPr>
              <w:spacing w:after="0" w:line="240" w:lineRule="auto"/>
              <w:rPr>
                <w:color w:val="000000"/>
                <w:sz w:val="16"/>
                <w:szCs w:val="16"/>
                <w:lang w:eastAsia="sk-SK"/>
              </w:rPr>
            </w:pPr>
          </w:p>
        </w:tc>
        <w:tc>
          <w:tcPr>
            <w:tcW w:w="848" w:type="dxa"/>
            <w:vMerge/>
            <w:tcBorders>
              <w:top w:val="nil"/>
              <w:left w:val="single" w:sz="4" w:space="0" w:color="auto"/>
              <w:bottom w:val="single" w:sz="8" w:space="0" w:color="000000"/>
              <w:right w:val="single" w:sz="4" w:space="0" w:color="auto"/>
            </w:tcBorders>
            <w:vAlign w:val="center"/>
            <w:hideMark/>
          </w:tcPr>
          <w:p w14:paraId="1264D855" w14:textId="77777777" w:rsidR="004E5304" w:rsidRPr="00CC14B1" w:rsidRDefault="004E5304" w:rsidP="00321687">
            <w:pPr>
              <w:spacing w:after="0" w:line="240" w:lineRule="auto"/>
              <w:rPr>
                <w:color w:val="92D050"/>
                <w:sz w:val="16"/>
                <w:szCs w:val="16"/>
                <w:lang w:eastAsia="sk-SK"/>
              </w:rPr>
            </w:pPr>
          </w:p>
        </w:tc>
        <w:tc>
          <w:tcPr>
            <w:tcW w:w="850" w:type="dxa"/>
            <w:tcBorders>
              <w:top w:val="nil"/>
              <w:left w:val="nil"/>
              <w:bottom w:val="single" w:sz="4" w:space="0" w:color="auto"/>
              <w:right w:val="nil"/>
            </w:tcBorders>
            <w:shd w:val="clear" w:color="auto" w:fill="auto"/>
            <w:noWrap/>
            <w:vAlign w:val="center"/>
            <w:hideMark/>
          </w:tcPr>
          <w:p w14:paraId="41CBFE9C" w14:textId="77777777" w:rsidR="004E5304" w:rsidRPr="00CC14B1" w:rsidRDefault="004E5304" w:rsidP="00321687">
            <w:pPr>
              <w:spacing w:after="0" w:line="240" w:lineRule="auto"/>
              <w:jc w:val="right"/>
              <w:rPr>
                <w:color w:val="000000"/>
                <w:sz w:val="16"/>
                <w:szCs w:val="16"/>
                <w:lang w:eastAsia="sk-SK"/>
              </w:rPr>
            </w:pPr>
            <w:r w:rsidRPr="00CC14B1">
              <w:rPr>
                <w:color w:val="000000"/>
                <w:sz w:val="16"/>
                <w:szCs w:val="16"/>
                <w:lang w:eastAsia="sk-SK"/>
              </w:rPr>
              <w:t>5</w:t>
            </w:r>
            <w:r>
              <w:rPr>
                <w:color w:val="000000"/>
                <w:sz w:val="16"/>
                <w:szCs w:val="16"/>
                <w:lang w:eastAsia="sk-SK"/>
              </w:rPr>
              <w:t>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9F37652" w14:textId="77777777" w:rsidR="004E5304" w:rsidRPr="00CC14B1" w:rsidRDefault="004E5304" w:rsidP="00321687">
            <w:pPr>
              <w:spacing w:after="0" w:line="240" w:lineRule="auto"/>
              <w:rPr>
                <w:sz w:val="16"/>
                <w:szCs w:val="16"/>
                <w:lang w:eastAsia="sk-SK"/>
              </w:rPr>
            </w:pPr>
            <w:r w:rsidRPr="00CC14B1">
              <w:rPr>
                <w:sz w:val="16"/>
                <w:szCs w:val="16"/>
                <w:lang w:eastAsia="sk-SK"/>
              </w:rPr>
              <w:t>NDS</w:t>
            </w:r>
          </w:p>
        </w:tc>
        <w:tc>
          <w:tcPr>
            <w:tcW w:w="4678" w:type="dxa"/>
            <w:tcBorders>
              <w:top w:val="single" w:sz="4" w:space="0" w:color="auto"/>
              <w:left w:val="nil"/>
              <w:bottom w:val="single" w:sz="4" w:space="0" w:color="auto"/>
              <w:right w:val="single" w:sz="8" w:space="0" w:color="000000"/>
            </w:tcBorders>
            <w:shd w:val="clear" w:color="auto" w:fill="auto"/>
            <w:noWrap/>
            <w:vAlign w:val="bottom"/>
            <w:hideMark/>
          </w:tcPr>
          <w:p w14:paraId="1C0F04DA" w14:textId="77777777" w:rsidR="004E5304" w:rsidRPr="00CC14B1" w:rsidRDefault="004E5304" w:rsidP="00321687">
            <w:pPr>
              <w:spacing w:after="0" w:line="240" w:lineRule="auto"/>
              <w:rPr>
                <w:color w:val="000000"/>
                <w:sz w:val="16"/>
                <w:szCs w:val="16"/>
                <w:lang w:eastAsia="sk-SK"/>
              </w:rPr>
            </w:pPr>
            <w:r w:rsidRPr="00CC14B1">
              <w:rPr>
                <w:color w:val="000000"/>
                <w:sz w:val="16"/>
                <w:szCs w:val="16"/>
                <w:lang w:eastAsia="sk-SK"/>
              </w:rPr>
              <w:t>Vklad akcionára (23 mil. eur) a zisk za bežné obdobie  (34 mil. eur).</w:t>
            </w:r>
          </w:p>
        </w:tc>
      </w:tr>
      <w:tr w:rsidR="004E5304" w:rsidRPr="00CC14B1" w14:paraId="7DCE0A4E" w14:textId="77777777" w:rsidTr="00816B05">
        <w:trPr>
          <w:trHeight w:val="265"/>
          <w:jc w:val="center"/>
        </w:trPr>
        <w:tc>
          <w:tcPr>
            <w:tcW w:w="1269" w:type="dxa"/>
            <w:vMerge/>
            <w:tcBorders>
              <w:top w:val="nil"/>
              <w:left w:val="single" w:sz="8" w:space="0" w:color="auto"/>
              <w:bottom w:val="single" w:sz="8" w:space="0" w:color="000000"/>
              <w:right w:val="single" w:sz="4" w:space="0" w:color="auto"/>
            </w:tcBorders>
            <w:vAlign w:val="center"/>
          </w:tcPr>
          <w:p w14:paraId="53C37A95" w14:textId="77777777" w:rsidR="004E5304" w:rsidRPr="00CC14B1" w:rsidRDefault="004E5304" w:rsidP="00321687">
            <w:pPr>
              <w:spacing w:after="0" w:line="240" w:lineRule="auto"/>
              <w:rPr>
                <w:color w:val="000000"/>
                <w:sz w:val="16"/>
                <w:szCs w:val="16"/>
                <w:lang w:eastAsia="sk-SK"/>
              </w:rPr>
            </w:pPr>
          </w:p>
        </w:tc>
        <w:tc>
          <w:tcPr>
            <w:tcW w:w="848" w:type="dxa"/>
            <w:vMerge/>
            <w:tcBorders>
              <w:top w:val="nil"/>
              <w:left w:val="single" w:sz="4" w:space="0" w:color="auto"/>
              <w:bottom w:val="single" w:sz="8" w:space="0" w:color="000000"/>
              <w:right w:val="single" w:sz="4" w:space="0" w:color="auto"/>
            </w:tcBorders>
            <w:vAlign w:val="center"/>
          </w:tcPr>
          <w:p w14:paraId="0D428478" w14:textId="77777777" w:rsidR="004E5304" w:rsidRPr="00CC14B1" w:rsidRDefault="004E5304" w:rsidP="00321687">
            <w:pPr>
              <w:spacing w:after="0" w:line="240" w:lineRule="auto"/>
              <w:rPr>
                <w:color w:val="92D050"/>
                <w:sz w:val="16"/>
                <w:szCs w:val="16"/>
                <w:lang w:eastAsia="sk-SK"/>
              </w:rPr>
            </w:pPr>
          </w:p>
        </w:tc>
        <w:tc>
          <w:tcPr>
            <w:tcW w:w="850" w:type="dxa"/>
            <w:tcBorders>
              <w:top w:val="nil"/>
              <w:left w:val="nil"/>
              <w:bottom w:val="single" w:sz="4" w:space="0" w:color="auto"/>
              <w:right w:val="nil"/>
            </w:tcBorders>
            <w:shd w:val="clear" w:color="auto" w:fill="auto"/>
            <w:noWrap/>
            <w:vAlign w:val="center"/>
          </w:tcPr>
          <w:p w14:paraId="4BE09701" w14:textId="77777777" w:rsidR="004E5304" w:rsidRPr="00CC14B1" w:rsidRDefault="004E5304" w:rsidP="00321687">
            <w:pPr>
              <w:spacing w:after="0" w:line="240" w:lineRule="auto"/>
              <w:jc w:val="right"/>
              <w:rPr>
                <w:color w:val="000000"/>
                <w:sz w:val="16"/>
                <w:szCs w:val="16"/>
                <w:lang w:eastAsia="sk-SK"/>
              </w:rPr>
            </w:pPr>
            <w:r>
              <w:rPr>
                <w:color w:val="000000"/>
                <w:sz w:val="16"/>
                <w:szCs w:val="16"/>
                <w:lang w:eastAsia="sk-SK"/>
              </w:rPr>
              <w:t>50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20DF009" w14:textId="77777777" w:rsidR="004E5304" w:rsidRPr="00CC14B1" w:rsidRDefault="004E5304" w:rsidP="00321687">
            <w:pPr>
              <w:spacing w:after="0" w:line="240" w:lineRule="auto"/>
              <w:rPr>
                <w:sz w:val="16"/>
                <w:szCs w:val="16"/>
                <w:lang w:eastAsia="sk-SK"/>
              </w:rPr>
            </w:pPr>
            <w:r>
              <w:rPr>
                <w:sz w:val="16"/>
                <w:szCs w:val="16"/>
                <w:lang w:eastAsia="sk-SK"/>
              </w:rPr>
              <w:t>SZRB</w:t>
            </w:r>
          </w:p>
        </w:tc>
        <w:tc>
          <w:tcPr>
            <w:tcW w:w="4678" w:type="dxa"/>
            <w:tcBorders>
              <w:top w:val="single" w:sz="4" w:space="0" w:color="auto"/>
              <w:left w:val="nil"/>
              <w:bottom w:val="single" w:sz="4" w:space="0" w:color="auto"/>
              <w:right w:val="single" w:sz="8" w:space="0" w:color="000000"/>
            </w:tcBorders>
            <w:shd w:val="clear" w:color="auto" w:fill="auto"/>
            <w:vAlign w:val="center"/>
          </w:tcPr>
          <w:p w14:paraId="6BBE479C" w14:textId="77777777" w:rsidR="004E5304" w:rsidRPr="00CC14B1" w:rsidRDefault="004E5304" w:rsidP="00321687">
            <w:pPr>
              <w:spacing w:after="0" w:line="240" w:lineRule="auto"/>
              <w:rPr>
                <w:color w:val="000000"/>
                <w:sz w:val="16"/>
                <w:szCs w:val="16"/>
                <w:lang w:eastAsia="sk-SK"/>
              </w:rPr>
            </w:pPr>
            <w:r>
              <w:rPr>
                <w:color w:val="000000"/>
                <w:sz w:val="16"/>
                <w:szCs w:val="16"/>
                <w:lang w:eastAsia="sk-SK"/>
              </w:rPr>
              <w:t>Vklad akcionára do imania (50 mil. eur).</w:t>
            </w:r>
          </w:p>
        </w:tc>
      </w:tr>
      <w:tr w:rsidR="004E5304" w:rsidRPr="00CC14B1" w14:paraId="38EE2D82" w14:textId="77777777" w:rsidTr="00816B05">
        <w:trPr>
          <w:trHeight w:val="226"/>
          <w:jc w:val="center"/>
        </w:trPr>
        <w:tc>
          <w:tcPr>
            <w:tcW w:w="1269" w:type="dxa"/>
            <w:vMerge/>
            <w:tcBorders>
              <w:top w:val="nil"/>
              <w:left w:val="single" w:sz="8" w:space="0" w:color="auto"/>
              <w:bottom w:val="single" w:sz="8" w:space="0" w:color="000000"/>
              <w:right w:val="single" w:sz="4" w:space="0" w:color="auto"/>
            </w:tcBorders>
            <w:vAlign w:val="center"/>
            <w:hideMark/>
          </w:tcPr>
          <w:p w14:paraId="646E52FC" w14:textId="77777777" w:rsidR="004E5304" w:rsidRPr="00CC14B1" w:rsidRDefault="004E5304" w:rsidP="00321687">
            <w:pPr>
              <w:spacing w:after="0" w:line="240" w:lineRule="auto"/>
              <w:rPr>
                <w:color w:val="000000"/>
                <w:sz w:val="16"/>
                <w:szCs w:val="16"/>
                <w:lang w:eastAsia="sk-SK"/>
              </w:rPr>
            </w:pPr>
          </w:p>
        </w:tc>
        <w:tc>
          <w:tcPr>
            <w:tcW w:w="848" w:type="dxa"/>
            <w:vMerge/>
            <w:tcBorders>
              <w:top w:val="nil"/>
              <w:left w:val="single" w:sz="4" w:space="0" w:color="auto"/>
              <w:bottom w:val="single" w:sz="8" w:space="0" w:color="000000"/>
              <w:right w:val="single" w:sz="4" w:space="0" w:color="auto"/>
            </w:tcBorders>
            <w:vAlign w:val="center"/>
            <w:hideMark/>
          </w:tcPr>
          <w:p w14:paraId="7772891A" w14:textId="77777777" w:rsidR="004E5304" w:rsidRPr="00CC14B1" w:rsidRDefault="004E5304" w:rsidP="00321687">
            <w:pPr>
              <w:spacing w:after="0" w:line="240" w:lineRule="auto"/>
              <w:rPr>
                <w:color w:val="92D050"/>
                <w:sz w:val="16"/>
                <w:szCs w:val="16"/>
                <w:lang w:eastAsia="sk-SK"/>
              </w:rPr>
            </w:pPr>
          </w:p>
        </w:tc>
        <w:tc>
          <w:tcPr>
            <w:tcW w:w="850" w:type="dxa"/>
            <w:tcBorders>
              <w:top w:val="nil"/>
              <w:left w:val="nil"/>
              <w:bottom w:val="single" w:sz="4" w:space="0" w:color="auto"/>
              <w:right w:val="nil"/>
            </w:tcBorders>
            <w:shd w:val="clear" w:color="auto" w:fill="auto"/>
            <w:noWrap/>
            <w:vAlign w:val="center"/>
          </w:tcPr>
          <w:p w14:paraId="00029872" w14:textId="77777777" w:rsidR="004E5304" w:rsidRPr="00CC14B1" w:rsidRDefault="004E5304" w:rsidP="00321687">
            <w:pPr>
              <w:spacing w:after="0" w:line="240" w:lineRule="auto"/>
              <w:jc w:val="right"/>
              <w:rPr>
                <w:color w:val="000000"/>
                <w:sz w:val="16"/>
                <w:szCs w:val="16"/>
                <w:lang w:eastAsia="sk-SK"/>
              </w:rPr>
            </w:pPr>
            <w:r w:rsidRPr="00CC14B1">
              <w:rPr>
                <w:color w:val="000000"/>
                <w:sz w:val="16"/>
                <w:szCs w:val="16"/>
                <w:lang w:eastAsia="sk-SK"/>
              </w:rPr>
              <w:t>-1</w:t>
            </w:r>
            <w:r>
              <w:rPr>
                <w:color w:val="000000"/>
                <w:sz w:val="16"/>
                <w:szCs w:val="16"/>
                <w:lang w:eastAsia="sk-SK"/>
              </w:rPr>
              <w:t>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E9EF366" w14:textId="77777777" w:rsidR="004E5304" w:rsidRPr="00CC14B1" w:rsidRDefault="004E5304" w:rsidP="00321687">
            <w:pPr>
              <w:spacing w:after="0" w:line="240" w:lineRule="auto"/>
              <w:rPr>
                <w:sz w:val="16"/>
                <w:szCs w:val="16"/>
                <w:lang w:eastAsia="sk-SK"/>
              </w:rPr>
            </w:pPr>
            <w:proofErr w:type="spellStart"/>
            <w:r w:rsidRPr="00CC14B1">
              <w:rPr>
                <w:color w:val="000000"/>
                <w:sz w:val="16"/>
                <w:szCs w:val="16"/>
                <w:lang w:eastAsia="sk-SK"/>
              </w:rPr>
              <w:t>Slov.elektrárne</w:t>
            </w:r>
            <w:proofErr w:type="spellEnd"/>
            <w:r w:rsidRPr="00CC14B1">
              <w:rPr>
                <w:color w:val="000000"/>
                <w:sz w:val="16"/>
                <w:szCs w:val="16"/>
                <w:lang w:eastAsia="sk-SK"/>
              </w:rPr>
              <w:t xml:space="preserve">, </w:t>
            </w:r>
            <w:proofErr w:type="spellStart"/>
            <w:r w:rsidRPr="00CC14B1">
              <w:rPr>
                <w:color w:val="000000"/>
                <w:sz w:val="16"/>
                <w:szCs w:val="16"/>
                <w:lang w:eastAsia="sk-SK"/>
              </w:rPr>
              <w:t>a.s</w:t>
            </w:r>
            <w:proofErr w:type="spellEnd"/>
            <w:r w:rsidRPr="00CC14B1">
              <w:rPr>
                <w:color w:val="000000"/>
                <w:sz w:val="16"/>
                <w:szCs w:val="16"/>
                <w:lang w:eastAsia="sk-SK"/>
              </w:rPr>
              <w:t>.</w:t>
            </w:r>
          </w:p>
        </w:tc>
        <w:tc>
          <w:tcPr>
            <w:tcW w:w="4678" w:type="dxa"/>
            <w:tcBorders>
              <w:top w:val="single" w:sz="4" w:space="0" w:color="auto"/>
              <w:left w:val="nil"/>
              <w:bottom w:val="single" w:sz="4" w:space="0" w:color="auto"/>
              <w:right w:val="single" w:sz="8" w:space="0" w:color="000000"/>
            </w:tcBorders>
            <w:shd w:val="clear" w:color="auto" w:fill="auto"/>
            <w:vAlign w:val="bottom"/>
          </w:tcPr>
          <w:p w14:paraId="32EC93C8" w14:textId="77777777" w:rsidR="004E5304" w:rsidRPr="00CC14B1" w:rsidRDefault="004E5304" w:rsidP="00321687">
            <w:pPr>
              <w:spacing w:after="0" w:line="240" w:lineRule="auto"/>
              <w:rPr>
                <w:color w:val="000000"/>
                <w:sz w:val="16"/>
                <w:szCs w:val="16"/>
                <w:lang w:eastAsia="sk-SK"/>
              </w:rPr>
            </w:pPr>
            <w:r w:rsidRPr="00CC14B1">
              <w:rPr>
                <w:color w:val="000000"/>
                <w:sz w:val="16"/>
                <w:szCs w:val="16"/>
                <w:lang w:eastAsia="sk-SK"/>
              </w:rPr>
              <w:t>Zisk za bežné obdobie a aktualizácia precenenia.</w:t>
            </w:r>
          </w:p>
        </w:tc>
      </w:tr>
      <w:tr w:rsidR="004E5304" w:rsidRPr="00CC14B1" w14:paraId="6FD0BCEF" w14:textId="77777777" w:rsidTr="00816B05">
        <w:trPr>
          <w:trHeight w:val="240"/>
          <w:jc w:val="center"/>
        </w:trPr>
        <w:tc>
          <w:tcPr>
            <w:tcW w:w="1269" w:type="dxa"/>
            <w:vMerge/>
            <w:tcBorders>
              <w:top w:val="nil"/>
              <w:left w:val="single" w:sz="8" w:space="0" w:color="auto"/>
              <w:bottom w:val="single" w:sz="8" w:space="0" w:color="000000"/>
              <w:right w:val="single" w:sz="4" w:space="0" w:color="auto"/>
            </w:tcBorders>
            <w:vAlign w:val="center"/>
            <w:hideMark/>
          </w:tcPr>
          <w:p w14:paraId="2454A381" w14:textId="77777777" w:rsidR="004E5304" w:rsidRPr="00CC14B1" w:rsidRDefault="004E5304" w:rsidP="00321687">
            <w:pPr>
              <w:spacing w:after="0" w:line="240" w:lineRule="auto"/>
              <w:rPr>
                <w:color w:val="000000"/>
                <w:sz w:val="16"/>
                <w:szCs w:val="16"/>
                <w:lang w:eastAsia="sk-SK"/>
              </w:rPr>
            </w:pPr>
          </w:p>
        </w:tc>
        <w:tc>
          <w:tcPr>
            <w:tcW w:w="848" w:type="dxa"/>
            <w:vMerge/>
            <w:tcBorders>
              <w:top w:val="nil"/>
              <w:left w:val="single" w:sz="4" w:space="0" w:color="auto"/>
              <w:bottom w:val="single" w:sz="8" w:space="0" w:color="000000"/>
              <w:right w:val="single" w:sz="4" w:space="0" w:color="auto"/>
            </w:tcBorders>
            <w:vAlign w:val="center"/>
            <w:hideMark/>
          </w:tcPr>
          <w:p w14:paraId="5E114615" w14:textId="77777777" w:rsidR="004E5304" w:rsidRPr="00CC14B1" w:rsidRDefault="004E5304" w:rsidP="00321687">
            <w:pPr>
              <w:spacing w:after="0" w:line="240" w:lineRule="auto"/>
              <w:rPr>
                <w:color w:val="92D050"/>
                <w:sz w:val="16"/>
                <w:szCs w:val="16"/>
                <w:lang w:eastAsia="sk-SK"/>
              </w:rPr>
            </w:pPr>
          </w:p>
        </w:tc>
        <w:tc>
          <w:tcPr>
            <w:tcW w:w="850" w:type="dxa"/>
            <w:tcBorders>
              <w:top w:val="nil"/>
              <w:left w:val="nil"/>
              <w:bottom w:val="single" w:sz="4" w:space="0" w:color="auto"/>
              <w:right w:val="nil"/>
            </w:tcBorders>
            <w:shd w:val="clear" w:color="auto" w:fill="auto"/>
            <w:noWrap/>
            <w:vAlign w:val="center"/>
          </w:tcPr>
          <w:p w14:paraId="57BA72A3" w14:textId="77777777" w:rsidR="004E5304" w:rsidRPr="00CC14B1" w:rsidRDefault="004E5304" w:rsidP="00321687">
            <w:pPr>
              <w:spacing w:after="0" w:line="240" w:lineRule="auto"/>
              <w:jc w:val="right"/>
              <w:rPr>
                <w:color w:val="000000"/>
                <w:sz w:val="16"/>
                <w:szCs w:val="16"/>
                <w:lang w:eastAsia="sk-SK"/>
              </w:rPr>
            </w:pPr>
            <w:r w:rsidRPr="00CC14B1">
              <w:rPr>
                <w:color w:val="000000"/>
                <w:sz w:val="16"/>
                <w:szCs w:val="16"/>
                <w:lang w:eastAsia="sk-SK"/>
              </w:rPr>
              <w:t xml:space="preserve">-17 </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6CCBD58" w14:textId="77777777" w:rsidR="004E5304" w:rsidRPr="00CC14B1" w:rsidRDefault="004E5304" w:rsidP="00321687">
            <w:pPr>
              <w:spacing w:after="0" w:line="240" w:lineRule="auto"/>
              <w:rPr>
                <w:sz w:val="16"/>
                <w:szCs w:val="16"/>
                <w:lang w:eastAsia="sk-SK"/>
              </w:rPr>
            </w:pPr>
            <w:r w:rsidRPr="00CC14B1">
              <w:rPr>
                <w:color w:val="000000"/>
                <w:sz w:val="16"/>
                <w:szCs w:val="16"/>
                <w:lang w:eastAsia="sk-SK"/>
              </w:rPr>
              <w:t xml:space="preserve">Slovenská pošta, a.s. </w:t>
            </w:r>
          </w:p>
        </w:tc>
        <w:tc>
          <w:tcPr>
            <w:tcW w:w="4678" w:type="dxa"/>
            <w:tcBorders>
              <w:top w:val="single" w:sz="4" w:space="0" w:color="auto"/>
              <w:left w:val="nil"/>
              <w:bottom w:val="single" w:sz="4" w:space="0" w:color="auto"/>
              <w:right w:val="single" w:sz="8" w:space="0" w:color="000000"/>
            </w:tcBorders>
            <w:shd w:val="clear" w:color="auto" w:fill="auto"/>
            <w:noWrap/>
            <w:vAlign w:val="bottom"/>
          </w:tcPr>
          <w:p w14:paraId="1788A28D" w14:textId="77777777" w:rsidR="004E5304" w:rsidRPr="00CC14B1" w:rsidRDefault="004E5304" w:rsidP="00321687">
            <w:pPr>
              <w:spacing w:after="0" w:line="240" w:lineRule="auto"/>
              <w:rPr>
                <w:color w:val="000000"/>
                <w:sz w:val="16"/>
                <w:szCs w:val="16"/>
                <w:lang w:eastAsia="sk-SK"/>
              </w:rPr>
            </w:pPr>
            <w:r w:rsidRPr="00CC14B1">
              <w:rPr>
                <w:color w:val="000000"/>
                <w:sz w:val="16"/>
                <w:szCs w:val="16"/>
                <w:lang w:eastAsia="sk-SK"/>
              </w:rPr>
              <w:t>Strata za bežné obdobie 16 mil. eur</w:t>
            </w:r>
            <w:r>
              <w:rPr>
                <w:color w:val="000000"/>
                <w:sz w:val="16"/>
                <w:szCs w:val="16"/>
                <w:lang w:eastAsia="sk-SK"/>
              </w:rPr>
              <w:t>.</w:t>
            </w:r>
          </w:p>
        </w:tc>
      </w:tr>
      <w:tr w:rsidR="004E5304" w:rsidRPr="00CC14B1" w14:paraId="658B2512" w14:textId="77777777" w:rsidTr="00816B05">
        <w:trPr>
          <w:trHeight w:val="510"/>
          <w:jc w:val="center"/>
        </w:trPr>
        <w:tc>
          <w:tcPr>
            <w:tcW w:w="1269" w:type="dxa"/>
            <w:vMerge/>
            <w:tcBorders>
              <w:top w:val="nil"/>
              <w:left w:val="single" w:sz="8" w:space="0" w:color="auto"/>
              <w:bottom w:val="single" w:sz="8" w:space="0" w:color="000000"/>
              <w:right w:val="single" w:sz="4" w:space="0" w:color="auto"/>
            </w:tcBorders>
            <w:vAlign w:val="center"/>
            <w:hideMark/>
          </w:tcPr>
          <w:p w14:paraId="35ED0221" w14:textId="77777777" w:rsidR="004E5304" w:rsidRPr="00CC14B1" w:rsidRDefault="004E5304" w:rsidP="00321687">
            <w:pPr>
              <w:spacing w:after="0" w:line="240" w:lineRule="auto"/>
              <w:rPr>
                <w:color w:val="000000"/>
                <w:sz w:val="16"/>
                <w:szCs w:val="16"/>
                <w:lang w:eastAsia="sk-SK"/>
              </w:rPr>
            </w:pPr>
          </w:p>
        </w:tc>
        <w:tc>
          <w:tcPr>
            <w:tcW w:w="848" w:type="dxa"/>
            <w:vMerge/>
            <w:tcBorders>
              <w:top w:val="nil"/>
              <w:left w:val="single" w:sz="4" w:space="0" w:color="auto"/>
              <w:bottom w:val="single" w:sz="8" w:space="0" w:color="000000"/>
              <w:right w:val="single" w:sz="4" w:space="0" w:color="auto"/>
            </w:tcBorders>
            <w:vAlign w:val="center"/>
            <w:hideMark/>
          </w:tcPr>
          <w:p w14:paraId="607775A4" w14:textId="77777777" w:rsidR="004E5304" w:rsidRPr="00CC14B1" w:rsidRDefault="004E5304" w:rsidP="00321687">
            <w:pPr>
              <w:spacing w:after="0" w:line="240" w:lineRule="auto"/>
              <w:rPr>
                <w:color w:val="92D050"/>
                <w:sz w:val="16"/>
                <w:szCs w:val="16"/>
                <w:lang w:eastAsia="sk-SK"/>
              </w:rPr>
            </w:pPr>
          </w:p>
        </w:tc>
        <w:tc>
          <w:tcPr>
            <w:tcW w:w="850" w:type="dxa"/>
            <w:tcBorders>
              <w:top w:val="nil"/>
              <w:left w:val="nil"/>
              <w:bottom w:val="single" w:sz="4" w:space="0" w:color="auto"/>
              <w:right w:val="nil"/>
            </w:tcBorders>
            <w:shd w:val="clear" w:color="auto" w:fill="auto"/>
            <w:noWrap/>
            <w:vAlign w:val="center"/>
            <w:hideMark/>
          </w:tcPr>
          <w:p w14:paraId="61E9039F" w14:textId="77777777" w:rsidR="004E5304" w:rsidRPr="00CC14B1" w:rsidRDefault="004E5304" w:rsidP="00321687">
            <w:pPr>
              <w:spacing w:after="0" w:line="240" w:lineRule="auto"/>
              <w:jc w:val="right"/>
              <w:rPr>
                <w:color w:val="000000"/>
                <w:sz w:val="16"/>
                <w:szCs w:val="16"/>
                <w:lang w:eastAsia="sk-SK"/>
              </w:rPr>
            </w:pPr>
            <w:r w:rsidRPr="00CC14B1">
              <w:rPr>
                <w:color w:val="000000"/>
                <w:sz w:val="16"/>
                <w:szCs w:val="16"/>
                <w:lang w:eastAsia="sk-SK"/>
              </w:rPr>
              <w:t>-32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33CCBF2" w14:textId="77777777" w:rsidR="004E5304" w:rsidRPr="00CC14B1" w:rsidRDefault="004E5304" w:rsidP="00321687">
            <w:pPr>
              <w:spacing w:after="0" w:line="240" w:lineRule="auto"/>
              <w:rPr>
                <w:sz w:val="16"/>
                <w:szCs w:val="16"/>
                <w:lang w:eastAsia="sk-SK"/>
              </w:rPr>
            </w:pPr>
            <w:r w:rsidRPr="00CC14B1">
              <w:rPr>
                <w:sz w:val="16"/>
                <w:szCs w:val="16"/>
                <w:lang w:eastAsia="sk-SK"/>
              </w:rPr>
              <w:t>ZS Cargo</w:t>
            </w:r>
          </w:p>
        </w:tc>
        <w:tc>
          <w:tcPr>
            <w:tcW w:w="4678" w:type="dxa"/>
            <w:tcBorders>
              <w:top w:val="single" w:sz="4" w:space="0" w:color="auto"/>
              <w:left w:val="nil"/>
              <w:bottom w:val="single" w:sz="4" w:space="0" w:color="auto"/>
              <w:right w:val="single" w:sz="8" w:space="0" w:color="000000"/>
            </w:tcBorders>
            <w:shd w:val="clear" w:color="auto" w:fill="auto"/>
            <w:vAlign w:val="center"/>
            <w:hideMark/>
          </w:tcPr>
          <w:p w14:paraId="0E68CCF2" w14:textId="77777777" w:rsidR="004E5304" w:rsidRPr="00CC14B1" w:rsidRDefault="004E5304" w:rsidP="00321687">
            <w:pPr>
              <w:spacing w:after="0" w:line="240" w:lineRule="auto"/>
              <w:rPr>
                <w:color w:val="000000"/>
                <w:sz w:val="16"/>
                <w:szCs w:val="16"/>
                <w:lang w:eastAsia="sk-SK"/>
              </w:rPr>
            </w:pPr>
            <w:r w:rsidRPr="00CC14B1">
              <w:rPr>
                <w:color w:val="000000"/>
                <w:sz w:val="16"/>
                <w:szCs w:val="16"/>
                <w:lang w:eastAsia="sk-SK"/>
              </w:rPr>
              <w:t>Strata za bežné účtovné obdobie vo výške 32 mil. eur. (pokles výnosov z medzinárodnej prepravy o 17,4 % - vplyv obmedzení z dôvodu pandémie a pokles prepravy pre hutníctvo).</w:t>
            </w:r>
          </w:p>
        </w:tc>
      </w:tr>
      <w:tr w:rsidR="004E5304" w:rsidRPr="00CC14B1" w14:paraId="503E5176" w14:textId="77777777" w:rsidTr="00816B05">
        <w:trPr>
          <w:trHeight w:val="240"/>
          <w:jc w:val="center"/>
        </w:trPr>
        <w:tc>
          <w:tcPr>
            <w:tcW w:w="1269" w:type="dxa"/>
            <w:vMerge/>
            <w:tcBorders>
              <w:top w:val="nil"/>
              <w:left w:val="single" w:sz="8" w:space="0" w:color="auto"/>
              <w:bottom w:val="single" w:sz="8" w:space="0" w:color="000000"/>
              <w:right w:val="single" w:sz="4" w:space="0" w:color="auto"/>
            </w:tcBorders>
            <w:vAlign w:val="center"/>
            <w:hideMark/>
          </w:tcPr>
          <w:p w14:paraId="261A167B" w14:textId="77777777" w:rsidR="004E5304" w:rsidRPr="00CC14B1" w:rsidRDefault="004E5304" w:rsidP="00321687">
            <w:pPr>
              <w:spacing w:after="0" w:line="240" w:lineRule="auto"/>
              <w:rPr>
                <w:color w:val="000000"/>
                <w:sz w:val="16"/>
                <w:szCs w:val="16"/>
                <w:lang w:eastAsia="sk-SK"/>
              </w:rPr>
            </w:pPr>
          </w:p>
        </w:tc>
        <w:tc>
          <w:tcPr>
            <w:tcW w:w="848" w:type="dxa"/>
            <w:vMerge/>
            <w:tcBorders>
              <w:top w:val="nil"/>
              <w:left w:val="single" w:sz="4" w:space="0" w:color="auto"/>
              <w:bottom w:val="single" w:sz="8" w:space="0" w:color="000000"/>
              <w:right w:val="single" w:sz="4" w:space="0" w:color="auto"/>
            </w:tcBorders>
            <w:vAlign w:val="center"/>
            <w:hideMark/>
          </w:tcPr>
          <w:p w14:paraId="51DD3896" w14:textId="77777777" w:rsidR="004E5304" w:rsidRPr="00CC14B1" w:rsidRDefault="004E5304" w:rsidP="00321687">
            <w:pPr>
              <w:spacing w:after="0" w:line="240" w:lineRule="auto"/>
              <w:rPr>
                <w:color w:val="92D050"/>
                <w:sz w:val="16"/>
                <w:szCs w:val="16"/>
                <w:lang w:eastAsia="sk-SK"/>
              </w:rPr>
            </w:pPr>
          </w:p>
        </w:tc>
        <w:tc>
          <w:tcPr>
            <w:tcW w:w="850" w:type="dxa"/>
            <w:tcBorders>
              <w:top w:val="nil"/>
              <w:left w:val="nil"/>
              <w:bottom w:val="single" w:sz="4" w:space="0" w:color="auto"/>
              <w:right w:val="nil"/>
            </w:tcBorders>
            <w:shd w:val="clear" w:color="auto" w:fill="auto"/>
            <w:noWrap/>
            <w:vAlign w:val="center"/>
          </w:tcPr>
          <w:p w14:paraId="2ED0AC68" w14:textId="77777777" w:rsidR="004E5304" w:rsidRPr="00CC14B1" w:rsidRDefault="004E5304" w:rsidP="00321687">
            <w:pPr>
              <w:spacing w:after="0" w:line="240" w:lineRule="auto"/>
              <w:jc w:val="right"/>
              <w:rPr>
                <w:color w:val="000000"/>
                <w:sz w:val="16"/>
                <w:szCs w:val="16"/>
                <w:lang w:eastAsia="sk-SK"/>
              </w:rPr>
            </w:pPr>
            <w:r w:rsidRPr="00CC14B1">
              <w:rPr>
                <w:color w:val="000000"/>
                <w:sz w:val="16"/>
                <w:szCs w:val="16"/>
                <w:lang w:eastAsia="sk-SK"/>
              </w:rPr>
              <w:t>-34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672EA6D" w14:textId="77777777" w:rsidR="004E5304" w:rsidRPr="00CC14B1" w:rsidRDefault="004E5304" w:rsidP="00321687">
            <w:pPr>
              <w:spacing w:after="0" w:line="240" w:lineRule="auto"/>
              <w:rPr>
                <w:color w:val="000000"/>
                <w:sz w:val="16"/>
                <w:szCs w:val="16"/>
                <w:lang w:eastAsia="sk-SK"/>
              </w:rPr>
            </w:pPr>
            <w:r w:rsidRPr="00CC14B1">
              <w:rPr>
                <w:sz w:val="16"/>
                <w:szCs w:val="16"/>
                <w:lang w:eastAsia="sk-SK"/>
              </w:rPr>
              <w:t>SSEH</w:t>
            </w:r>
          </w:p>
        </w:tc>
        <w:tc>
          <w:tcPr>
            <w:tcW w:w="4678" w:type="dxa"/>
            <w:tcBorders>
              <w:top w:val="single" w:sz="4" w:space="0" w:color="auto"/>
              <w:left w:val="nil"/>
              <w:bottom w:val="single" w:sz="4" w:space="0" w:color="auto"/>
              <w:right w:val="single" w:sz="8" w:space="0" w:color="000000"/>
            </w:tcBorders>
            <w:shd w:val="clear" w:color="auto" w:fill="auto"/>
            <w:noWrap/>
            <w:vAlign w:val="bottom"/>
          </w:tcPr>
          <w:p w14:paraId="51980681" w14:textId="77777777" w:rsidR="004E5304" w:rsidRPr="00CC14B1" w:rsidRDefault="004E5304" w:rsidP="00321687">
            <w:pPr>
              <w:spacing w:after="0" w:line="240" w:lineRule="auto"/>
              <w:rPr>
                <w:color w:val="000000"/>
                <w:sz w:val="16"/>
                <w:szCs w:val="16"/>
                <w:lang w:eastAsia="sk-SK"/>
              </w:rPr>
            </w:pPr>
            <w:r w:rsidRPr="00CC14B1">
              <w:rPr>
                <w:color w:val="000000"/>
                <w:sz w:val="16"/>
                <w:szCs w:val="16"/>
                <w:lang w:eastAsia="sk-SK"/>
              </w:rPr>
              <w:t xml:space="preserve">Vyplatenie dividendy - pripadajúca  výška na podiel štátu  96 mil. eur z toho </w:t>
            </w:r>
            <w:proofErr w:type="spellStart"/>
            <w:r w:rsidRPr="00CC14B1">
              <w:rPr>
                <w:color w:val="000000"/>
                <w:sz w:val="16"/>
                <w:szCs w:val="16"/>
                <w:lang w:eastAsia="sk-SK"/>
              </w:rPr>
              <w:t>superdividenda</w:t>
            </w:r>
            <w:proofErr w:type="spellEnd"/>
            <w:r w:rsidRPr="00CC14B1">
              <w:rPr>
                <w:color w:val="000000"/>
                <w:sz w:val="16"/>
                <w:szCs w:val="16"/>
                <w:lang w:eastAsia="sk-SK"/>
              </w:rPr>
              <w:t xml:space="preserve"> 75 mil. eur. </w:t>
            </w:r>
          </w:p>
        </w:tc>
      </w:tr>
      <w:tr w:rsidR="004E5304" w:rsidRPr="00CC14B1" w14:paraId="554F24FA" w14:textId="77777777" w:rsidTr="00816B05">
        <w:trPr>
          <w:trHeight w:val="255"/>
          <w:jc w:val="center"/>
        </w:trPr>
        <w:tc>
          <w:tcPr>
            <w:tcW w:w="1269" w:type="dxa"/>
            <w:vMerge/>
            <w:tcBorders>
              <w:top w:val="nil"/>
              <w:left w:val="single" w:sz="8" w:space="0" w:color="auto"/>
              <w:bottom w:val="single" w:sz="8" w:space="0" w:color="000000"/>
              <w:right w:val="single" w:sz="4" w:space="0" w:color="auto"/>
            </w:tcBorders>
            <w:vAlign w:val="center"/>
            <w:hideMark/>
          </w:tcPr>
          <w:p w14:paraId="01C80A77" w14:textId="77777777" w:rsidR="004E5304" w:rsidRPr="00CC14B1" w:rsidRDefault="004E5304" w:rsidP="00321687">
            <w:pPr>
              <w:spacing w:after="0" w:line="240" w:lineRule="auto"/>
              <w:rPr>
                <w:color w:val="000000"/>
                <w:sz w:val="16"/>
                <w:szCs w:val="16"/>
                <w:lang w:eastAsia="sk-SK"/>
              </w:rPr>
            </w:pPr>
          </w:p>
        </w:tc>
        <w:tc>
          <w:tcPr>
            <w:tcW w:w="848" w:type="dxa"/>
            <w:vMerge/>
            <w:tcBorders>
              <w:top w:val="nil"/>
              <w:left w:val="single" w:sz="4" w:space="0" w:color="auto"/>
              <w:bottom w:val="single" w:sz="8" w:space="0" w:color="000000"/>
              <w:right w:val="single" w:sz="4" w:space="0" w:color="auto"/>
            </w:tcBorders>
            <w:vAlign w:val="center"/>
            <w:hideMark/>
          </w:tcPr>
          <w:p w14:paraId="72462E9A" w14:textId="77777777" w:rsidR="004E5304" w:rsidRPr="00CC14B1" w:rsidRDefault="004E5304" w:rsidP="00321687">
            <w:pPr>
              <w:spacing w:after="0" w:line="240" w:lineRule="auto"/>
              <w:rPr>
                <w:color w:val="92D050"/>
                <w:sz w:val="16"/>
                <w:szCs w:val="16"/>
                <w:lang w:eastAsia="sk-SK"/>
              </w:rPr>
            </w:pPr>
          </w:p>
        </w:tc>
        <w:tc>
          <w:tcPr>
            <w:tcW w:w="850" w:type="dxa"/>
            <w:tcBorders>
              <w:top w:val="nil"/>
              <w:left w:val="nil"/>
              <w:bottom w:val="single" w:sz="8" w:space="0" w:color="auto"/>
              <w:right w:val="nil"/>
            </w:tcBorders>
            <w:shd w:val="clear" w:color="auto" w:fill="auto"/>
            <w:noWrap/>
            <w:vAlign w:val="center"/>
            <w:hideMark/>
          </w:tcPr>
          <w:p w14:paraId="0976ACB5" w14:textId="77777777" w:rsidR="004E5304" w:rsidRPr="00CC14B1" w:rsidRDefault="004E5304" w:rsidP="00321687">
            <w:pPr>
              <w:spacing w:after="0" w:line="240" w:lineRule="auto"/>
              <w:jc w:val="right"/>
              <w:rPr>
                <w:color w:val="000000"/>
                <w:sz w:val="16"/>
                <w:szCs w:val="16"/>
                <w:lang w:eastAsia="sk-SK"/>
              </w:rPr>
            </w:pPr>
            <w:r w:rsidRPr="00CC14B1">
              <w:rPr>
                <w:color w:val="000000"/>
                <w:sz w:val="16"/>
                <w:szCs w:val="16"/>
                <w:lang w:eastAsia="sk-SK"/>
              </w:rPr>
              <w:t>-109</w:t>
            </w:r>
          </w:p>
        </w:tc>
        <w:tc>
          <w:tcPr>
            <w:tcW w:w="1559" w:type="dxa"/>
            <w:tcBorders>
              <w:top w:val="nil"/>
              <w:left w:val="single" w:sz="4" w:space="0" w:color="auto"/>
              <w:bottom w:val="single" w:sz="8" w:space="0" w:color="auto"/>
              <w:right w:val="single" w:sz="4" w:space="0" w:color="auto"/>
            </w:tcBorders>
            <w:shd w:val="clear" w:color="auto" w:fill="auto"/>
            <w:noWrap/>
            <w:vAlign w:val="center"/>
            <w:hideMark/>
          </w:tcPr>
          <w:p w14:paraId="28CC4F62" w14:textId="77777777" w:rsidR="004E5304" w:rsidRPr="00CC14B1" w:rsidRDefault="004E5304" w:rsidP="00321687">
            <w:pPr>
              <w:spacing w:after="0" w:line="240" w:lineRule="auto"/>
              <w:rPr>
                <w:color w:val="000000"/>
                <w:sz w:val="16"/>
                <w:szCs w:val="16"/>
                <w:lang w:eastAsia="sk-SK"/>
              </w:rPr>
            </w:pPr>
            <w:proofErr w:type="spellStart"/>
            <w:r w:rsidRPr="00CC14B1">
              <w:rPr>
                <w:sz w:val="16"/>
                <w:szCs w:val="16"/>
                <w:lang w:eastAsia="sk-SK"/>
              </w:rPr>
              <w:t>Debitum</w:t>
            </w:r>
            <w:proofErr w:type="spellEnd"/>
          </w:p>
        </w:tc>
        <w:tc>
          <w:tcPr>
            <w:tcW w:w="4678" w:type="dxa"/>
            <w:tcBorders>
              <w:top w:val="nil"/>
              <w:left w:val="nil"/>
              <w:bottom w:val="single" w:sz="8" w:space="0" w:color="auto"/>
              <w:right w:val="single" w:sz="8" w:space="0" w:color="000000"/>
            </w:tcBorders>
            <w:shd w:val="clear" w:color="auto" w:fill="auto"/>
            <w:noWrap/>
            <w:vAlign w:val="center"/>
            <w:hideMark/>
          </w:tcPr>
          <w:p w14:paraId="410E1BD9" w14:textId="77777777" w:rsidR="004E5304" w:rsidRPr="00CC14B1" w:rsidRDefault="004E5304" w:rsidP="00321687">
            <w:pPr>
              <w:spacing w:after="0" w:line="240" w:lineRule="auto"/>
              <w:rPr>
                <w:color w:val="000000"/>
                <w:sz w:val="16"/>
                <w:szCs w:val="16"/>
                <w:lang w:eastAsia="sk-SK"/>
              </w:rPr>
            </w:pPr>
            <w:r w:rsidRPr="00CC14B1">
              <w:rPr>
                <w:color w:val="000000"/>
                <w:sz w:val="16"/>
                <w:szCs w:val="16"/>
                <w:lang w:eastAsia="sk-SK"/>
              </w:rPr>
              <w:t>Výsledok hospodárenia za bežné obdobie - strata vo výške 109 mil. eur (odpis získaných pohľadávok na sociálnom poistení z dôvodu odpustenia).</w:t>
            </w:r>
          </w:p>
        </w:tc>
      </w:tr>
    </w:tbl>
    <w:p w14:paraId="66E1450F" w14:textId="77777777" w:rsidR="00D66C2F" w:rsidRDefault="00D66C2F">
      <w:pPr>
        <w:rPr>
          <w:rFonts w:eastAsiaTheme="majorEastAsia"/>
          <w:b/>
          <w:szCs w:val="22"/>
        </w:rPr>
      </w:pPr>
      <w:bookmarkStart w:id="77" w:name="_Toc495990498"/>
      <w:r>
        <w:br w:type="page"/>
      </w:r>
    </w:p>
    <w:p w14:paraId="5BE1009B" w14:textId="1743B00A" w:rsidR="008117A9" w:rsidRPr="002A5EE4" w:rsidRDefault="008117A9" w:rsidP="00182A70">
      <w:pPr>
        <w:pStyle w:val="Nadpis3"/>
        <w:numPr>
          <w:ilvl w:val="2"/>
          <w:numId w:val="50"/>
        </w:numPr>
      </w:pPr>
      <w:bookmarkStart w:id="78" w:name="_Toc85718913"/>
      <w:r w:rsidRPr="002A5EE4">
        <w:lastRenderedPageBreak/>
        <w:t>Implicitné záväzky</w:t>
      </w:r>
      <w:bookmarkEnd w:id="77"/>
      <w:bookmarkEnd w:id="78"/>
    </w:p>
    <w:p w14:paraId="68450D65" w14:textId="77777777" w:rsidR="008E3F8E" w:rsidRDefault="008E3F8E" w:rsidP="008E3F8E">
      <w:pPr>
        <w:spacing w:after="120" w:line="240" w:lineRule="auto"/>
        <w:jc w:val="both"/>
        <w:rPr>
          <w:szCs w:val="22"/>
        </w:rPr>
      </w:pPr>
      <w:r>
        <w:rPr>
          <w:b/>
          <w:szCs w:val="22"/>
        </w:rPr>
        <w:t>Ústavný zákon o rozpočtovej zodpovednosti definuje implicitné záväzky ako rozdiel medzi oč</w:t>
      </w:r>
      <w:r w:rsidRPr="00A06963">
        <w:rPr>
          <w:b/>
          <w:szCs w:val="22"/>
        </w:rPr>
        <w:t>akávanými budúcimi výdavkami a očakávanými budúcimi príjmami subjektov verejnej správy</w:t>
      </w:r>
      <w:r>
        <w:rPr>
          <w:b/>
          <w:szCs w:val="22"/>
        </w:rPr>
        <w:t xml:space="preserve">. </w:t>
      </w:r>
      <w:r>
        <w:rPr>
          <w:szCs w:val="22"/>
        </w:rPr>
        <w:t>Implicitné záväzky vznikajú ako finančné nároky spôsobené</w:t>
      </w:r>
      <w:r w:rsidRPr="008F188C">
        <w:rPr>
          <w:szCs w:val="22"/>
        </w:rPr>
        <w:t xml:space="preserve"> budúcim uplatňovaním práv a povinností </w:t>
      </w:r>
      <w:r>
        <w:rPr>
          <w:szCs w:val="22"/>
        </w:rPr>
        <w:t>vyplývajúcim z legislatívy</w:t>
      </w:r>
      <w:r w:rsidRPr="008F188C">
        <w:rPr>
          <w:szCs w:val="22"/>
        </w:rPr>
        <w:t>, ak tieto nie sú súčasťou dlhu verejnej správy.</w:t>
      </w:r>
      <w:r>
        <w:rPr>
          <w:szCs w:val="22"/>
        </w:rPr>
        <w:t xml:space="preserve"> Z dôvodu ich problematického oceňovania a absencie vykazovania v súvahe subjektov verejnej správy dochádza k ich odhadu pomocou analytického postupu určenia súčasnej hodnoty budúcich záväzkov. Od roku 2020 sa medzi </w:t>
      </w:r>
      <w:r w:rsidRPr="00C274DE">
        <w:rPr>
          <w:szCs w:val="22"/>
        </w:rPr>
        <w:t xml:space="preserve">implicitné záväzky </w:t>
      </w:r>
      <w:r>
        <w:rPr>
          <w:szCs w:val="22"/>
        </w:rPr>
        <w:t xml:space="preserve">zaradila </w:t>
      </w:r>
      <w:r w:rsidRPr="00C274DE">
        <w:rPr>
          <w:szCs w:val="22"/>
        </w:rPr>
        <w:t xml:space="preserve">aj </w:t>
      </w:r>
      <w:r>
        <w:rPr>
          <w:szCs w:val="22"/>
        </w:rPr>
        <w:t>projekcia</w:t>
      </w:r>
      <w:r w:rsidRPr="00C274DE">
        <w:rPr>
          <w:szCs w:val="22"/>
        </w:rPr>
        <w:t xml:space="preserve"> zvýšených </w:t>
      </w:r>
      <w:r>
        <w:rPr>
          <w:szCs w:val="22"/>
        </w:rPr>
        <w:t>platieb do rozpočtu EÚ súvisiacich</w:t>
      </w:r>
      <w:r w:rsidRPr="00C274DE">
        <w:rPr>
          <w:szCs w:val="22"/>
        </w:rPr>
        <w:t xml:space="preserve"> s</w:t>
      </w:r>
      <w:r>
        <w:rPr>
          <w:szCs w:val="22"/>
        </w:rPr>
        <w:t xml:space="preserve">o splácaním výdavkov z </w:t>
      </w:r>
      <w:r w:rsidRPr="00C274DE">
        <w:rPr>
          <w:szCs w:val="22"/>
        </w:rPr>
        <w:t>Plán</w:t>
      </w:r>
      <w:r>
        <w:rPr>
          <w:szCs w:val="22"/>
        </w:rPr>
        <w:t>u obnovy</w:t>
      </w:r>
      <w:r w:rsidRPr="00C274DE">
        <w:rPr>
          <w:szCs w:val="22"/>
        </w:rPr>
        <w:t>.</w:t>
      </w:r>
    </w:p>
    <w:p w14:paraId="3C1FBEE6" w14:textId="77777777" w:rsidR="008E3F8E" w:rsidRDefault="008E3F8E" w:rsidP="008E3F8E">
      <w:pPr>
        <w:spacing w:after="120" w:line="240" w:lineRule="auto"/>
        <w:jc w:val="both"/>
        <w:rPr>
          <w:szCs w:val="22"/>
        </w:rPr>
      </w:pPr>
      <w:r>
        <w:rPr>
          <w:rFonts w:cs="Arial"/>
          <w:b/>
          <w:szCs w:val="20"/>
        </w:rPr>
        <w:t xml:space="preserve">Revízia úrokových mier navrhnutá pracovnou skupinou pre starnutie populácie (AWG) v roku 2021 spôsobila výrazné zvýšenie implicitných záväzkov v nekonečnom horizonte, aktuálna projekcia preto vyčísľuje implicitné záväzky len do roku 2064. </w:t>
      </w:r>
      <w:r>
        <w:rPr>
          <w:rFonts w:cs="Arial"/>
          <w:szCs w:val="20"/>
        </w:rPr>
        <w:t>Projekcia výdavkov citlivých na starnutie populácie do roku 2070 vychádzajúca z AWG 2021 reviduje nominálne úrokové miery smerom nadol. Samotná revízia úročenia má veľmi výrazný vplyv na diskontovanie a vyčíslenie súčasnej hodnoty v nekonečnom horizonte. Primárnym záujmom je analyzovať zmeny legislatívy a ich dopad na implicitné záväzky, čo v tomto prípade nie je objektívne možné.</w:t>
      </w:r>
      <w:r w:rsidRPr="00562FAE">
        <w:rPr>
          <w:szCs w:val="22"/>
        </w:rPr>
        <w:t xml:space="preserve"> </w:t>
      </w:r>
      <w:r w:rsidRPr="00A06F3A">
        <w:rPr>
          <w:rFonts w:cs="Arial"/>
          <w:szCs w:val="20"/>
        </w:rPr>
        <w:t xml:space="preserve">Ministerstvo financií v záujme transparentného vysvetlenia </w:t>
      </w:r>
      <w:r>
        <w:rPr>
          <w:rFonts w:cs="Arial"/>
          <w:szCs w:val="20"/>
        </w:rPr>
        <w:t xml:space="preserve">medziročnej </w:t>
      </w:r>
      <w:r w:rsidRPr="00A06F3A">
        <w:rPr>
          <w:rFonts w:cs="Arial"/>
          <w:szCs w:val="20"/>
        </w:rPr>
        <w:t xml:space="preserve">zmeny záväzkov </w:t>
      </w:r>
      <w:r>
        <w:rPr>
          <w:rFonts w:cs="Arial"/>
          <w:szCs w:val="20"/>
        </w:rPr>
        <w:t xml:space="preserve">preto </w:t>
      </w:r>
      <w:r w:rsidRPr="00A06F3A">
        <w:rPr>
          <w:rFonts w:cs="Arial"/>
          <w:szCs w:val="20"/>
        </w:rPr>
        <w:t>pristúpilo k ich porovnaniu výlučne na konečnom horizonte do roku 2064.</w:t>
      </w:r>
      <w:r>
        <w:rPr>
          <w:rFonts w:cs="Arial"/>
          <w:szCs w:val="20"/>
        </w:rPr>
        <w:t xml:space="preserve"> Vplyvy na implicitné záväzky s využitím nových projekcií HDP a úrokových mier by boli neintuitívne, ekonomicky len ťažko interpretovateľné a bez relevantných záverov pre vplyv verejných politík</w:t>
      </w:r>
      <w:r w:rsidRPr="00562FAE">
        <w:rPr>
          <w:szCs w:val="22"/>
        </w:rPr>
        <w:t>.</w:t>
      </w:r>
      <w:r>
        <w:rPr>
          <w:rStyle w:val="Odkaznapoznmkupodiarou"/>
          <w:szCs w:val="22"/>
        </w:rPr>
        <w:footnoteReference w:id="34"/>
      </w:r>
      <w:r w:rsidRPr="00562FAE">
        <w:rPr>
          <w:szCs w:val="22"/>
        </w:rPr>
        <w:t xml:space="preserve"> </w:t>
      </w:r>
    </w:p>
    <w:p w14:paraId="28EB43EA" w14:textId="77777777" w:rsidR="008E3F8E" w:rsidRDefault="008E3F8E" w:rsidP="008E3F8E">
      <w:pPr>
        <w:spacing w:before="120" w:after="120" w:line="240" w:lineRule="auto"/>
        <w:jc w:val="both"/>
        <w:rPr>
          <w:rFonts w:eastAsia="Calibri"/>
          <w:szCs w:val="22"/>
        </w:rPr>
      </w:pPr>
      <w:r w:rsidRPr="000F5E53">
        <w:rPr>
          <w:rFonts w:eastAsia="Calibri"/>
          <w:b/>
          <w:color w:val="0070C0"/>
          <w:szCs w:val="22"/>
        </w:rPr>
        <w:t>Objem celkových implicitných záväzkov ku koncu roka 2020</w:t>
      </w:r>
      <w:r w:rsidRPr="000F5E53">
        <w:rPr>
          <w:rFonts w:eastAsia="Calibri"/>
          <w:b/>
          <w:color w:val="0070C0"/>
          <w:szCs w:val="22"/>
          <w:vertAlign w:val="superscript"/>
        </w:rPr>
        <w:footnoteReference w:id="35"/>
      </w:r>
      <w:r w:rsidRPr="000F5E53">
        <w:rPr>
          <w:rFonts w:eastAsia="Calibri"/>
          <w:b/>
          <w:color w:val="0070C0"/>
          <w:szCs w:val="22"/>
        </w:rPr>
        <w:t xml:space="preserve"> vzrástol na konečnom horizonte do roku 2064 na úroveň 395 % HDP</w:t>
      </w:r>
      <w:r w:rsidRPr="000F5E53">
        <w:rPr>
          <w:rFonts w:eastAsia="Calibri"/>
          <w:b/>
          <w:color w:val="0070C0"/>
          <w:szCs w:val="22"/>
          <w:vertAlign w:val="superscript"/>
        </w:rPr>
        <w:footnoteReference w:id="36"/>
      </w:r>
      <w:r w:rsidRPr="000F5E53">
        <w:rPr>
          <w:rFonts w:eastAsia="Calibri"/>
          <w:b/>
          <w:color w:val="0070C0"/>
          <w:szCs w:val="22"/>
        </w:rPr>
        <w:t xml:space="preserve">. Oproti roku 2019 ide o zhoršenie o 278 </w:t>
      </w:r>
      <w:proofErr w:type="spellStart"/>
      <w:r w:rsidRPr="000F5E53">
        <w:rPr>
          <w:rFonts w:eastAsia="Calibri"/>
          <w:b/>
          <w:color w:val="0070C0"/>
          <w:szCs w:val="22"/>
        </w:rPr>
        <w:t>p.b</w:t>
      </w:r>
      <w:proofErr w:type="spellEnd"/>
      <w:r w:rsidRPr="000F5E53">
        <w:rPr>
          <w:rFonts w:eastAsia="Calibri"/>
          <w:b/>
          <w:color w:val="0070C0"/>
          <w:szCs w:val="22"/>
        </w:rPr>
        <w:t xml:space="preserve">. </w:t>
      </w:r>
      <w:r>
        <w:rPr>
          <w:rFonts w:eastAsia="Calibri"/>
          <w:szCs w:val="22"/>
        </w:rPr>
        <w:t>K medziročnému zhoršeniu implicitných záväzkov v roku 2020 prispeli takmer úplne zmeny ovplyvňujúce záväzky zo starnutia populácie, ktoré narástli o 278,3 % HDP. PPP projekty a Národný jadrový fond kumulatívne zlepšili záväzky len o 0,5 % HDP na celom horizonte do roku 2064.</w:t>
      </w:r>
    </w:p>
    <w:tbl>
      <w:tblPr>
        <w:tblW w:w="9072" w:type="dxa"/>
        <w:tblCellMar>
          <w:left w:w="70" w:type="dxa"/>
          <w:right w:w="70" w:type="dxa"/>
        </w:tblCellMar>
        <w:tblLook w:val="04A0" w:firstRow="1" w:lastRow="0" w:firstColumn="1" w:lastColumn="0" w:noHBand="0" w:noVBand="1"/>
      </w:tblPr>
      <w:tblGrid>
        <w:gridCol w:w="2694"/>
        <w:gridCol w:w="65"/>
        <w:gridCol w:w="927"/>
        <w:gridCol w:w="1181"/>
        <w:gridCol w:w="919"/>
        <w:gridCol w:w="1183"/>
        <w:gridCol w:w="969"/>
        <w:gridCol w:w="1134"/>
      </w:tblGrid>
      <w:tr w:rsidR="008E3F8E" w:rsidRPr="0097460F" w14:paraId="63F9309A" w14:textId="77777777" w:rsidTr="002A5EE4">
        <w:trPr>
          <w:trHeight w:val="363"/>
        </w:trPr>
        <w:tc>
          <w:tcPr>
            <w:tcW w:w="9072" w:type="dxa"/>
            <w:gridSpan w:val="8"/>
            <w:tcBorders>
              <w:top w:val="nil"/>
              <w:left w:val="nil"/>
              <w:bottom w:val="nil"/>
              <w:right w:val="nil"/>
            </w:tcBorders>
            <w:shd w:val="clear" w:color="000000" w:fill="000000"/>
            <w:noWrap/>
            <w:vAlign w:val="center"/>
            <w:hideMark/>
          </w:tcPr>
          <w:p w14:paraId="649930FC" w14:textId="66159892" w:rsidR="008E3F8E" w:rsidRPr="0097460F" w:rsidRDefault="003660ED" w:rsidP="002A5EE4">
            <w:pPr>
              <w:spacing w:after="0" w:line="240" w:lineRule="auto"/>
              <w:rPr>
                <w:color w:val="FFFFFF" w:themeColor="background1"/>
                <w:sz w:val="18"/>
                <w:szCs w:val="18"/>
                <w:lang w:eastAsia="sk-SK"/>
              </w:rPr>
            </w:pPr>
            <w:r>
              <w:rPr>
                <w:b/>
                <w:bCs/>
                <w:color w:val="FFFFFF"/>
                <w:sz w:val="18"/>
                <w:szCs w:val="18"/>
                <w:lang w:eastAsia="sk-SK"/>
              </w:rPr>
              <w:t xml:space="preserve">Tab. 18 - </w:t>
            </w:r>
            <w:r w:rsidR="008E3F8E" w:rsidRPr="0097460F">
              <w:rPr>
                <w:b/>
                <w:bCs/>
                <w:color w:val="FFFFFF"/>
                <w:sz w:val="18"/>
                <w:szCs w:val="18"/>
                <w:lang w:eastAsia="sk-SK"/>
              </w:rPr>
              <w:t>Odhad i</w:t>
            </w:r>
            <w:r w:rsidR="008E3F8E">
              <w:rPr>
                <w:b/>
                <w:bCs/>
                <w:color w:val="FFFFFF"/>
                <w:sz w:val="18"/>
                <w:szCs w:val="18"/>
                <w:lang w:eastAsia="sk-SK"/>
              </w:rPr>
              <w:t>mplicitných záväzkov za rok 2020</w:t>
            </w:r>
          </w:p>
        </w:tc>
      </w:tr>
      <w:tr w:rsidR="008E3F8E" w:rsidRPr="0097460F" w14:paraId="78CAE3AE" w14:textId="77777777" w:rsidTr="002A5EE4">
        <w:trPr>
          <w:trHeight w:val="264"/>
        </w:trPr>
        <w:tc>
          <w:tcPr>
            <w:tcW w:w="2759" w:type="dxa"/>
            <w:gridSpan w:val="2"/>
            <w:tcBorders>
              <w:top w:val="nil"/>
              <w:left w:val="nil"/>
              <w:bottom w:val="nil"/>
              <w:right w:val="nil"/>
            </w:tcBorders>
            <w:shd w:val="clear" w:color="000000" w:fill="BFBFBF"/>
            <w:noWrap/>
            <w:vAlign w:val="center"/>
            <w:hideMark/>
          </w:tcPr>
          <w:p w14:paraId="69CA63DA" w14:textId="77777777" w:rsidR="008E3F8E" w:rsidRPr="0097460F" w:rsidRDefault="008E3F8E" w:rsidP="002A5EE4">
            <w:pPr>
              <w:spacing w:after="0" w:line="240" w:lineRule="auto"/>
              <w:rPr>
                <w:color w:val="000000"/>
                <w:sz w:val="16"/>
                <w:szCs w:val="16"/>
                <w:lang w:eastAsia="sk-SK"/>
              </w:rPr>
            </w:pPr>
            <w:r w:rsidRPr="0097460F">
              <w:rPr>
                <w:color w:val="000000"/>
                <w:sz w:val="16"/>
                <w:szCs w:val="16"/>
                <w:lang w:eastAsia="sk-SK"/>
              </w:rPr>
              <w:t> </w:t>
            </w:r>
          </w:p>
        </w:tc>
        <w:tc>
          <w:tcPr>
            <w:tcW w:w="2108" w:type="dxa"/>
            <w:gridSpan w:val="2"/>
            <w:tcBorders>
              <w:top w:val="nil"/>
              <w:left w:val="nil"/>
              <w:bottom w:val="nil"/>
              <w:right w:val="nil"/>
            </w:tcBorders>
            <w:shd w:val="clear" w:color="000000" w:fill="BFBFBF"/>
            <w:noWrap/>
            <w:vAlign w:val="center"/>
            <w:hideMark/>
          </w:tcPr>
          <w:p w14:paraId="14658F38" w14:textId="77777777" w:rsidR="008E3F8E" w:rsidRPr="0097460F" w:rsidRDefault="008E3F8E" w:rsidP="002A5EE4">
            <w:pPr>
              <w:spacing w:after="0" w:line="240" w:lineRule="auto"/>
              <w:jc w:val="center"/>
              <w:rPr>
                <w:b/>
                <w:bCs/>
                <w:color w:val="000000"/>
                <w:sz w:val="16"/>
                <w:szCs w:val="16"/>
                <w:lang w:eastAsia="sk-SK"/>
              </w:rPr>
            </w:pPr>
            <w:r w:rsidRPr="0097460F">
              <w:rPr>
                <w:b/>
                <w:bCs/>
                <w:color w:val="000000"/>
                <w:sz w:val="16"/>
                <w:szCs w:val="16"/>
                <w:lang w:eastAsia="sk-SK"/>
              </w:rPr>
              <w:t>Hodnota k 31.12.2020 </w:t>
            </w:r>
          </w:p>
        </w:tc>
        <w:tc>
          <w:tcPr>
            <w:tcW w:w="2102" w:type="dxa"/>
            <w:gridSpan w:val="2"/>
            <w:tcBorders>
              <w:top w:val="nil"/>
              <w:left w:val="nil"/>
              <w:bottom w:val="nil"/>
              <w:right w:val="nil"/>
            </w:tcBorders>
            <w:shd w:val="clear" w:color="000000" w:fill="BFBFBF"/>
            <w:noWrap/>
            <w:vAlign w:val="center"/>
            <w:hideMark/>
          </w:tcPr>
          <w:p w14:paraId="173415D6" w14:textId="77777777" w:rsidR="008E3F8E" w:rsidRPr="0097460F" w:rsidRDefault="008E3F8E" w:rsidP="002A5EE4">
            <w:pPr>
              <w:spacing w:after="0" w:line="240" w:lineRule="auto"/>
              <w:jc w:val="center"/>
              <w:rPr>
                <w:b/>
                <w:bCs/>
                <w:color w:val="000000"/>
                <w:sz w:val="16"/>
                <w:szCs w:val="16"/>
                <w:lang w:eastAsia="sk-SK"/>
              </w:rPr>
            </w:pPr>
            <w:r w:rsidRPr="0097460F">
              <w:rPr>
                <w:b/>
                <w:bCs/>
                <w:color w:val="000000"/>
                <w:sz w:val="16"/>
                <w:szCs w:val="16"/>
                <w:lang w:eastAsia="sk-SK"/>
              </w:rPr>
              <w:t>Hodnota k 31.12.2019</w:t>
            </w:r>
          </w:p>
        </w:tc>
        <w:tc>
          <w:tcPr>
            <w:tcW w:w="2103" w:type="dxa"/>
            <w:gridSpan w:val="2"/>
            <w:tcBorders>
              <w:top w:val="nil"/>
              <w:left w:val="nil"/>
              <w:bottom w:val="nil"/>
              <w:right w:val="nil"/>
            </w:tcBorders>
            <w:shd w:val="clear" w:color="000000" w:fill="BFBFBF"/>
            <w:noWrap/>
            <w:vAlign w:val="center"/>
            <w:hideMark/>
          </w:tcPr>
          <w:p w14:paraId="443678F3" w14:textId="77777777" w:rsidR="008E3F8E" w:rsidRPr="0097460F" w:rsidRDefault="008E3F8E" w:rsidP="002A5EE4">
            <w:pPr>
              <w:spacing w:after="0" w:line="240" w:lineRule="auto"/>
              <w:jc w:val="center"/>
              <w:rPr>
                <w:b/>
                <w:bCs/>
                <w:color w:val="000000"/>
                <w:sz w:val="16"/>
                <w:szCs w:val="16"/>
                <w:lang w:eastAsia="sk-SK"/>
              </w:rPr>
            </w:pPr>
            <w:r w:rsidRPr="0097460F">
              <w:rPr>
                <w:b/>
                <w:bCs/>
                <w:color w:val="000000"/>
                <w:sz w:val="16"/>
                <w:szCs w:val="16"/>
                <w:lang w:eastAsia="sk-SK"/>
              </w:rPr>
              <w:t>2020-2019 </w:t>
            </w:r>
          </w:p>
        </w:tc>
      </w:tr>
      <w:tr w:rsidR="008E3F8E" w:rsidRPr="0097460F" w14:paraId="4F84CCE6" w14:textId="77777777" w:rsidTr="002A5EE4">
        <w:trPr>
          <w:trHeight w:val="264"/>
        </w:trPr>
        <w:tc>
          <w:tcPr>
            <w:tcW w:w="2759" w:type="dxa"/>
            <w:gridSpan w:val="2"/>
            <w:tcBorders>
              <w:top w:val="nil"/>
              <w:left w:val="nil"/>
              <w:bottom w:val="nil"/>
              <w:right w:val="nil"/>
            </w:tcBorders>
            <w:shd w:val="clear" w:color="000000" w:fill="D9D9D9"/>
            <w:noWrap/>
            <w:vAlign w:val="center"/>
            <w:hideMark/>
          </w:tcPr>
          <w:p w14:paraId="1A8D8F83" w14:textId="77777777" w:rsidR="008E3F8E" w:rsidRPr="0097460F" w:rsidRDefault="008E3F8E" w:rsidP="002A5EE4">
            <w:pPr>
              <w:spacing w:after="0" w:line="240" w:lineRule="auto"/>
              <w:jc w:val="center"/>
              <w:rPr>
                <w:color w:val="000000"/>
                <w:sz w:val="16"/>
                <w:szCs w:val="16"/>
                <w:lang w:eastAsia="sk-SK"/>
              </w:rPr>
            </w:pPr>
          </w:p>
        </w:tc>
        <w:tc>
          <w:tcPr>
            <w:tcW w:w="927" w:type="dxa"/>
            <w:tcBorders>
              <w:top w:val="nil"/>
              <w:left w:val="nil"/>
              <w:bottom w:val="nil"/>
              <w:right w:val="nil"/>
            </w:tcBorders>
            <w:shd w:val="clear" w:color="000000" w:fill="D9D9D9"/>
            <w:noWrap/>
            <w:vAlign w:val="center"/>
            <w:hideMark/>
          </w:tcPr>
          <w:p w14:paraId="43C74D76" w14:textId="77777777" w:rsidR="008E3F8E" w:rsidRPr="0097460F" w:rsidRDefault="008E3F8E" w:rsidP="002A5EE4">
            <w:pPr>
              <w:spacing w:after="0" w:line="240" w:lineRule="auto"/>
              <w:jc w:val="right"/>
              <w:rPr>
                <w:b/>
                <w:bCs/>
                <w:color w:val="000000"/>
                <w:sz w:val="16"/>
                <w:szCs w:val="16"/>
                <w:lang w:eastAsia="sk-SK"/>
              </w:rPr>
            </w:pPr>
            <w:r w:rsidRPr="0097460F">
              <w:rPr>
                <w:b/>
                <w:bCs/>
                <w:color w:val="000000"/>
                <w:sz w:val="16"/>
                <w:szCs w:val="16"/>
                <w:lang w:eastAsia="sk-SK"/>
              </w:rPr>
              <w:t>% HDP</w:t>
            </w:r>
          </w:p>
        </w:tc>
        <w:tc>
          <w:tcPr>
            <w:tcW w:w="1181" w:type="dxa"/>
            <w:tcBorders>
              <w:top w:val="nil"/>
              <w:left w:val="nil"/>
              <w:bottom w:val="nil"/>
              <w:right w:val="nil"/>
            </w:tcBorders>
            <w:shd w:val="clear" w:color="000000" w:fill="D9D9D9"/>
            <w:noWrap/>
            <w:vAlign w:val="center"/>
            <w:hideMark/>
          </w:tcPr>
          <w:p w14:paraId="4FF37C89" w14:textId="77777777" w:rsidR="008E3F8E" w:rsidRPr="0097460F" w:rsidRDefault="008E3F8E" w:rsidP="002A5EE4">
            <w:pPr>
              <w:spacing w:after="0" w:line="240" w:lineRule="auto"/>
              <w:jc w:val="right"/>
              <w:rPr>
                <w:b/>
                <w:bCs/>
                <w:color w:val="000000"/>
                <w:sz w:val="16"/>
                <w:szCs w:val="16"/>
                <w:lang w:eastAsia="sk-SK"/>
              </w:rPr>
            </w:pPr>
            <w:r w:rsidRPr="0097460F">
              <w:rPr>
                <w:b/>
                <w:bCs/>
                <w:color w:val="000000"/>
                <w:sz w:val="16"/>
                <w:szCs w:val="16"/>
                <w:lang w:eastAsia="sk-SK"/>
              </w:rPr>
              <w:t>tis. eur</w:t>
            </w:r>
          </w:p>
        </w:tc>
        <w:tc>
          <w:tcPr>
            <w:tcW w:w="919" w:type="dxa"/>
            <w:tcBorders>
              <w:top w:val="nil"/>
              <w:left w:val="nil"/>
              <w:bottom w:val="nil"/>
              <w:right w:val="nil"/>
            </w:tcBorders>
            <w:shd w:val="clear" w:color="000000" w:fill="D9D9D9"/>
            <w:noWrap/>
            <w:vAlign w:val="center"/>
            <w:hideMark/>
          </w:tcPr>
          <w:p w14:paraId="4AFD7759" w14:textId="77777777" w:rsidR="008E3F8E" w:rsidRPr="0097460F" w:rsidRDefault="008E3F8E" w:rsidP="002A5EE4">
            <w:pPr>
              <w:spacing w:after="0" w:line="240" w:lineRule="auto"/>
              <w:jc w:val="right"/>
              <w:rPr>
                <w:b/>
                <w:bCs/>
                <w:color w:val="000000"/>
                <w:sz w:val="16"/>
                <w:szCs w:val="16"/>
                <w:lang w:eastAsia="sk-SK"/>
              </w:rPr>
            </w:pPr>
            <w:r w:rsidRPr="0097460F">
              <w:rPr>
                <w:b/>
                <w:bCs/>
                <w:color w:val="000000"/>
                <w:sz w:val="16"/>
                <w:szCs w:val="16"/>
                <w:lang w:eastAsia="sk-SK"/>
              </w:rPr>
              <w:t>% HDP</w:t>
            </w:r>
          </w:p>
        </w:tc>
        <w:tc>
          <w:tcPr>
            <w:tcW w:w="1183" w:type="dxa"/>
            <w:tcBorders>
              <w:top w:val="nil"/>
              <w:left w:val="nil"/>
              <w:bottom w:val="nil"/>
              <w:right w:val="nil"/>
            </w:tcBorders>
            <w:shd w:val="clear" w:color="000000" w:fill="D9D9D9"/>
            <w:noWrap/>
            <w:vAlign w:val="center"/>
            <w:hideMark/>
          </w:tcPr>
          <w:p w14:paraId="78D87A87" w14:textId="77777777" w:rsidR="008E3F8E" w:rsidRPr="0097460F" w:rsidRDefault="008E3F8E" w:rsidP="002A5EE4">
            <w:pPr>
              <w:spacing w:after="0" w:line="240" w:lineRule="auto"/>
              <w:jc w:val="right"/>
              <w:rPr>
                <w:b/>
                <w:bCs/>
                <w:color w:val="000000"/>
                <w:sz w:val="16"/>
                <w:szCs w:val="16"/>
                <w:lang w:eastAsia="sk-SK"/>
              </w:rPr>
            </w:pPr>
            <w:r w:rsidRPr="0097460F">
              <w:rPr>
                <w:b/>
                <w:bCs/>
                <w:color w:val="000000"/>
                <w:sz w:val="16"/>
                <w:szCs w:val="16"/>
                <w:lang w:eastAsia="sk-SK"/>
              </w:rPr>
              <w:t>tis. eur</w:t>
            </w:r>
          </w:p>
        </w:tc>
        <w:tc>
          <w:tcPr>
            <w:tcW w:w="969" w:type="dxa"/>
            <w:tcBorders>
              <w:top w:val="nil"/>
              <w:left w:val="nil"/>
              <w:bottom w:val="nil"/>
              <w:right w:val="nil"/>
            </w:tcBorders>
            <w:shd w:val="clear" w:color="000000" w:fill="D9D9D9"/>
            <w:noWrap/>
            <w:vAlign w:val="center"/>
            <w:hideMark/>
          </w:tcPr>
          <w:p w14:paraId="23E18E25" w14:textId="77777777" w:rsidR="008E3F8E" w:rsidRPr="0097460F" w:rsidRDefault="008E3F8E" w:rsidP="002A5EE4">
            <w:pPr>
              <w:spacing w:after="0" w:line="240" w:lineRule="auto"/>
              <w:jc w:val="right"/>
              <w:rPr>
                <w:b/>
                <w:bCs/>
                <w:color w:val="000000"/>
                <w:sz w:val="16"/>
                <w:szCs w:val="16"/>
                <w:lang w:eastAsia="sk-SK"/>
              </w:rPr>
            </w:pPr>
            <w:proofErr w:type="spellStart"/>
            <w:r w:rsidRPr="0097460F">
              <w:rPr>
                <w:b/>
                <w:bCs/>
                <w:color w:val="000000"/>
                <w:sz w:val="16"/>
                <w:szCs w:val="16"/>
                <w:lang w:eastAsia="sk-SK"/>
              </w:rPr>
              <w:t>p.b</w:t>
            </w:r>
            <w:proofErr w:type="spellEnd"/>
            <w:r w:rsidRPr="0097460F">
              <w:rPr>
                <w:b/>
                <w:bCs/>
                <w:color w:val="000000"/>
                <w:sz w:val="16"/>
                <w:szCs w:val="16"/>
                <w:lang w:eastAsia="sk-SK"/>
              </w:rPr>
              <w:t>.</w:t>
            </w:r>
          </w:p>
        </w:tc>
        <w:tc>
          <w:tcPr>
            <w:tcW w:w="1134" w:type="dxa"/>
            <w:tcBorders>
              <w:top w:val="nil"/>
              <w:left w:val="nil"/>
              <w:bottom w:val="nil"/>
              <w:right w:val="nil"/>
            </w:tcBorders>
            <w:shd w:val="clear" w:color="000000" w:fill="D9D9D9"/>
            <w:noWrap/>
            <w:vAlign w:val="center"/>
            <w:hideMark/>
          </w:tcPr>
          <w:p w14:paraId="1F16FA15" w14:textId="77777777" w:rsidR="008E3F8E" w:rsidRPr="0097460F" w:rsidRDefault="008E3F8E" w:rsidP="002A5EE4">
            <w:pPr>
              <w:spacing w:after="0" w:line="240" w:lineRule="auto"/>
              <w:jc w:val="right"/>
              <w:rPr>
                <w:b/>
                <w:bCs/>
                <w:color w:val="000000"/>
                <w:sz w:val="16"/>
                <w:szCs w:val="16"/>
                <w:lang w:eastAsia="sk-SK"/>
              </w:rPr>
            </w:pPr>
            <w:r w:rsidRPr="0097460F">
              <w:rPr>
                <w:b/>
                <w:bCs/>
                <w:color w:val="000000"/>
                <w:sz w:val="16"/>
                <w:szCs w:val="16"/>
                <w:lang w:eastAsia="sk-SK"/>
              </w:rPr>
              <w:t>tis. eur</w:t>
            </w:r>
          </w:p>
        </w:tc>
      </w:tr>
      <w:tr w:rsidR="008E3F8E" w:rsidRPr="0097460F" w14:paraId="0DE4FF4E" w14:textId="77777777" w:rsidTr="002A5EE4">
        <w:trPr>
          <w:trHeight w:val="264"/>
        </w:trPr>
        <w:tc>
          <w:tcPr>
            <w:tcW w:w="2694" w:type="dxa"/>
            <w:tcBorders>
              <w:top w:val="nil"/>
              <w:left w:val="nil"/>
              <w:bottom w:val="nil"/>
              <w:right w:val="nil"/>
            </w:tcBorders>
            <w:shd w:val="clear" w:color="auto" w:fill="auto"/>
            <w:noWrap/>
            <w:vAlign w:val="center"/>
            <w:hideMark/>
          </w:tcPr>
          <w:p w14:paraId="34B56228" w14:textId="77777777" w:rsidR="008E3F8E" w:rsidRPr="0097460F" w:rsidRDefault="008E3F8E" w:rsidP="002A5EE4">
            <w:pPr>
              <w:spacing w:after="0" w:line="240" w:lineRule="auto"/>
              <w:rPr>
                <w:b/>
                <w:bCs/>
                <w:color w:val="000000"/>
                <w:sz w:val="16"/>
                <w:szCs w:val="16"/>
                <w:lang w:eastAsia="sk-SK"/>
              </w:rPr>
            </w:pPr>
            <w:r w:rsidRPr="0097460F">
              <w:rPr>
                <w:b/>
                <w:bCs/>
                <w:color w:val="000000"/>
                <w:sz w:val="16"/>
                <w:szCs w:val="16"/>
                <w:lang w:eastAsia="sk-SK"/>
              </w:rPr>
              <w:t>Starnutie obyvateľstva</w:t>
            </w:r>
          </w:p>
        </w:tc>
        <w:tc>
          <w:tcPr>
            <w:tcW w:w="992" w:type="dxa"/>
            <w:gridSpan w:val="2"/>
            <w:tcBorders>
              <w:top w:val="nil"/>
              <w:left w:val="nil"/>
              <w:bottom w:val="nil"/>
              <w:right w:val="nil"/>
            </w:tcBorders>
            <w:shd w:val="clear" w:color="auto" w:fill="auto"/>
            <w:noWrap/>
            <w:vAlign w:val="center"/>
          </w:tcPr>
          <w:p w14:paraId="2D8360C3" w14:textId="77777777" w:rsidR="008E3F8E" w:rsidRPr="000B20DE" w:rsidRDefault="008E3F8E" w:rsidP="002A5EE4">
            <w:pPr>
              <w:spacing w:after="0" w:line="240" w:lineRule="auto"/>
              <w:jc w:val="right"/>
              <w:rPr>
                <w:b/>
                <w:sz w:val="16"/>
                <w:szCs w:val="16"/>
              </w:rPr>
            </w:pPr>
            <w:r w:rsidRPr="000B20DE">
              <w:rPr>
                <w:b/>
                <w:bCs/>
                <w:color w:val="000000"/>
                <w:sz w:val="16"/>
                <w:szCs w:val="16"/>
              </w:rPr>
              <w:t>-391,8%</w:t>
            </w:r>
          </w:p>
        </w:tc>
        <w:tc>
          <w:tcPr>
            <w:tcW w:w="1181" w:type="dxa"/>
            <w:tcBorders>
              <w:top w:val="nil"/>
              <w:left w:val="nil"/>
              <w:bottom w:val="nil"/>
              <w:right w:val="nil"/>
            </w:tcBorders>
            <w:shd w:val="clear" w:color="auto" w:fill="auto"/>
            <w:noWrap/>
            <w:vAlign w:val="center"/>
          </w:tcPr>
          <w:p w14:paraId="2423F694" w14:textId="77777777" w:rsidR="008E3F8E" w:rsidRPr="000B20DE" w:rsidRDefault="008E3F8E" w:rsidP="002A5EE4">
            <w:pPr>
              <w:spacing w:after="0" w:line="240" w:lineRule="auto"/>
              <w:jc w:val="right"/>
              <w:rPr>
                <w:b/>
                <w:sz w:val="16"/>
                <w:szCs w:val="16"/>
              </w:rPr>
            </w:pPr>
            <w:r w:rsidRPr="000B20DE">
              <w:rPr>
                <w:b/>
                <w:bCs/>
                <w:color w:val="000000"/>
                <w:sz w:val="16"/>
                <w:szCs w:val="16"/>
              </w:rPr>
              <w:t>-360 753 476</w:t>
            </w:r>
          </w:p>
        </w:tc>
        <w:tc>
          <w:tcPr>
            <w:tcW w:w="919" w:type="dxa"/>
            <w:tcBorders>
              <w:top w:val="nil"/>
              <w:left w:val="nil"/>
              <w:bottom w:val="nil"/>
              <w:right w:val="nil"/>
            </w:tcBorders>
            <w:shd w:val="clear" w:color="auto" w:fill="auto"/>
            <w:noWrap/>
            <w:vAlign w:val="center"/>
            <w:hideMark/>
          </w:tcPr>
          <w:p w14:paraId="12B74829" w14:textId="77777777" w:rsidR="008E3F8E" w:rsidRPr="000B20DE" w:rsidRDefault="008E3F8E" w:rsidP="002A5EE4">
            <w:pPr>
              <w:spacing w:after="0" w:line="240" w:lineRule="auto"/>
              <w:jc w:val="right"/>
              <w:rPr>
                <w:b/>
                <w:sz w:val="16"/>
                <w:szCs w:val="16"/>
              </w:rPr>
            </w:pPr>
            <w:r w:rsidRPr="000B20DE">
              <w:rPr>
                <w:b/>
                <w:bCs/>
                <w:color w:val="000000"/>
                <w:sz w:val="16"/>
                <w:szCs w:val="16"/>
              </w:rPr>
              <w:t>-113,4%</w:t>
            </w:r>
          </w:p>
        </w:tc>
        <w:tc>
          <w:tcPr>
            <w:tcW w:w="1183" w:type="dxa"/>
            <w:tcBorders>
              <w:top w:val="nil"/>
              <w:left w:val="nil"/>
              <w:bottom w:val="nil"/>
              <w:right w:val="nil"/>
            </w:tcBorders>
            <w:shd w:val="clear" w:color="auto" w:fill="auto"/>
            <w:noWrap/>
            <w:vAlign w:val="center"/>
            <w:hideMark/>
          </w:tcPr>
          <w:p w14:paraId="1C580FCF" w14:textId="77777777" w:rsidR="008E3F8E" w:rsidRPr="000B20DE" w:rsidRDefault="008E3F8E" w:rsidP="002A5EE4">
            <w:pPr>
              <w:spacing w:after="0" w:line="240" w:lineRule="auto"/>
              <w:jc w:val="right"/>
              <w:rPr>
                <w:b/>
                <w:sz w:val="16"/>
                <w:szCs w:val="16"/>
              </w:rPr>
            </w:pPr>
            <w:r w:rsidRPr="000B20DE">
              <w:rPr>
                <w:b/>
                <w:bCs/>
                <w:color w:val="000000"/>
                <w:sz w:val="16"/>
                <w:szCs w:val="16"/>
              </w:rPr>
              <w:t>-106 833 544</w:t>
            </w:r>
          </w:p>
        </w:tc>
        <w:tc>
          <w:tcPr>
            <w:tcW w:w="969" w:type="dxa"/>
            <w:tcBorders>
              <w:top w:val="nil"/>
              <w:left w:val="nil"/>
              <w:bottom w:val="nil"/>
              <w:right w:val="nil"/>
            </w:tcBorders>
            <w:shd w:val="clear" w:color="auto" w:fill="auto"/>
            <w:noWrap/>
            <w:vAlign w:val="center"/>
            <w:hideMark/>
          </w:tcPr>
          <w:p w14:paraId="7963338A" w14:textId="77777777" w:rsidR="008E3F8E" w:rsidRPr="000B20DE" w:rsidRDefault="008E3F8E" w:rsidP="002A5EE4">
            <w:pPr>
              <w:spacing w:after="0" w:line="240" w:lineRule="auto"/>
              <w:jc w:val="right"/>
              <w:rPr>
                <w:b/>
                <w:sz w:val="16"/>
                <w:szCs w:val="16"/>
              </w:rPr>
            </w:pPr>
            <w:r w:rsidRPr="000B20DE">
              <w:rPr>
                <w:b/>
                <w:bCs/>
                <w:color w:val="000000"/>
                <w:sz w:val="16"/>
                <w:szCs w:val="16"/>
              </w:rPr>
              <w:t>-278,3%</w:t>
            </w:r>
          </w:p>
        </w:tc>
        <w:tc>
          <w:tcPr>
            <w:tcW w:w="1134" w:type="dxa"/>
            <w:tcBorders>
              <w:top w:val="nil"/>
              <w:left w:val="nil"/>
              <w:bottom w:val="nil"/>
              <w:right w:val="nil"/>
            </w:tcBorders>
            <w:shd w:val="clear" w:color="auto" w:fill="auto"/>
            <w:noWrap/>
            <w:vAlign w:val="center"/>
            <w:hideMark/>
          </w:tcPr>
          <w:p w14:paraId="6DBD2FF0" w14:textId="77777777" w:rsidR="008E3F8E" w:rsidRPr="000B20DE" w:rsidRDefault="008E3F8E" w:rsidP="002A5EE4">
            <w:pPr>
              <w:spacing w:after="0" w:line="240" w:lineRule="auto"/>
              <w:jc w:val="right"/>
              <w:rPr>
                <w:b/>
                <w:sz w:val="16"/>
                <w:szCs w:val="16"/>
              </w:rPr>
            </w:pPr>
            <w:r w:rsidRPr="000B20DE">
              <w:rPr>
                <w:b/>
                <w:bCs/>
                <w:color w:val="000000"/>
                <w:sz w:val="16"/>
                <w:szCs w:val="16"/>
              </w:rPr>
              <w:t>-253 919 932</w:t>
            </w:r>
          </w:p>
        </w:tc>
      </w:tr>
      <w:tr w:rsidR="008E3F8E" w:rsidRPr="0097460F" w14:paraId="59F98028" w14:textId="77777777" w:rsidTr="002A5EE4">
        <w:trPr>
          <w:trHeight w:val="264"/>
        </w:trPr>
        <w:tc>
          <w:tcPr>
            <w:tcW w:w="2759" w:type="dxa"/>
            <w:gridSpan w:val="2"/>
            <w:tcBorders>
              <w:top w:val="nil"/>
              <w:left w:val="nil"/>
              <w:bottom w:val="nil"/>
              <w:right w:val="nil"/>
            </w:tcBorders>
            <w:shd w:val="clear" w:color="auto" w:fill="auto"/>
            <w:noWrap/>
            <w:vAlign w:val="center"/>
            <w:hideMark/>
          </w:tcPr>
          <w:p w14:paraId="25230338" w14:textId="77777777" w:rsidR="008E3F8E" w:rsidRPr="000B20DE" w:rsidRDefault="008E3F8E" w:rsidP="002A5EE4">
            <w:pPr>
              <w:spacing w:after="0" w:line="240" w:lineRule="auto"/>
              <w:ind w:firstLineChars="100" w:firstLine="160"/>
              <w:rPr>
                <w:color w:val="000000"/>
                <w:sz w:val="16"/>
                <w:szCs w:val="16"/>
                <w:lang w:eastAsia="sk-SK"/>
              </w:rPr>
            </w:pPr>
            <w:r w:rsidRPr="000B20DE">
              <w:rPr>
                <w:color w:val="000000"/>
                <w:sz w:val="16"/>
                <w:szCs w:val="16"/>
                <w:lang w:eastAsia="sk-SK"/>
              </w:rPr>
              <w:t xml:space="preserve"> - dôchodkový systém</w:t>
            </w:r>
          </w:p>
        </w:tc>
        <w:tc>
          <w:tcPr>
            <w:tcW w:w="927" w:type="dxa"/>
            <w:tcBorders>
              <w:top w:val="nil"/>
              <w:left w:val="nil"/>
              <w:bottom w:val="nil"/>
              <w:right w:val="nil"/>
            </w:tcBorders>
            <w:shd w:val="clear" w:color="auto" w:fill="auto"/>
            <w:noWrap/>
            <w:vAlign w:val="center"/>
          </w:tcPr>
          <w:p w14:paraId="4B3F3171" w14:textId="77777777" w:rsidR="008E3F8E" w:rsidRPr="000B20DE" w:rsidRDefault="008E3F8E" w:rsidP="002A5EE4">
            <w:pPr>
              <w:spacing w:after="0" w:line="240" w:lineRule="auto"/>
              <w:jc w:val="right"/>
              <w:rPr>
                <w:sz w:val="16"/>
                <w:szCs w:val="16"/>
              </w:rPr>
            </w:pPr>
            <w:r w:rsidRPr="000B20DE">
              <w:rPr>
                <w:color w:val="000000"/>
                <w:sz w:val="16"/>
                <w:szCs w:val="16"/>
              </w:rPr>
              <w:t>-222,3%</w:t>
            </w:r>
          </w:p>
        </w:tc>
        <w:tc>
          <w:tcPr>
            <w:tcW w:w="1181" w:type="dxa"/>
            <w:tcBorders>
              <w:top w:val="nil"/>
              <w:left w:val="nil"/>
              <w:bottom w:val="nil"/>
              <w:right w:val="nil"/>
            </w:tcBorders>
            <w:shd w:val="clear" w:color="auto" w:fill="auto"/>
            <w:noWrap/>
            <w:vAlign w:val="center"/>
          </w:tcPr>
          <w:p w14:paraId="52589B6F" w14:textId="77777777" w:rsidR="008E3F8E" w:rsidRPr="000B20DE" w:rsidRDefault="008E3F8E" w:rsidP="002A5EE4">
            <w:pPr>
              <w:spacing w:after="0" w:line="240" w:lineRule="auto"/>
              <w:jc w:val="right"/>
              <w:rPr>
                <w:sz w:val="16"/>
                <w:szCs w:val="16"/>
              </w:rPr>
            </w:pPr>
            <w:r w:rsidRPr="000B20DE">
              <w:rPr>
                <w:color w:val="000000"/>
                <w:sz w:val="16"/>
                <w:szCs w:val="16"/>
              </w:rPr>
              <w:t>-204 720 822</w:t>
            </w:r>
          </w:p>
        </w:tc>
        <w:tc>
          <w:tcPr>
            <w:tcW w:w="919" w:type="dxa"/>
            <w:tcBorders>
              <w:top w:val="nil"/>
              <w:left w:val="nil"/>
              <w:bottom w:val="nil"/>
              <w:right w:val="nil"/>
            </w:tcBorders>
            <w:shd w:val="clear" w:color="auto" w:fill="auto"/>
            <w:noWrap/>
            <w:vAlign w:val="center"/>
            <w:hideMark/>
          </w:tcPr>
          <w:p w14:paraId="2C4FD3EE" w14:textId="77777777" w:rsidR="008E3F8E" w:rsidRPr="000B20DE" w:rsidRDefault="008E3F8E" w:rsidP="002A5EE4">
            <w:pPr>
              <w:spacing w:after="0" w:line="240" w:lineRule="auto"/>
              <w:jc w:val="right"/>
              <w:rPr>
                <w:sz w:val="16"/>
                <w:szCs w:val="16"/>
              </w:rPr>
            </w:pPr>
            <w:r w:rsidRPr="000B20DE">
              <w:rPr>
                <w:color w:val="000000"/>
                <w:sz w:val="16"/>
                <w:szCs w:val="16"/>
              </w:rPr>
              <w:t>-66,0%</w:t>
            </w:r>
          </w:p>
        </w:tc>
        <w:tc>
          <w:tcPr>
            <w:tcW w:w="1183" w:type="dxa"/>
            <w:tcBorders>
              <w:top w:val="nil"/>
              <w:left w:val="nil"/>
              <w:bottom w:val="nil"/>
              <w:right w:val="nil"/>
            </w:tcBorders>
            <w:shd w:val="clear" w:color="auto" w:fill="auto"/>
            <w:noWrap/>
            <w:vAlign w:val="center"/>
            <w:hideMark/>
          </w:tcPr>
          <w:p w14:paraId="0D822CCD" w14:textId="77777777" w:rsidR="008E3F8E" w:rsidRPr="000B20DE" w:rsidRDefault="008E3F8E" w:rsidP="002A5EE4">
            <w:pPr>
              <w:spacing w:after="0" w:line="240" w:lineRule="auto"/>
              <w:jc w:val="right"/>
              <w:rPr>
                <w:sz w:val="16"/>
                <w:szCs w:val="16"/>
              </w:rPr>
            </w:pPr>
            <w:r w:rsidRPr="000B20DE">
              <w:rPr>
                <w:color w:val="000000"/>
                <w:sz w:val="16"/>
                <w:szCs w:val="16"/>
              </w:rPr>
              <w:t>-62 171 992</w:t>
            </w:r>
          </w:p>
        </w:tc>
        <w:tc>
          <w:tcPr>
            <w:tcW w:w="969" w:type="dxa"/>
            <w:tcBorders>
              <w:top w:val="nil"/>
              <w:left w:val="nil"/>
              <w:bottom w:val="nil"/>
              <w:right w:val="nil"/>
            </w:tcBorders>
            <w:shd w:val="clear" w:color="auto" w:fill="auto"/>
            <w:noWrap/>
            <w:vAlign w:val="center"/>
            <w:hideMark/>
          </w:tcPr>
          <w:p w14:paraId="55FD780F" w14:textId="77777777" w:rsidR="008E3F8E" w:rsidRPr="000B20DE" w:rsidRDefault="008E3F8E" w:rsidP="002A5EE4">
            <w:pPr>
              <w:spacing w:after="0" w:line="240" w:lineRule="auto"/>
              <w:jc w:val="right"/>
              <w:rPr>
                <w:sz w:val="16"/>
                <w:szCs w:val="16"/>
              </w:rPr>
            </w:pPr>
            <w:r w:rsidRPr="000B20DE">
              <w:rPr>
                <w:color w:val="000000"/>
                <w:sz w:val="16"/>
                <w:szCs w:val="16"/>
              </w:rPr>
              <w:t>-156,3%</w:t>
            </w:r>
          </w:p>
        </w:tc>
        <w:tc>
          <w:tcPr>
            <w:tcW w:w="1134" w:type="dxa"/>
            <w:tcBorders>
              <w:top w:val="nil"/>
              <w:left w:val="nil"/>
              <w:bottom w:val="nil"/>
              <w:right w:val="nil"/>
            </w:tcBorders>
            <w:shd w:val="clear" w:color="auto" w:fill="auto"/>
            <w:noWrap/>
            <w:vAlign w:val="center"/>
            <w:hideMark/>
          </w:tcPr>
          <w:p w14:paraId="77F3AB24" w14:textId="77777777" w:rsidR="008E3F8E" w:rsidRPr="000B20DE" w:rsidRDefault="008E3F8E" w:rsidP="002A5EE4">
            <w:pPr>
              <w:spacing w:after="0" w:line="240" w:lineRule="auto"/>
              <w:jc w:val="right"/>
              <w:rPr>
                <w:sz w:val="16"/>
                <w:szCs w:val="16"/>
              </w:rPr>
            </w:pPr>
            <w:r w:rsidRPr="000B20DE">
              <w:rPr>
                <w:color w:val="000000"/>
                <w:sz w:val="16"/>
                <w:szCs w:val="16"/>
              </w:rPr>
              <w:t>-142 548 830</w:t>
            </w:r>
          </w:p>
        </w:tc>
      </w:tr>
      <w:tr w:rsidR="008E3F8E" w:rsidRPr="0097460F" w14:paraId="72ECC0B6" w14:textId="77777777" w:rsidTr="002A5EE4">
        <w:trPr>
          <w:trHeight w:val="264"/>
        </w:trPr>
        <w:tc>
          <w:tcPr>
            <w:tcW w:w="2759" w:type="dxa"/>
            <w:gridSpan w:val="2"/>
            <w:tcBorders>
              <w:top w:val="nil"/>
              <w:left w:val="nil"/>
              <w:bottom w:val="nil"/>
              <w:right w:val="nil"/>
            </w:tcBorders>
            <w:shd w:val="clear" w:color="auto" w:fill="auto"/>
            <w:noWrap/>
            <w:vAlign w:val="center"/>
            <w:hideMark/>
          </w:tcPr>
          <w:p w14:paraId="53B676F1" w14:textId="77777777" w:rsidR="008E3F8E" w:rsidRPr="000B20DE" w:rsidRDefault="008E3F8E" w:rsidP="002A5EE4">
            <w:pPr>
              <w:spacing w:after="0" w:line="240" w:lineRule="auto"/>
              <w:ind w:firstLineChars="100" w:firstLine="160"/>
              <w:rPr>
                <w:color w:val="000000"/>
                <w:sz w:val="16"/>
                <w:szCs w:val="16"/>
                <w:lang w:eastAsia="sk-SK"/>
              </w:rPr>
            </w:pPr>
            <w:r w:rsidRPr="000B20DE">
              <w:rPr>
                <w:color w:val="000000"/>
                <w:sz w:val="16"/>
                <w:szCs w:val="16"/>
                <w:lang w:eastAsia="sk-SK"/>
              </w:rPr>
              <w:t xml:space="preserve"> - zdravotníctvo</w:t>
            </w:r>
          </w:p>
        </w:tc>
        <w:tc>
          <w:tcPr>
            <w:tcW w:w="927" w:type="dxa"/>
            <w:tcBorders>
              <w:top w:val="nil"/>
              <w:left w:val="nil"/>
              <w:bottom w:val="nil"/>
              <w:right w:val="nil"/>
            </w:tcBorders>
            <w:shd w:val="clear" w:color="auto" w:fill="auto"/>
            <w:noWrap/>
            <w:vAlign w:val="center"/>
          </w:tcPr>
          <w:p w14:paraId="19FDD16C" w14:textId="77777777" w:rsidR="008E3F8E" w:rsidRPr="000B20DE" w:rsidRDefault="008E3F8E" w:rsidP="002A5EE4">
            <w:pPr>
              <w:spacing w:after="0" w:line="240" w:lineRule="auto"/>
              <w:jc w:val="right"/>
              <w:rPr>
                <w:sz w:val="16"/>
                <w:szCs w:val="16"/>
              </w:rPr>
            </w:pPr>
            <w:r w:rsidRPr="000B20DE">
              <w:rPr>
                <w:color w:val="000000"/>
                <w:sz w:val="16"/>
                <w:szCs w:val="16"/>
              </w:rPr>
              <w:t>-87,8%</w:t>
            </w:r>
          </w:p>
        </w:tc>
        <w:tc>
          <w:tcPr>
            <w:tcW w:w="1181" w:type="dxa"/>
            <w:tcBorders>
              <w:top w:val="nil"/>
              <w:left w:val="nil"/>
              <w:bottom w:val="nil"/>
              <w:right w:val="nil"/>
            </w:tcBorders>
            <w:shd w:val="clear" w:color="auto" w:fill="auto"/>
            <w:noWrap/>
            <w:vAlign w:val="center"/>
          </w:tcPr>
          <w:p w14:paraId="3957D5DB" w14:textId="77777777" w:rsidR="008E3F8E" w:rsidRPr="000B20DE" w:rsidRDefault="008E3F8E" w:rsidP="002A5EE4">
            <w:pPr>
              <w:spacing w:after="0" w:line="240" w:lineRule="auto"/>
              <w:jc w:val="right"/>
              <w:rPr>
                <w:sz w:val="16"/>
                <w:szCs w:val="16"/>
              </w:rPr>
            </w:pPr>
            <w:r w:rsidRPr="000B20DE">
              <w:rPr>
                <w:color w:val="000000"/>
                <w:sz w:val="16"/>
                <w:szCs w:val="16"/>
              </w:rPr>
              <w:t>-80 885 560</w:t>
            </w:r>
          </w:p>
        </w:tc>
        <w:tc>
          <w:tcPr>
            <w:tcW w:w="919" w:type="dxa"/>
            <w:tcBorders>
              <w:top w:val="nil"/>
              <w:left w:val="nil"/>
              <w:bottom w:val="nil"/>
              <w:right w:val="nil"/>
            </w:tcBorders>
            <w:shd w:val="clear" w:color="auto" w:fill="auto"/>
            <w:noWrap/>
            <w:vAlign w:val="center"/>
            <w:hideMark/>
          </w:tcPr>
          <w:p w14:paraId="79B4002E" w14:textId="77777777" w:rsidR="008E3F8E" w:rsidRPr="000B20DE" w:rsidRDefault="008E3F8E" w:rsidP="002A5EE4">
            <w:pPr>
              <w:spacing w:after="0" w:line="240" w:lineRule="auto"/>
              <w:jc w:val="right"/>
              <w:rPr>
                <w:sz w:val="16"/>
                <w:szCs w:val="16"/>
              </w:rPr>
            </w:pPr>
            <w:r w:rsidRPr="000B20DE">
              <w:rPr>
                <w:color w:val="000000"/>
                <w:sz w:val="16"/>
                <w:szCs w:val="16"/>
              </w:rPr>
              <w:t>-30,2%</w:t>
            </w:r>
          </w:p>
        </w:tc>
        <w:tc>
          <w:tcPr>
            <w:tcW w:w="1183" w:type="dxa"/>
            <w:tcBorders>
              <w:top w:val="nil"/>
              <w:left w:val="nil"/>
              <w:bottom w:val="nil"/>
              <w:right w:val="nil"/>
            </w:tcBorders>
            <w:shd w:val="clear" w:color="auto" w:fill="auto"/>
            <w:noWrap/>
            <w:vAlign w:val="center"/>
            <w:hideMark/>
          </w:tcPr>
          <w:p w14:paraId="0977EBCF" w14:textId="77777777" w:rsidR="008E3F8E" w:rsidRPr="000B20DE" w:rsidRDefault="008E3F8E" w:rsidP="002A5EE4">
            <w:pPr>
              <w:spacing w:after="0" w:line="240" w:lineRule="auto"/>
              <w:jc w:val="right"/>
              <w:rPr>
                <w:sz w:val="16"/>
                <w:szCs w:val="16"/>
              </w:rPr>
            </w:pPr>
            <w:r w:rsidRPr="000B20DE">
              <w:rPr>
                <w:color w:val="000000"/>
                <w:sz w:val="16"/>
                <w:szCs w:val="16"/>
              </w:rPr>
              <w:t>-28 480 587</w:t>
            </w:r>
          </w:p>
        </w:tc>
        <w:tc>
          <w:tcPr>
            <w:tcW w:w="969" w:type="dxa"/>
            <w:tcBorders>
              <w:top w:val="nil"/>
              <w:left w:val="nil"/>
              <w:bottom w:val="nil"/>
              <w:right w:val="nil"/>
            </w:tcBorders>
            <w:shd w:val="clear" w:color="auto" w:fill="auto"/>
            <w:noWrap/>
            <w:vAlign w:val="center"/>
            <w:hideMark/>
          </w:tcPr>
          <w:p w14:paraId="589E2ADB" w14:textId="77777777" w:rsidR="008E3F8E" w:rsidRPr="000B20DE" w:rsidRDefault="008E3F8E" w:rsidP="002A5EE4">
            <w:pPr>
              <w:spacing w:after="0" w:line="240" w:lineRule="auto"/>
              <w:jc w:val="right"/>
              <w:rPr>
                <w:sz w:val="16"/>
                <w:szCs w:val="16"/>
              </w:rPr>
            </w:pPr>
            <w:r w:rsidRPr="000B20DE">
              <w:rPr>
                <w:color w:val="000000"/>
                <w:sz w:val="16"/>
                <w:szCs w:val="16"/>
              </w:rPr>
              <w:t>-57,6%</w:t>
            </w:r>
          </w:p>
        </w:tc>
        <w:tc>
          <w:tcPr>
            <w:tcW w:w="1134" w:type="dxa"/>
            <w:tcBorders>
              <w:top w:val="nil"/>
              <w:left w:val="nil"/>
              <w:bottom w:val="nil"/>
              <w:right w:val="nil"/>
            </w:tcBorders>
            <w:shd w:val="clear" w:color="auto" w:fill="auto"/>
            <w:noWrap/>
            <w:vAlign w:val="center"/>
            <w:hideMark/>
          </w:tcPr>
          <w:p w14:paraId="46DEF869" w14:textId="77777777" w:rsidR="008E3F8E" w:rsidRPr="000B20DE" w:rsidRDefault="008E3F8E" w:rsidP="002A5EE4">
            <w:pPr>
              <w:spacing w:after="0" w:line="240" w:lineRule="auto"/>
              <w:jc w:val="right"/>
              <w:rPr>
                <w:sz w:val="16"/>
                <w:szCs w:val="16"/>
              </w:rPr>
            </w:pPr>
            <w:r w:rsidRPr="000B20DE">
              <w:rPr>
                <w:color w:val="000000"/>
                <w:sz w:val="16"/>
                <w:szCs w:val="16"/>
              </w:rPr>
              <w:t>-52 404 974</w:t>
            </w:r>
          </w:p>
        </w:tc>
      </w:tr>
      <w:tr w:rsidR="008E3F8E" w:rsidRPr="0097460F" w14:paraId="0209DC6C" w14:textId="77777777" w:rsidTr="002A5EE4">
        <w:trPr>
          <w:trHeight w:val="264"/>
        </w:trPr>
        <w:tc>
          <w:tcPr>
            <w:tcW w:w="2759" w:type="dxa"/>
            <w:gridSpan w:val="2"/>
            <w:tcBorders>
              <w:top w:val="nil"/>
              <w:left w:val="nil"/>
              <w:bottom w:val="nil"/>
              <w:right w:val="nil"/>
            </w:tcBorders>
            <w:shd w:val="clear" w:color="auto" w:fill="auto"/>
            <w:noWrap/>
            <w:vAlign w:val="center"/>
            <w:hideMark/>
          </w:tcPr>
          <w:p w14:paraId="7FAA0DE2" w14:textId="77777777" w:rsidR="008E3F8E" w:rsidRPr="000B20DE" w:rsidRDefault="008E3F8E" w:rsidP="002A5EE4">
            <w:pPr>
              <w:spacing w:after="0" w:line="240" w:lineRule="auto"/>
              <w:ind w:firstLineChars="100" w:firstLine="160"/>
              <w:rPr>
                <w:color w:val="000000"/>
                <w:sz w:val="16"/>
                <w:szCs w:val="16"/>
                <w:lang w:eastAsia="sk-SK"/>
              </w:rPr>
            </w:pPr>
            <w:r w:rsidRPr="000B20DE">
              <w:rPr>
                <w:color w:val="000000"/>
                <w:sz w:val="16"/>
                <w:szCs w:val="16"/>
                <w:lang w:eastAsia="sk-SK"/>
              </w:rPr>
              <w:t xml:space="preserve"> - dlhodobá starostlivosť</w:t>
            </w:r>
          </w:p>
        </w:tc>
        <w:tc>
          <w:tcPr>
            <w:tcW w:w="927" w:type="dxa"/>
            <w:tcBorders>
              <w:top w:val="nil"/>
              <w:left w:val="nil"/>
              <w:bottom w:val="nil"/>
              <w:right w:val="nil"/>
            </w:tcBorders>
            <w:shd w:val="clear" w:color="auto" w:fill="auto"/>
            <w:noWrap/>
            <w:vAlign w:val="center"/>
          </w:tcPr>
          <w:p w14:paraId="39E39C66" w14:textId="77777777" w:rsidR="008E3F8E" w:rsidRPr="000B20DE" w:rsidRDefault="008E3F8E" w:rsidP="002A5EE4">
            <w:pPr>
              <w:spacing w:after="0" w:line="240" w:lineRule="auto"/>
              <w:jc w:val="right"/>
              <w:rPr>
                <w:sz w:val="16"/>
                <w:szCs w:val="16"/>
              </w:rPr>
            </w:pPr>
            <w:r w:rsidRPr="000B20DE">
              <w:rPr>
                <w:color w:val="000000"/>
                <w:sz w:val="16"/>
                <w:szCs w:val="16"/>
              </w:rPr>
              <w:t>-61,9%</w:t>
            </w:r>
          </w:p>
        </w:tc>
        <w:tc>
          <w:tcPr>
            <w:tcW w:w="1181" w:type="dxa"/>
            <w:tcBorders>
              <w:top w:val="nil"/>
              <w:left w:val="nil"/>
              <w:bottom w:val="nil"/>
              <w:right w:val="nil"/>
            </w:tcBorders>
            <w:shd w:val="clear" w:color="auto" w:fill="auto"/>
            <w:noWrap/>
            <w:vAlign w:val="center"/>
          </w:tcPr>
          <w:p w14:paraId="6BF3D449" w14:textId="77777777" w:rsidR="008E3F8E" w:rsidRPr="000B20DE" w:rsidRDefault="008E3F8E" w:rsidP="002A5EE4">
            <w:pPr>
              <w:spacing w:after="0" w:line="240" w:lineRule="auto"/>
              <w:jc w:val="right"/>
              <w:rPr>
                <w:sz w:val="16"/>
                <w:szCs w:val="16"/>
              </w:rPr>
            </w:pPr>
            <w:r w:rsidRPr="000B20DE">
              <w:rPr>
                <w:color w:val="000000"/>
                <w:sz w:val="16"/>
                <w:szCs w:val="16"/>
              </w:rPr>
              <w:t>-57 002 345</w:t>
            </w:r>
          </w:p>
        </w:tc>
        <w:tc>
          <w:tcPr>
            <w:tcW w:w="919" w:type="dxa"/>
            <w:tcBorders>
              <w:top w:val="nil"/>
              <w:left w:val="nil"/>
              <w:bottom w:val="nil"/>
              <w:right w:val="nil"/>
            </w:tcBorders>
            <w:shd w:val="clear" w:color="auto" w:fill="auto"/>
            <w:noWrap/>
            <w:vAlign w:val="center"/>
            <w:hideMark/>
          </w:tcPr>
          <w:p w14:paraId="0423EF8E" w14:textId="77777777" w:rsidR="008E3F8E" w:rsidRPr="000B20DE" w:rsidRDefault="008E3F8E" w:rsidP="002A5EE4">
            <w:pPr>
              <w:spacing w:after="0" w:line="240" w:lineRule="auto"/>
              <w:jc w:val="right"/>
              <w:rPr>
                <w:sz w:val="16"/>
                <w:szCs w:val="16"/>
              </w:rPr>
            </w:pPr>
            <w:r w:rsidRPr="000B20DE">
              <w:rPr>
                <w:color w:val="000000"/>
                <w:sz w:val="16"/>
                <w:szCs w:val="16"/>
              </w:rPr>
              <w:t>-14,3%</w:t>
            </w:r>
          </w:p>
        </w:tc>
        <w:tc>
          <w:tcPr>
            <w:tcW w:w="1183" w:type="dxa"/>
            <w:tcBorders>
              <w:top w:val="nil"/>
              <w:left w:val="nil"/>
              <w:bottom w:val="nil"/>
              <w:right w:val="nil"/>
            </w:tcBorders>
            <w:shd w:val="clear" w:color="auto" w:fill="auto"/>
            <w:noWrap/>
            <w:vAlign w:val="center"/>
            <w:hideMark/>
          </w:tcPr>
          <w:p w14:paraId="71A9D7F3" w14:textId="77777777" w:rsidR="008E3F8E" w:rsidRPr="000B20DE" w:rsidRDefault="008E3F8E" w:rsidP="002A5EE4">
            <w:pPr>
              <w:spacing w:after="0" w:line="240" w:lineRule="auto"/>
              <w:jc w:val="right"/>
              <w:rPr>
                <w:sz w:val="16"/>
                <w:szCs w:val="16"/>
              </w:rPr>
            </w:pPr>
            <w:r w:rsidRPr="000B20DE">
              <w:rPr>
                <w:color w:val="000000"/>
                <w:sz w:val="16"/>
                <w:szCs w:val="16"/>
              </w:rPr>
              <w:t>-13 419 588</w:t>
            </w:r>
          </w:p>
        </w:tc>
        <w:tc>
          <w:tcPr>
            <w:tcW w:w="969" w:type="dxa"/>
            <w:tcBorders>
              <w:top w:val="nil"/>
              <w:left w:val="nil"/>
              <w:bottom w:val="nil"/>
              <w:right w:val="nil"/>
            </w:tcBorders>
            <w:shd w:val="clear" w:color="auto" w:fill="auto"/>
            <w:noWrap/>
            <w:vAlign w:val="center"/>
            <w:hideMark/>
          </w:tcPr>
          <w:p w14:paraId="1BCE7C6A" w14:textId="77777777" w:rsidR="008E3F8E" w:rsidRPr="000B20DE" w:rsidRDefault="008E3F8E" w:rsidP="002A5EE4">
            <w:pPr>
              <w:spacing w:after="0" w:line="240" w:lineRule="auto"/>
              <w:jc w:val="right"/>
              <w:rPr>
                <w:sz w:val="16"/>
                <w:szCs w:val="16"/>
              </w:rPr>
            </w:pPr>
            <w:r w:rsidRPr="000B20DE">
              <w:rPr>
                <w:color w:val="000000"/>
                <w:sz w:val="16"/>
                <w:szCs w:val="16"/>
              </w:rPr>
              <w:t>-47,7%</w:t>
            </w:r>
          </w:p>
        </w:tc>
        <w:tc>
          <w:tcPr>
            <w:tcW w:w="1134" w:type="dxa"/>
            <w:tcBorders>
              <w:top w:val="nil"/>
              <w:left w:val="nil"/>
              <w:bottom w:val="nil"/>
              <w:right w:val="nil"/>
            </w:tcBorders>
            <w:shd w:val="clear" w:color="auto" w:fill="auto"/>
            <w:noWrap/>
            <w:vAlign w:val="center"/>
            <w:hideMark/>
          </w:tcPr>
          <w:p w14:paraId="5B87C127" w14:textId="77777777" w:rsidR="008E3F8E" w:rsidRPr="000B20DE" w:rsidRDefault="008E3F8E" w:rsidP="002A5EE4">
            <w:pPr>
              <w:spacing w:after="0" w:line="240" w:lineRule="auto"/>
              <w:jc w:val="right"/>
              <w:rPr>
                <w:sz w:val="16"/>
                <w:szCs w:val="16"/>
              </w:rPr>
            </w:pPr>
            <w:r w:rsidRPr="000B20DE">
              <w:rPr>
                <w:color w:val="000000"/>
                <w:sz w:val="16"/>
                <w:szCs w:val="16"/>
              </w:rPr>
              <w:t>-43 582 757,2</w:t>
            </w:r>
          </w:p>
        </w:tc>
      </w:tr>
      <w:tr w:rsidR="008E3F8E" w:rsidRPr="0097460F" w14:paraId="0E288EED" w14:textId="77777777" w:rsidTr="002A5EE4">
        <w:trPr>
          <w:trHeight w:val="264"/>
        </w:trPr>
        <w:tc>
          <w:tcPr>
            <w:tcW w:w="2759" w:type="dxa"/>
            <w:gridSpan w:val="2"/>
            <w:tcBorders>
              <w:top w:val="nil"/>
              <w:left w:val="nil"/>
              <w:bottom w:val="nil"/>
              <w:right w:val="nil"/>
            </w:tcBorders>
            <w:shd w:val="clear" w:color="auto" w:fill="auto"/>
            <w:noWrap/>
            <w:vAlign w:val="center"/>
            <w:hideMark/>
          </w:tcPr>
          <w:p w14:paraId="4F59DA40" w14:textId="77777777" w:rsidR="008E3F8E" w:rsidRPr="000B20DE" w:rsidRDefault="008E3F8E" w:rsidP="002A5EE4">
            <w:pPr>
              <w:spacing w:after="0" w:line="240" w:lineRule="auto"/>
              <w:ind w:firstLineChars="100" w:firstLine="160"/>
              <w:rPr>
                <w:color w:val="000000"/>
                <w:sz w:val="16"/>
                <w:szCs w:val="16"/>
                <w:lang w:eastAsia="sk-SK"/>
              </w:rPr>
            </w:pPr>
            <w:r w:rsidRPr="000B20DE">
              <w:rPr>
                <w:color w:val="000000"/>
                <w:sz w:val="16"/>
                <w:szCs w:val="16"/>
                <w:lang w:eastAsia="sk-SK"/>
              </w:rPr>
              <w:t xml:space="preserve"> - poistenie v nezamestnanosti</w:t>
            </w:r>
          </w:p>
        </w:tc>
        <w:tc>
          <w:tcPr>
            <w:tcW w:w="927" w:type="dxa"/>
            <w:tcBorders>
              <w:top w:val="nil"/>
              <w:left w:val="nil"/>
              <w:bottom w:val="nil"/>
              <w:right w:val="nil"/>
            </w:tcBorders>
            <w:shd w:val="clear" w:color="auto" w:fill="auto"/>
            <w:noWrap/>
            <w:vAlign w:val="center"/>
          </w:tcPr>
          <w:p w14:paraId="451699E0" w14:textId="77777777" w:rsidR="008E3F8E" w:rsidRPr="000B20DE" w:rsidRDefault="008E3F8E" w:rsidP="002A5EE4">
            <w:pPr>
              <w:spacing w:after="0" w:line="240" w:lineRule="auto"/>
              <w:jc w:val="right"/>
              <w:rPr>
                <w:sz w:val="16"/>
                <w:szCs w:val="16"/>
              </w:rPr>
            </w:pPr>
            <w:r w:rsidRPr="000B20DE">
              <w:rPr>
                <w:color w:val="000000"/>
                <w:sz w:val="16"/>
                <w:szCs w:val="16"/>
              </w:rPr>
              <w:t>-1,6%</w:t>
            </w:r>
          </w:p>
        </w:tc>
        <w:tc>
          <w:tcPr>
            <w:tcW w:w="1181" w:type="dxa"/>
            <w:tcBorders>
              <w:top w:val="nil"/>
              <w:left w:val="nil"/>
              <w:bottom w:val="nil"/>
              <w:right w:val="nil"/>
            </w:tcBorders>
            <w:shd w:val="clear" w:color="auto" w:fill="auto"/>
            <w:noWrap/>
            <w:vAlign w:val="center"/>
          </w:tcPr>
          <w:p w14:paraId="0F1A01F1" w14:textId="77777777" w:rsidR="008E3F8E" w:rsidRPr="000B20DE" w:rsidRDefault="008E3F8E" w:rsidP="002A5EE4">
            <w:pPr>
              <w:spacing w:after="0" w:line="240" w:lineRule="auto"/>
              <w:jc w:val="right"/>
              <w:rPr>
                <w:sz w:val="16"/>
                <w:szCs w:val="16"/>
              </w:rPr>
            </w:pPr>
            <w:r w:rsidRPr="000B20DE">
              <w:rPr>
                <w:color w:val="000000"/>
                <w:sz w:val="16"/>
                <w:szCs w:val="16"/>
              </w:rPr>
              <w:t>-1 488 417</w:t>
            </w:r>
          </w:p>
        </w:tc>
        <w:tc>
          <w:tcPr>
            <w:tcW w:w="919" w:type="dxa"/>
            <w:tcBorders>
              <w:top w:val="nil"/>
              <w:left w:val="nil"/>
              <w:bottom w:val="nil"/>
              <w:right w:val="nil"/>
            </w:tcBorders>
            <w:shd w:val="clear" w:color="auto" w:fill="auto"/>
            <w:noWrap/>
            <w:vAlign w:val="center"/>
            <w:hideMark/>
          </w:tcPr>
          <w:p w14:paraId="73C92CAD" w14:textId="77777777" w:rsidR="008E3F8E" w:rsidRPr="000B20DE" w:rsidRDefault="008E3F8E" w:rsidP="002A5EE4">
            <w:pPr>
              <w:spacing w:after="0" w:line="240" w:lineRule="auto"/>
              <w:jc w:val="right"/>
              <w:rPr>
                <w:sz w:val="16"/>
                <w:szCs w:val="16"/>
              </w:rPr>
            </w:pPr>
            <w:r w:rsidRPr="000B20DE">
              <w:rPr>
                <w:color w:val="000000"/>
                <w:sz w:val="16"/>
                <w:szCs w:val="16"/>
              </w:rPr>
              <w:t>0,1%</w:t>
            </w:r>
          </w:p>
        </w:tc>
        <w:tc>
          <w:tcPr>
            <w:tcW w:w="1183" w:type="dxa"/>
            <w:tcBorders>
              <w:top w:val="nil"/>
              <w:left w:val="nil"/>
              <w:bottom w:val="nil"/>
              <w:right w:val="nil"/>
            </w:tcBorders>
            <w:shd w:val="clear" w:color="auto" w:fill="auto"/>
            <w:noWrap/>
            <w:vAlign w:val="center"/>
            <w:hideMark/>
          </w:tcPr>
          <w:p w14:paraId="07C3D68C" w14:textId="77777777" w:rsidR="008E3F8E" w:rsidRPr="000B20DE" w:rsidRDefault="008E3F8E" w:rsidP="002A5EE4">
            <w:pPr>
              <w:spacing w:after="0" w:line="240" w:lineRule="auto"/>
              <w:jc w:val="right"/>
              <w:rPr>
                <w:sz w:val="16"/>
                <w:szCs w:val="16"/>
              </w:rPr>
            </w:pPr>
            <w:r w:rsidRPr="000B20DE">
              <w:rPr>
                <w:color w:val="000000"/>
                <w:sz w:val="16"/>
                <w:szCs w:val="16"/>
              </w:rPr>
              <w:t>76 226</w:t>
            </w:r>
          </w:p>
        </w:tc>
        <w:tc>
          <w:tcPr>
            <w:tcW w:w="969" w:type="dxa"/>
            <w:tcBorders>
              <w:top w:val="nil"/>
              <w:left w:val="nil"/>
              <w:bottom w:val="nil"/>
              <w:right w:val="nil"/>
            </w:tcBorders>
            <w:shd w:val="clear" w:color="auto" w:fill="auto"/>
            <w:noWrap/>
            <w:vAlign w:val="center"/>
            <w:hideMark/>
          </w:tcPr>
          <w:p w14:paraId="7F0A6956" w14:textId="77777777" w:rsidR="008E3F8E" w:rsidRPr="000B20DE" w:rsidRDefault="008E3F8E" w:rsidP="002A5EE4">
            <w:pPr>
              <w:spacing w:after="0" w:line="240" w:lineRule="auto"/>
              <w:jc w:val="right"/>
              <w:rPr>
                <w:sz w:val="16"/>
                <w:szCs w:val="16"/>
              </w:rPr>
            </w:pPr>
            <w:r w:rsidRPr="000B20DE">
              <w:rPr>
                <w:color w:val="000000"/>
                <w:sz w:val="16"/>
                <w:szCs w:val="16"/>
              </w:rPr>
              <w:t>-1,7%</w:t>
            </w:r>
          </w:p>
        </w:tc>
        <w:tc>
          <w:tcPr>
            <w:tcW w:w="1134" w:type="dxa"/>
            <w:tcBorders>
              <w:top w:val="nil"/>
              <w:left w:val="nil"/>
              <w:bottom w:val="nil"/>
              <w:right w:val="nil"/>
            </w:tcBorders>
            <w:shd w:val="clear" w:color="auto" w:fill="auto"/>
            <w:noWrap/>
            <w:vAlign w:val="center"/>
            <w:hideMark/>
          </w:tcPr>
          <w:p w14:paraId="4D77F616" w14:textId="77777777" w:rsidR="008E3F8E" w:rsidRPr="000B20DE" w:rsidRDefault="008E3F8E" w:rsidP="002A5EE4">
            <w:pPr>
              <w:spacing w:after="0" w:line="240" w:lineRule="auto"/>
              <w:jc w:val="right"/>
              <w:rPr>
                <w:sz w:val="16"/>
                <w:szCs w:val="16"/>
              </w:rPr>
            </w:pPr>
            <w:r w:rsidRPr="000B20DE">
              <w:rPr>
                <w:color w:val="000000"/>
                <w:sz w:val="16"/>
                <w:szCs w:val="16"/>
              </w:rPr>
              <w:t>-1 564 643</w:t>
            </w:r>
          </w:p>
        </w:tc>
      </w:tr>
      <w:tr w:rsidR="008E3F8E" w:rsidRPr="0097460F" w14:paraId="3A833F76" w14:textId="77777777" w:rsidTr="002A5EE4">
        <w:trPr>
          <w:trHeight w:val="264"/>
        </w:trPr>
        <w:tc>
          <w:tcPr>
            <w:tcW w:w="2759" w:type="dxa"/>
            <w:gridSpan w:val="2"/>
            <w:tcBorders>
              <w:top w:val="nil"/>
              <w:left w:val="nil"/>
              <w:bottom w:val="nil"/>
              <w:right w:val="nil"/>
            </w:tcBorders>
            <w:shd w:val="clear" w:color="auto" w:fill="auto"/>
            <w:noWrap/>
            <w:vAlign w:val="center"/>
            <w:hideMark/>
          </w:tcPr>
          <w:p w14:paraId="44FFC0E9" w14:textId="77777777" w:rsidR="008E3F8E" w:rsidRPr="000B20DE" w:rsidRDefault="008E3F8E" w:rsidP="002A5EE4">
            <w:pPr>
              <w:spacing w:after="0" w:line="240" w:lineRule="auto"/>
              <w:ind w:firstLineChars="100" w:firstLine="160"/>
              <w:rPr>
                <w:color w:val="000000"/>
                <w:sz w:val="16"/>
                <w:szCs w:val="16"/>
                <w:lang w:eastAsia="sk-SK"/>
              </w:rPr>
            </w:pPr>
            <w:r w:rsidRPr="000B20DE">
              <w:rPr>
                <w:color w:val="000000"/>
                <w:sz w:val="16"/>
                <w:szCs w:val="16"/>
                <w:lang w:eastAsia="sk-SK"/>
              </w:rPr>
              <w:t xml:space="preserve"> - školstvo</w:t>
            </w:r>
          </w:p>
        </w:tc>
        <w:tc>
          <w:tcPr>
            <w:tcW w:w="927" w:type="dxa"/>
            <w:tcBorders>
              <w:top w:val="nil"/>
              <w:left w:val="nil"/>
              <w:bottom w:val="nil"/>
              <w:right w:val="nil"/>
            </w:tcBorders>
            <w:shd w:val="clear" w:color="auto" w:fill="auto"/>
            <w:noWrap/>
            <w:vAlign w:val="center"/>
          </w:tcPr>
          <w:p w14:paraId="229887EF" w14:textId="77777777" w:rsidR="008E3F8E" w:rsidRPr="000B20DE" w:rsidRDefault="008E3F8E" w:rsidP="002A5EE4">
            <w:pPr>
              <w:spacing w:after="0" w:line="240" w:lineRule="auto"/>
              <w:jc w:val="right"/>
              <w:rPr>
                <w:sz w:val="16"/>
                <w:szCs w:val="16"/>
              </w:rPr>
            </w:pPr>
            <w:r w:rsidRPr="000B20DE">
              <w:rPr>
                <w:color w:val="000000"/>
                <w:sz w:val="16"/>
                <w:szCs w:val="16"/>
              </w:rPr>
              <w:t>-18,1%</w:t>
            </w:r>
          </w:p>
        </w:tc>
        <w:tc>
          <w:tcPr>
            <w:tcW w:w="1181" w:type="dxa"/>
            <w:tcBorders>
              <w:top w:val="nil"/>
              <w:left w:val="nil"/>
              <w:bottom w:val="nil"/>
              <w:right w:val="nil"/>
            </w:tcBorders>
            <w:shd w:val="clear" w:color="auto" w:fill="auto"/>
            <w:noWrap/>
            <w:vAlign w:val="center"/>
          </w:tcPr>
          <w:p w14:paraId="50A394C5" w14:textId="77777777" w:rsidR="008E3F8E" w:rsidRPr="000B20DE" w:rsidRDefault="008E3F8E" w:rsidP="002A5EE4">
            <w:pPr>
              <w:spacing w:after="0" w:line="240" w:lineRule="auto"/>
              <w:jc w:val="right"/>
              <w:rPr>
                <w:sz w:val="16"/>
                <w:szCs w:val="16"/>
              </w:rPr>
            </w:pPr>
            <w:r w:rsidRPr="000B20DE">
              <w:rPr>
                <w:color w:val="000000"/>
                <w:sz w:val="16"/>
                <w:szCs w:val="16"/>
              </w:rPr>
              <w:t>-16 656 332</w:t>
            </w:r>
          </w:p>
        </w:tc>
        <w:tc>
          <w:tcPr>
            <w:tcW w:w="919" w:type="dxa"/>
            <w:tcBorders>
              <w:top w:val="nil"/>
              <w:left w:val="nil"/>
              <w:bottom w:val="nil"/>
              <w:right w:val="nil"/>
            </w:tcBorders>
            <w:shd w:val="clear" w:color="auto" w:fill="auto"/>
            <w:noWrap/>
            <w:vAlign w:val="center"/>
            <w:hideMark/>
          </w:tcPr>
          <w:p w14:paraId="2E8F2535" w14:textId="77777777" w:rsidR="008E3F8E" w:rsidRPr="000B20DE" w:rsidRDefault="008E3F8E" w:rsidP="002A5EE4">
            <w:pPr>
              <w:spacing w:after="0" w:line="240" w:lineRule="auto"/>
              <w:jc w:val="right"/>
              <w:rPr>
                <w:sz w:val="16"/>
                <w:szCs w:val="16"/>
              </w:rPr>
            </w:pPr>
            <w:r w:rsidRPr="000B20DE">
              <w:rPr>
                <w:color w:val="000000"/>
                <w:sz w:val="16"/>
                <w:szCs w:val="16"/>
              </w:rPr>
              <w:t>-3,0%</w:t>
            </w:r>
          </w:p>
        </w:tc>
        <w:tc>
          <w:tcPr>
            <w:tcW w:w="1183" w:type="dxa"/>
            <w:tcBorders>
              <w:top w:val="nil"/>
              <w:left w:val="nil"/>
              <w:bottom w:val="nil"/>
              <w:right w:val="nil"/>
            </w:tcBorders>
            <w:shd w:val="clear" w:color="auto" w:fill="auto"/>
            <w:noWrap/>
            <w:vAlign w:val="center"/>
            <w:hideMark/>
          </w:tcPr>
          <w:p w14:paraId="44931B59" w14:textId="77777777" w:rsidR="008E3F8E" w:rsidRPr="000B20DE" w:rsidRDefault="008E3F8E" w:rsidP="002A5EE4">
            <w:pPr>
              <w:spacing w:after="0" w:line="240" w:lineRule="auto"/>
              <w:jc w:val="right"/>
              <w:rPr>
                <w:sz w:val="16"/>
                <w:szCs w:val="16"/>
              </w:rPr>
            </w:pPr>
            <w:r w:rsidRPr="000B20DE">
              <w:rPr>
                <w:color w:val="000000"/>
                <w:sz w:val="16"/>
                <w:szCs w:val="16"/>
              </w:rPr>
              <w:t>-2 837 603</w:t>
            </w:r>
          </w:p>
        </w:tc>
        <w:tc>
          <w:tcPr>
            <w:tcW w:w="969" w:type="dxa"/>
            <w:tcBorders>
              <w:top w:val="nil"/>
              <w:left w:val="nil"/>
              <w:bottom w:val="nil"/>
              <w:right w:val="nil"/>
            </w:tcBorders>
            <w:shd w:val="clear" w:color="auto" w:fill="auto"/>
            <w:noWrap/>
            <w:vAlign w:val="center"/>
            <w:hideMark/>
          </w:tcPr>
          <w:p w14:paraId="5A8D0EE8" w14:textId="77777777" w:rsidR="008E3F8E" w:rsidRPr="000B20DE" w:rsidRDefault="008E3F8E" w:rsidP="002A5EE4">
            <w:pPr>
              <w:spacing w:after="0" w:line="240" w:lineRule="auto"/>
              <w:jc w:val="right"/>
              <w:rPr>
                <w:sz w:val="16"/>
                <w:szCs w:val="16"/>
              </w:rPr>
            </w:pPr>
            <w:r w:rsidRPr="000B20DE">
              <w:rPr>
                <w:color w:val="000000"/>
                <w:sz w:val="16"/>
                <w:szCs w:val="16"/>
              </w:rPr>
              <w:t>-15,1%</w:t>
            </w:r>
          </w:p>
        </w:tc>
        <w:tc>
          <w:tcPr>
            <w:tcW w:w="1134" w:type="dxa"/>
            <w:tcBorders>
              <w:top w:val="nil"/>
              <w:left w:val="nil"/>
              <w:bottom w:val="nil"/>
              <w:right w:val="nil"/>
            </w:tcBorders>
            <w:shd w:val="clear" w:color="auto" w:fill="auto"/>
            <w:noWrap/>
            <w:vAlign w:val="center"/>
            <w:hideMark/>
          </w:tcPr>
          <w:p w14:paraId="7081B17F" w14:textId="77777777" w:rsidR="008E3F8E" w:rsidRPr="000B20DE" w:rsidRDefault="008E3F8E" w:rsidP="002A5EE4">
            <w:pPr>
              <w:spacing w:after="0" w:line="240" w:lineRule="auto"/>
              <w:jc w:val="right"/>
              <w:rPr>
                <w:sz w:val="16"/>
                <w:szCs w:val="16"/>
              </w:rPr>
            </w:pPr>
            <w:r w:rsidRPr="000B20DE">
              <w:rPr>
                <w:color w:val="000000"/>
                <w:sz w:val="16"/>
                <w:szCs w:val="16"/>
              </w:rPr>
              <w:t>-13 818 728</w:t>
            </w:r>
          </w:p>
        </w:tc>
      </w:tr>
      <w:tr w:rsidR="008E3F8E" w:rsidRPr="0097460F" w14:paraId="3FFD6819" w14:textId="77777777" w:rsidTr="002A5EE4">
        <w:trPr>
          <w:trHeight w:val="264"/>
        </w:trPr>
        <w:tc>
          <w:tcPr>
            <w:tcW w:w="2759" w:type="dxa"/>
            <w:gridSpan w:val="2"/>
            <w:tcBorders>
              <w:top w:val="nil"/>
              <w:left w:val="nil"/>
              <w:bottom w:val="nil"/>
              <w:right w:val="nil"/>
            </w:tcBorders>
            <w:shd w:val="clear" w:color="auto" w:fill="auto"/>
            <w:noWrap/>
            <w:vAlign w:val="center"/>
            <w:hideMark/>
          </w:tcPr>
          <w:p w14:paraId="5826621D" w14:textId="77777777" w:rsidR="008E3F8E" w:rsidRPr="000B20DE" w:rsidRDefault="008E3F8E" w:rsidP="002A5EE4">
            <w:pPr>
              <w:spacing w:after="0" w:line="240" w:lineRule="auto"/>
              <w:rPr>
                <w:b/>
                <w:bCs/>
                <w:color w:val="000000"/>
                <w:sz w:val="16"/>
                <w:szCs w:val="16"/>
                <w:lang w:eastAsia="sk-SK"/>
              </w:rPr>
            </w:pPr>
            <w:r w:rsidRPr="000B20DE">
              <w:rPr>
                <w:b/>
                <w:bCs/>
                <w:color w:val="000000"/>
                <w:sz w:val="16"/>
                <w:szCs w:val="16"/>
                <w:lang w:eastAsia="sk-SK"/>
              </w:rPr>
              <w:t>PPP projekty</w:t>
            </w:r>
          </w:p>
        </w:tc>
        <w:tc>
          <w:tcPr>
            <w:tcW w:w="927" w:type="dxa"/>
            <w:tcBorders>
              <w:top w:val="nil"/>
              <w:left w:val="nil"/>
              <w:bottom w:val="nil"/>
              <w:right w:val="nil"/>
            </w:tcBorders>
            <w:shd w:val="clear" w:color="auto" w:fill="auto"/>
            <w:noWrap/>
            <w:vAlign w:val="center"/>
          </w:tcPr>
          <w:p w14:paraId="538EE0FB" w14:textId="77777777" w:rsidR="008E3F8E" w:rsidRPr="000B20DE" w:rsidRDefault="008E3F8E" w:rsidP="002A5EE4">
            <w:pPr>
              <w:spacing w:after="0" w:line="240" w:lineRule="auto"/>
              <w:jc w:val="right"/>
              <w:rPr>
                <w:b/>
                <w:sz w:val="16"/>
                <w:szCs w:val="16"/>
              </w:rPr>
            </w:pPr>
            <w:r w:rsidRPr="000B20DE">
              <w:rPr>
                <w:b/>
                <w:color w:val="000000"/>
                <w:sz w:val="16"/>
                <w:szCs w:val="16"/>
              </w:rPr>
              <w:t>-4,4%</w:t>
            </w:r>
          </w:p>
        </w:tc>
        <w:tc>
          <w:tcPr>
            <w:tcW w:w="1181" w:type="dxa"/>
            <w:tcBorders>
              <w:top w:val="nil"/>
              <w:left w:val="nil"/>
              <w:bottom w:val="nil"/>
              <w:right w:val="nil"/>
            </w:tcBorders>
            <w:shd w:val="clear" w:color="auto" w:fill="auto"/>
            <w:noWrap/>
            <w:vAlign w:val="center"/>
          </w:tcPr>
          <w:p w14:paraId="2B59CCFC" w14:textId="77777777" w:rsidR="008E3F8E" w:rsidRPr="000B20DE" w:rsidRDefault="008E3F8E" w:rsidP="002A5EE4">
            <w:pPr>
              <w:spacing w:after="0" w:line="240" w:lineRule="auto"/>
              <w:jc w:val="right"/>
              <w:rPr>
                <w:b/>
                <w:sz w:val="16"/>
                <w:szCs w:val="16"/>
              </w:rPr>
            </w:pPr>
            <w:r w:rsidRPr="000B20DE">
              <w:rPr>
                <w:b/>
                <w:color w:val="000000"/>
                <w:sz w:val="16"/>
                <w:szCs w:val="16"/>
              </w:rPr>
              <w:t>-4 049 520</w:t>
            </w:r>
          </w:p>
        </w:tc>
        <w:tc>
          <w:tcPr>
            <w:tcW w:w="919" w:type="dxa"/>
            <w:tcBorders>
              <w:top w:val="nil"/>
              <w:left w:val="nil"/>
              <w:bottom w:val="nil"/>
              <w:right w:val="nil"/>
            </w:tcBorders>
            <w:shd w:val="clear" w:color="auto" w:fill="auto"/>
            <w:noWrap/>
            <w:vAlign w:val="center"/>
            <w:hideMark/>
          </w:tcPr>
          <w:p w14:paraId="2F19A42F" w14:textId="77777777" w:rsidR="008E3F8E" w:rsidRPr="000B20DE" w:rsidRDefault="008E3F8E" w:rsidP="002A5EE4">
            <w:pPr>
              <w:spacing w:after="0" w:line="240" w:lineRule="auto"/>
              <w:jc w:val="right"/>
              <w:rPr>
                <w:b/>
                <w:sz w:val="16"/>
                <w:szCs w:val="16"/>
              </w:rPr>
            </w:pPr>
            <w:r w:rsidRPr="000B20DE">
              <w:rPr>
                <w:b/>
                <w:color w:val="000000"/>
                <w:sz w:val="16"/>
                <w:szCs w:val="16"/>
              </w:rPr>
              <w:t>-3,6%</w:t>
            </w:r>
          </w:p>
        </w:tc>
        <w:tc>
          <w:tcPr>
            <w:tcW w:w="1183" w:type="dxa"/>
            <w:tcBorders>
              <w:top w:val="nil"/>
              <w:left w:val="nil"/>
              <w:bottom w:val="nil"/>
              <w:right w:val="nil"/>
            </w:tcBorders>
            <w:shd w:val="clear" w:color="auto" w:fill="auto"/>
            <w:noWrap/>
            <w:vAlign w:val="center"/>
            <w:hideMark/>
          </w:tcPr>
          <w:p w14:paraId="05BC613D" w14:textId="77777777" w:rsidR="008E3F8E" w:rsidRPr="000B20DE" w:rsidRDefault="008E3F8E" w:rsidP="002A5EE4">
            <w:pPr>
              <w:spacing w:after="0" w:line="240" w:lineRule="auto"/>
              <w:jc w:val="right"/>
              <w:rPr>
                <w:b/>
                <w:sz w:val="16"/>
                <w:szCs w:val="16"/>
              </w:rPr>
            </w:pPr>
            <w:r w:rsidRPr="000B20DE">
              <w:rPr>
                <w:b/>
                <w:color w:val="000000"/>
                <w:sz w:val="16"/>
                <w:szCs w:val="16"/>
              </w:rPr>
              <w:t>-3 389 219</w:t>
            </w:r>
          </w:p>
        </w:tc>
        <w:tc>
          <w:tcPr>
            <w:tcW w:w="969" w:type="dxa"/>
            <w:tcBorders>
              <w:top w:val="nil"/>
              <w:left w:val="nil"/>
              <w:bottom w:val="nil"/>
              <w:right w:val="nil"/>
            </w:tcBorders>
            <w:shd w:val="clear" w:color="auto" w:fill="auto"/>
            <w:noWrap/>
            <w:vAlign w:val="center"/>
            <w:hideMark/>
          </w:tcPr>
          <w:p w14:paraId="26EB238C" w14:textId="77777777" w:rsidR="008E3F8E" w:rsidRPr="000B20DE" w:rsidRDefault="008E3F8E" w:rsidP="002A5EE4">
            <w:pPr>
              <w:spacing w:after="0" w:line="240" w:lineRule="auto"/>
              <w:jc w:val="right"/>
              <w:rPr>
                <w:b/>
                <w:sz w:val="16"/>
                <w:szCs w:val="16"/>
              </w:rPr>
            </w:pPr>
            <w:r w:rsidRPr="000B20DE">
              <w:rPr>
                <w:b/>
                <w:color w:val="000000"/>
                <w:sz w:val="16"/>
                <w:szCs w:val="16"/>
              </w:rPr>
              <w:t>-0,8%</w:t>
            </w:r>
          </w:p>
        </w:tc>
        <w:tc>
          <w:tcPr>
            <w:tcW w:w="1134" w:type="dxa"/>
            <w:tcBorders>
              <w:top w:val="nil"/>
              <w:left w:val="nil"/>
              <w:bottom w:val="nil"/>
              <w:right w:val="nil"/>
            </w:tcBorders>
            <w:shd w:val="clear" w:color="auto" w:fill="auto"/>
            <w:noWrap/>
            <w:vAlign w:val="center"/>
            <w:hideMark/>
          </w:tcPr>
          <w:p w14:paraId="25BF8927" w14:textId="77777777" w:rsidR="008E3F8E" w:rsidRPr="000B20DE" w:rsidRDefault="008E3F8E" w:rsidP="002A5EE4">
            <w:pPr>
              <w:spacing w:after="0" w:line="240" w:lineRule="auto"/>
              <w:jc w:val="right"/>
              <w:rPr>
                <w:b/>
                <w:sz w:val="16"/>
                <w:szCs w:val="16"/>
              </w:rPr>
            </w:pPr>
            <w:r w:rsidRPr="000B20DE">
              <w:rPr>
                <w:b/>
                <w:color w:val="000000"/>
                <w:sz w:val="16"/>
                <w:szCs w:val="16"/>
              </w:rPr>
              <w:t>-660 301</w:t>
            </w:r>
          </w:p>
        </w:tc>
      </w:tr>
      <w:tr w:rsidR="008E3F8E" w:rsidRPr="0097460F" w14:paraId="472430BA" w14:textId="77777777" w:rsidTr="002A5EE4">
        <w:trPr>
          <w:trHeight w:val="264"/>
        </w:trPr>
        <w:tc>
          <w:tcPr>
            <w:tcW w:w="2759" w:type="dxa"/>
            <w:gridSpan w:val="2"/>
            <w:tcBorders>
              <w:top w:val="nil"/>
              <w:left w:val="nil"/>
              <w:bottom w:val="nil"/>
              <w:right w:val="nil"/>
            </w:tcBorders>
            <w:shd w:val="clear" w:color="auto" w:fill="auto"/>
            <w:noWrap/>
            <w:vAlign w:val="center"/>
            <w:hideMark/>
          </w:tcPr>
          <w:p w14:paraId="778F5322" w14:textId="77777777" w:rsidR="008E3F8E" w:rsidRPr="000B20DE" w:rsidRDefault="008E3F8E" w:rsidP="002A5EE4">
            <w:pPr>
              <w:spacing w:after="0" w:line="240" w:lineRule="auto"/>
              <w:rPr>
                <w:b/>
                <w:bCs/>
                <w:color w:val="000000"/>
                <w:sz w:val="16"/>
                <w:szCs w:val="16"/>
                <w:lang w:eastAsia="sk-SK"/>
              </w:rPr>
            </w:pPr>
            <w:r w:rsidRPr="000B20DE">
              <w:rPr>
                <w:b/>
                <w:bCs/>
                <w:color w:val="000000"/>
                <w:sz w:val="16"/>
                <w:szCs w:val="16"/>
                <w:lang w:eastAsia="sk-SK"/>
              </w:rPr>
              <w:t>Vplyv Národného jadrového fondu</w:t>
            </w:r>
          </w:p>
        </w:tc>
        <w:tc>
          <w:tcPr>
            <w:tcW w:w="927" w:type="dxa"/>
            <w:tcBorders>
              <w:top w:val="nil"/>
              <w:left w:val="nil"/>
              <w:bottom w:val="nil"/>
              <w:right w:val="nil"/>
            </w:tcBorders>
            <w:shd w:val="clear" w:color="auto" w:fill="auto"/>
            <w:noWrap/>
            <w:vAlign w:val="center"/>
          </w:tcPr>
          <w:p w14:paraId="50752734" w14:textId="77777777" w:rsidR="008E3F8E" w:rsidRPr="000B20DE" w:rsidRDefault="008E3F8E" w:rsidP="002A5EE4">
            <w:pPr>
              <w:spacing w:after="0" w:line="240" w:lineRule="auto"/>
              <w:jc w:val="right"/>
              <w:rPr>
                <w:b/>
                <w:sz w:val="16"/>
                <w:szCs w:val="16"/>
              </w:rPr>
            </w:pPr>
            <w:r w:rsidRPr="000B20DE">
              <w:rPr>
                <w:b/>
                <w:color w:val="000000"/>
                <w:sz w:val="16"/>
                <w:szCs w:val="16"/>
              </w:rPr>
              <w:t>5,6%</w:t>
            </w:r>
          </w:p>
        </w:tc>
        <w:tc>
          <w:tcPr>
            <w:tcW w:w="1181" w:type="dxa"/>
            <w:tcBorders>
              <w:top w:val="nil"/>
              <w:left w:val="nil"/>
              <w:bottom w:val="nil"/>
              <w:right w:val="nil"/>
            </w:tcBorders>
            <w:shd w:val="clear" w:color="auto" w:fill="auto"/>
            <w:noWrap/>
            <w:vAlign w:val="center"/>
          </w:tcPr>
          <w:p w14:paraId="396DC670" w14:textId="77777777" w:rsidR="008E3F8E" w:rsidRPr="000B20DE" w:rsidRDefault="008E3F8E" w:rsidP="002A5EE4">
            <w:pPr>
              <w:spacing w:after="0" w:line="240" w:lineRule="auto"/>
              <w:jc w:val="right"/>
              <w:rPr>
                <w:b/>
                <w:sz w:val="16"/>
                <w:szCs w:val="16"/>
              </w:rPr>
            </w:pPr>
            <w:r w:rsidRPr="000B20DE">
              <w:rPr>
                <w:b/>
                <w:color w:val="000000"/>
                <w:sz w:val="16"/>
                <w:szCs w:val="16"/>
              </w:rPr>
              <w:t>5 199 045</w:t>
            </w:r>
          </w:p>
        </w:tc>
        <w:tc>
          <w:tcPr>
            <w:tcW w:w="919" w:type="dxa"/>
            <w:tcBorders>
              <w:top w:val="nil"/>
              <w:left w:val="nil"/>
              <w:bottom w:val="nil"/>
              <w:right w:val="nil"/>
            </w:tcBorders>
            <w:shd w:val="clear" w:color="auto" w:fill="auto"/>
            <w:noWrap/>
            <w:vAlign w:val="center"/>
            <w:hideMark/>
          </w:tcPr>
          <w:p w14:paraId="43629AA4" w14:textId="77777777" w:rsidR="008E3F8E" w:rsidRPr="000B20DE" w:rsidRDefault="008E3F8E" w:rsidP="002A5EE4">
            <w:pPr>
              <w:spacing w:after="0" w:line="240" w:lineRule="auto"/>
              <w:jc w:val="right"/>
              <w:rPr>
                <w:b/>
                <w:sz w:val="16"/>
                <w:szCs w:val="16"/>
              </w:rPr>
            </w:pPr>
            <w:r w:rsidRPr="000B20DE">
              <w:rPr>
                <w:b/>
                <w:color w:val="000000"/>
                <w:sz w:val="16"/>
                <w:szCs w:val="16"/>
              </w:rPr>
              <w:t>4,4%</w:t>
            </w:r>
          </w:p>
        </w:tc>
        <w:tc>
          <w:tcPr>
            <w:tcW w:w="1183" w:type="dxa"/>
            <w:tcBorders>
              <w:top w:val="nil"/>
              <w:left w:val="nil"/>
              <w:bottom w:val="nil"/>
              <w:right w:val="nil"/>
            </w:tcBorders>
            <w:shd w:val="clear" w:color="auto" w:fill="auto"/>
            <w:noWrap/>
            <w:vAlign w:val="center"/>
            <w:hideMark/>
          </w:tcPr>
          <w:p w14:paraId="38D36B42" w14:textId="77777777" w:rsidR="008E3F8E" w:rsidRPr="000B20DE" w:rsidRDefault="008E3F8E" w:rsidP="002A5EE4">
            <w:pPr>
              <w:spacing w:after="0" w:line="240" w:lineRule="auto"/>
              <w:jc w:val="right"/>
              <w:rPr>
                <w:b/>
                <w:sz w:val="16"/>
                <w:szCs w:val="16"/>
              </w:rPr>
            </w:pPr>
            <w:r w:rsidRPr="000B20DE">
              <w:rPr>
                <w:b/>
                <w:color w:val="000000"/>
                <w:sz w:val="16"/>
                <w:szCs w:val="16"/>
              </w:rPr>
              <w:t>4 144 191</w:t>
            </w:r>
          </w:p>
        </w:tc>
        <w:tc>
          <w:tcPr>
            <w:tcW w:w="969" w:type="dxa"/>
            <w:tcBorders>
              <w:top w:val="nil"/>
              <w:left w:val="nil"/>
              <w:bottom w:val="nil"/>
              <w:right w:val="nil"/>
            </w:tcBorders>
            <w:shd w:val="clear" w:color="auto" w:fill="auto"/>
            <w:noWrap/>
            <w:vAlign w:val="center"/>
            <w:hideMark/>
          </w:tcPr>
          <w:p w14:paraId="21C6891D" w14:textId="77777777" w:rsidR="008E3F8E" w:rsidRPr="000B20DE" w:rsidRDefault="008E3F8E" w:rsidP="002A5EE4">
            <w:pPr>
              <w:spacing w:after="0" w:line="240" w:lineRule="auto"/>
              <w:jc w:val="right"/>
              <w:rPr>
                <w:b/>
                <w:sz w:val="16"/>
                <w:szCs w:val="16"/>
              </w:rPr>
            </w:pPr>
            <w:r w:rsidRPr="000B20DE">
              <w:rPr>
                <w:b/>
                <w:color w:val="000000"/>
                <w:sz w:val="16"/>
                <w:szCs w:val="16"/>
              </w:rPr>
              <w:t>1,2%</w:t>
            </w:r>
          </w:p>
        </w:tc>
        <w:tc>
          <w:tcPr>
            <w:tcW w:w="1134" w:type="dxa"/>
            <w:tcBorders>
              <w:top w:val="nil"/>
              <w:left w:val="nil"/>
              <w:bottom w:val="nil"/>
              <w:right w:val="nil"/>
            </w:tcBorders>
            <w:shd w:val="clear" w:color="auto" w:fill="auto"/>
            <w:noWrap/>
            <w:vAlign w:val="center"/>
            <w:hideMark/>
          </w:tcPr>
          <w:p w14:paraId="5886D19C" w14:textId="77777777" w:rsidR="008E3F8E" w:rsidRPr="000B20DE" w:rsidRDefault="008E3F8E" w:rsidP="002A5EE4">
            <w:pPr>
              <w:spacing w:after="0" w:line="240" w:lineRule="auto"/>
              <w:jc w:val="right"/>
              <w:rPr>
                <w:b/>
                <w:sz w:val="16"/>
                <w:szCs w:val="16"/>
              </w:rPr>
            </w:pPr>
            <w:r w:rsidRPr="000B20DE">
              <w:rPr>
                <w:b/>
                <w:color w:val="000000"/>
                <w:sz w:val="16"/>
                <w:szCs w:val="16"/>
              </w:rPr>
              <w:t>1 054 854</w:t>
            </w:r>
          </w:p>
        </w:tc>
      </w:tr>
      <w:tr w:rsidR="008E3F8E" w:rsidRPr="0097460F" w14:paraId="7B4B8EF1" w14:textId="77777777" w:rsidTr="002A5EE4">
        <w:trPr>
          <w:trHeight w:val="264"/>
        </w:trPr>
        <w:tc>
          <w:tcPr>
            <w:tcW w:w="2759" w:type="dxa"/>
            <w:gridSpan w:val="2"/>
            <w:tcBorders>
              <w:top w:val="nil"/>
              <w:left w:val="nil"/>
              <w:bottom w:val="nil"/>
              <w:right w:val="nil"/>
            </w:tcBorders>
            <w:shd w:val="clear" w:color="auto" w:fill="auto"/>
            <w:noWrap/>
            <w:vAlign w:val="center"/>
          </w:tcPr>
          <w:p w14:paraId="526E2E5B" w14:textId="77777777" w:rsidR="008E3F8E" w:rsidRPr="000B20DE" w:rsidRDefault="008E3F8E" w:rsidP="002A5EE4">
            <w:pPr>
              <w:spacing w:after="0" w:line="240" w:lineRule="auto"/>
              <w:rPr>
                <w:b/>
                <w:bCs/>
                <w:color w:val="000000"/>
                <w:sz w:val="16"/>
                <w:szCs w:val="16"/>
                <w:lang w:eastAsia="sk-SK"/>
              </w:rPr>
            </w:pPr>
            <w:r w:rsidRPr="000B20DE">
              <w:rPr>
                <w:b/>
                <w:bCs/>
                <w:color w:val="000000"/>
                <w:sz w:val="16"/>
                <w:szCs w:val="16"/>
                <w:lang w:eastAsia="sk-SK"/>
              </w:rPr>
              <w:t>Vplyv NGEU</w:t>
            </w:r>
          </w:p>
        </w:tc>
        <w:tc>
          <w:tcPr>
            <w:tcW w:w="927" w:type="dxa"/>
            <w:tcBorders>
              <w:top w:val="nil"/>
              <w:left w:val="nil"/>
              <w:bottom w:val="nil"/>
              <w:right w:val="nil"/>
            </w:tcBorders>
            <w:shd w:val="clear" w:color="auto" w:fill="auto"/>
            <w:noWrap/>
            <w:vAlign w:val="center"/>
          </w:tcPr>
          <w:p w14:paraId="67F52A47" w14:textId="77777777" w:rsidR="008E3F8E" w:rsidRPr="000B20DE" w:rsidRDefault="008E3F8E" w:rsidP="002A5EE4">
            <w:pPr>
              <w:spacing w:after="0" w:line="240" w:lineRule="auto"/>
              <w:jc w:val="right"/>
              <w:rPr>
                <w:b/>
                <w:sz w:val="16"/>
                <w:szCs w:val="16"/>
              </w:rPr>
            </w:pPr>
            <w:r w:rsidRPr="000B20DE">
              <w:rPr>
                <w:b/>
                <w:color w:val="000000"/>
                <w:sz w:val="16"/>
                <w:szCs w:val="16"/>
              </w:rPr>
              <w:t>-4,2%</w:t>
            </w:r>
          </w:p>
        </w:tc>
        <w:tc>
          <w:tcPr>
            <w:tcW w:w="1181" w:type="dxa"/>
            <w:tcBorders>
              <w:top w:val="nil"/>
              <w:left w:val="nil"/>
              <w:bottom w:val="nil"/>
              <w:right w:val="nil"/>
            </w:tcBorders>
            <w:shd w:val="clear" w:color="auto" w:fill="auto"/>
            <w:noWrap/>
            <w:vAlign w:val="center"/>
          </w:tcPr>
          <w:p w14:paraId="4363E219" w14:textId="77777777" w:rsidR="008E3F8E" w:rsidRPr="000B20DE" w:rsidRDefault="008E3F8E" w:rsidP="002A5EE4">
            <w:pPr>
              <w:spacing w:after="0" w:line="240" w:lineRule="auto"/>
              <w:jc w:val="right"/>
              <w:rPr>
                <w:b/>
                <w:sz w:val="16"/>
                <w:szCs w:val="16"/>
              </w:rPr>
            </w:pPr>
            <w:r w:rsidRPr="000B20DE">
              <w:rPr>
                <w:b/>
                <w:color w:val="000000"/>
                <w:sz w:val="16"/>
                <w:szCs w:val="16"/>
              </w:rPr>
              <w:t>-3 836 738</w:t>
            </w:r>
          </w:p>
        </w:tc>
        <w:tc>
          <w:tcPr>
            <w:tcW w:w="919" w:type="dxa"/>
            <w:tcBorders>
              <w:top w:val="nil"/>
              <w:left w:val="nil"/>
              <w:bottom w:val="nil"/>
              <w:right w:val="nil"/>
            </w:tcBorders>
            <w:shd w:val="clear" w:color="auto" w:fill="auto"/>
            <w:noWrap/>
            <w:vAlign w:val="center"/>
          </w:tcPr>
          <w:p w14:paraId="69E5C008" w14:textId="77777777" w:rsidR="008E3F8E" w:rsidRPr="000B20DE" w:rsidRDefault="008E3F8E" w:rsidP="002A5EE4">
            <w:pPr>
              <w:spacing w:after="0" w:line="240" w:lineRule="auto"/>
              <w:jc w:val="right"/>
              <w:rPr>
                <w:b/>
                <w:sz w:val="16"/>
                <w:szCs w:val="16"/>
              </w:rPr>
            </w:pPr>
            <w:r w:rsidRPr="000B20DE">
              <w:rPr>
                <w:b/>
                <w:color w:val="000000"/>
                <w:sz w:val="16"/>
                <w:szCs w:val="16"/>
              </w:rPr>
              <w:t xml:space="preserve">                            -     </w:t>
            </w:r>
          </w:p>
        </w:tc>
        <w:tc>
          <w:tcPr>
            <w:tcW w:w="1183" w:type="dxa"/>
            <w:tcBorders>
              <w:top w:val="nil"/>
              <w:left w:val="nil"/>
              <w:bottom w:val="nil"/>
              <w:right w:val="nil"/>
            </w:tcBorders>
            <w:shd w:val="clear" w:color="auto" w:fill="auto"/>
            <w:noWrap/>
            <w:vAlign w:val="center"/>
          </w:tcPr>
          <w:p w14:paraId="2E04E2C7" w14:textId="77777777" w:rsidR="008E3F8E" w:rsidRPr="000B20DE" w:rsidRDefault="008E3F8E" w:rsidP="002A5EE4">
            <w:pPr>
              <w:spacing w:after="0" w:line="240" w:lineRule="auto"/>
              <w:jc w:val="right"/>
              <w:rPr>
                <w:b/>
                <w:sz w:val="16"/>
                <w:szCs w:val="16"/>
              </w:rPr>
            </w:pPr>
            <w:r w:rsidRPr="000B20DE">
              <w:rPr>
                <w:b/>
                <w:color w:val="000000"/>
                <w:sz w:val="16"/>
                <w:szCs w:val="16"/>
              </w:rPr>
              <w:t xml:space="preserve">                         -     </w:t>
            </w:r>
          </w:p>
        </w:tc>
        <w:tc>
          <w:tcPr>
            <w:tcW w:w="969" w:type="dxa"/>
            <w:tcBorders>
              <w:top w:val="nil"/>
              <w:left w:val="nil"/>
              <w:bottom w:val="nil"/>
              <w:right w:val="nil"/>
            </w:tcBorders>
            <w:shd w:val="clear" w:color="auto" w:fill="auto"/>
            <w:noWrap/>
            <w:vAlign w:val="center"/>
          </w:tcPr>
          <w:p w14:paraId="0C7CA70A" w14:textId="77777777" w:rsidR="008E3F8E" w:rsidRPr="000B20DE" w:rsidRDefault="008E3F8E" w:rsidP="002A5EE4">
            <w:pPr>
              <w:spacing w:after="0" w:line="240" w:lineRule="auto"/>
              <w:jc w:val="right"/>
              <w:rPr>
                <w:b/>
                <w:sz w:val="16"/>
                <w:szCs w:val="16"/>
              </w:rPr>
            </w:pPr>
            <w:r w:rsidRPr="000B20DE">
              <w:rPr>
                <w:b/>
                <w:color w:val="000000"/>
                <w:sz w:val="16"/>
                <w:szCs w:val="16"/>
              </w:rPr>
              <w:t xml:space="preserve">                                                          -     </w:t>
            </w:r>
          </w:p>
        </w:tc>
        <w:tc>
          <w:tcPr>
            <w:tcW w:w="1134" w:type="dxa"/>
            <w:tcBorders>
              <w:top w:val="nil"/>
              <w:left w:val="nil"/>
              <w:bottom w:val="nil"/>
              <w:right w:val="nil"/>
            </w:tcBorders>
            <w:shd w:val="clear" w:color="auto" w:fill="auto"/>
            <w:noWrap/>
            <w:vAlign w:val="center"/>
          </w:tcPr>
          <w:p w14:paraId="2520EDB2" w14:textId="77777777" w:rsidR="008E3F8E" w:rsidRPr="000B20DE" w:rsidRDefault="008E3F8E" w:rsidP="002A5EE4">
            <w:pPr>
              <w:spacing w:after="0" w:line="240" w:lineRule="auto"/>
              <w:jc w:val="right"/>
              <w:rPr>
                <w:b/>
                <w:sz w:val="16"/>
                <w:szCs w:val="16"/>
              </w:rPr>
            </w:pPr>
            <w:r w:rsidRPr="000B20DE">
              <w:rPr>
                <w:b/>
                <w:color w:val="000000"/>
                <w:sz w:val="16"/>
                <w:szCs w:val="16"/>
              </w:rPr>
              <w:t xml:space="preserve">                                 -     </w:t>
            </w:r>
          </w:p>
        </w:tc>
      </w:tr>
      <w:tr w:rsidR="008E3F8E" w:rsidRPr="0008576E" w14:paraId="50369B97" w14:textId="77777777" w:rsidTr="002A5EE4">
        <w:trPr>
          <w:trHeight w:val="275"/>
        </w:trPr>
        <w:tc>
          <w:tcPr>
            <w:tcW w:w="2759" w:type="dxa"/>
            <w:gridSpan w:val="2"/>
            <w:tcBorders>
              <w:top w:val="single" w:sz="4" w:space="0" w:color="auto"/>
              <w:left w:val="nil"/>
              <w:bottom w:val="single" w:sz="8" w:space="0" w:color="auto"/>
              <w:right w:val="nil"/>
            </w:tcBorders>
            <w:shd w:val="clear" w:color="000000" w:fill="D9D9D9"/>
            <w:noWrap/>
            <w:vAlign w:val="center"/>
            <w:hideMark/>
          </w:tcPr>
          <w:p w14:paraId="1CB7A61E" w14:textId="77777777" w:rsidR="008E3F8E" w:rsidRPr="000B20DE" w:rsidRDefault="008E3F8E" w:rsidP="002A5EE4">
            <w:pPr>
              <w:spacing w:after="0" w:line="240" w:lineRule="auto"/>
              <w:rPr>
                <w:b/>
                <w:bCs/>
                <w:color w:val="000000"/>
                <w:sz w:val="16"/>
                <w:szCs w:val="16"/>
                <w:lang w:eastAsia="sk-SK"/>
              </w:rPr>
            </w:pPr>
            <w:r w:rsidRPr="000B20DE">
              <w:rPr>
                <w:b/>
                <w:bCs/>
                <w:color w:val="000000"/>
                <w:sz w:val="16"/>
                <w:szCs w:val="16"/>
                <w:lang w:eastAsia="sk-SK"/>
              </w:rPr>
              <w:t>Implicitné záväzky spolu</w:t>
            </w:r>
          </w:p>
        </w:tc>
        <w:tc>
          <w:tcPr>
            <w:tcW w:w="927" w:type="dxa"/>
            <w:tcBorders>
              <w:top w:val="single" w:sz="4" w:space="0" w:color="auto"/>
              <w:left w:val="nil"/>
              <w:bottom w:val="single" w:sz="8" w:space="0" w:color="auto"/>
              <w:right w:val="nil"/>
            </w:tcBorders>
            <w:shd w:val="clear" w:color="000000" w:fill="D9D9D9"/>
            <w:noWrap/>
            <w:vAlign w:val="center"/>
          </w:tcPr>
          <w:p w14:paraId="4C6C9C66" w14:textId="77777777" w:rsidR="008E3F8E" w:rsidRPr="000B20DE" w:rsidRDefault="008E3F8E" w:rsidP="002A5EE4">
            <w:pPr>
              <w:spacing w:after="0" w:line="240" w:lineRule="auto"/>
              <w:jc w:val="right"/>
              <w:rPr>
                <w:b/>
                <w:sz w:val="16"/>
                <w:szCs w:val="16"/>
              </w:rPr>
            </w:pPr>
            <w:r w:rsidRPr="000B20DE">
              <w:rPr>
                <w:b/>
                <w:bCs/>
                <w:color w:val="000000"/>
                <w:sz w:val="16"/>
                <w:szCs w:val="16"/>
              </w:rPr>
              <w:t>-394,7%</w:t>
            </w:r>
          </w:p>
        </w:tc>
        <w:tc>
          <w:tcPr>
            <w:tcW w:w="1181" w:type="dxa"/>
            <w:tcBorders>
              <w:top w:val="single" w:sz="4" w:space="0" w:color="auto"/>
              <w:left w:val="nil"/>
              <w:bottom w:val="single" w:sz="8" w:space="0" w:color="auto"/>
              <w:right w:val="nil"/>
            </w:tcBorders>
            <w:shd w:val="clear" w:color="000000" w:fill="D9D9D9"/>
            <w:noWrap/>
            <w:vAlign w:val="center"/>
          </w:tcPr>
          <w:p w14:paraId="7DB8C42D" w14:textId="77777777" w:rsidR="008E3F8E" w:rsidRPr="000B20DE" w:rsidRDefault="008E3F8E" w:rsidP="002A5EE4">
            <w:pPr>
              <w:spacing w:after="0" w:line="240" w:lineRule="auto"/>
              <w:jc w:val="right"/>
              <w:rPr>
                <w:b/>
                <w:sz w:val="16"/>
                <w:szCs w:val="16"/>
              </w:rPr>
            </w:pPr>
            <w:r w:rsidRPr="000B20DE">
              <w:rPr>
                <w:b/>
                <w:bCs/>
                <w:color w:val="000000"/>
                <w:sz w:val="16"/>
                <w:szCs w:val="16"/>
              </w:rPr>
              <w:t>-363 440 690</w:t>
            </w:r>
          </w:p>
        </w:tc>
        <w:tc>
          <w:tcPr>
            <w:tcW w:w="919" w:type="dxa"/>
            <w:tcBorders>
              <w:top w:val="single" w:sz="4" w:space="0" w:color="auto"/>
              <w:left w:val="nil"/>
              <w:bottom w:val="single" w:sz="8" w:space="0" w:color="auto"/>
              <w:right w:val="nil"/>
            </w:tcBorders>
            <w:shd w:val="clear" w:color="000000" w:fill="D9D9D9"/>
            <w:noWrap/>
            <w:vAlign w:val="center"/>
            <w:hideMark/>
          </w:tcPr>
          <w:p w14:paraId="344AEB5C" w14:textId="77777777" w:rsidR="008E3F8E" w:rsidRPr="000B20DE" w:rsidRDefault="008E3F8E" w:rsidP="002A5EE4">
            <w:pPr>
              <w:spacing w:after="0" w:line="240" w:lineRule="auto"/>
              <w:jc w:val="right"/>
              <w:rPr>
                <w:b/>
                <w:sz w:val="16"/>
                <w:szCs w:val="16"/>
              </w:rPr>
            </w:pPr>
            <w:r w:rsidRPr="000B20DE">
              <w:rPr>
                <w:b/>
                <w:bCs/>
                <w:color w:val="000000"/>
                <w:sz w:val="16"/>
                <w:szCs w:val="16"/>
              </w:rPr>
              <w:t>-112,6%</w:t>
            </w:r>
          </w:p>
        </w:tc>
        <w:tc>
          <w:tcPr>
            <w:tcW w:w="1183" w:type="dxa"/>
            <w:tcBorders>
              <w:top w:val="single" w:sz="4" w:space="0" w:color="auto"/>
              <w:left w:val="nil"/>
              <w:bottom w:val="single" w:sz="8" w:space="0" w:color="auto"/>
              <w:right w:val="nil"/>
            </w:tcBorders>
            <w:shd w:val="clear" w:color="000000" w:fill="D9D9D9"/>
            <w:noWrap/>
            <w:vAlign w:val="center"/>
            <w:hideMark/>
          </w:tcPr>
          <w:p w14:paraId="3933E963" w14:textId="77777777" w:rsidR="008E3F8E" w:rsidRPr="000B20DE" w:rsidRDefault="008E3F8E" w:rsidP="002A5EE4">
            <w:pPr>
              <w:spacing w:after="0" w:line="240" w:lineRule="auto"/>
              <w:jc w:val="right"/>
              <w:rPr>
                <w:b/>
                <w:sz w:val="16"/>
                <w:szCs w:val="16"/>
              </w:rPr>
            </w:pPr>
            <w:r w:rsidRPr="000B20DE">
              <w:rPr>
                <w:b/>
                <w:bCs/>
                <w:color w:val="000000"/>
                <w:sz w:val="16"/>
                <w:szCs w:val="16"/>
              </w:rPr>
              <w:t>-106 078 573</w:t>
            </w:r>
          </w:p>
        </w:tc>
        <w:tc>
          <w:tcPr>
            <w:tcW w:w="969" w:type="dxa"/>
            <w:tcBorders>
              <w:top w:val="single" w:sz="4" w:space="0" w:color="auto"/>
              <w:left w:val="nil"/>
              <w:bottom w:val="single" w:sz="8" w:space="0" w:color="auto"/>
              <w:right w:val="nil"/>
            </w:tcBorders>
            <w:shd w:val="clear" w:color="000000" w:fill="D9D9D9"/>
            <w:noWrap/>
            <w:vAlign w:val="center"/>
            <w:hideMark/>
          </w:tcPr>
          <w:p w14:paraId="178D40F3" w14:textId="77777777" w:rsidR="008E3F8E" w:rsidRPr="000B20DE" w:rsidRDefault="008E3F8E" w:rsidP="002A5EE4">
            <w:pPr>
              <w:spacing w:after="0" w:line="240" w:lineRule="auto"/>
              <w:jc w:val="right"/>
              <w:rPr>
                <w:b/>
                <w:sz w:val="16"/>
                <w:szCs w:val="16"/>
              </w:rPr>
            </w:pPr>
            <w:r w:rsidRPr="000B20DE">
              <w:rPr>
                <w:b/>
                <w:bCs/>
                <w:color w:val="000000"/>
                <w:sz w:val="16"/>
                <w:szCs w:val="16"/>
              </w:rPr>
              <w:t>-277,9%</w:t>
            </w:r>
          </w:p>
        </w:tc>
        <w:tc>
          <w:tcPr>
            <w:tcW w:w="1134" w:type="dxa"/>
            <w:tcBorders>
              <w:top w:val="single" w:sz="4" w:space="0" w:color="auto"/>
              <w:left w:val="nil"/>
              <w:bottom w:val="single" w:sz="8" w:space="0" w:color="auto"/>
              <w:right w:val="nil"/>
            </w:tcBorders>
            <w:shd w:val="clear" w:color="000000" w:fill="D9D9D9"/>
            <w:noWrap/>
            <w:vAlign w:val="center"/>
            <w:hideMark/>
          </w:tcPr>
          <w:p w14:paraId="210176C8" w14:textId="77777777" w:rsidR="008E3F8E" w:rsidRPr="000B20DE" w:rsidRDefault="008E3F8E" w:rsidP="002A5EE4">
            <w:pPr>
              <w:spacing w:after="0" w:line="240" w:lineRule="auto"/>
              <w:jc w:val="right"/>
              <w:rPr>
                <w:b/>
                <w:sz w:val="16"/>
                <w:szCs w:val="16"/>
              </w:rPr>
            </w:pPr>
            <w:r w:rsidRPr="000B20DE">
              <w:rPr>
                <w:b/>
                <w:bCs/>
                <w:color w:val="000000"/>
                <w:sz w:val="16"/>
                <w:szCs w:val="16"/>
              </w:rPr>
              <w:t>-253 525 379</w:t>
            </w:r>
          </w:p>
        </w:tc>
      </w:tr>
    </w:tbl>
    <w:p w14:paraId="59FBCDE4" w14:textId="77777777" w:rsidR="008E3F8E" w:rsidRPr="0037724F" w:rsidRDefault="008E3F8E" w:rsidP="008E3F8E">
      <w:pPr>
        <w:spacing w:after="120" w:line="240" w:lineRule="auto"/>
        <w:jc w:val="right"/>
        <w:rPr>
          <w:i/>
          <w:sz w:val="16"/>
          <w:szCs w:val="16"/>
        </w:rPr>
      </w:pPr>
      <w:r w:rsidRPr="0037724F">
        <w:rPr>
          <w:i/>
          <w:sz w:val="16"/>
          <w:szCs w:val="16"/>
        </w:rPr>
        <w:t>Zdroj: MF SR</w:t>
      </w:r>
    </w:p>
    <w:p w14:paraId="7A62FE14" w14:textId="7D866362" w:rsidR="00114233" w:rsidRDefault="008E3F8E" w:rsidP="008E3F8E">
      <w:pPr>
        <w:spacing w:before="120" w:after="0" w:line="240" w:lineRule="auto"/>
        <w:jc w:val="both"/>
        <w:rPr>
          <w:rFonts w:eastAsia="Calibri"/>
          <w:szCs w:val="22"/>
        </w:rPr>
      </w:pPr>
      <w:r w:rsidRPr="004469F0">
        <w:rPr>
          <w:rFonts w:eastAsia="Calibri"/>
          <w:b/>
          <w:szCs w:val="22"/>
        </w:rPr>
        <w:t>Z</w:t>
      </w:r>
      <w:r>
        <w:rPr>
          <w:rFonts w:eastAsia="Calibri"/>
          <w:b/>
          <w:szCs w:val="22"/>
        </w:rPr>
        <w:t>výšenie</w:t>
      </w:r>
      <w:r w:rsidRPr="004469F0">
        <w:rPr>
          <w:rFonts w:eastAsia="Calibri"/>
          <w:b/>
          <w:szCs w:val="22"/>
        </w:rPr>
        <w:t xml:space="preserve"> implicitných záväzkov z</w:t>
      </w:r>
      <w:r>
        <w:rPr>
          <w:rFonts w:eastAsia="Calibri"/>
          <w:b/>
          <w:szCs w:val="22"/>
        </w:rPr>
        <w:t>o starnutia populácie najvýraznejšie</w:t>
      </w:r>
      <w:r w:rsidRPr="004469F0">
        <w:rPr>
          <w:rFonts w:eastAsia="Calibri"/>
          <w:b/>
          <w:szCs w:val="22"/>
        </w:rPr>
        <w:t xml:space="preserve"> o</w:t>
      </w:r>
      <w:r>
        <w:rPr>
          <w:rFonts w:eastAsia="Calibri"/>
          <w:b/>
          <w:szCs w:val="22"/>
        </w:rPr>
        <w:t>vplyvnila</w:t>
      </w:r>
      <w:r w:rsidRPr="004469F0">
        <w:rPr>
          <w:rFonts w:eastAsia="Calibri"/>
          <w:b/>
          <w:szCs w:val="22"/>
        </w:rPr>
        <w:t xml:space="preserve"> aktualizáci</w:t>
      </w:r>
      <w:r>
        <w:rPr>
          <w:rFonts w:eastAsia="Calibri"/>
          <w:b/>
          <w:szCs w:val="22"/>
        </w:rPr>
        <w:t>a</w:t>
      </w:r>
      <w:r w:rsidRPr="004469F0">
        <w:rPr>
          <w:rFonts w:eastAsia="Calibri"/>
          <w:b/>
          <w:szCs w:val="22"/>
        </w:rPr>
        <w:t xml:space="preserve"> </w:t>
      </w:r>
      <w:r>
        <w:rPr>
          <w:rFonts w:eastAsia="Calibri"/>
          <w:b/>
          <w:szCs w:val="22"/>
        </w:rPr>
        <w:t>AWG projekcií vrátane zmeny v </w:t>
      </w:r>
      <w:r w:rsidRPr="0015751D">
        <w:rPr>
          <w:rFonts w:eastAsia="Calibri"/>
          <w:b/>
          <w:szCs w:val="22"/>
        </w:rPr>
        <w:t xml:space="preserve">diskontovaní (Graf </w:t>
      </w:r>
      <w:r w:rsidR="0015751D" w:rsidRPr="0015751D">
        <w:rPr>
          <w:rFonts w:eastAsia="Calibri"/>
          <w:b/>
          <w:szCs w:val="22"/>
        </w:rPr>
        <w:t>17</w:t>
      </w:r>
      <w:r w:rsidRPr="0015751D">
        <w:rPr>
          <w:rFonts w:eastAsia="Calibri"/>
          <w:b/>
          <w:szCs w:val="22"/>
        </w:rPr>
        <w:t xml:space="preserve">), v menšej miere aj legislatíva prijatá v priebehu roku 2020 v rámci dôchodkového systému (Graf </w:t>
      </w:r>
      <w:r w:rsidR="0015751D" w:rsidRPr="0015751D">
        <w:rPr>
          <w:rFonts w:eastAsia="Calibri"/>
          <w:b/>
          <w:szCs w:val="22"/>
        </w:rPr>
        <w:t>18</w:t>
      </w:r>
      <w:r w:rsidRPr="0015751D">
        <w:rPr>
          <w:rFonts w:eastAsia="Calibri"/>
          <w:b/>
          <w:szCs w:val="22"/>
        </w:rPr>
        <w:t>).</w:t>
      </w:r>
      <w:r w:rsidRPr="0015751D">
        <w:rPr>
          <w:rFonts w:eastAsia="Calibri"/>
          <w:b/>
          <w:szCs w:val="22"/>
          <w:vertAlign w:val="superscript"/>
        </w:rPr>
        <w:footnoteReference w:id="37"/>
      </w:r>
      <w:r w:rsidRPr="00E86675">
        <w:rPr>
          <w:rFonts w:eastAsia="Calibri"/>
          <w:szCs w:val="22"/>
        </w:rPr>
        <w:t xml:space="preserve"> </w:t>
      </w:r>
    </w:p>
    <w:p w14:paraId="7CE896DB" w14:textId="77777777" w:rsidR="00114233" w:rsidRDefault="00114233">
      <w:pPr>
        <w:rPr>
          <w:rFonts w:eastAsia="Calibri"/>
          <w:szCs w:val="22"/>
        </w:rPr>
      </w:pPr>
      <w:r>
        <w:rPr>
          <w:rFonts w:eastAsia="Calibri"/>
          <w:szCs w:val="22"/>
        </w:rPr>
        <w:br w:type="page"/>
      </w:r>
    </w:p>
    <w:p w14:paraId="2C167C18" w14:textId="42BA374F" w:rsidR="008E3F8E" w:rsidRPr="00E86675" w:rsidRDefault="008E3F8E" w:rsidP="008E3F8E">
      <w:pPr>
        <w:spacing w:before="120" w:after="0" w:line="240" w:lineRule="auto"/>
        <w:jc w:val="both"/>
        <w:rPr>
          <w:rFonts w:eastAsia="Calibri"/>
          <w:szCs w:val="22"/>
        </w:rPr>
      </w:pPr>
      <w:r w:rsidRPr="00E86675">
        <w:rPr>
          <w:szCs w:val="22"/>
        </w:rPr>
        <w:lastRenderedPageBreak/>
        <w:t>Z dôvodu spresnenia odhadu hodnoty čistého bohatstva došlo k zahrnutiu vplyvu výsluhových dôchodkov silových zložiek štátu priamo do implicitných záväzkov.</w:t>
      </w:r>
      <w:r w:rsidRPr="00E86675">
        <w:rPr>
          <w:rStyle w:val="Odkaznapoznmkupodiarou"/>
          <w:rFonts w:eastAsiaTheme="majorEastAsia"/>
          <w:szCs w:val="22"/>
        </w:rPr>
        <w:footnoteReference w:id="38"/>
      </w:r>
      <w:r w:rsidRPr="00E86675">
        <w:rPr>
          <w:szCs w:val="22"/>
        </w:rPr>
        <w:t xml:space="preserve"> Výška implicitných záväzkov tak aktuálne zahŕňa všetky položky citlivé na starnutie obyvateľstva pri využití rovnakého prístupu. Na zabránenie duplicitného započítania v čistom bohatstve boli zároveň výsluhové dôchodky silových zložiek vylúčené z vlastného imania súhrnného celku verejnej správy, a to vo výške účtovnej rezervy tvorenej na zamestnanecké požitky vykázanej v súvahe Ministerstva financií SR.</w:t>
      </w:r>
    </w:p>
    <w:p w14:paraId="75A37D81" w14:textId="77777777" w:rsidR="008E3F8E" w:rsidRPr="00003054" w:rsidRDefault="008E3F8E" w:rsidP="008E3F8E">
      <w:pPr>
        <w:spacing w:before="120" w:after="0" w:line="336" w:lineRule="auto"/>
        <w:jc w:val="both"/>
        <w:rPr>
          <w:rFonts w:eastAsia="Calibri"/>
          <w:b/>
          <w:szCs w:val="22"/>
        </w:rPr>
      </w:pPr>
      <w:r w:rsidRPr="00003054">
        <w:rPr>
          <w:rFonts w:eastAsia="Calibri"/>
          <w:b/>
          <w:szCs w:val="22"/>
        </w:rPr>
        <w:t>Zmeny v politikách citlivých na starnut</w:t>
      </w:r>
      <w:r>
        <w:rPr>
          <w:rFonts w:eastAsia="Calibri"/>
          <w:b/>
          <w:szCs w:val="22"/>
        </w:rPr>
        <w:t>ie populácie prijaté v roku 2020</w:t>
      </w:r>
      <w:r w:rsidRPr="00003054">
        <w:rPr>
          <w:rFonts w:eastAsia="Calibri"/>
          <w:b/>
          <w:szCs w:val="22"/>
        </w:rPr>
        <w:t xml:space="preserve">: </w:t>
      </w:r>
    </w:p>
    <w:p w14:paraId="1C12C76F" w14:textId="77777777" w:rsidR="008E3F8E" w:rsidRPr="0019494B" w:rsidRDefault="008E3F8E" w:rsidP="008E3F8E">
      <w:pPr>
        <w:pStyle w:val="Odsekzoznamu"/>
        <w:numPr>
          <w:ilvl w:val="0"/>
          <w:numId w:val="30"/>
        </w:numPr>
        <w:spacing w:line="276" w:lineRule="auto"/>
        <w:contextualSpacing w:val="0"/>
        <w:jc w:val="both"/>
        <w:rPr>
          <w:rFonts w:eastAsiaTheme="minorHAnsi"/>
          <w:b/>
        </w:rPr>
      </w:pPr>
      <w:r>
        <w:rPr>
          <w:rFonts w:eastAsiaTheme="minorHAnsi"/>
          <w:b/>
        </w:rPr>
        <w:t>Zrušenie ústavného ukotvenia dôchodkového stropu</w:t>
      </w:r>
      <w:r w:rsidRPr="0019494B">
        <w:rPr>
          <w:rFonts w:eastAsiaTheme="minorHAnsi"/>
          <w:b/>
        </w:rPr>
        <w:t>:</w:t>
      </w:r>
    </w:p>
    <w:p w14:paraId="1779B3AF" w14:textId="77777777" w:rsidR="008E3F8E" w:rsidRPr="0019494B" w:rsidRDefault="008E3F8E" w:rsidP="008E3F8E">
      <w:pPr>
        <w:spacing w:after="0" w:line="240" w:lineRule="auto"/>
        <w:ind w:left="709"/>
        <w:jc w:val="both"/>
        <w:rPr>
          <w:szCs w:val="22"/>
        </w:rPr>
      </w:pPr>
      <w:r>
        <w:rPr>
          <w:szCs w:val="22"/>
        </w:rPr>
        <w:t>Parlament koncom roka 2020 zrušil v ústave zakotvený maximálny vek odchodu do dôchodku vo výške 64 rokov s účinnosťou od roku 2023. Nové projekcie odhadovaného vplyvu na implicitné záväzky budú známe po schválení finálnej verzii pripravovanej novely prvého piliera penzijného systému, ktorá je v legislatívnom procese. Novela by mala opäť naviazať vek odchodu do dôchodku na strednú dĺžku dožitia.</w:t>
      </w:r>
    </w:p>
    <w:p w14:paraId="32EF098E" w14:textId="77777777" w:rsidR="008E3F8E" w:rsidRDefault="008E3F8E" w:rsidP="008E3F8E">
      <w:pPr>
        <w:pStyle w:val="Odsekzoznamu"/>
        <w:spacing w:after="120"/>
        <w:jc w:val="both"/>
        <w:rPr>
          <w:rFonts w:eastAsiaTheme="minorHAnsi"/>
          <w:b/>
        </w:rPr>
      </w:pPr>
    </w:p>
    <w:p w14:paraId="174E6348" w14:textId="77777777" w:rsidR="008E3F8E" w:rsidRPr="00197A36" w:rsidRDefault="008E3F8E" w:rsidP="008E3F8E">
      <w:pPr>
        <w:pStyle w:val="Odsekzoznamu"/>
        <w:numPr>
          <w:ilvl w:val="0"/>
          <w:numId w:val="30"/>
        </w:numPr>
        <w:spacing w:after="120" w:line="276" w:lineRule="auto"/>
        <w:jc w:val="both"/>
        <w:rPr>
          <w:rFonts w:eastAsiaTheme="minorHAnsi"/>
          <w:b/>
        </w:rPr>
      </w:pPr>
      <w:r w:rsidRPr="00197A36">
        <w:rPr>
          <w:rFonts w:eastAsiaTheme="minorHAnsi"/>
          <w:b/>
        </w:rPr>
        <w:t>Zmena 13. dôchodku:</w:t>
      </w:r>
    </w:p>
    <w:p w14:paraId="35437AB4" w14:textId="77777777" w:rsidR="008E3F8E" w:rsidRDefault="008E3F8E" w:rsidP="008E3F8E">
      <w:pPr>
        <w:pStyle w:val="Odsekzoznamu"/>
        <w:spacing w:after="120"/>
        <w:jc w:val="both"/>
        <w:rPr>
          <w:rFonts w:eastAsiaTheme="minorHAnsi"/>
        </w:rPr>
      </w:pPr>
      <w:r w:rsidRPr="00197A36">
        <w:rPr>
          <w:rFonts w:eastAsiaTheme="minorHAnsi"/>
        </w:rPr>
        <w:t>Vo februári 2020 bola schválená zmena vianočného príspevku na 13. dôchodok. Ten sa mal vyplácať každému dôchodcovi vo výške priemerného dôchodku daného druhu</w:t>
      </w:r>
      <w:r>
        <w:rPr>
          <w:rFonts w:eastAsiaTheme="minorHAnsi"/>
        </w:rPr>
        <w:t>. Konečný návrh predpokladá, že n</w:t>
      </w:r>
      <w:r w:rsidRPr="00197A36">
        <w:rPr>
          <w:rFonts w:eastAsiaTheme="minorHAnsi"/>
        </w:rPr>
        <w:t xml:space="preserve">ová dávka </w:t>
      </w:r>
      <w:r>
        <w:rPr>
          <w:rFonts w:eastAsiaTheme="minorHAnsi"/>
        </w:rPr>
        <w:t xml:space="preserve">sa priznáva </w:t>
      </w:r>
      <w:r w:rsidRPr="00197A36">
        <w:rPr>
          <w:rFonts w:eastAsiaTheme="minorHAnsi"/>
        </w:rPr>
        <w:t>maxim</w:t>
      </w:r>
      <w:r>
        <w:rPr>
          <w:rFonts w:eastAsiaTheme="minorHAnsi"/>
        </w:rPr>
        <w:t xml:space="preserve">álne vo výške 300 eur a klesá </w:t>
      </w:r>
      <w:r w:rsidRPr="00197A36">
        <w:rPr>
          <w:rFonts w:eastAsiaTheme="minorHAnsi"/>
        </w:rPr>
        <w:t xml:space="preserve">s výškou dôchodku. </w:t>
      </w:r>
      <w:r>
        <w:rPr>
          <w:rFonts w:eastAsiaTheme="minorHAnsi"/>
        </w:rPr>
        <w:t>Minimálna dávka predstavuje 50 eur. Zmena opatrenia predstavuje pozitívny vplyv na implicitné záväzky do roku 2064 v objeme 11,8 % HDP.</w:t>
      </w:r>
    </w:p>
    <w:p w14:paraId="78C7120B" w14:textId="77777777" w:rsidR="008E3F8E" w:rsidRPr="00197A36" w:rsidRDefault="008E3F8E" w:rsidP="008E3F8E">
      <w:pPr>
        <w:pStyle w:val="Odsekzoznamu"/>
        <w:spacing w:after="120"/>
        <w:jc w:val="both"/>
        <w:rPr>
          <w:rFonts w:eastAsiaTheme="minorHAnsi"/>
        </w:rPr>
      </w:pPr>
    </w:p>
    <w:p w14:paraId="080C3B37" w14:textId="77777777" w:rsidR="008E3F8E" w:rsidRPr="0012644C" w:rsidRDefault="008E3F8E" w:rsidP="008E3F8E">
      <w:pPr>
        <w:pStyle w:val="Odsekzoznamu"/>
        <w:numPr>
          <w:ilvl w:val="0"/>
          <w:numId w:val="30"/>
        </w:numPr>
        <w:spacing w:after="120" w:line="276" w:lineRule="auto"/>
        <w:jc w:val="both"/>
        <w:rPr>
          <w:rFonts w:eastAsiaTheme="minorHAnsi"/>
          <w:b/>
        </w:rPr>
      </w:pPr>
      <w:r w:rsidRPr="0012644C">
        <w:rPr>
          <w:rFonts w:eastAsiaTheme="minorHAnsi"/>
          <w:b/>
        </w:rPr>
        <w:t>Zníženie dôchodkového veku pre matky:</w:t>
      </w:r>
    </w:p>
    <w:p w14:paraId="58487356" w14:textId="77777777" w:rsidR="008E3F8E" w:rsidRDefault="008E3F8E" w:rsidP="008E3F8E">
      <w:pPr>
        <w:pStyle w:val="Odsekzoznamu"/>
        <w:spacing w:after="120"/>
        <w:jc w:val="both"/>
        <w:rPr>
          <w:rFonts w:eastAsiaTheme="minorHAnsi"/>
        </w:rPr>
      </w:pPr>
      <w:r w:rsidRPr="0012644C">
        <w:rPr>
          <w:rFonts w:eastAsiaTheme="minorHAnsi"/>
        </w:rPr>
        <w:t xml:space="preserve">So schválením stropu na dôchodkový vek bolo ženám garantované zníženie dôchodkového veku o 6 mesiacov za každé </w:t>
      </w:r>
      <w:r>
        <w:rPr>
          <w:rFonts w:eastAsiaTheme="minorHAnsi"/>
        </w:rPr>
        <w:t xml:space="preserve">z maximálne troch detí. </w:t>
      </w:r>
      <w:r w:rsidRPr="0012644C">
        <w:rPr>
          <w:rFonts w:eastAsiaTheme="minorHAnsi"/>
        </w:rPr>
        <w:t>Nové opatrenie znižuje dôchodkový vek pre matky rovnakým spôsobom už od obdobia schválenia stropu na</w:t>
      </w:r>
      <w:r>
        <w:rPr>
          <w:rFonts w:eastAsiaTheme="minorHAnsi"/>
        </w:rPr>
        <w:t xml:space="preserve"> dôchodkový vek. Opatrenie zvyšuje</w:t>
      </w:r>
      <w:r w:rsidRPr="0012644C">
        <w:rPr>
          <w:rFonts w:eastAsiaTheme="minorHAnsi"/>
        </w:rPr>
        <w:t xml:space="preserve"> výdavky na dôchodky </w:t>
      </w:r>
      <w:r>
        <w:rPr>
          <w:rFonts w:eastAsiaTheme="minorHAnsi"/>
        </w:rPr>
        <w:t>na celom horizonte približne o 0,6 % HDP.</w:t>
      </w:r>
    </w:p>
    <w:tbl>
      <w:tblPr>
        <w:tblpPr w:leftFromText="141" w:rightFromText="141" w:vertAnchor="text" w:horzAnchor="margin" w:tblpXSpec="center" w:tblpY="61"/>
        <w:tblOverlap w:val="never"/>
        <w:tblW w:w="4887"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1E0" w:firstRow="1" w:lastRow="1" w:firstColumn="1" w:lastColumn="1" w:noHBand="0" w:noVBand="0"/>
      </w:tblPr>
      <w:tblGrid>
        <w:gridCol w:w="4363"/>
        <w:gridCol w:w="185"/>
        <w:gridCol w:w="4595"/>
      </w:tblGrid>
      <w:tr w:rsidR="00114233" w:rsidRPr="00D626EC" w14:paraId="36A973A3" w14:textId="77777777" w:rsidTr="00114233">
        <w:trPr>
          <w:trHeight w:val="358"/>
        </w:trPr>
        <w:tc>
          <w:tcPr>
            <w:tcW w:w="2386" w:type="pct"/>
            <w:tcBorders>
              <w:top w:val="nil"/>
              <w:left w:val="nil"/>
              <w:bottom w:val="single" w:sz="4" w:space="0" w:color="auto"/>
              <w:right w:val="nil"/>
            </w:tcBorders>
            <w:shd w:val="clear" w:color="auto" w:fill="auto"/>
            <w:vAlign w:val="center"/>
          </w:tcPr>
          <w:p w14:paraId="6E7D9995" w14:textId="4631487E" w:rsidR="00114233" w:rsidRPr="00C67343" w:rsidRDefault="00114233" w:rsidP="0015751D">
            <w:pPr>
              <w:shd w:val="clear" w:color="auto" w:fill="000000"/>
              <w:spacing w:before="240" w:after="120" w:line="240" w:lineRule="auto"/>
              <w:jc w:val="both"/>
              <w:rPr>
                <w:rFonts w:eastAsia="Calibri"/>
                <w:b/>
                <w:color w:val="FFFFFF" w:themeColor="background1"/>
                <w:sz w:val="18"/>
                <w:szCs w:val="22"/>
              </w:rPr>
            </w:pPr>
            <w:r w:rsidRPr="001C0B35">
              <w:rPr>
                <w:rFonts w:eastAsia="Calibri"/>
                <w:b/>
                <w:color w:val="FFFFFF" w:themeColor="background1"/>
                <w:sz w:val="18"/>
                <w:szCs w:val="22"/>
                <w:highlight w:val="black"/>
              </w:rPr>
              <w:t xml:space="preserve">Graf </w:t>
            </w:r>
            <w:r w:rsidR="0015751D">
              <w:rPr>
                <w:rFonts w:eastAsia="Calibri"/>
                <w:b/>
                <w:color w:val="FFFFFF" w:themeColor="background1"/>
                <w:sz w:val="18"/>
                <w:szCs w:val="22"/>
                <w:highlight w:val="black"/>
              </w:rPr>
              <w:t>17</w:t>
            </w:r>
            <w:r w:rsidRPr="001C0B35">
              <w:rPr>
                <w:rFonts w:eastAsia="Calibri"/>
                <w:b/>
                <w:color w:val="FFFFFF" w:themeColor="background1"/>
                <w:sz w:val="18"/>
                <w:szCs w:val="22"/>
                <w:highlight w:val="black"/>
              </w:rPr>
              <w:t xml:space="preserve"> Príspevky</w:t>
            </w:r>
            <w:r>
              <w:rPr>
                <w:rFonts w:eastAsia="Calibri"/>
                <w:b/>
                <w:color w:val="FFFFFF" w:themeColor="background1"/>
                <w:sz w:val="18"/>
                <w:szCs w:val="22"/>
              </w:rPr>
              <w:t xml:space="preserve"> k zmene implicitných záväzkov zo starnutia populácie v roku 2020 oproti SVS 2019</w:t>
            </w:r>
            <w:r w:rsidRPr="00C67343">
              <w:rPr>
                <w:rFonts w:eastAsia="Calibri"/>
                <w:b/>
                <w:color w:val="FFFFFF" w:themeColor="background1"/>
                <w:sz w:val="18"/>
                <w:szCs w:val="22"/>
              </w:rPr>
              <w:t xml:space="preserve"> (</w:t>
            </w:r>
            <w:r>
              <w:rPr>
                <w:rFonts w:eastAsia="Calibri"/>
                <w:b/>
                <w:color w:val="FFFFFF" w:themeColor="background1"/>
                <w:sz w:val="18"/>
                <w:szCs w:val="22"/>
              </w:rPr>
              <w:t xml:space="preserve">konečný horizont; </w:t>
            </w:r>
            <w:r w:rsidRPr="00C67343">
              <w:rPr>
                <w:rFonts w:eastAsia="Calibri"/>
                <w:b/>
                <w:color w:val="FFFFFF" w:themeColor="background1"/>
                <w:sz w:val="18"/>
                <w:szCs w:val="22"/>
              </w:rPr>
              <w:t>% HDP)</w:t>
            </w:r>
          </w:p>
        </w:tc>
        <w:tc>
          <w:tcPr>
            <w:tcW w:w="101" w:type="pct"/>
            <w:tcBorders>
              <w:top w:val="nil"/>
              <w:left w:val="nil"/>
              <w:bottom w:val="nil"/>
              <w:right w:val="nil"/>
            </w:tcBorders>
            <w:shd w:val="clear" w:color="auto" w:fill="auto"/>
            <w:vAlign w:val="center"/>
          </w:tcPr>
          <w:p w14:paraId="6379E62F" w14:textId="77777777" w:rsidR="00114233" w:rsidRPr="00C67343" w:rsidRDefault="00114233" w:rsidP="002A5EE4">
            <w:pPr>
              <w:spacing w:before="60" w:after="60"/>
              <w:rPr>
                <w:rFonts w:ascii="Arial Narrow" w:hAnsi="Arial Narrow" w:cs="Arial"/>
                <w:b/>
                <w:color w:val="FFFFFF" w:themeColor="background1"/>
                <w:sz w:val="18"/>
                <w:szCs w:val="18"/>
                <w:highlight w:val="red"/>
              </w:rPr>
            </w:pPr>
          </w:p>
        </w:tc>
        <w:tc>
          <w:tcPr>
            <w:tcW w:w="2513" w:type="pct"/>
            <w:tcBorders>
              <w:top w:val="nil"/>
              <w:left w:val="nil"/>
              <w:bottom w:val="single" w:sz="4" w:space="0" w:color="auto"/>
              <w:right w:val="nil"/>
            </w:tcBorders>
            <w:shd w:val="clear" w:color="auto" w:fill="auto"/>
            <w:vAlign w:val="center"/>
          </w:tcPr>
          <w:p w14:paraId="5680790E" w14:textId="5C3FA57B" w:rsidR="00114233" w:rsidRPr="00CB3CDF" w:rsidRDefault="00114233" w:rsidP="0015751D">
            <w:pPr>
              <w:shd w:val="clear" w:color="auto" w:fill="000000"/>
              <w:spacing w:before="240" w:after="120" w:line="240" w:lineRule="auto"/>
              <w:jc w:val="both"/>
              <w:rPr>
                <w:rFonts w:eastAsia="Calibri"/>
                <w:b/>
                <w:color w:val="FFFFFF" w:themeColor="background1"/>
                <w:sz w:val="18"/>
                <w:szCs w:val="22"/>
              </w:rPr>
            </w:pPr>
            <w:r w:rsidRPr="001C0B35">
              <w:rPr>
                <w:rFonts w:eastAsia="Calibri"/>
                <w:b/>
                <w:color w:val="FFFFFF" w:themeColor="background1"/>
                <w:sz w:val="18"/>
                <w:szCs w:val="22"/>
                <w:highlight w:val="black"/>
              </w:rPr>
              <w:t xml:space="preserve">Graf </w:t>
            </w:r>
            <w:r w:rsidR="0015751D">
              <w:rPr>
                <w:rFonts w:eastAsia="Calibri"/>
                <w:b/>
                <w:color w:val="FFFFFF" w:themeColor="background1"/>
                <w:sz w:val="18"/>
                <w:szCs w:val="22"/>
                <w:highlight w:val="black"/>
              </w:rPr>
              <w:t>18</w:t>
            </w:r>
            <w:r w:rsidRPr="001C0B35">
              <w:rPr>
                <w:rFonts w:eastAsia="Calibri"/>
                <w:b/>
                <w:color w:val="FFFFFF" w:themeColor="background1"/>
                <w:sz w:val="18"/>
                <w:szCs w:val="22"/>
                <w:highlight w:val="black"/>
              </w:rPr>
              <w:t xml:space="preserve"> Faktory</w:t>
            </w:r>
            <w:r w:rsidRPr="00C67343">
              <w:rPr>
                <w:rFonts w:eastAsia="Calibri"/>
                <w:b/>
                <w:color w:val="FFFFFF" w:themeColor="background1"/>
                <w:sz w:val="18"/>
                <w:szCs w:val="22"/>
              </w:rPr>
              <w:t xml:space="preserve"> ovplyvňujúce zmenu implicitných záväzkov z dôchodkového systému (</w:t>
            </w:r>
            <w:r>
              <w:rPr>
                <w:rFonts w:eastAsia="Calibri"/>
                <w:b/>
                <w:color w:val="FFFFFF" w:themeColor="background1"/>
                <w:sz w:val="18"/>
                <w:szCs w:val="22"/>
              </w:rPr>
              <w:t xml:space="preserve">konečný horizont; </w:t>
            </w:r>
            <w:r w:rsidRPr="00C67343">
              <w:rPr>
                <w:rFonts w:eastAsia="Calibri"/>
                <w:b/>
                <w:color w:val="FFFFFF" w:themeColor="background1"/>
                <w:sz w:val="18"/>
                <w:szCs w:val="22"/>
              </w:rPr>
              <w:t>% HDP)</w:t>
            </w:r>
          </w:p>
        </w:tc>
      </w:tr>
      <w:tr w:rsidR="00114233" w:rsidRPr="00D626EC" w14:paraId="13F3EDC4" w14:textId="77777777" w:rsidTr="00114233">
        <w:trPr>
          <w:trHeight w:val="913"/>
        </w:trPr>
        <w:tc>
          <w:tcPr>
            <w:tcW w:w="2386" w:type="pct"/>
            <w:tcBorders>
              <w:top w:val="single" w:sz="4" w:space="0" w:color="auto"/>
              <w:left w:val="nil"/>
              <w:bottom w:val="single" w:sz="4" w:space="0" w:color="auto"/>
              <w:right w:val="nil"/>
            </w:tcBorders>
            <w:vAlign w:val="center"/>
          </w:tcPr>
          <w:p w14:paraId="1DC5FACD" w14:textId="77777777" w:rsidR="00114233" w:rsidRPr="00FF7768" w:rsidRDefault="00114233" w:rsidP="002A5EE4">
            <w:pPr>
              <w:spacing w:before="40" w:after="40"/>
              <w:jc w:val="center"/>
              <w:rPr>
                <w:rFonts w:ascii="Arial Narrow" w:hAnsi="Arial Narrow" w:cs="Arial"/>
                <w:b/>
                <w:sz w:val="20"/>
                <w:szCs w:val="20"/>
                <w:highlight w:val="yellow"/>
              </w:rPr>
            </w:pPr>
            <w:r>
              <w:rPr>
                <w:noProof/>
                <w:lang w:eastAsia="sk-SK"/>
              </w:rPr>
              <w:drawing>
                <wp:inline distT="0" distB="0" distL="0" distR="0" wp14:anchorId="73DE7E10" wp14:editId="39972F16">
                  <wp:extent cx="2662987" cy="2240280"/>
                  <wp:effectExtent l="0" t="0" r="4445" b="762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101" w:type="pct"/>
            <w:tcBorders>
              <w:top w:val="nil"/>
              <w:left w:val="nil"/>
              <w:bottom w:val="nil"/>
              <w:right w:val="nil"/>
            </w:tcBorders>
            <w:vAlign w:val="center"/>
          </w:tcPr>
          <w:p w14:paraId="4F3341FE" w14:textId="77777777" w:rsidR="00114233" w:rsidRPr="00D626EC" w:rsidRDefault="00114233" w:rsidP="002A5EE4">
            <w:pPr>
              <w:spacing w:before="40" w:after="40"/>
              <w:jc w:val="center"/>
              <w:rPr>
                <w:rFonts w:ascii="Arial Narrow" w:hAnsi="Arial Narrow" w:cs="Arial"/>
                <w:b/>
                <w:sz w:val="20"/>
                <w:szCs w:val="20"/>
                <w:highlight w:val="yellow"/>
              </w:rPr>
            </w:pPr>
          </w:p>
        </w:tc>
        <w:tc>
          <w:tcPr>
            <w:tcW w:w="2513" w:type="pct"/>
            <w:tcBorders>
              <w:top w:val="single" w:sz="4" w:space="0" w:color="auto"/>
              <w:left w:val="nil"/>
              <w:bottom w:val="single" w:sz="4" w:space="0" w:color="auto"/>
              <w:right w:val="nil"/>
            </w:tcBorders>
            <w:vAlign w:val="center"/>
          </w:tcPr>
          <w:p w14:paraId="7C779DF6" w14:textId="77777777" w:rsidR="00114233" w:rsidRPr="00D626EC" w:rsidRDefault="00114233" w:rsidP="002A5EE4">
            <w:pPr>
              <w:spacing w:before="40" w:after="40"/>
              <w:jc w:val="center"/>
              <w:rPr>
                <w:rFonts w:ascii="Arial Narrow" w:hAnsi="Arial Narrow" w:cs="Arial"/>
                <w:b/>
                <w:sz w:val="20"/>
                <w:szCs w:val="20"/>
                <w:highlight w:val="yellow"/>
              </w:rPr>
            </w:pPr>
            <w:r w:rsidRPr="00003054">
              <w:rPr>
                <w:noProof/>
                <w:lang w:eastAsia="sk-SK"/>
              </w:rPr>
              <w:drawing>
                <wp:inline distT="0" distB="0" distL="0" distR="0" wp14:anchorId="77F641D2" wp14:editId="3D480588">
                  <wp:extent cx="2772029" cy="2276475"/>
                  <wp:effectExtent l="0" t="0" r="9525" b="952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114233" w:rsidRPr="004D13F3" w14:paraId="57155D85" w14:textId="77777777" w:rsidTr="00114233">
        <w:trPr>
          <w:trHeight w:val="114"/>
        </w:trPr>
        <w:tc>
          <w:tcPr>
            <w:tcW w:w="2386" w:type="pct"/>
            <w:tcBorders>
              <w:top w:val="single" w:sz="4" w:space="0" w:color="auto"/>
              <w:left w:val="nil"/>
              <w:bottom w:val="nil"/>
              <w:right w:val="nil"/>
            </w:tcBorders>
          </w:tcPr>
          <w:p w14:paraId="0FF53460" w14:textId="77777777" w:rsidR="00114233" w:rsidRPr="004D13F3" w:rsidRDefault="00114233" w:rsidP="002A5EE4">
            <w:pPr>
              <w:spacing w:before="40" w:after="40"/>
              <w:jc w:val="right"/>
              <w:rPr>
                <w:rFonts w:ascii="Arial Narrow" w:hAnsi="Arial Narrow" w:cs="Arial"/>
                <w:i/>
                <w:sz w:val="14"/>
                <w:szCs w:val="14"/>
              </w:rPr>
            </w:pPr>
            <w:r w:rsidRPr="004D13F3">
              <w:rPr>
                <w:rFonts w:ascii="Arial Narrow" w:hAnsi="Arial Narrow" w:cs="Arial"/>
                <w:i/>
                <w:sz w:val="14"/>
                <w:szCs w:val="14"/>
              </w:rPr>
              <w:t>Zdroj</w:t>
            </w:r>
            <w:r>
              <w:rPr>
                <w:rFonts w:ascii="Arial Narrow" w:hAnsi="Arial Narrow" w:cs="Arial"/>
                <w:i/>
                <w:sz w:val="14"/>
                <w:szCs w:val="14"/>
              </w:rPr>
              <w:t>: MF SR</w:t>
            </w:r>
          </w:p>
        </w:tc>
        <w:tc>
          <w:tcPr>
            <w:tcW w:w="101" w:type="pct"/>
            <w:tcBorders>
              <w:top w:val="nil"/>
              <w:left w:val="nil"/>
              <w:bottom w:val="nil"/>
              <w:right w:val="nil"/>
            </w:tcBorders>
          </w:tcPr>
          <w:p w14:paraId="4CE6F4E1" w14:textId="77777777" w:rsidR="00114233" w:rsidRPr="004D13F3" w:rsidRDefault="00114233" w:rsidP="002A5EE4">
            <w:pPr>
              <w:jc w:val="right"/>
              <w:rPr>
                <w:rFonts w:ascii="Arial Narrow" w:hAnsi="Arial Narrow" w:cs="Arial"/>
                <w:i/>
                <w:sz w:val="14"/>
                <w:szCs w:val="14"/>
              </w:rPr>
            </w:pPr>
          </w:p>
        </w:tc>
        <w:tc>
          <w:tcPr>
            <w:tcW w:w="2513" w:type="pct"/>
            <w:tcBorders>
              <w:top w:val="single" w:sz="4" w:space="0" w:color="auto"/>
              <w:left w:val="nil"/>
              <w:bottom w:val="nil"/>
              <w:right w:val="nil"/>
            </w:tcBorders>
          </w:tcPr>
          <w:p w14:paraId="534D49CF" w14:textId="77777777" w:rsidR="00114233" w:rsidRPr="004D13F3" w:rsidRDefault="00114233" w:rsidP="002A5EE4">
            <w:pPr>
              <w:spacing w:before="40" w:after="40"/>
              <w:jc w:val="right"/>
              <w:rPr>
                <w:rFonts w:ascii="Arial Narrow" w:hAnsi="Arial Narrow" w:cs="Arial"/>
                <w:i/>
                <w:sz w:val="14"/>
                <w:szCs w:val="14"/>
              </w:rPr>
            </w:pPr>
            <w:r w:rsidRPr="004D13F3">
              <w:rPr>
                <w:rFonts w:ascii="Arial Narrow" w:hAnsi="Arial Narrow" w:cs="Arial"/>
                <w:i/>
                <w:sz w:val="14"/>
                <w:szCs w:val="14"/>
              </w:rPr>
              <w:t xml:space="preserve">Zdroj: </w:t>
            </w:r>
            <w:r>
              <w:rPr>
                <w:rFonts w:ascii="Arial Narrow" w:hAnsi="Arial Narrow" w:cs="Arial"/>
                <w:i/>
                <w:sz w:val="14"/>
                <w:szCs w:val="14"/>
              </w:rPr>
              <w:t>MF SR</w:t>
            </w:r>
            <w:r w:rsidRPr="004D13F3">
              <w:rPr>
                <w:rFonts w:ascii="Arial Narrow" w:hAnsi="Arial Narrow" w:cs="Arial"/>
                <w:i/>
                <w:sz w:val="14"/>
                <w:szCs w:val="14"/>
              </w:rPr>
              <w:t xml:space="preserve"> </w:t>
            </w:r>
          </w:p>
        </w:tc>
      </w:tr>
    </w:tbl>
    <w:p w14:paraId="01C4A27E" w14:textId="77777777" w:rsidR="003F39DD" w:rsidRDefault="008E3F8E" w:rsidP="008E3F8E">
      <w:pPr>
        <w:spacing w:after="120" w:line="240" w:lineRule="auto"/>
        <w:contextualSpacing/>
        <w:jc w:val="both"/>
        <w:rPr>
          <w:rFonts w:eastAsia="Calibri"/>
          <w:szCs w:val="22"/>
        </w:rPr>
      </w:pPr>
      <w:r w:rsidRPr="009E09F0">
        <w:rPr>
          <w:rFonts w:eastAsia="Calibri"/>
          <w:b/>
          <w:szCs w:val="22"/>
        </w:rPr>
        <w:t xml:space="preserve">Záväzky </w:t>
      </w:r>
      <w:r>
        <w:rPr>
          <w:rFonts w:eastAsia="Calibri"/>
          <w:b/>
          <w:szCs w:val="22"/>
        </w:rPr>
        <w:t>vyplývajúce z PPP projektov</w:t>
      </w:r>
      <w:r w:rsidRPr="009E09F0">
        <w:rPr>
          <w:rFonts w:eastAsia="Calibri"/>
          <w:b/>
          <w:szCs w:val="22"/>
        </w:rPr>
        <w:t xml:space="preserve"> </w:t>
      </w:r>
      <w:r>
        <w:rPr>
          <w:rFonts w:eastAsia="Calibri"/>
          <w:b/>
          <w:szCs w:val="22"/>
        </w:rPr>
        <w:t>predstavovali ku koncu roka 2020 hodnotu 4,4</w:t>
      </w:r>
      <w:r w:rsidRPr="009E09F0">
        <w:rPr>
          <w:rFonts w:eastAsia="Calibri"/>
          <w:b/>
          <w:szCs w:val="22"/>
        </w:rPr>
        <w:t xml:space="preserve"> % HDP</w:t>
      </w:r>
      <w:r>
        <w:rPr>
          <w:rFonts w:eastAsia="Calibri"/>
          <w:b/>
          <w:szCs w:val="22"/>
        </w:rPr>
        <w:t xml:space="preserve">, medziročne vzrástli o 0,8 </w:t>
      </w:r>
      <w:proofErr w:type="spellStart"/>
      <w:r>
        <w:rPr>
          <w:rFonts w:eastAsia="Calibri"/>
          <w:b/>
          <w:szCs w:val="22"/>
        </w:rPr>
        <w:t>p.b</w:t>
      </w:r>
      <w:proofErr w:type="spellEnd"/>
      <w:r>
        <w:rPr>
          <w:rFonts w:eastAsia="Calibri"/>
          <w:b/>
          <w:szCs w:val="22"/>
        </w:rPr>
        <w:t>. HDP.</w:t>
      </w:r>
      <w:r w:rsidRPr="009E09F0">
        <w:rPr>
          <w:rFonts w:eastAsia="Calibri"/>
          <w:b/>
          <w:szCs w:val="22"/>
        </w:rPr>
        <w:t xml:space="preserve"> </w:t>
      </w:r>
      <w:r w:rsidRPr="00F61B6E">
        <w:rPr>
          <w:rFonts w:eastAsia="Calibri"/>
          <w:szCs w:val="22"/>
        </w:rPr>
        <w:t>Záväzky s</w:t>
      </w:r>
      <w:r w:rsidRPr="009E09F0">
        <w:rPr>
          <w:rFonts w:eastAsia="Calibri"/>
          <w:szCs w:val="22"/>
        </w:rPr>
        <w:t>ú kvantifikované na základe odhadu platieb štátu za dostupnosť počas ich celej doby trvania koncesie.</w:t>
      </w:r>
      <w:r w:rsidRPr="009E09F0">
        <w:rPr>
          <w:rFonts w:eastAsia="Calibri"/>
          <w:szCs w:val="22"/>
          <w:vertAlign w:val="superscript"/>
        </w:rPr>
        <w:footnoteReference w:id="39"/>
      </w:r>
    </w:p>
    <w:p w14:paraId="1C753E40" w14:textId="52C81998" w:rsidR="008E3F8E" w:rsidRDefault="008E3F8E" w:rsidP="008E3F8E">
      <w:pPr>
        <w:spacing w:after="120" w:line="240" w:lineRule="auto"/>
        <w:contextualSpacing/>
        <w:jc w:val="both"/>
        <w:rPr>
          <w:rFonts w:eastAsia="Calibri"/>
          <w:szCs w:val="22"/>
        </w:rPr>
      </w:pPr>
      <w:r>
        <w:rPr>
          <w:rFonts w:eastAsia="Calibri"/>
          <w:szCs w:val="22"/>
        </w:rPr>
        <w:lastRenderedPageBreak/>
        <w:t xml:space="preserve">Medziročný nárast implicitných záväzkov o 0,8 </w:t>
      </w:r>
      <w:proofErr w:type="spellStart"/>
      <w:r>
        <w:rPr>
          <w:rFonts w:eastAsia="Calibri"/>
          <w:szCs w:val="22"/>
        </w:rPr>
        <w:t>p.b</w:t>
      </w:r>
      <w:proofErr w:type="spellEnd"/>
      <w:r>
        <w:rPr>
          <w:rFonts w:eastAsia="Calibri"/>
          <w:szCs w:val="22"/>
        </w:rPr>
        <w:t>. je spôsobený revíziou úrokových sadzieb na horizonte do roku 2050, ktoré sú vstupom pre výpočet súčasnej hodnoty budúcich výdavkov na PPP projekty.</w:t>
      </w:r>
    </w:p>
    <w:p w14:paraId="618AB2AF" w14:textId="77777777" w:rsidR="003F39DD" w:rsidRPr="009E09F0" w:rsidRDefault="003F39DD" w:rsidP="008E3F8E">
      <w:pPr>
        <w:spacing w:after="120" w:line="240" w:lineRule="auto"/>
        <w:contextualSpacing/>
        <w:jc w:val="both"/>
        <w:rPr>
          <w:rFonts w:eastAsia="Calibri"/>
          <w:szCs w:val="22"/>
        </w:rPr>
      </w:pPr>
    </w:p>
    <w:tbl>
      <w:tblPr>
        <w:tblW w:w="5001" w:type="pct"/>
        <w:tblCellMar>
          <w:left w:w="70" w:type="dxa"/>
          <w:right w:w="70" w:type="dxa"/>
        </w:tblCellMar>
        <w:tblLook w:val="04A0" w:firstRow="1" w:lastRow="0" w:firstColumn="1" w:lastColumn="0" w:noHBand="0" w:noVBand="1"/>
      </w:tblPr>
      <w:tblGrid>
        <w:gridCol w:w="3975"/>
        <w:gridCol w:w="1052"/>
        <w:gridCol w:w="1052"/>
        <w:gridCol w:w="32"/>
        <w:gridCol w:w="206"/>
        <w:gridCol w:w="814"/>
        <w:gridCol w:w="1052"/>
        <w:gridCol w:w="1173"/>
      </w:tblGrid>
      <w:tr w:rsidR="008E3F8E" w:rsidRPr="009E09F0" w14:paraId="09A1CFC3" w14:textId="77777777" w:rsidTr="002A5EE4">
        <w:trPr>
          <w:trHeight w:val="318"/>
        </w:trPr>
        <w:tc>
          <w:tcPr>
            <w:tcW w:w="5000" w:type="pct"/>
            <w:gridSpan w:val="8"/>
            <w:tcBorders>
              <w:top w:val="nil"/>
              <w:left w:val="nil"/>
              <w:bottom w:val="nil"/>
              <w:right w:val="nil"/>
            </w:tcBorders>
            <w:shd w:val="clear" w:color="000000" w:fill="000000"/>
            <w:noWrap/>
            <w:vAlign w:val="center"/>
            <w:hideMark/>
          </w:tcPr>
          <w:p w14:paraId="0D0EBE29" w14:textId="3DA2A6F0" w:rsidR="008E3F8E" w:rsidRPr="009E09F0" w:rsidRDefault="00C43BB4" w:rsidP="002A5EE4">
            <w:pPr>
              <w:spacing w:after="0" w:line="240" w:lineRule="auto"/>
              <w:rPr>
                <w:b/>
                <w:bCs/>
                <w:color w:val="FFFFFF"/>
                <w:sz w:val="18"/>
                <w:szCs w:val="18"/>
                <w:lang w:eastAsia="sk-SK"/>
              </w:rPr>
            </w:pPr>
            <w:r>
              <w:rPr>
                <w:b/>
                <w:bCs/>
                <w:color w:val="FFFFFF"/>
                <w:sz w:val="18"/>
                <w:szCs w:val="18"/>
                <w:lang w:eastAsia="sk-SK"/>
              </w:rPr>
              <w:t xml:space="preserve">Tab. 19 - </w:t>
            </w:r>
            <w:r w:rsidR="008E3F8E" w:rsidRPr="009E09F0">
              <w:rPr>
                <w:b/>
                <w:bCs/>
                <w:color w:val="FFFFFF"/>
                <w:sz w:val="18"/>
                <w:szCs w:val="18"/>
                <w:lang w:eastAsia="sk-SK"/>
              </w:rPr>
              <w:t>Vplyv PPP projektov (v % HDP) </w:t>
            </w:r>
          </w:p>
        </w:tc>
      </w:tr>
      <w:tr w:rsidR="008E3F8E" w:rsidRPr="009E09F0" w14:paraId="5168E410" w14:textId="77777777" w:rsidTr="002A5EE4">
        <w:trPr>
          <w:trHeight w:val="318"/>
        </w:trPr>
        <w:tc>
          <w:tcPr>
            <w:tcW w:w="2125" w:type="pct"/>
            <w:tcBorders>
              <w:top w:val="nil"/>
              <w:left w:val="nil"/>
              <w:bottom w:val="nil"/>
              <w:right w:val="nil"/>
            </w:tcBorders>
            <w:shd w:val="clear" w:color="000000" w:fill="D9D9D9"/>
            <w:noWrap/>
            <w:vAlign w:val="center"/>
            <w:hideMark/>
          </w:tcPr>
          <w:p w14:paraId="1FAC2D68" w14:textId="77777777" w:rsidR="008E3F8E" w:rsidRPr="009E09F0" w:rsidRDefault="008E3F8E" w:rsidP="002A5EE4">
            <w:pPr>
              <w:spacing w:after="0" w:line="240" w:lineRule="auto"/>
              <w:jc w:val="center"/>
              <w:rPr>
                <w:color w:val="000000"/>
                <w:sz w:val="18"/>
                <w:szCs w:val="18"/>
                <w:lang w:eastAsia="sk-SK"/>
              </w:rPr>
            </w:pPr>
            <w:r w:rsidRPr="009E09F0">
              <w:rPr>
                <w:color w:val="000000"/>
                <w:sz w:val="18"/>
                <w:szCs w:val="18"/>
                <w:lang w:eastAsia="sk-SK"/>
              </w:rPr>
              <w:t> </w:t>
            </w:r>
          </w:p>
        </w:tc>
        <w:tc>
          <w:tcPr>
            <w:tcW w:w="562" w:type="pct"/>
            <w:tcBorders>
              <w:top w:val="nil"/>
              <w:left w:val="nil"/>
              <w:bottom w:val="nil"/>
              <w:right w:val="nil"/>
            </w:tcBorders>
            <w:shd w:val="clear" w:color="000000" w:fill="D9D9D9"/>
            <w:noWrap/>
            <w:vAlign w:val="center"/>
            <w:hideMark/>
          </w:tcPr>
          <w:p w14:paraId="2B569FC9" w14:textId="77777777" w:rsidR="008E3F8E" w:rsidRPr="009E09F0" w:rsidRDefault="008E3F8E" w:rsidP="002A5EE4">
            <w:pPr>
              <w:spacing w:after="0" w:line="240" w:lineRule="auto"/>
              <w:jc w:val="center"/>
              <w:rPr>
                <w:b/>
                <w:bCs/>
                <w:color w:val="000000"/>
                <w:sz w:val="18"/>
                <w:szCs w:val="18"/>
                <w:lang w:eastAsia="sk-SK"/>
              </w:rPr>
            </w:pPr>
            <w:r w:rsidRPr="009E09F0">
              <w:rPr>
                <w:b/>
                <w:bCs/>
                <w:color w:val="000000"/>
                <w:sz w:val="18"/>
                <w:szCs w:val="18"/>
                <w:lang w:eastAsia="sk-SK"/>
              </w:rPr>
              <w:t>2020</w:t>
            </w:r>
          </w:p>
        </w:tc>
        <w:tc>
          <w:tcPr>
            <w:tcW w:w="562" w:type="pct"/>
            <w:tcBorders>
              <w:top w:val="nil"/>
              <w:left w:val="nil"/>
              <w:bottom w:val="nil"/>
              <w:right w:val="nil"/>
            </w:tcBorders>
            <w:shd w:val="clear" w:color="000000" w:fill="D9D9D9"/>
            <w:noWrap/>
            <w:vAlign w:val="center"/>
            <w:hideMark/>
          </w:tcPr>
          <w:p w14:paraId="353CB3EB" w14:textId="77777777" w:rsidR="008E3F8E" w:rsidRPr="009E09F0" w:rsidRDefault="008E3F8E" w:rsidP="002A5EE4">
            <w:pPr>
              <w:spacing w:after="0" w:line="240" w:lineRule="auto"/>
              <w:jc w:val="center"/>
              <w:rPr>
                <w:b/>
                <w:bCs/>
                <w:color w:val="000000"/>
                <w:sz w:val="18"/>
                <w:szCs w:val="18"/>
                <w:lang w:eastAsia="sk-SK"/>
              </w:rPr>
            </w:pPr>
            <w:r w:rsidRPr="009E09F0">
              <w:rPr>
                <w:b/>
                <w:bCs/>
                <w:color w:val="000000"/>
                <w:sz w:val="18"/>
                <w:szCs w:val="18"/>
                <w:lang w:eastAsia="sk-SK"/>
              </w:rPr>
              <w:t>2030</w:t>
            </w:r>
          </w:p>
        </w:tc>
        <w:tc>
          <w:tcPr>
            <w:tcW w:w="562" w:type="pct"/>
            <w:gridSpan w:val="3"/>
            <w:tcBorders>
              <w:top w:val="nil"/>
              <w:left w:val="nil"/>
              <w:bottom w:val="nil"/>
              <w:right w:val="nil"/>
            </w:tcBorders>
            <w:shd w:val="clear" w:color="000000" w:fill="D9D9D9"/>
            <w:noWrap/>
            <w:vAlign w:val="center"/>
            <w:hideMark/>
          </w:tcPr>
          <w:p w14:paraId="74CF064D" w14:textId="77777777" w:rsidR="008E3F8E" w:rsidRPr="009E09F0" w:rsidRDefault="008E3F8E" w:rsidP="002A5EE4">
            <w:pPr>
              <w:spacing w:after="0" w:line="240" w:lineRule="auto"/>
              <w:jc w:val="center"/>
              <w:rPr>
                <w:b/>
                <w:bCs/>
                <w:color w:val="000000"/>
                <w:sz w:val="18"/>
                <w:szCs w:val="18"/>
                <w:lang w:eastAsia="sk-SK"/>
              </w:rPr>
            </w:pPr>
            <w:r w:rsidRPr="009E09F0">
              <w:rPr>
                <w:b/>
                <w:bCs/>
                <w:color w:val="000000"/>
                <w:sz w:val="18"/>
                <w:szCs w:val="18"/>
                <w:lang w:eastAsia="sk-SK"/>
              </w:rPr>
              <w:t>2040</w:t>
            </w:r>
          </w:p>
        </w:tc>
        <w:tc>
          <w:tcPr>
            <w:tcW w:w="562" w:type="pct"/>
            <w:tcBorders>
              <w:top w:val="nil"/>
              <w:left w:val="nil"/>
              <w:bottom w:val="nil"/>
              <w:right w:val="single" w:sz="8" w:space="0" w:color="auto"/>
            </w:tcBorders>
            <w:shd w:val="clear" w:color="000000" w:fill="D9D9D9"/>
            <w:vAlign w:val="center"/>
            <w:hideMark/>
          </w:tcPr>
          <w:p w14:paraId="4531A033" w14:textId="77777777" w:rsidR="008E3F8E" w:rsidRPr="009E09F0" w:rsidRDefault="008E3F8E" w:rsidP="002A5EE4">
            <w:pPr>
              <w:spacing w:after="0" w:line="240" w:lineRule="auto"/>
              <w:jc w:val="center"/>
              <w:rPr>
                <w:b/>
                <w:bCs/>
                <w:color w:val="000000"/>
                <w:sz w:val="18"/>
                <w:szCs w:val="18"/>
                <w:lang w:eastAsia="sk-SK"/>
              </w:rPr>
            </w:pPr>
            <w:r w:rsidRPr="009E09F0">
              <w:rPr>
                <w:b/>
                <w:bCs/>
                <w:color w:val="000000"/>
                <w:sz w:val="18"/>
                <w:szCs w:val="18"/>
                <w:lang w:eastAsia="sk-SK"/>
              </w:rPr>
              <w:t>2050</w:t>
            </w:r>
          </w:p>
        </w:tc>
        <w:tc>
          <w:tcPr>
            <w:tcW w:w="627" w:type="pct"/>
            <w:tcBorders>
              <w:top w:val="nil"/>
              <w:left w:val="nil"/>
              <w:bottom w:val="nil"/>
              <w:right w:val="nil"/>
            </w:tcBorders>
            <w:shd w:val="clear" w:color="000000" w:fill="D9D9D9"/>
            <w:noWrap/>
            <w:vAlign w:val="center"/>
            <w:hideMark/>
          </w:tcPr>
          <w:p w14:paraId="1BDB917B" w14:textId="77777777" w:rsidR="008E3F8E" w:rsidRPr="009E09F0" w:rsidRDefault="008E3F8E" w:rsidP="002A5EE4">
            <w:pPr>
              <w:spacing w:after="0" w:line="240" w:lineRule="auto"/>
              <w:jc w:val="center"/>
              <w:rPr>
                <w:b/>
                <w:bCs/>
                <w:color w:val="000000"/>
                <w:sz w:val="18"/>
                <w:szCs w:val="18"/>
                <w:lang w:eastAsia="sk-SK"/>
              </w:rPr>
            </w:pPr>
            <w:r w:rsidRPr="009E09F0">
              <w:rPr>
                <w:b/>
                <w:bCs/>
                <w:color w:val="000000"/>
                <w:sz w:val="18"/>
                <w:szCs w:val="18"/>
                <w:lang w:eastAsia="sk-SK"/>
              </w:rPr>
              <w:t>Spolu</w:t>
            </w:r>
          </w:p>
        </w:tc>
      </w:tr>
      <w:tr w:rsidR="008E3F8E" w:rsidRPr="009E09F0" w14:paraId="530C4850" w14:textId="77777777" w:rsidTr="002A5EE4">
        <w:trPr>
          <w:trHeight w:val="283"/>
        </w:trPr>
        <w:tc>
          <w:tcPr>
            <w:tcW w:w="2125" w:type="pct"/>
            <w:tcBorders>
              <w:top w:val="nil"/>
              <w:left w:val="nil"/>
              <w:bottom w:val="nil"/>
              <w:right w:val="nil"/>
            </w:tcBorders>
            <w:shd w:val="clear" w:color="auto" w:fill="auto"/>
            <w:noWrap/>
            <w:vAlign w:val="center"/>
            <w:hideMark/>
          </w:tcPr>
          <w:p w14:paraId="4002257C" w14:textId="77777777" w:rsidR="008E3F8E" w:rsidRPr="009E09F0" w:rsidRDefault="008E3F8E" w:rsidP="002A5EE4">
            <w:pPr>
              <w:spacing w:after="0" w:line="240" w:lineRule="auto"/>
              <w:rPr>
                <w:color w:val="000000"/>
                <w:sz w:val="18"/>
                <w:szCs w:val="18"/>
                <w:lang w:eastAsia="sk-SK"/>
              </w:rPr>
            </w:pPr>
            <w:r w:rsidRPr="009E09F0">
              <w:rPr>
                <w:color w:val="000000"/>
                <w:sz w:val="18"/>
                <w:szCs w:val="18"/>
                <w:lang w:eastAsia="sk-SK"/>
              </w:rPr>
              <w:t>Platba za dostupnosť R1*</w:t>
            </w:r>
          </w:p>
        </w:tc>
        <w:tc>
          <w:tcPr>
            <w:tcW w:w="562" w:type="pct"/>
            <w:tcBorders>
              <w:top w:val="nil"/>
              <w:left w:val="nil"/>
              <w:bottom w:val="nil"/>
              <w:right w:val="nil"/>
            </w:tcBorders>
            <w:shd w:val="clear" w:color="auto" w:fill="auto"/>
            <w:noWrap/>
            <w:vAlign w:val="center"/>
            <w:hideMark/>
          </w:tcPr>
          <w:p w14:paraId="2D64E090" w14:textId="77777777" w:rsidR="008E3F8E" w:rsidRPr="009E09F0" w:rsidRDefault="008E3F8E" w:rsidP="002A5EE4">
            <w:pPr>
              <w:spacing w:after="0" w:line="240" w:lineRule="auto"/>
              <w:jc w:val="center"/>
              <w:rPr>
                <w:rFonts w:eastAsia="Calibri"/>
                <w:bCs/>
                <w:color w:val="000000"/>
                <w:sz w:val="18"/>
                <w:szCs w:val="18"/>
              </w:rPr>
            </w:pPr>
            <w:r w:rsidRPr="009E09F0">
              <w:rPr>
                <w:rFonts w:eastAsia="Calibri"/>
                <w:bCs/>
                <w:color w:val="000000"/>
                <w:sz w:val="18"/>
                <w:szCs w:val="18"/>
              </w:rPr>
              <w:t>0,13</w:t>
            </w:r>
          </w:p>
        </w:tc>
        <w:tc>
          <w:tcPr>
            <w:tcW w:w="562" w:type="pct"/>
            <w:tcBorders>
              <w:top w:val="nil"/>
              <w:left w:val="nil"/>
              <w:bottom w:val="nil"/>
              <w:right w:val="nil"/>
            </w:tcBorders>
            <w:shd w:val="clear" w:color="auto" w:fill="auto"/>
            <w:noWrap/>
            <w:vAlign w:val="center"/>
            <w:hideMark/>
          </w:tcPr>
          <w:p w14:paraId="1207B7FA" w14:textId="77777777" w:rsidR="008E3F8E" w:rsidRPr="009E09F0" w:rsidRDefault="008E3F8E" w:rsidP="002A5EE4">
            <w:pPr>
              <w:spacing w:after="0" w:line="240" w:lineRule="auto"/>
              <w:jc w:val="center"/>
              <w:rPr>
                <w:rFonts w:eastAsia="Calibri"/>
                <w:bCs/>
                <w:color w:val="000000"/>
                <w:sz w:val="18"/>
                <w:szCs w:val="18"/>
              </w:rPr>
            </w:pPr>
            <w:r>
              <w:rPr>
                <w:rFonts w:eastAsia="Calibri"/>
                <w:bCs/>
                <w:color w:val="000000"/>
                <w:sz w:val="18"/>
                <w:szCs w:val="18"/>
              </w:rPr>
              <w:t>0,12</w:t>
            </w:r>
          </w:p>
        </w:tc>
        <w:tc>
          <w:tcPr>
            <w:tcW w:w="562" w:type="pct"/>
            <w:gridSpan w:val="3"/>
            <w:tcBorders>
              <w:top w:val="nil"/>
              <w:left w:val="nil"/>
              <w:bottom w:val="nil"/>
              <w:right w:val="nil"/>
            </w:tcBorders>
            <w:shd w:val="clear" w:color="auto" w:fill="auto"/>
            <w:noWrap/>
            <w:vAlign w:val="center"/>
            <w:hideMark/>
          </w:tcPr>
          <w:p w14:paraId="4D29A61F" w14:textId="77777777" w:rsidR="008E3F8E" w:rsidRPr="009E09F0" w:rsidRDefault="008E3F8E" w:rsidP="002A5EE4">
            <w:pPr>
              <w:spacing w:after="0" w:line="240" w:lineRule="auto"/>
              <w:jc w:val="center"/>
              <w:rPr>
                <w:rFonts w:eastAsia="Calibri"/>
                <w:bCs/>
                <w:color w:val="000000"/>
                <w:sz w:val="18"/>
                <w:szCs w:val="18"/>
              </w:rPr>
            </w:pPr>
            <w:r>
              <w:rPr>
                <w:rFonts w:eastAsia="Calibri"/>
                <w:bCs/>
                <w:color w:val="000000"/>
                <w:sz w:val="18"/>
                <w:szCs w:val="18"/>
              </w:rPr>
              <w:t>0,11</w:t>
            </w:r>
          </w:p>
        </w:tc>
        <w:tc>
          <w:tcPr>
            <w:tcW w:w="562" w:type="pct"/>
            <w:tcBorders>
              <w:top w:val="nil"/>
              <w:left w:val="nil"/>
              <w:bottom w:val="nil"/>
              <w:right w:val="single" w:sz="8" w:space="0" w:color="auto"/>
            </w:tcBorders>
            <w:shd w:val="clear" w:color="auto" w:fill="auto"/>
            <w:vAlign w:val="center"/>
            <w:hideMark/>
          </w:tcPr>
          <w:p w14:paraId="51D6C4DC" w14:textId="77777777" w:rsidR="008E3F8E" w:rsidRPr="009E09F0" w:rsidRDefault="008E3F8E" w:rsidP="002A5EE4">
            <w:pPr>
              <w:spacing w:after="0" w:line="240" w:lineRule="auto"/>
              <w:jc w:val="center"/>
              <w:rPr>
                <w:rFonts w:eastAsia="Calibri"/>
                <w:bCs/>
                <w:color w:val="000000"/>
                <w:sz w:val="18"/>
                <w:szCs w:val="18"/>
              </w:rPr>
            </w:pPr>
            <w:r w:rsidRPr="009E09F0">
              <w:rPr>
                <w:rFonts w:eastAsia="Calibri"/>
                <w:bCs/>
                <w:color w:val="000000"/>
                <w:sz w:val="18"/>
                <w:szCs w:val="18"/>
              </w:rPr>
              <w:t>-</w:t>
            </w:r>
          </w:p>
        </w:tc>
        <w:tc>
          <w:tcPr>
            <w:tcW w:w="627" w:type="pct"/>
            <w:tcBorders>
              <w:top w:val="nil"/>
              <w:left w:val="nil"/>
              <w:bottom w:val="nil"/>
              <w:right w:val="nil"/>
            </w:tcBorders>
            <w:shd w:val="clear" w:color="auto" w:fill="auto"/>
            <w:noWrap/>
            <w:vAlign w:val="center"/>
            <w:hideMark/>
          </w:tcPr>
          <w:p w14:paraId="374AFE58" w14:textId="77777777" w:rsidR="008E3F8E" w:rsidRPr="009E09F0" w:rsidRDefault="008E3F8E" w:rsidP="002A5EE4">
            <w:pPr>
              <w:spacing w:after="0" w:line="240" w:lineRule="auto"/>
              <w:jc w:val="center"/>
              <w:rPr>
                <w:rFonts w:eastAsia="Calibri"/>
                <w:bCs/>
                <w:color w:val="000000"/>
                <w:sz w:val="18"/>
                <w:szCs w:val="18"/>
              </w:rPr>
            </w:pPr>
            <w:r>
              <w:rPr>
                <w:rFonts w:eastAsia="Calibri"/>
                <w:bCs/>
                <w:color w:val="000000"/>
                <w:sz w:val="18"/>
                <w:szCs w:val="18"/>
              </w:rPr>
              <w:t>2,7</w:t>
            </w:r>
          </w:p>
        </w:tc>
      </w:tr>
      <w:tr w:rsidR="008E3F8E" w:rsidRPr="009E09F0" w14:paraId="32F40E14" w14:textId="77777777" w:rsidTr="002A5EE4">
        <w:trPr>
          <w:trHeight w:val="283"/>
        </w:trPr>
        <w:tc>
          <w:tcPr>
            <w:tcW w:w="2125" w:type="pct"/>
            <w:tcBorders>
              <w:top w:val="nil"/>
              <w:left w:val="nil"/>
              <w:right w:val="nil"/>
            </w:tcBorders>
            <w:shd w:val="clear" w:color="auto" w:fill="auto"/>
            <w:noWrap/>
            <w:vAlign w:val="center"/>
            <w:hideMark/>
          </w:tcPr>
          <w:p w14:paraId="193F16CE" w14:textId="77777777" w:rsidR="008E3F8E" w:rsidRPr="009E09F0" w:rsidRDefault="008E3F8E" w:rsidP="002A5EE4">
            <w:pPr>
              <w:spacing w:after="0" w:line="240" w:lineRule="auto"/>
              <w:rPr>
                <w:color w:val="000000"/>
                <w:sz w:val="18"/>
                <w:szCs w:val="18"/>
                <w:lang w:eastAsia="sk-SK"/>
              </w:rPr>
            </w:pPr>
            <w:r w:rsidRPr="009E09F0">
              <w:rPr>
                <w:color w:val="000000"/>
                <w:sz w:val="18"/>
                <w:szCs w:val="18"/>
                <w:lang w:eastAsia="sk-SK"/>
              </w:rPr>
              <w:t>Platba za dostupnosť D4 a R7</w:t>
            </w:r>
          </w:p>
        </w:tc>
        <w:tc>
          <w:tcPr>
            <w:tcW w:w="562" w:type="pct"/>
            <w:tcBorders>
              <w:top w:val="nil"/>
              <w:left w:val="nil"/>
              <w:right w:val="nil"/>
            </w:tcBorders>
            <w:shd w:val="clear" w:color="auto" w:fill="auto"/>
            <w:noWrap/>
            <w:vAlign w:val="center"/>
            <w:hideMark/>
          </w:tcPr>
          <w:p w14:paraId="245AAC56" w14:textId="77777777" w:rsidR="008E3F8E" w:rsidRPr="009E09F0" w:rsidRDefault="008E3F8E" w:rsidP="002A5EE4">
            <w:pPr>
              <w:spacing w:after="0" w:line="240" w:lineRule="auto"/>
              <w:jc w:val="center"/>
              <w:rPr>
                <w:color w:val="000000"/>
                <w:sz w:val="18"/>
                <w:szCs w:val="18"/>
                <w:lang w:eastAsia="sk-SK"/>
              </w:rPr>
            </w:pPr>
            <w:r>
              <w:rPr>
                <w:rFonts w:eastAsia="Calibri"/>
                <w:bCs/>
                <w:color w:val="000000"/>
                <w:sz w:val="18"/>
                <w:szCs w:val="18"/>
              </w:rPr>
              <w:t>0,00</w:t>
            </w:r>
          </w:p>
        </w:tc>
        <w:tc>
          <w:tcPr>
            <w:tcW w:w="562" w:type="pct"/>
            <w:tcBorders>
              <w:top w:val="nil"/>
              <w:left w:val="nil"/>
              <w:right w:val="nil"/>
            </w:tcBorders>
            <w:shd w:val="clear" w:color="auto" w:fill="auto"/>
            <w:noWrap/>
            <w:vAlign w:val="center"/>
            <w:hideMark/>
          </w:tcPr>
          <w:p w14:paraId="45922E5E" w14:textId="77777777" w:rsidR="008E3F8E" w:rsidRPr="009E09F0" w:rsidRDefault="008E3F8E" w:rsidP="002A5EE4">
            <w:pPr>
              <w:spacing w:after="0" w:line="240" w:lineRule="auto"/>
              <w:jc w:val="center"/>
              <w:rPr>
                <w:color w:val="000000"/>
                <w:sz w:val="18"/>
                <w:szCs w:val="18"/>
                <w:lang w:eastAsia="sk-SK"/>
              </w:rPr>
            </w:pPr>
            <w:r>
              <w:rPr>
                <w:rFonts w:eastAsia="Calibri"/>
                <w:bCs/>
                <w:color w:val="000000"/>
                <w:sz w:val="18"/>
                <w:szCs w:val="18"/>
              </w:rPr>
              <w:t>0,05</w:t>
            </w:r>
          </w:p>
        </w:tc>
        <w:tc>
          <w:tcPr>
            <w:tcW w:w="562" w:type="pct"/>
            <w:gridSpan w:val="3"/>
            <w:tcBorders>
              <w:top w:val="nil"/>
              <w:left w:val="nil"/>
              <w:right w:val="nil"/>
            </w:tcBorders>
            <w:shd w:val="clear" w:color="auto" w:fill="auto"/>
            <w:noWrap/>
            <w:vAlign w:val="center"/>
            <w:hideMark/>
          </w:tcPr>
          <w:p w14:paraId="14099ECC" w14:textId="77777777" w:rsidR="008E3F8E" w:rsidRPr="009E09F0" w:rsidRDefault="008E3F8E" w:rsidP="002A5EE4">
            <w:pPr>
              <w:spacing w:after="0" w:line="240" w:lineRule="auto"/>
              <w:jc w:val="center"/>
              <w:rPr>
                <w:color w:val="000000"/>
                <w:sz w:val="18"/>
                <w:szCs w:val="18"/>
                <w:lang w:eastAsia="sk-SK"/>
              </w:rPr>
            </w:pPr>
            <w:r>
              <w:rPr>
                <w:rFonts w:eastAsia="Calibri"/>
                <w:bCs/>
                <w:color w:val="000000"/>
                <w:sz w:val="18"/>
                <w:szCs w:val="18"/>
              </w:rPr>
              <w:t>0,05</w:t>
            </w:r>
          </w:p>
        </w:tc>
        <w:tc>
          <w:tcPr>
            <w:tcW w:w="562" w:type="pct"/>
            <w:tcBorders>
              <w:top w:val="nil"/>
              <w:left w:val="nil"/>
              <w:right w:val="single" w:sz="8" w:space="0" w:color="auto"/>
            </w:tcBorders>
            <w:shd w:val="clear" w:color="auto" w:fill="auto"/>
            <w:vAlign w:val="center"/>
            <w:hideMark/>
          </w:tcPr>
          <w:p w14:paraId="501DB8FF" w14:textId="77777777" w:rsidR="008E3F8E" w:rsidRPr="009E09F0" w:rsidRDefault="008E3F8E" w:rsidP="002A5EE4">
            <w:pPr>
              <w:spacing w:after="0" w:line="240" w:lineRule="auto"/>
              <w:jc w:val="center"/>
              <w:rPr>
                <w:color w:val="000000"/>
                <w:sz w:val="18"/>
                <w:szCs w:val="18"/>
                <w:lang w:eastAsia="sk-SK"/>
              </w:rPr>
            </w:pPr>
            <w:r>
              <w:rPr>
                <w:rFonts w:eastAsia="Calibri"/>
                <w:bCs/>
                <w:color w:val="000000"/>
                <w:sz w:val="18"/>
                <w:szCs w:val="18"/>
              </w:rPr>
              <w:t>0,02</w:t>
            </w:r>
          </w:p>
        </w:tc>
        <w:tc>
          <w:tcPr>
            <w:tcW w:w="627" w:type="pct"/>
            <w:tcBorders>
              <w:top w:val="nil"/>
              <w:left w:val="nil"/>
              <w:right w:val="nil"/>
            </w:tcBorders>
            <w:shd w:val="clear" w:color="auto" w:fill="auto"/>
            <w:noWrap/>
            <w:vAlign w:val="center"/>
            <w:hideMark/>
          </w:tcPr>
          <w:p w14:paraId="1F4EF404" w14:textId="77777777" w:rsidR="008E3F8E" w:rsidRPr="009E09F0" w:rsidRDefault="008E3F8E" w:rsidP="002A5EE4">
            <w:pPr>
              <w:spacing w:after="0" w:line="240" w:lineRule="auto"/>
              <w:jc w:val="center"/>
              <w:rPr>
                <w:color w:val="000000"/>
                <w:sz w:val="18"/>
                <w:szCs w:val="18"/>
                <w:lang w:eastAsia="sk-SK"/>
              </w:rPr>
            </w:pPr>
            <w:r>
              <w:rPr>
                <w:rFonts w:eastAsia="Calibri"/>
                <w:bCs/>
                <w:color w:val="000000"/>
                <w:sz w:val="18"/>
                <w:szCs w:val="18"/>
              </w:rPr>
              <w:t>1,4</w:t>
            </w:r>
          </w:p>
        </w:tc>
      </w:tr>
      <w:tr w:rsidR="008E3F8E" w:rsidRPr="009E09F0" w14:paraId="731E2604" w14:textId="77777777" w:rsidTr="002A5EE4">
        <w:trPr>
          <w:trHeight w:val="283"/>
        </w:trPr>
        <w:tc>
          <w:tcPr>
            <w:tcW w:w="2125" w:type="pct"/>
            <w:tcBorders>
              <w:top w:val="nil"/>
              <w:left w:val="nil"/>
              <w:bottom w:val="single" w:sz="4" w:space="0" w:color="auto"/>
              <w:right w:val="nil"/>
            </w:tcBorders>
            <w:shd w:val="clear" w:color="auto" w:fill="auto"/>
            <w:noWrap/>
            <w:vAlign w:val="center"/>
            <w:hideMark/>
          </w:tcPr>
          <w:p w14:paraId="57CCD9D3" w14:textId="77777777" w:rsidR="008E3F8E" w:rsidRPr="009E09F0" w:rsidRDefault="008E3F8E" w:rsidP="002A5EE4">
            <w:pPr>
              <w:spacing w:after="0" w:line="240" w:lineRule="auto"/>
              <w:rPr>
                <w:color w:val="000000"/>
                <w:sz w:val="18"/>
                <w:szCs w:val="18"/>
                <w:lang w:eastAsia="sk-SK"/>
              </w:rPr>
            </w:pPr>
            <w:r w:rsidRPr="009E09F0">
              <w:rPr>
                <w:color w:val="000000"/>
                <w:sz w:val="18"/>
                <w:szCs w:val="18"/>
                <w:lang w:eastAsia="sk-SK"/>
              </w:rPr>
              <w:t>Platba za dostupnosť - väznica Rimavská Sobota</w:t>
            </w:r>
          </w:p>
        </w:tc>
        <w:tc>
          <w:tcPr>
            <w:tcW w:w="562" w:type="pct"/>
            <w:tcBorders>
              <w:top w:val="nil"/>
              <w:left w:val="nil"/>
              <w:bottom w:val="single" w:sz="4" w:space="0" w:color="auto"/>
              <w:right w:val="nil"/>
            </w:tcBorders>
            <w:shd w:val="clear" w:color="auto" w:fill="auto"/>
            <w:noWrap/>
            <w:vAlign w:val="center"/>
            <w:hideMark/>
          </w:tcPr>
          <w:p w14:paraId="68CD5535" w14:textId="77777777" w:rsidR="008E3F8E" w:rsidRPr="009E09F0" w:rsidRDefault="008E3F8E" w:rsidP="002A5EE4">
            <w:pPr>
              <w:spacing w:after="0" w:line="240" w:lineRule="auto"/>
              <w:jc w:val="center"/>
              <w:rPr>
                <w:color w:val="000000"/>
                <w:sz w:val="18"/>
                <w:szCs w:val="18"/>
                <w:lang w:eastAsia="sk-SK"/>
              </w:rPr>
            </w:pPr>
            <w:r w:rsidRPr="009E09F0">
              <w:rPr>
                <w:rFonts w:eastAsia="Calibri"/>
                <w:bCs/>
                <w:color w:val="000000"/>
                <w:sz w:val="18"/>
                <w:szCs w:val="18"/>
              </w:rPr>
              <w:t>0,00</w:t>
            </w:r>
          </w:p>
        </w:tc>
        <w:tc>
          <w:tcPr>
            <w:tcW w:w="562" w:type="pct"/>
            <w:tcBorders>
              <w:top w:val="nil"/>
              <w:left w:val="nil"/>
              <w:bottom w:val="single" w:sz="4" w:space="0" w:color="auto"/>
              <w:right w:val="nil"/>
            </w:tcBorders>
            <w:shd w:val="clear" w:color="auto" w:fill="auto"/>
            <w:noWrap/>
            <w:vAlign w:val="center"/>
            <w:hideMark/>
          </w:tcPr>
          <w:p w14:paraId="284ABF20" w14:textId="77777777" w:rsidR="008E3F8E" w:rsidRPr="009E09F0" w:rsidRDefault="008E3F8E" w:rsidP="002A5EE4">
            <w:pPr>
              <w:spacing w:after="0" w:line="240" w:lineRule="auto"/>
              <w:jc w:val="center"/>
              <w:rPr>
                <w:color w:val="000000"/>
                <w:sz w:val="18"/>
                <w:szCs w:val="18"/>
                <w:lang w:eastAsia="sk-SK"/>
              </w:rPr>
            </w:pPr>
            <w:r>
              <w:rPr>
                <w:rFonts w:eastAsia="Calibri"/>
                <w:bCs/>
                <w:color w:val="000000"/>
                <w:sz w:val="18"/>
                <w:szCs w:val="18"/>
              </w:rPr>
              <w:t>0,02</w:t>
            </w:r>
          </w:p>
        </w:tc>
        <w:tc>
          <w:tcPr>
            <w:tcW w:w="562" w:type="pct"/>
            <w:gridSpan w:val="3"/>
            <w:tcBorders>
              <w:top w:val="nil"/>
              <w:left w:val="nil"/>
              <w:bottom w:val="single" w:sz="4" w:space="0" w:color="auto"/>
              <w:right w:val="nil"/>
            </w:tcBorders>
            <w:shd w:val="clear" w:color="auto" w:fill="auto"/>
            <w:noWrap/>
            <w:vAlign w:val="center"/>
            <w:hideMark/>
          </w:tcPr>
          <w:p w14:paraId="5693058A" w14:textId="77777777" w:rsidR="008E3F8E" w:rsidRPr="009E09F0" w:rsidRDefault="008E3F8E" w:rsidP="002A5EE4">
            <w:pPr>
              <w:spacing w:after="0" w:line="240" w:lineRule="auto"/>
              <w:jc w:val="center"/>
              <w:rPr>
                <w:color w:val="000000"/>
                <w:sz w:val="18"/>
                <w:szCs w:val="18"/>
                <w:lang w:eastAsia="sk-SK"/>
              </w:rPr>
            </w:pPr>
            <w:r>
              <w:rPr>
                <w:rFonts w:eastAsia="Calibri"/>
                <w:bCs/>
                <w:color w:val="000000"/>
                <w:sz w:val="18"/>
                <w:szCs w:val="18"/>
              </w:rPr>
              <w:t>0,02</w:t>
            </w:r>
          </w:p>
        </w:tc>
        <w:tc>
          <w:tcPr>
            <w:tcW w:w="562" w:type="pct"/>
            <w:tcBorders>
              <w:top w:val="nil"/>
              <w:left w:val="nil"/>
              <w:bottom w:val="single" w:sz="4" w:space="0" w:color="auto"/>
              <w:right w:val="single" w:sz="8" w:space="0" w:color="auto"/>
            </w:tcBorders>
            <w:shd w:val="clear" w:color="auto" w:fill="auto"/>
            <w:vAlign w:val="center"/>
            <w:hideMark/>
          </w:tcPr>
          <w:p w14:paraId="614873F2" w14:textId="77777777" w:rsidR="008E3F8E" w:rsidRPr="009E09F0" w:rsidRDefault="008E3F8E" w:rsidP="002A5EE4">
            <w:pPr>
              <w:spacing w:after="0" w:line="240" w:lineRule="auto"/>
              <w:jc w:val="center"/>
              <w:rPr>
                <w:color w:val="000000"/>
                <w:sz w:val="18"/>
                <w:szCs w:val="18"/>
                <w:lang w:eastAsia="sk-SK"/>
              </w:rPr>
            </w:pPr>
            <w:r w:rsidRPr="009E09F0">
              <w:rPr>
                <w:rFonts w:eastAsia="Calibri"/>
                <w:color w:val="000000"/>
                <w:sz w:val="18"/>
                <w:szCs w:val="18"/>
              </w:rPr>
              <w:t>-</w:t>
            </w:r>
          </w:p>
        </w:tc>
        <w:tc>
          <w:tcPr>
            <w:tcW w:w="627" w:type="pct"/>
            <w:tcBorders>
              <w:top w:val="nil"/>
              <w:left w:val="nil"/>
              <w:bottom w:val="single" w:sz="4" w:space="0" w:color="auto"/>
              <w:right w:val="nil"/>
            </w:tcBorders>
            <w:shd w:val="clear" w:color="auto" w:fill="auto"/>
            <w:noWrap/>
            <w:vAlign w:val="center"/>
            <w:hideMark/>
          </w:tcPr>
          <w:p w14:paraId="3394EB93" w14:textId="77777777" w:rsidR="008E3F8E" w:rsidRPr="009E09F0" w:rsidRDefault="008E3F8E" w:rsidP="002A5EE4">
            <w:pPr>
              <w:spacing w:after="0" w:line="240" w:lineRule="auto"/>
              <w:jc w:val="center"/>
              <w:rPr>
                <w:color w:val="000000"/>
                <w:sz w:val="18"/>
                <w:szCs w:val="18"/>
                <w:lang w:eastAsia="sk-SK"/>
              </w:rPr>
            </w:pPr>
            <w:r w:rsidRPr="009E09F0">
              <w:rPr>
                <w:rFonts w:eastAsia="Calibri"/>
                <w:bCs/>
                <w:color w:val="000000"/>
                <w:sz w:val="18"/>
                <w:szCs w:val="18"/>
              </w:rPr>
              <w:t>0,3</w:t>
            </w:r>
          </w:p>
        </w:tc>
      </w:tr>
      <w:tr w:rsidR="008E3F8E" w:rsidRPr="009E09F0" w14:paraId="1568C9D0" w14:textId="77777777" w:rsidTr="002A5EE4">
        <w:trPr>
          <w:trHeight w:val="160"/>
        </w:trPr>
        <w:tc>
          <w:tcPr>
            <w:tcW w:w="2125" w:type="pct"/>
            <w:tcBorders>
              <w:top w:val="single" w:sz="4" w:space="0" w:color="auto"/>
              <w:left w:val="nil"/>
              <w:bottom w:val="single" w:sz="8" w:space="0" w:color="auto"/>
              <w:right w:val="nil"/>
            </w:tcBorders>
            <w:shd w:val="clear" w:color="auto" w:fill="auto"/>
            <w:noWrap/>
            <w:vAlign w:val="center"/>
            <w:hideMark/>
          </w:tcPr>
          <w:p w14:paraId="66A54975" w14:textId="77777777" w:rsidR="008E3F8E" w:rsidRPr="009E09F0" w:rsidRDefault="008E3F8E" w:rsidP="002A5EE4">
            <w:pPr>
              <w:spacing w:after="0" w:line="240" w:lineRule="auto"/>
              <w:rPr>
                <w:b/>
                <w:bCs/>
                <w:color w:val="000000"/>
                <w:sz w:val="18"/>
                <w:szCs w:val="18"/>
                <w:lang w:eastAsia="sk-SK"/>
              </w:rPr>
            </w:pPr>
            <w:r w:rsidRPr="009E09F0">
              <w:rPr>
                <w:b/>
                <w:bCs/>
                <w:color w:val="000000"/>
                <w:sz w:val="18"/>
                <w:szCs w:val="18"/>
                <w:lang w:eastAsia="sk-SK"/>
              </w:rPr>
              <w:t>S</w:t>
            </w:r>
            <w:r>
              <w:rPr>
                <w:b/>
                <w:bCs/>
                <w:color w:val="000000"/>
                <w:sz w:val="18"/>
                <w:szCs w:val="18"/>
                <w:lang w:eastAsia="sk-SK"/>
              </w:rPr>
              <w:t>polu</w:t>
            </w:r>
          </w:p>
        </w:tc>
        <w:tc>
          <w:tcPr>
            <w:tcW w:w="562" w:type="pct"/>
            <w:tcBorders>
              <w:top w:val="single" w:sz="4" w:space="0" w:color="auto"/>
              <w:left w:val="nil"/>
              <w:bottom w:val="single" w:sz="8" w:space="0" w:color="auto"/>
              <w:right w:val="nil"/>
            </w:tcBorders>
            <w:shd w:val="clear" w:color="auto" w:fill="auto"/>
            <w:noWrap/>
            <w:vAlign w:val="center"/>
            <w:hideMark/>
          </w:tcPr>
          <w:p w14:paraId="6DFFFDD2" w14:textId="77777777" w:rsidR="008E3F8E" w:rsidRPr="009E09F0" w:rsidRDefault="008E3F8E" w:rsidP="002A5EE4">
            <w:pPr>
              <w:spacing w:after="0" w:line="240" w:lineRule="auto"/>
              <w:jc w:val="center"/>
              <w:rPr>
                <w:b/>
                <w:bCs/>
                <w:color w:val="000000"/>
                <w:sz w:val="18"/>
                <w:szCs w:val="18"/>
                <w:lang w:eastAsia="sk-SK"/>
              </w:rPr>
            </w:pPr>
          </w:p>
        </w:tc>
        <w:tc>
          <w:tcPr>
            <w:tcW w:w="562" w:type="pct"/>
            <w:tcBorders>
              <w:top w:val="single" w:sz="4" w:space="0" w:color="auto"/>
              <w:left w:val="nil"/>
              <w:bottom w:val="single" w:sz="8" w:space="0" w:color="auto"/>
              <w:right w:val="nil"/>
            </w:tcBorders>
            <w:shd w:val="clear" w:color="auto" w:fill="auto"/>
            <w:noWrap/>
            <w:vAlign w:val="center"/>
            <w:hideMark/>
          </w:tcPr>
          <w:p w14:paraId="10B945D9" w14:textId="77777777" w:rsidR="008E3F8E" w:rsidRPr="009E09F0" w:rsidRDefault="008E3F8E" w:rsidP="002A5EE4">
            <w:pPr>
              <w:spacing w:after="0" w:line="240" w:lineRule="auto"/>
              <w:jc w:val="center"/>
              <w:rPr>
                <w:b/>
                <w:bCs/>
                <w:color w:val="000000"/>
                <w:sz w:val="18"/>
                <w:szCs w:val="18"/>
                <w:lang w:eastAsia="sk-SK"/>
              </w:rPr>
            </w:pPr>
          </w:p>
        </w:tc>
        <w:tc>
          <w:tcPr>
            <w:tcW w:w="562" w:type="pct"/>
            <w:gridSpan w:val="3"/>
            <w:tcBorders>
              <w:top w:val="single" w:sz="4" w:space="0" w:color="auto"/>
              <w:left w:val="nil"/>
              <w:bottom w:val="single" w:sz="8" w:space="0" w:color="auto"/>
              <w:right w:val="nil"/>
            </w:tcBorders>
            <w:shd w:val="clear" w:color="auto" w:fill="auto"/>
            <w:noWrap/>
            <w:vAlign w:val="center"/>
            <w:hideMark/>
          </w:tcPr>
          <w:p w14:paraId="2EB94051" w14:textId="77777777" w:rsidR="008E3F8E" w:rsidRPr="009E09F0" w:rsidRDefault="008E3F8E" w:rsidP="002A5EE4">
            <w:pPr>
              <w:spacing w:after="0" w:line="240" w:lineRule="auto"/>
              <w:jc w:val="center"/>
              <w:rPr>
                <w:b/>
                <w:bCs/>
                <w:color w:val="000000"/>
                <w:sz w:val="18"/>
                <w:szCs w:val="18"/>
                <w:lang w:eastAsia="sk-SK"/>
              </w:rPr>
            </w:pPr>
          </w:p>
        </w:tc>
        <w:tc>
          <w:tcPr>
            <w:tcW w:w="562" w:type="pct"/>
            <w:tcBorders>
              <w:top w:val="single" w:sz="4" w:space="0" w:color="auto"/>
              <w:left w:val="nil"/>
              <w:bottom w:val="single" w:sz="8" w:space="0" w:color="auto"/>
              <w:right w:val="single" w:sz="8" w:space="0" w:color="auto"/>
            </w:tcBorders>
            <w:shd w:val="clear" w:color="auto" w:fill="auto"/>
            <w:vAlign w:val="center"/>
            <w:hideMark/>
          </w:tcPr>
          <w:p w14:paraId="13E53CE5" w14:textId="77777777" w:rsidR="008E3F8E" w:rsidRPr="009E09F0" w:rsidRDefault="008E3F8E" w:rsidP="002A5EE4">
            <w:pPr>
              <w:spacing w:after="0" w:line="240" w:lineRule="auto"/>
              <w:jc w:val="center"/>
              <w:rPr>
                <w:b/>
                <w:bCs/>
                <w:color w:val="000000"/>
                <w:sz w:val="18"/>
                <w:szCs w:val="18"/>
                <w:lang w:eastAsia="sk-SK"/>
              </w:rPr>
            </w:pPr>
          </w:p>
        </w:tc>
        <w:tc>
          <w:tcPr>
            <w:tcW w:w="627" w:type="pct"/>
            <w:tcBorders>
              <w:top w:val="single" w:sz="4" w:space="0" w:color="auto"/>
              <w:left w:val="nil"/>
              <w:bottom w:val="single" w:sz="8" w:space="0" w:color="auto"/>
              <w:right w:val="nil"/>
            </w:tcBorders>
            <w:shd w:val="clear" w:color="auto" w:fill="auto"/>
            <w:noWrap/>
            <w:vAlign w:val="center"/>
            <w:hideMark/>
          </w:tcPr>
          <w:p w14:paraId="5C5DCC05" w14:textId="77777777" w:rsidR="008E3F8E" w:rsidRPr="009E09F0" w:rsidRDefault="008E3F8E" w:rsidP="002A5EE4">
            <w:pPr>
              <w:spacing w:after="0" w:line="240" w:lineRule="auto"/>
              <w:jc w:val="center"/>
              <w:rPr>
                <w:b/>
                <w:bCs/>
                <w:color w:val="000000"/>
                <w:sz w:val="18"/>
                <w:szCs w:val="18"/>
                <w:lang w:eastAsia="sk-SK"/>
              </w:rPr>
            </w:pPr>
            <w:r>
              <w:rPr>
                <w:rFonts w:eastAsia="Calibri"/>
                <w:b/>
                <w:bCs/>
                <w:color w:val="000000"/>
                <w:sz w:val="18"/>
                <w:szCs w:val="18"/>
              </w:rPr>
              <w:t>4,4</w:t>
            </w:r>
          </w:p>
        </w:tc>
      </w:tr>
      <w:tr w:rsidR="008E3F8E" w:rsidRPr="009E09F0" w14:paraId="7253CFAE" w14:textId="77777777" w:rsidTr="002A5EE4">
        <w:trPr>
          <w:trHeight w:val="330"/>
        </w:trPr>
        <w:tc>
          <w:tcPr>
            <w:tcW w:w="3266" w:type="pct"/>
            <w:gridSpan w:val="4"/>
            <w:tcBorders>
              <w:top w:val="single" w:sz="8" w:space="0" w:color="auto"/>
              <w:left w:val="nil"/>
              <w:bottom w:val="nil"/>
              <w:right w:val="nil"/>
            </w:tcBorders>
            <w:shd w:val="clear" w:color="auto" w:fill="auto"/>
            <w:noWrap/>
            <w:hideMark/>
          </w:tcPr>
          <w:p w14:paraId="7012FCE9" w14:textId="77777777" w:rsidR="008E3F8E" w:rsidRPr="0005669D" w:rsidRDefault="008E3F8E" w:rsidP="002A5EE4">
            <w:pPr>
              <w:spacing w:after="0" w:line="240" w:lineRule="auto"/>
              <w:rPr>
                <w:color w:val="000000"/>
                <w:sz w:val="16"/>
                <w:szCs w:val="18"/>
                <w:lang w:eastAsia="sk-SK"/>
              </w:rPr>
            </w:pPr>
            <w:r w:rsidRPr="0005669D">
              <w:rPr>
                <w:color w:val="000000"/>
                <w:sz w:val="16"/>
                <w:szCs w:val="18"/>
                <w:lang w:eastAsia="sk-SK"/>
              </w:rPr>
              <w:t>* bez započítania DPH za služby; Pozn.: diskontované k roku 2020.</w:t>
            </w:r>
          </w:p>
          <w:p w14:paraId="237D7A5F" w14:textId="77777777" w:rsidR="008E3F8E" w:rsidRPr="0005669D" w:rsidRDefault="008E3F8E" w:rsidP="002A5EE4">
            <w:pPr>
              <w:spacing w:after="0" w:line="240" w:lineRule="auto"/>
              <w:rPr>
                <w:color w:val="000000"/>
                <w:sz w:val="16"/>
                <w:szCs w:val="18"/>
                <w:lang w:eastAsia="sk-SK"/>
              </w:rPr>
            </w:pPr>
          </w:p>
        </w:tc>
        <w:tc>
          <w:tcPr>
            <w:tcW w:w="110" w:type="pct"/>
            <w:tcBorders>
              <w:top w:val="single" w:sz="8" w:space="0" w:color="auto"/>
              <w:left w:val="nil"/>
              <w:bottom w:val="nil"/>
              <w:right w:val="nil"/>
            </w:tcBorders>
            <w:shd w:val="clear" w:color="auto" w:fill="auto"/>
            <w:noWrap/>
            <w:vAlign w:val="center"/>
            <w:hideMark/>
          </w:tcPr>
          <w:p w14:paraId="1FCC4E94" w14:textId="77777777" w:rsidR="008E3F8E" w:rsidRPr="0005669D" w:rsidRDefault="008E3F8E" w:rsidP="002A5EE4">
            <w:pPr>
              <w:spacing w:after="0" w:line="240" w:lineRule="auto"/>
              <w:rPr>
                <w:color w:val="000000"/>
                <w:sz w:val="16"/>
                <w:szCs w:val="18"/>
                <w:lang w:eastAsia="sk-SK"/>
              </w:rPr>
            </w:pPr>
            <w:r w:rsidRPr="0005669D">
              <w:rPr>
                <w:color w:val="000000"/>
                <w:sz w:val="16"/>
                <w:szCs w:val="18"/>
                <w:lang w:eastAsia="sk-SK"/>
              </w:rPr>
              <w:t> </w:t>
            </w:r>
          </w:p>
        </w:tc>
        <w:tc>
          <w:tcPr>
            <w:tcW w:w="435" w:type="pct"/>
            <w:tcBorders>
              <w:top w:val="single" w:sz="8" w:space="0" w:color="auto"/>
              <w:left w:val="nil"/>
              <w:bottom w:val="nil"/>
              <w:right w:val="nil"/>
            </w:tcBorders>
            <w:shd w:val="clear" w:color="auto" w:fill="auto"/>
            <w:vAlign w:val="center"/>
            <w:hideMark/>
          </w:tcPr>
          <w:p w14:paraId="7BEF42DA" w14:textId="77777777" w:rsidR="008E3F8E" w:rsidRPr="0005669D" w:rsidRDefault="008E3F8E" w:rsidP="002A5EE4">
            <w:pPr>
              <w:spacing w:after="0" w:line="240" w:lineRule="auto"/>
              <w:jc w:val="right"/>
              <w:rPr>
                <w:color w:val="000000"/>
                <w:sz w:val="16"/>
                <w:szCs w:val="18"/>
                <w:lang w:eastAsia="sk-SK"/>
              </w:rPr>
            </w:pPr>
            <w:r w:rsidRPr="0005669D">
              <w:rPr>
                <w:color w:val="000000"/>
                <w:sz w:val="16"/>
                <w:szCs w:val="18"/>
                <w:lang w:eastAsia="sk-SK"/>
              </w:rPr>
              <w:t> </w:t>
            </w:r>
          </w:p>
        </w:tc>
        <w:tc>
          <w:tcPr>
            <w:tcW w:w="1189" w:type="pct"/>
            <w:gridSpan w:val="2"/>
            <w:tcBorders>
              <w:top w:val="single" w:sz="8" w:space="0" w:color="auto"/>
              <w:left w:val="nil"/>
              <w:bottom w:val="nil"/>
              <w:right w:val="nil"/>
            </w:tcBorders>
            <w:shd w:val="clear" w:color="auto" w:fill="auto"/>
            <w:hideMark/>
          </w:tcPr>
          <w:p w14:paraId="24E4A327" w14:textId="77777777" w:rsidR="008E3F8E" w:rsidRPr="0005669D" w:rsidRDefault="008E3F8E" w:rsidP="002A5EE4">
            <w:pPr>
              <w:spacing w:after="0" w:line="240" w:lineRule="auto"/>
              <w:jc w:val="right"/>
              <w:rPr>
                <w:i/>
                <w:color w:val="000000"/>
                <w:sz w:val="16"/>
                <w:szCs w:val="18"/>
                <w:lang w:eastAsia="sk-SK"/>
              </w:rPr>
            </w:pPr>
            <w:r w:rsidRPr="0005669D">
              <w:rPr>
                <w:i/>
                <w:color w:val="000000"/>
                <w:sz w:val="16"/>
                <w:szCs w:val="18"/>
                <w:lang w:eastAsia="sk-SK"/>
              </w:rPr>
              <w:t>Zdroj: MF SR</w:t>
            </w:r>
          </w:p>
        </w:tc>
      </w:tr>
    </w:tbl>
    <w:p w14:paraId="14532F1D" w14:textId="77777777" w:rsidR="008E3F8E" w:rsidRPr="009E09F0" w:rsidRDefault="008E3F8E" w:rsidP="008E3F8E">
      <w:pPr>
        <w:autoSpaceDE w:val="0"/>
        <w:autoSpaceDN w:val="0"/>
        <w:adjustRightInd w:val="0"/>
        <w:spacing w:before="120" w:after="120" w:line="240" w:lineRule="auto"/>
        <w:jc w:val="both"/>
        <w:rPr>
          <w:rFonts w:eastAsia="Calibri"/>
          <w:szCs w:val="22"/>
        </w:rPr>
      </w:pPr>
      <w:r>
        <w:rPr>
          <w:rFonts w:eastAsia="Calibri"/>
          <w:b/>
          <w:szCs w:val="22"/>
        </w:rPr>
        <w:t>Revízia úrokových sadzieb ovplyvnila aj v</w:t>
      </w:r>
      <w:r w:rsidRPr="009E09F0">
        <w:rPr>
          <w:rFonts w:eastAsia="Calibri"/>
          <w:b/>
          <w:szCs w:val="22"/>
        </w:rPr>
        <w:t xml:space="preserve">ýšku celkových implicitných záväzkov </w:t>
      </w:r>
      <w:r>
        <w:rPr>
          <w:rFonts w:eastAsia="Calibri"/>
          <w:b/>
          <w:szCs w:val="22"/>
        </w:rPr>
        <w:t>z</w:t>
      </w:r>
      <w:r w:rsidRPr="009E09F0">
        <w:rPr>
          <w:rFonts w:eastAsia="Calibri"/>
          <w:b/>
          <w:szCs w:val="22"/>
        </w:rPr>
        <w:t xml:space="preserve"> vyraďovania jadrových zar</w:t>
      </w:r>
      <w:r>
        <w:rPr>
          <w:rFonts w:eastAsia="Calibri"/>
          <w:b/>
          <w:szCs w:val="22"/>
        </w:rPr>
        <w:t>i</w:t>
      </w:r>
      <w:r w:rsidRPr="009E09F0">
        <w:rPr>
          <w:rFonts w:eastAsia="Calibri"/>
          <w:b/>
          <w:szCs w:val="22"/>
        </w:rPr>
        <w:t>adení</w:t>
      </w:r>
      <w:r>
        <w:rPr>
          <w:rFonts w:eastAsia="Calibri"/>
          <w:b/>
          <w:szCs w:val="22"/>
        </w:rPr>
        <w:t>, celkovo</w:t>
      </w:r>
      <w:r w:rsidRPr="009E09F0">
        <w:rPr>
          <w:rFonts w:eastAsia="Calibri"/>
          <w:b/>
          <w:szCs w:val="22"/>
        </w:rPr>
        <w:t xml:space="preserve"> s pozitívnym vplyvom </w:t>
      </w:r>
      <w:r>
        <w:rPr>
          <w:rFonts w:eastAsia="Calibri"/>
          <w:b/>
          <w:szCs w:val="22"/>
        </w:rPr>
        <w:t>vo výške 5,6</w:t>
      </w:r>
      <w:r w:rsidRPr="009E09F0">
        <w:rPr>
          <w:rFonts w:eastAsia="Calibri"/>
          <w:b/>
          <w:szCs w:val="22"/>
        </w:rPr>
        <w:t xml:space="preserve"> % HDP.</w:t>
      </w:r>
      <w:r w:rsidRPr="009E09F0">
        <w:rPr>
          <w:rFonts w:eastAsia="Calibri"/>
          <w:szCs w:val="22"/>
          <w:vertAlign w:val="superscript"/>
        </w:rPr>
        <w:footnoteReference w:id="40"/>
      </w:r>
      <w:r w:rsidRPr="009E09F0">
        <w:rPr>
          <w:rFonts w:eastAsia="Calibri"/>
          <w:b/>
          <w:szCs w:val="22"/>
        </w:rPr>
        <w:t xml:space="preserve"> </w:t>
      </w:r>
      <w:r w:rsidRPr="009E09F0">
        <w:rPr>
          <w:rFonts w:eastAsia="Calibri"/>
          <w:szCs w:val="22"/>
        </w:rPr>
        <w:t xml:space="preserve">Oproti </w:t>
      </w:r>
      <w:r>
        <w:rPr>
          <w:rFonts w:eastAsia="Calibri"/>
          <w:szCs w:val="22"/>
        </w:rPr>
        <w:t xml:space="preserve">predošlej správe z roku 2019 </w:t>
      </w:r>
      <w:r w:rsidRPr="009E09F0">
        <w:rPr>
          <w:rFonts w:eastAsia="Calibri"/>
          <w:szCs w:val="22"/>
        </w:rPr>
        <w:t>došlo k</w:t>
      </w:r>
      <w:r>
        <w:rPr>
          <w:rFonts w:eastAsia="Calibri"/>
          <w:szCs w:val="22"/>
        </w:rPr>
        <w:t> </w:t>
      </w:r>
      <w:r w:rsidRPr="009E09F0">
        <w:rPr>
          <w:rFonts w:eastAsia="Calibri"/>
          <w:szCs w:val="22"/>
        </w:rPr>
        <w:t>zvýšeniu pozitívneho príspevku</w:t>
      </w:r>
      <w:r>
        <w:rPr>
          <w:rFonts w:eastAsia="Calibri"/>
          <w:szCs w:val="22"/>
        </w:rPr>
        <w:t xml:space="preserve"> NJF o 1,2 </w:t>
      </w:r>
      <w:proofErr w:type="spellStart"/>
      <w:r>
        <w:rPr>
          <w:rFonts w:eastAsia="Calibri"/>
          <w:szCs w:val="22"/>
        </w:rPr>
        <w:t>p.b</w:t>
      </w:r>
      <w:proofErr w:type="spellEnd"/>
      <w:r>
        <w:rPr>
          <w:rFonts w:eastAsia="Calibri"/>
          <w:szCs w:val="22"/>
        </w:rPr>
        <w:t>., a to</w:t>
      </w:r>
      <w:r w:rsidRPr="009E09F0">
        <w:rPr>
          <w:rFonts w:eastAsia="Calibri"/>
          <w:szCs w:val="22"/>
        </w:rPr>
        <w:t xml:space="preserve"> z dôvodu aktualizácie </w:t>
      </w:r>
      <w:r>
        <w:rPr>
          <w:rFonts w:eastAsia="Calibri"/>
          <w:szCs w:val="22"/>
        </w:rPr>
        <w:t>úrokových sadzieb použitých na určenie súčasnej hodnoty budúcich záväzkov.</w:t>
      </w:r>
      <w:r w:rsidRPr="009E09F0">
        <w:rPr>
          <w:rFonts w:eastAsia="Calibri"/>
          <w:szCs w:val="22"/>
          <w:vertAlign w:val="superscript"/>
        </w:rPr>
        <w:footnoteReference w:id="41"/>
      </w:r>
    </w:p>
    <w:tbl>
      <w:tblPr>
        <w:tblW w:w="9372" w:type="dxa"/>
        <w:tblCellMar>
          <w:left w:w="70" w:type="dxa"/>
          <w:right w:w="70" w:type="dxa"/>
        </w:tblCellMar>
        <w:tblLook w:val="04A0" w:firstRow="1" w:lastRow="0" w:firstColumn="1" w:lastColumn="0" w:noHBand="0" w:noVBand="1"/>
      </w:tblPr>
      <w:tblGrid>
        <w:gridCol w:w="3649"/>
        <w:gridCol w:w="887"/>
        <w:gridCol w:w="1056"/>
        <w:gridCol w:w="1121"/>
        <w:gridCol w:w="987"/>
        <w:gridCol w:w="836"/>
        <w:gridCol w:w="836"/>
      </w:tblGrid>
      <w:tr w:rsidR="008E3F8E" w:rsidRPr="009E09F0" w14:paraId="36749704" w14:textId="77777777" w:rsidTr="00C43BB4">
        <w:trPr>
          <w:trHeight w:val="263"/>
        </w:trPr>
        <w:tc>
          <w:tcPr>
            <w:tcW w:w="4536" w:type="dxa"/>
            <w:gridSpan w:val="2"/>
            <w:tcBorders>
              <w:top w:val="nil"/>
              <w:left w:val="nil"/>
              <w:bottom w:val="nil"/>
              <w:right w:val="nil"/>
            </w:tcBorders>
            <w:shd w:val="clear" w:color="000000" w:fill="000000"/>
            <w:noWrap/>
            <w:vAlign w:val="bottom"/>
            <w:hideMark/>
          </w:tcPr>
          <w:p w14:paraId="56432A66" w14:textId="17DBED86" w:rsidR="008E3F8E" w:rsidRPr="009E09F0" w:rsidRDefault="00C43BB4" w:rsidP="002A5EE4">
            <w:pPr>
              <w:spacing w:after="0" w:line="240" w:lineRule="auto"/>
              <w:rPr>
                <w:b/>
                <w:bCs/>
                <w:color w:val="FFFFFF"/>
                <w:sz w:val="18"/>
                <w:szCs w:val="18"/>
                <w:lang w:eastAsia="sk-SK"/>
              </w:rPr>
            </w:pPr>
            <w:r>
              <w:rPr>
                <w:b/>
                <w:bCs/>
                <w:color w:val="FFFFFF"/>
                <w:sz w:val="18"/>
                <w:szCs w:val="18"/>
                <w:lang w:eastAsia="sk-SK"/>
              </w:rPr>
              <w:t xml:space="preserve">Tab. 20 - </w:t>
            </w:r>
            <w:r w:rsidR="008E3F8E" w:rsidRPr="009E09F0">
              <w:rPr>
                <w:b/>
                <w:bCs/>
                <w:color w:val="FFFFFF"/>
                <w:sz w:val="18"/>
                <w:szCs w:val="18"/>
                <w:lang w:eastAsia="sk-SK"/>
              </w:rPr>
              <w:t>Vplyv Národného jadrového fondu (v % HDP)</w:t>
            </w:r>
          </w:p>
        </w:tc>
        <w:tc>
          <w:tcPr>
            <w:tcW w:w="1056" w:type="dxa"/>
            <w:tcBorders>
              <w:top w:val="nil"/>
              <w:left w:val="nil"/>
              <w:bottom w:val="nil"/>
              <w:right w:val="nil"/>
            </w:tcBorders>
            <w:shd w:val="clear" w:color="000000" w:fill="000000"/>
            <w:noWrap/>
            <w:vAlign w:val="bottom"/>
            <w:hideMark/>
          </w:tcPr>
          <w:p w14:paraId="69BE741A" w14:textId="77777777" w:rsidR="008E3F8E" w:rsidRPr="009E09F0" w:rsidRDefault="008E3F8E" w:rsidP="002A5EE4">
            <w:pPr>
              <w:spacing w:after="0" w:line="240" w:lineRule="auto"/>
              <w:rPr>
                <w:b/>
                <w:bCs/>
                <w:color w:val="FFFFFF"/>
                <w:sz w:val="18"/>
                <w:szCs w:val="18"/>
                <w:lang w:eastAsia="sk-SK"/>
              </w:rPr>
            </w:pPr>
            <w:r w:rsidRPr="009E09F0">
              <w:rPr>
                <w:b/>
                <w:bCs/>
                <w:color w:val="FFFFFF"/>
                <w:sz w:val="18"/>
                <w:szCs w:val="18"/>
                <w:lang w:eastAsia="sk-SK"/>
              </w:rPr>
              <w:t> </w:t>
            </w:r>
          </w:p>
        </w:tc>
        <w:tc>
          <w:tcPr>
            <w:tcW w:w="1121" w:type="dxa"/>
            <w:tcBorders>
              <w:top w:val="nil"/>
              <w:left w:val="nil"/>
              <w:bottom w:val="nil"/>
              <w:right w:val="nil"/>
            </w:tcBorders>
            <w:shd w:val="clear" w:color="000000" w:fill="000000"/>
            <w:noWrap/>
            <w:vAlign w:val="bottom"/>
            <w:hideMark/>
          </w:tcPr>
          <w:p w14:paraId="4A78FC9C" w14:textId="77777777" w:rsidR="008E3F8E" w:rsidRPr="009E09F0" w:rsidRDefault="008E3F8E" w:rsidP="002A5EE4">
            <w:pPr>
              <w:spacing w:after="0" w:line="240" w:lineRule="auto"/>
              <w:rPr>
                <w:b/>
                <w:bCs/>
                <w:color w:val="FFFFFF"/>
                <w:sz w:val="18"/>
                <w:szCs w:val="18"/>
                <w:lang w:eastAsia="sk-SK"/>
              </w:rPr>
            </w:pPr>
            <w:r w:rsidRPr="009E09F0">
              <w:rPr>
                <w:b/>
                <w:bCs/>
                <w:color w:val="FFFFFF"/>
                <w:sz w:val="18"/>
                <w:szCs w:val="18"/>
                <w:lang w:eastAsia="sk-SK"/>
              </w:rPr>
              <w:t> </w:t>
            </w:r>
          </w:p>
        </w:tc>
        <w:tc>
          <w:tcPr>
            <w:tcW w:w="987" w:type="dxa"/>
            <w:tcBorders>
              <w:top w:val="nil"/>
              <w:left w:val="nil"/>
              <w:bottom w:val="nil"/>
              <w:right w:val="nil"/>
            </w:tcBorders>
            <w:shd w:val="clear" w:color="000000" w:fill="000000"/>
            <w:noWrap/>
            <w:vAlign w:val="bottom"/>
            <w:hideMark/>
          </w:tcPr>
          <w:p w14:paraId="1E7FCD7B" w14:textId="77777777" w:rsidR="008E3F8E" w:rsidRPr="009E09F0" w:rsidRDefault="008E3F8E" w:rsidP="002A5EE4">
            <w:pPr>
              <w:spacing w:after="0" w:line="240" w:lineRule="auto"/>
              <w:rPr>
                <w:b/>
                <w:bCs/>
                <w:color w:val="FFFFFF"/>
                <w:sz w:val="18"/>
                <w:szCs w:val="18"/>
                <w:lang w:eastAsia="sk-SK"/>
              </w:rPr>
            </w:pPr>
            <w:r w:rsidRPr="009E09F0">
              <w:rPr>
                <w:b/>
                <w:bCs/>
                <w:color w:val="FFFFFF"/>
                <w:sz w:val="18"/>
                <w:szCs w:val="18"/>
                <w:lang w:eastAsia="sk-SK"/>
              </w:rPr>
              <w:t> </w:t>
            </w:r>
          </w:p>
        </w:tc>
        <w:tc>
          <w:tcPr>
            <w:tcW w:w="836" w:type="dxa"/>
            <w:tcBorders>
              <w:top w:val="nil"/>
              <w:left w:val="nil"/>
              <w:bottom w:val="nil"/>
              <w:right w:val="nil"/>
            </w:tcBorders>
            <w:shd w:val="clear" w:color="000000" w:fill="000000"/>
            <w:noWrap/>
            <w:vAlign w:val="bottom"/>
            <w:hideMark/>
          </w:tcPr>
          <w:p w14:paraId="27FAB53C" w14:textId="77777777" w:rsidR="008E3F8E" w:rsidRPr="009E09F0" w:rsidRDefault="008E3F8E" w:rsidP="002A5EE4">
            <w:pPr>
              <w:spacing w:after="0" w:line="240" w:lineRule="auto"/>
              <w:rPr>
                <w:b/>
                <w:bCs/>
                <w:color w:val="FFFFFF"/>
                <w:sz w:val="18"/>
                <w:szCs w:val="18"/>
                <w:lang w:eastAsia="sk-SK"/>
              </w:rPr>
            </w:pPr>
            <w:r w:rsidRPr="009E09F0">
              <w:rPr>
                <w:b/>
                <w:bCs/>
                <w:color w:val="FFFFFF"/>
                <w:sz w:val="18"/>
                <w:szCs w:val="18"/>
                <w:lang w:eastAsia="sk-SK"/>
              </w:rPr>
              <w:t> </w:t>
            </w:r>
          </w:p>
        </w:tc>
        <w:tc>
          <w:tcPr>
            <w:tcW w:w="836" w:type="dxa"/>
            <w:tcBorders>
              <w:top w:val="nil"/>
              <w:left w:val="nil"/>
              <w:bottom w:val="nil"/>
              <w:right w:val="nil"/>
            </w:tcBorders>
            <w:shd w:val="clear" w:color="000000" w:fill="000000"/>
            <w:noWrap/>
            <w:vAlign w:val="bottom"/>
            <w:hideMark/>
          </w:tcPr>
          <w:p w14:paraId="5807988F" w14:textId="77777777" w:rsidR="008E3F8E" w:rsidRPr="009E09F0" w:rsidRDefault="008E3F8E" w:rsidP="002A5EE4">
            <w:pPr>
              <w:spacing w:after="0" w:line="240" w:lineRule="auto"/>
              <w:rPr>
                <w:b/>
                <w:bCs/>
                <w:color w:val="FFFFFF"/>
                <w:sz w:val="18"/>
                <w:szCs w:val="18"/>
                <w:lang w:eastAsia="sk-SK"/>
              </w:rPr>
            </w:pPr>
            <w:r w:rsidRPr="009E09F0">
              <w:rPr>
                <w:b/>
                <w:bCs/>
                <w:color w:val="FFFFFF"/>
                <w:sz w:val="18"/>
                <w:szCs w:val="18"/>
                <w:lang w:eastAsia="sk-SK"/>
              </w:rPr>
              <w:t> </w:t>
            </w:r>
          </w:p>
        </w:tc>
      </w:tr>
      <w:tr w:rsidR="008E3F8E" w:rsidRPr="009E09F0" w14:paraId="6A1B8687" w14:textId="77777777" w:rsidTr="00C43BB4">
        <w:trPr>
          <w:trHeight w:val="263"/>
        </w:trPr>
        <w:tc>
          <w:tcPr>
            <w:tcW w:w="3649" w:type="dxa"/>
            <w:tcBorders>
              <w:top w:val="nil"/>
              <w:left w:val="nil"/>
              <w:right w:val="nil"/>
            </w:tcBorders>
            <w:shd w:val="clear" w:color="000000" w:fill="D9D9D9"/>
            <w:noWrap/>
            <w:vAlign w:val="center"/>
            <w:hideMark/>
          </w:tcPr>
          <w:p w14:paraId="31D251F7" w14:textId="77777777" w:rsidR="008E3F8E" w:rsidRPr="009E09F0" w:rsidRDefault="008E3F8E" w:rsidP="002A5EE4">
            <w:pPr>
              <w:spacing w:after="0" w:line="240" w:lineRule="auto"/>
              <w:jc w:val="center"/>
              <w:rPr>
                <w:color w:val="000000"/>
                <w:sz w:val="18"/>
                <w:szCs w:val="18"/>
                <w:lang w:eastAsia="sk-SK"/>
              </w:rPr>
            </w:pPr>
            <w:r w:rsidRPr="009E09F0">
              <w:rPr>
                <w:color w:val="000000"/>
                <w:sz w:val="18"/>
                <w:szCs w:val="18"/>
                <w:lang w:eastAsia="sk-SK"/>
              </w:rPr>
              <w:t> </w:t>
            </w:r>
          </w:p>
        </w:tc>
        <w:tc>
          <w:tcPr>
            <w:tcW w:w="887" w:type="dxa"/>
            <w:tcBorders>
              <w:top w:val="nil"/>
              <w:left w:val="nil"/>
              <w:right w:val="nil"/>
            </w:tcBorders>
            <w:shd w:val="clear" w:color="000000" w:fill="D9D9D9"/>
            <w:noWrap/>
            <w:vAlign w:val="center"/>
          </w:tcPr>
          <w:p w14:paraId="6C9F3E94" w14:textId="77777777" w:rsidR="008E3F8E" w:rsidRPr="009E09F0" w:rsidRDefault="008E3F8E" w:rsidP="002A5EE4">
            <w:pPr>
              <w:spacing w:after="0" w:line="240" w:lineRule="auto"/>
              <w:jc w:val="center"/>
              <w:rPr>
                <w:b/>
                <w:bCs/>
                <w:color w:val="000000"/>
                <w:sz w:val="18"/>
                <w:szCs w:val="18"/>
                <w:lang w:eastAsia="sk-SK"/>
              </w:rPr>
            </w:pPr>
          </w:p>
        </w:tc>
        <w:tc>
          <w:tcPr>
            <w:tcW w:w="1056" w:type="dxa"/>
            <w:tcBorders>
              <w:top w:val="nil"/>
              <w:left w:val="nil"/>
              <w:right w:val="nil"/>
            </w:tcBorders>
            <w:shd w:val="clear" w:color="000000" w:fill="D9D9D9"/>
            <w:noWrap/>
            <w:vAlign w:val="center"/>
            <w:hideMark/>
          </w:tcPr>
          <w:p w14:paraId="3430A967" w14:textId="77777777" w:rsidR="008E3F8E" w:rsidRPr="009E09F0" w:rsidRDefault="008E3F8E" w:rsidP="002A5EE4">
            <w:pPr>
              <w:spacing w:after="0" w:line="240" w:lineRule="auto"/>
              <w:jc w:val="center"/>
              <w:rPr>
                <w:b/>
                <w:bCs/>
                <w:color w:val="000000"/>
                <w:sz w:val="18"/>
                <w:szCs w:val="18"/>
                <w:lang w:eastAsia="sk-SK"/>
              </w:rPr>
            </w:pPr>
            <w:r w:rsidRPr="009E09F0">
              <w:rPr>
                <w:b/>
                <w:bCs/>
                <w:color w:val="000000"/>
                <w:sz w:val="18"/>
                <w:szCs w:val="18"/>
                <w:lang w:eastAsia="sk-SK"/>
              </w:rPr>
              <w:t>2020</w:t>
            </w:r>
          </w:p>
        </w:tc>
        <w:tc>
          <w:tcPr>
            <w:tcW w:w="1121" w:type="dxa"/>
            <w:tcBorders>
              <w:top w:val="nil"/>
              <w:left w:val="nil"/>
              <w:right w:val="nil"/>
            </w:tcBorders>
            <w:shd w:val="clear" w:color="000000" w:fill="D9D9D9"/>
            <w:noWrap/>
            <w:vAlign w:val="center"/>
            <w:hideMark/>
          </w:tcPr>
          <w:p w14:paraId="49DFB526" w14:textId="77777777" w:rsidR="008E3F8E" w:rsidRPr="009E09F0" w:rsidRDefault="008E3F8E" w:rsidP="002A5EE4">
            <w:pPr>
              <w:spacing w:after="0" w:line="240" w:lineRule="auto"/>
              <w:jc w:val="center"/>
              <w:rPr>
                <w:b/>
                <w:bCs/>
                <w:color w:val="000000"/>
                <w:sz w:val="18"/>
                <w:szCs w:val="18"/>
                <w:lang w:eastAsia="sk-SK"/>
              </w:rPr>
            </w:pPr>
            <w:r w:rsidRPr="009E09F0">
              <w:rPr>
                <w:b/>
                <w:bCs/>
                <w:color w:val="000000"/>
                <w:sz w:val="18"/>
                <w:szCs w:val="18"/>
                <w:lang w:eastAsia="sk-SK"/>
              </w:rPr>
              <w:t>2050</w:t>
            </w:r>
          </w:p>
        </w:tc>
        <w:tc>
          <w:tcPr>
            <w:tcW w:w="987" w:type="dxa"/>
            <w:tcBorders>
              <w:top w:val="nil"/>
              <w:left w:val="nil"/>
              <w:right w:val="nil"/>
            </w:tcBorders>
            <w:shd w:val="clear" w:color="000000" w:fill="D9D9D9"/>
            <w:noWrap/>
            <w:vAlign w:val="center"/>
            <w:hideMark/>
          </w:tcPr>
          <w:p w14:paraId="26355FC1" w14:textId="77777777" w:rsidR="008E3F8E" w:rsidRPr="009E09F0" w:rsidRDefault="008E3F8E" w:rsidP="002A5EE4">
            <w:pPr>
              <w:spacing w:after="0" w:line="240" w:lineRule="auto"/>
              <w:jc w:val="center"/>
              <w:rPr>
                <w:b/>
                <w:bCs/>
                <w:color w:val="000000"/>
                <w:sz w:val="18"/>
                <w:szCs w:val="18"/>
                <w:lang w:eastAsia="sk-SK"/>
              </w:rPr>
            </w:pPr>
            <w:r w:rsidRPr="009E09F0">
              <w:rPr>
                <w:b/>
                <w:bCs/>
                <w:color w:val="000000"/>
                <w:sz w:val="18"/>
                <w:szCs w:val="18"/>
                <w:lang w:eastAsia="sk-SK"/>
              </w:rPr>
              <w:t>2100</w:t>
            </w:r>
          </w:p>
        </w:tc>
        <w:tc>
          <w:tcPr>
            <w:tcW w:w="836" w:type="dxa"/>
            <w:tcBorders>
              <w:top w:val="nil"/>
              <w:left w:val="nil"/>
              <w:right w:val="nil"/>
            </w:tcBorders>
            <w:shd w:val="clear" w:color="000000" w:fill="D9D9D9"/>
            <w:noWrap/>
            <w:vAlign w:val="center"/>
            <w:hideMark/>
          </w:tcPr>
          <w:p w14:paraId="68A726A2" w14:textId="77777777" w:rsidR="008E3F8E" w:rsidRPr="009E09F0" w:rsidRDefault="008E3F8E" w:rsidP="002A5EE4">
            <w:pPr>
              <w:spacing w:after="0" w:line="240" w:lineRule="auto"/>
              <w:jc w:val="center"/>
              <w:rPr>
                <w:b/>
                <w:bCs/>
                <w:color w:val="000000"/>
                <w:sz w:val="18"/>
                <w:szCs w:val="18"/>
                <w:lang w:eastAsia="sk-SK"/>
              </w:rPr>
            </w:pPr>
            <w:r w:rsidRPr="009E09F0">
              <w:rPr>
                <w:b/>
                <w:bCs/>
                <w:color w:val="000000"/>
                <w:sz w:val="18"/>
                <w:szCs w:val="18"/>
                <w:lang w:eastAsia="sk-SK"/>
              </w:rPr>
              <w:t>2140</w:t>
            </w:r>
          </w:p>
        </w:tc>
        <w:tc>
          <w:tcPr>
            <w:tcW w:w="836" w:type="dxa"/>
            <w:tcBorders>
              <w:top w:val="nil"/>
              <w:left w:val="single" w:sz="4" w:space="0" w:color="auto"/>
              <w:right w:val="nil"/>
            </w:tcBorders>
            <w:shd w:val="clear" w:color="000000" w:fill="D9D9D9"/>
            <w:noWrap/>
            <w:vAlign w:val="center"/>
            <w:hideMark/>
          </w:tcPr>
          <w:p w14:paraId="6F82058B" w14:textId="77777777" w:rsidR="008E3F8E" w:rsidRPr="009E09F0" w:rsidRDefault="008E3F8E" w:rsidP="002A5EE4">
            <w:pPr>
              <w:spacing w:after="0" w:line="240" w:lineRule="auto"/>
              <w:jc w:val="center"/>
              <w:rPr>
                <w:b/>
                <w:bCs/>
                <w:color w:val="000000"/>
                <w:sz w:val="18"/>
                <w:szCs w:val="18"/>
                <w:lang w:eastAsia="sk-SK"/>
              </w:rPr>
            </w:pPr>
            <w:r w:rsidRPr="009E09F0">
              <w:rPr>
                <w:b/>
                <w:bCs/>
                <w:color w:val="000000"/>
                <w:sz w:val="18"/>
                <w:szCs w:val="18"/>
                <w:lang w:eastAsia="sk-SK"/>
              </w:rPr>
              <w:t>Spolu</w:t>
            </w:r>
          </w:p>
        </w:tc>
      </w:tr>
      <w:tr w:rsidR="008E3F8E" w:rsidRPr="009E09F0" w14:paraId="00331A8C" w14:textId="77777777" w:rsidTr="00C43BB4">
        <w:trPr>
          <w:trHeight w:val="263"/>
        </w:trPr>
        <w:tc>
          <w:tcPr>
            <w:tcW w:w="3649" w:type="dxa"/>
            <w:tcBorders>
              <w:top w:val="nil"/>
              <w:left w:val="nil"/>
              <w:bottom w:val="single" w:sz="4" w:space="0" w:color="auto"/>
              <w:right w:val="nil"/>
            </w:tcBorders>
            <w:shd w:val="clear" w:color="auto" w:fill="auto"/>
            <w:noWrap/>
            <w:vAlign w:val="bottom"/>
            <w:hideMark/>
          </w:tcPr>
          <w:p w14:paraId="3D04CB93" w14:textId="77777777" w:rsidR="008E3F8E" w:rsidRPr="009E09F0" w:rsidRDefault="008E3F8E" w:rsidP="002A5EE4">
            <w:pPr>
              <w:spacing w:after="0" w:line="240" w:lineRule="auto"/>
              <w:rPr>
                <w:color w:val="000000"/>
                <w:sz w:val="18"/>
                <w:szCs w:val="18"/>
                <w:lang w:eastAsia="sk-SK"/>
              </w:rPr>
            </w:pPr>
            <w:r w:rsidRPr="009E09F0">
              <w:rPr>
                <w:color w:val="000000"/>
                <w:sz w:val="18"/>
                <w:szCs w:val="18"/>
                <w:lang w:eastAsia="sk-SK"/>
              </w:rPr>
              <w:t>Vplyv NJF na saldo</w:t>
            </w:r>
          </w:p>
        </w:tc>
        <w:tc>
          <w:tcPr>
            <w:tcW w:w="887" w:type="dxa"/>
            <w:tcBorders>
              <w:top w:val="nil"/>
              <w:left w:val="nil"/>
              <w:bottom w:val="single" w:sz="4" w:space="0" w:color="auto"/>
              <w:right w:val="nil"/>
            </w:tcBorders>
            <w:shd w:val="clear" w:color="auto" w:fill="auto"/>
            <w:noWrap/>
            <w:vAlign w:val="bottom"/>
          </w:tcPr>
          <w:p w14:paraId="7C029AC5" w14:textId="77777777" w:rsidR="008E3F8E" w:rsidRPr="009E09F0" w:rsidRDefault="008E3F8E" w:rsidP="002A5EE4">
            <w:pPr>
              <w:spacing w:after="0" w:line="240" w:lineRule="auto"/>
              <w:jc w:val="center"/>
              <w:rPr>
                <w:rFonts w:eastAsia="Calibri"/>
                <w:bCs/>
                <w:color w:val="000000"/>
                <w:sz w:val="18"/>
                <w:szCs w:val="18"/>
              </w:rPr>
            </w:pPr>
          </w:p>
        </w:tc>
        <w:tc>
          <w:tcPr>
            <w:tcW w:w="1056" w:type="dxa"/>
            <w:tcBorders>
              <w:top w:val="nil"/>
              <w:left w:val="nil"/>
              <w:bottom w:val="single" w:sz="4" w:space="0" w:color="auto"/>
              <w:right w:val="nil"/>
            </w:tcBorders>
            <w:shd w:val="clear" w:color="auto" w:fill="auto"/>
            <w:noWrap/>
            <w:vAlign w:val="bottom"/>
            <w:hideMark/>
          </w:tcPr>
          <w:p w14:paraId="0AF865A4" w14:textId="77777777" w:rsidR="008E3F8E" w:rsidRPr="009E09F0" w:rsidRDefault="008E3F8E" w:rsidP="002A5EE4">
            <w:pPr>
              <w:spacing w:after="0" w:line="240" w:lineRule="auto"/>
              <w:jc w:val="center"/>
              <w:rPr>
                <w:rFonts w:eastAsia="Calibri"/>
                <w:bCs/>
                <w:color w:val="000000"/>
                <w:sz w:val="18"/>
                <w:szCs w:val="18"/>
              </w:rPr>
            </w:pPr>
            <w:r>
              <w:rPr>
                <w:rFonts w:eastAsia="Calibri"/>
                <w:bCs/>
                <w:color w:val="000000"/>
                <w:sz w:val="18"/>
                <w:szCs w:val="18"/>
              </w:rPr>
              <w:t>-0,12</w:t>
            </w:r>
          </w:p>
        </w:tc>
        <w:tc>
          <w:tcPr>
            <w:tcW w:w="1121" w:type="dxa"/>
            <w:tcBorders>
              <w:top w:val="nil"/>
              <w:left w:val="nil"/>
              <w:bottom w:val="single" w:sz="4" w:space="0" w:color="auto"/>
              <w:right w:val="nil"/>
            </w:tcBorders>
            <w:shd w:val="clear" w:color="auto" w:fill="auto"/>
            <w:noWrap/>
            <w:vAlign w:val="bottom"/>
            <w:hideMark/>
          </w:tcPr>
          <w:p w14:paraId="765FF19B" w14:textId="77777777" w:rsidR="008E3F8E" w:rsidRPr="009E09F0" w:rsidRDefault="008E3F8E" w:rsidP="002A5EE4">
            <w:pPr>
              <w:spacing w:after="0" w:line="240" w:lineRule="auto"/>
              <w:jc w:val="center"/>
              <w:rPr>
                <w:rFonts w:eastAsia="Calibri"/>
                <w:bCs/>
                <w:color w:val="000000"/>
                <w:sz w:val="18"/>
                <w:szCs w:val="18"/>
              </w:rPr>
            </w:pPr>
            <w:r>
              <w:rPr>
                <w:rFonts w:eastAsia="Calibri"/>
                <w:bCs/>
                <w:color w:val="000000"/>
                <w:sz w:val="18"/>
                <w:szCs w:val="18"/>
              </w:rPr>
              <w:t>-0,14</w:t>
            </w:r>
          </w:p>
        </w:tc>
        <w:tc>
          <w:tcPr>
            <w:tcW w:w="987" w:type="dxa"/>
            <w:tcBorders>
              <w:top w:val="nil"/>
              <w:left w:val="nil"/>
              <w:bottom w:val="single" w:sz="4" w:space="0" w:color="auto"/>
              <w:right w:val="nil"/>
            </w:tcBorders>
            <w:shd w:val="clear" w:color="auto" w:fill="auto"/>
            <w:noWrap/>
            <w:vAlign w:val="bottom"/>
            <w:hideMark/>
          </w:tcPr>
          <w:p w14:paraId="59C4CDE1" w14:textId="77777777" w:rsidR="008E3F8E" w:rsidRPr="009E09F0" w:rsidRDefault="008E3F8E" w:rsidP="002A5EE4">
            <w:pPr>
              <w:spacing w:after="0" w:line="240" w:lineRule="auto"/>
              <w:jc w:val="center"/>
              <w:rPr>
                <w:rFonts w:eastAsia="Calibri"/>
                <w:bCs/>
                <w:color w:val="000000"/>
                <w:sz w:val="18"/>
                <w:szCs w:val="18"/>
              </w:rPr>
            </w:pPr>
            <w:r>
              <w:rPr>
                <w:rFonts w:eastAsia="Calibri"/>
                <w:bCs/>
                <w:color w:val="000000"/>
                <w:sz w:val="18"/>
                <w:szCs w:val="18"/>
              </w:rPr>
              <w:t>0,03</w:t>
            </w:r>
          </w:p>
        </w:tc>
        <w:tc>
          <w:tcPr>
            <w:tcW w:w="836" w:type="dxa"/>
            <w:tcBorders>
              <w:top w:val="nil"/>
              <w:left w:val="nil"/>
              <w:bottom w:val="single" w:sz="4" w:space="0" w:color="auto"/>
              <w:right w:val="nil"/>
            </w:tcBorders>
            <w:shd w:val="clear" w:color="auto" w:fill="auto"/>
            <w:noWrap/>
            <w:vAlign w:val="bottom"/>
            <w:hideMark/>
          </w:tcPr>
          <w:p w14:paraId="6E1B1344" w14:textId="77777777" w:rsidR="008E3F8E" w:rsidRPr="009E09F0" w:rsidRDefault="008E3F8E" w:rsidP="002A5EE4">
            <w:pPr>
              <w:spacing w:after="0" w:line="240" w:lineRule="auto"/>
              <w:jc w:val="center"/>
              <w:rPr>
                <w:rFonts w:eastAsia="Calibri"/>
                <w:bCs/>
                <w:color w:val="000000"/>
                <w:sz w:val="18"/>
                <w:szCs w:val="18"/>
              </w:rPr>
            </w:pPr>
            <w:r>
              <w:rPr>
                <w:rFonts w:eastAsia="Calibri"/>
                <w:bCs/>
                <w:color w:val="000000"/>
                <w:sz w:val="18"/>
                <w:szCs w:val="18"/>
              </w:rPr>
              <w:t>0,00</w:t>
            </w:r>
          </w:p>
        </w:tc>
        <w:tc>
          <w:tcPr>
            <w:tcW w:w="836" w:type="dxa"/>
            <w:tcBorders>
              <w:top w:val="nil"/>
              <w:left w:val="single" w:sz="4" w:space="0" w:color="auto"/>
              <w:bottom w:val="single" w:sz="4" w:space="0" w:color="auto"/>
              <w:right w:val="nil"/>
            </w:tcBorders>
            <w:shd w:val="clear" w:color="auto" w:fill="auto"/>
            <w:noWrap/>
            <w:vAlign w:val="bottom"/>
            <w:hideMark/>
          </w:tcPr>
          <w:p w14:paraId="1FBF1270" w14:textId="77777777" w:rsidR="008E3F8E" w:rsidRPr="004C4DCF" w:rsidRDefault="008E3F8E" w:rsidP="002A5EE4">
            <w:pPr>
              <w:spacing w:after="0" w:line="240" w:lineRule="auto"/>
              <w:jc w:val="center"/>
              <w:rPr>
                <w:rFonts w:eastAsia="Calibri"/>
                <w:b/>
                <w:bCs/>
                <w:color w:val="000000"/>
                <w:sz w:val="18"/>
                <w:szCs w:val="18"/>
              </w:rPr>
            </w:pPr>
            <w:r w:rsidRPr="004C4DCF">
              <w:rPr>
                <w:rFonts w:eastAsia="Calibri"/>
                <w:b/>
                <w:bCs/>
                <w:color w:val="000000"/>
                <w:sz w:val="18"/>
                <w:szCs w:val="18"/>
              </w:rPr>
              <w:t>-5,6</w:t>
            </w:r>
          </w:p>
        </w:tc>
      </w:tr>
    </w:tbl>
    <w:p w14:paraId="438E27C1" w14:textId="77777777" w:rsidR="008E3F8E" w:rsidRPr="009E09F0" w:rsidRDefault="008E3F8E" w:rsidP="008E3F8E">
      <w:pPr>
        <w:autoSpaceDE w:val="0"/>
        <w:autoSpaceDN w:val="0"/>
        <w:adjustRightInd w:val="0"/>
        <w:spacing w:after="0" w:line="288" w:lineRule="auto"/>
        <w:jc w:val="both"/>
        <w:rPr>
          <w:rFonts w:eastAsia="Calibri"/>
          <w:szCs w:val="22"/>
        </w:rPr>
      </w:pPr>
      <w:r>
        <w:rPr>
          <w:color w:val="000000"/>
          <w:sz w:val="16"/>
          <w:szCs w:val="18"/>
          <w:lang w:eastAsia="sk-SK"/>
        </w:rPr>
        <w:t>Pozn.: diskontované k roku 2020</w:t>
      </w:r>
    </w:p>
    <w:p w14:paraId="3F97E81D" w14:textId="77777777" w:rsidR="008E3F8E" w:rsidRDefault="008E3F8E" w:rsidP="008E3F8E">
      <w:pPr>
        <w:spacing w:before="120" w:after="120" w:line="240" w:lineRule="auto"/>
        <w:jc w:val="both"/>
      </w:pPr>
      <w:r w:rsidRPr="00560703">
        <w:rPr>
          <w:b/>
        </w:rPr>
        <w:t xml:space="preserve">Implicitným záväzkom sú aj platby, ktoré SR </w:t>
      </w:r>
      <w:r>
        <w:rPr>
          <w:b/>
        </w:rPr>
        <w:t xml:space="preserve">odvedie </w:t>
      </w:r>
      <w:r w:rsidRPr="00560703">
        <w:rPr>
          <w:b/>
        </w:rPr>
        <w:t xml:space="preserve">do rozpočtu EÚ formou vyššieho odvodu za zdroje získane z nástroja </w:t>
      </w:r>
      <w:proofErr w:type="spellStart"/>
      <w:r w:rsidRPr="00560703">
        <w:rPr>
          <w:b/>
        </w:rPr>
        <w:t>Next</w:t>
      </w:r>
      <w:proofErr w:type="spellEnd"/>
      <w:r w:rsidRPr="00560703">
        <w:rPr>
          <w:b/>
        </w:rPr>
        <w:t xml:space="preserve"> </w:t>
      </w:r>
      <w:proofErr w:type="spellStart"/>
      <w:r w:rsidRPr="00560703">
        <w:rPr>
          <w:b/>
        </w:rPr>
        <w:t>Generation</w:t>
      </w:r>
      <w:proofErr w:type="spellEnd"/>
      <w:r w:rsidRPr="00560703">
        <w:rPr>
          <w:b/>
        </w:rPr>
        <w:t xml:space="preserve"> EU.</w:t>
      </w:r>
      <w:r w:rsidRPr="00560703">
        <w:t xml:space="preserve"> Balíkom sa </w:t>
      </w:r>
      <w:r>
        <w:t xml:space="preserve">v nasledujúcich rokoch </w:t>
      </w:r>
      <w:r w:rsidRPr="00560703">
        <w:t xml:space="preserve">podporia najmä investície do zelenej a digitálnej transformácie. Finančné prostriedky na zabezpečenie </w:t>
      </w:r>
      <w:r>
        <w:t xml:space="preserve">týchto </w:t>
      </w:r>
      <w:r w:rsidRPr="00560703">
        <w:t xml:space="preserve">grantov </w:t>
      </w:r>
      <w:r>
        <w:t>získa</w:t>
      </w:r>
      <w:r w:rsidRPr="00560703">
        <w:t xml:space="preserve"> priamo EÚ. Dohoda predpokladá, že ich splácanie </w:t>
      </w:r>
      <w:r>
        <w:t xml:space="preserve">sa </w:t>
      </w:r>
      <w:r w:rsidRPr="00560703">
        <w:t>začne najskôr v roku 2028 a bude trvať maximálne do roku 2058. Splácanie istiny a úrokových platieb sa následne prejaví v budúcich príspevko</w:t>
      </w:r>
      <w:r>
        <w:t>ch</w:t>
      </w:r>
      <w:r w:rsidRPr="00560703">
        <w:t xml:space="preserve"> členských štátov do rozpočtu EÚ. Slovensko tak za horizontom aktuálneho rozpočtu musí očakávať vyššie odvody, ktoré </w:t>
      </w:r>
      <w:r>
        <w:t xml:space="preserve">v súčasnom vyjadrení </w:t>
      </w:r>
      <w:r w:rsidRPr="00560703">
        <w:t>zvyšujú implicitné záväzky</w:t>
      </w:r>
      <w:r>
        <w:t xml:space="preserve"> o 4,2</w:t>
      </w:r>
      <w:r w:rsidRPr="00560703">
        <w:t xml:space="preserve"> % HDP.</w:t>
      </w:r>
    </w:p>
    <w:tbl>
      <w:tblPr>
        <w:tblW w:w="8789" w:type="dxa"/>
        <w:jc w:val="center"/>
        <w:tblLayout w:type="fixed"/>
        <w:tblLook w:val="04A0" w:firstRow="1" w:lastRow="0" w:firstColumn="1" w:lastColumn="0" w:noHBand="0" w:noVBand="1"/>
      </w:tblPr>
      <w:tblGrid>
        <w:gridCol w:w="284"/>
        <w:gridCol w:w="3156"/>
        <w:gridCol w:w="867"/>
        <w:gridCol w:w="867"/>
        <w:gridCol w:w="867"/>
        <w:gridCol w:w="867"/>
        <w:gridCol w:w="867"/>
        <w:gridCol w:w="1014"/>
      </w:tblGrid>
      <w:tr w:rsidR="008E3F8E" w:rsidRPr="00910483" w14:paraId="01220373" w14:textId="77777777" w:rsidTr="00C43BB4">
        <w:trPr>
          <w:trHeight w:val="283"/>
          <w:jc w:val="center"/>
        </w:trPr>
        <w:tc>
          <w:tcPr>
            <w:tcW w:w="284" w:type="dxa"/>
            <w:tcBorders>
              <w:top w:val="single" w:sz="4" w:space="0" w:color="auto"/>
            </w:tcBorders>
            <w:shd w:val="clear" w:color="000000" w:fill="000000"/>
          </w:tcPr>
          <w:p w14:paraId="41B06FF6" w14:textId="77777777" w:rsidR="008E3F8E" w:rsidRPr="00910483" w:rsidRDefault="008E3F8E" w:rsidP="00C43BB4">
            <w:pPr>
              <w:spacing w:after="0" w:line="240" w:lineRule="auto"/>
              <w:jc w:val="both"/>
              <w:rPr>
                <w:b/>
                <w:bCs/>
                <w:color w:val="FFFFFF"/>
                <w:sz w:val="20"/>
                <w:szCs w:val="20"/>
              </w:rPr>
            </w:pPr>
          </w:p>
        </w:tc>
        <w:tc>
          <w:tcPr>
            <w:tcW w:w="8505" w:type="dxa"/>
            <w:gridSpan w:val="7"/>
            <w:tcBorders>
              <w:top w:val="single" w:sz="4" w:space="0" w:color="auto"/>
            </w:tcBorders>
            <w:shd w:val="clear" w:color="000000" w:fill="000000"/>
            <w:noWrap/>
            <w:vAlign w:val="center"/>
            <w:hideMark/>
          </w:tcPr>
          <w:p w14:paraId="28C3F886" w14:textId="099E2FD4" w:rsidR="008E3F8E" w:rsidRPr="00910483" w:rsidRDefault="00C43BB4" w:rsidP="00C43BB4">
            <w:pPr>
              <w:spacing w:after="0" w:line="240" w:lineRule="auto"/>
              <w:ind w:hanging="109"/>
              <w:rPr>
                <w:b/>
                <w:bCs/>
                <w:color w:val="FFFFFF"/>
                <w:szCs w:val="22"/>
              </w:rPr>
            </w:pPr>
            <w:r>
              <w:rPr>
                <w:b/>
                <w:bCs/>
                <w:color w:val="FFFFFF"/>
                <w:sz w:val="20"/>
                <w:szCs w:val="20"/>
              </w:rPr>
              <w:t xml:space="preserve">Tab. 21 - </w:t>
            </w:r>
            <w:r w:rsidR="008E3F8E" w:rsidRPr="00910483">
              <w:rPr>
                <w:b/>
                <w:bCs/>
                <w:color w:val="FFFFFF"/>
                <w:sz w:val="20"/>
                <w:szCs w:val="20"/>
              </w:rPr>
              <w:t>Vplyv Plánu obnovy</w:t>
            </w:r>
            <w:r w:rsidR="008E3F8E">
              <w:rPr>
                <w:b/>
                <w:bCs/>
                <w:color w:val="FFFFFF"/>
                <w:sz w:val="20"/>
                <w:szCs w:val="20"/>
              </w:rPr>
              <w:t xml:space="preserve"> </w:t>
            </w:r>
            <w:r w:rsidR="008E3F8E" w:rsidRPr="00910483">
              <w:rPr>
                <w:b/>
                <w:bCs/>
                <w:color w:val="FFFFFF"/>
                <w:sz w:val="20"/>
                <w:szCs w:val="20"/>
              </w:rPr>
              <w:t>(v % HDP)</w:t>
            </w:r>
            <w:r w:rsidR="008E3F8E" w:rsidRPr="00910483">
              <w:rPr>
                <w:b/>
                <w:bCs/>
                <w:color w:val="FFFFFF"/>
                <w:szCs w:val="22"/>
              </w:rPr>
              <w:t> </w:t>
            </w:r>
          </w:p>
        </w:tc>
      </w:tr>
      <w:tr w:rsidR="008E3F8E" w:rsidRPr="00910483" w14:paraId="72C19B70" w14:textId="77777777" w:rsidTr="00C43BB4">
        <w:trPr>
          <w:trHeight w:val="159"/>
          <w:jc w:val="center"/>
        </w:trPr>
        <w:tc>
          <w:tcPr>
            <w:tcW w:w="3440" w:type="dxa"/>
            <w:gridSpan w:val="2"/>
            <w:shd w:val="clear" w:color="000000" w:fill="D9D9D9"/>
            <w:noWrap/>
            <w:vAlign w:val="center"/>
            <w:hideMark/>
          </w:tcPr>
          <w:p w14:paraId="10EB134B" w14:textId="77777777" w:rsidR="008E3F8E" w:rsidRPr="00910483" w:rsidRDefault="008E3F8E" w:rsidP="002A5EE4">
            <w:pPr>
              <w:spacing w:after="0" w:line="240" w:lineRule="auto"/>
              <w:jc w:val="center"/>
              <w:rPr>
                <w:color w:val="000000"/>
                <w:sz w:val="18"/>
                <w:szCs w:val="20"/>
              </w:rPr>
            </w:pPr>
            <w:r w:rsidRPr="00910483">
              <w:rPr>
                <w:color w:val="000000"/>
                <w:sz w:val="18"/>
                <w:szCs w:val="20"/>
              </w:rPr>
              <w:t> </w:t>
            </w:r>
          </w:p>
        </w:tc>
        <w:tc>
          <w:tcPr>
            <w:tcW w:w="867" w:type="dxa"/>
            <w:shd w:val="clear" w:color="000000" w:fill="D9D9D9"/>
            <w:noWrap/>
            <w:vAlign w:val="center"/>
            <w:hideMark/>
          </w:tcPr>
          <w:p w14:paraId="254FE6C9" w14:textId="77777777" w:rsidR="008E3F8E" w:rsidRPr="00910483" w:rsidRDefault="008E3F8E" w:rsidP="002A5EE4">
            <w:pPr>
              <w:spacing w:after="0" w:line="240" w:lineRule="auto"/>
              <w:jc w:val="center"/>
              <w:rPr>
                <w:b/>
                <w:bCs/>
                <w:color w:val="000000"/>
                <w:sz w:val="18"/>
                <w:szCs w:val="20"/>
              </w:rPr>
            </w:pPr>
            <w:r>
              <w:rPr>
                <w:b/>
                <w:sz w:val="18"/>
                <w:szCs w:val="20"/>
              </w:rPr>
              <w:t>2020</w:t>
            </w:r>
          </w:p>
        </w:tc>
        <w:tc>
          <w:tcPr>
            <w:tcW w:w="867" w:type="dxa"/>
            <w:shd w:val="clear" w:color="000000" w:fill="D9D9D9"/>
            <w:noWrap/>
            <w:vAlign w:val="center"/>
            <w:hideMark/>
          </w:tcPr>
          <w:p w14:paraId="05557764" w14:textId="77777777" w:rsidR="008E3F8E" w:rsidRPr="00910483" w:rsidRDefault="008E3F8E" w:rsidP="002A5EE4">
            <w:pPr>
              <w:spacing w:after="0" w:line="240" w:lineRule="auto"/>
              <w:jc w:val="center"/>
              <w:rPr>
                <w:b/>
                <w:bCs/>
                <w:color w:val="000000"/>
                <w:sz w:val="18"/>
                <w:szCs w:val="20"/>
              </w:rPr>
            </w:pPr>
            <w:r w:rsidRPr="00910483">
              <w:rPr>
                <w:b/>
                <w:sz w:val="18"/>
                <w:szCs w:val="20"/>
              </w:rPr>
              <w:t>2030</w:t>
            </w:r>
          </w:p>
        </w:tc>
        <w:tc>
          <w:tcPr>
            <w:tcW w:w="867" w:type="dxa"/>
            <w:shd w:val="clear" w:color="000000" w:fill="D9D9D9"/>
            <w:noWrap/>
            <w:vAlign w:val="center"/>
            <w:hideMark/>
          </w:tcPr>
          <w:p w14:paraId="3AD1E24D" w14:textId="77777777" w:rsidR="008E3F8E" w:rsidRPr="00910483" w:rsidRDefault="008E3F8E" w:rsidP="002A5EE4">
            <w:pPr>
              <w:spacing w:after="0" w:line="240" w:lineRule="auto"/>
              <w:jc w:val="center"/>
              <w:rPr>
                <w:b/>
                <w:bCs/>
                <w:color w:val="000000"/>
                <w:sz w:val="18"/>
                <w:szCs w:val="20"/>
              </w:rPr>
            </w:pPr>
            <w:r w:rsidRPr="00910483">
              <w:rPr>
                <w:b/>
                <w:sz w:val="18"/>
                <w:szCs w:val="20"/>
              </w:rPr>
              <w:t>2040</w:t>
            </w:r>
          </w:p>
        </w:tc>
        <w:tc>
          <w:tcPr>
            <w:tcW w:w="867" w:type="dxa"/>
            <w:shd w:val="clear" w:color="000000" w:fill="D9D9D9"/>
            <w:noWrap/>
            <w:vAlign w:val="center"/>
            <w:hideMark/>
          </w:tcPr>
          <w:p w14:paraId="20E37130" w14:textId="77777777" w:rsidR="008E3F8E" w:rsidRPr="00910483" w:rsidRDefault="008E3F8E" w:rsidP="002A5EE4">
            <w:pPr>
              <w:spacing w:after="0" w:line="240" w:lineRule="auto"/>
              <w:jc w:val="center"/>
              <w:rPr>
                <w:b/>
                <w:bCs/>
                <w:color w:val="000000"/>
                <w:sz w:val="18"/>
                <w:szCs w:val="20"/>
              </w:rPr>
            </w:pPr>
            <w:r w:rsidRPr="00910483">
              <w:rPr>
                <w:b/>
                <w:sz w:val="18"/>
                <w:szCs w:val="20"/>
              </w:rPr>
              <w:t>2050</w:t>
            </w:r>
          </w:p>
        </w:tc>
        <w:tc>
          <w:tcPr>
            <w:tcW w:w="867" w:type="dxa"/>
            <w:shd w:val="clear" w:color="000000" w:fill="D9D9D9"/>
          </w:tcPr>
          <w:p w14:paraId="507A0C10" w14:textId="77777777" w:rsidR="008E3F8E" w:rsidRPr="00910483" w:rsidRDefault="008E3F8E" w:rsidP="002A5EE4">
            <w:pPr>
              <w:spacing w:after="0" w:line="240" w:lineRule="auto"/>
              <w:jc w:val="center"/>
              <w:rPr>
                <w:b/>
                <w:sz w:val="18"/>
                <w:szCs w:val="20"/>
              </w:rPr>
            </w:pPr>
            <w:r>
              <w:rPr>
                <w:b/>
                <w:sz w:val="18"/>
                <w:szCs w:val="20"/>
              </w:rPr>
              <w:t>2058</w:t>
            </w:r>
          </w:p>
        </w:tc>
        <w:tc>
          <w:tcPr>
            <w:tcW w:w="1009" w:type="dxa"/>
            <w:shd w:val="clear" w:color="000000" w:fill="D9D9D9"/>
            <w:noWrap/>
            <w:vAlign w:val="center"/>
          </w:tcPr>
          <w:p w14:paraId="752DA28B" w14:textId="77777777" w:rsidR="008E3F8E" w:rsidRPr="00910483" w:rsidRDefault="008E3F8E" w:rsidP="002A5EE4">
            <w:pPr>
              <w:spacing w:after="0" w:line="240" w:lineRule="auto"/>
              <w:jc w:val="center"/>
              <w:rPr>
                <w:b/>
                <w:bCs/>
                <w:color w:val="000000"/>
                <w:sz w:val="18"/>
                <w:szCs w:val="20"/>
              </w:rPr>
            </w:pPr>
            <w:r w:rsidRPr="00910483">
              <w:rPr>
                <w:b/>
                <w:sz w:val="18"/>
                <w:szCs w:val="20"/>
              </w:rPr>
              <w:t>Spolu</w:t>
            </w:r>
          </w:p>
        </w:tc>
      </w:tr>
      <w:tr w:rsidR="008E3F8E" w:rsidRPr="00910483" w14:paraId="0DDF8B42" w14:textId="77777777" w:rsidTr="00C43BB4">
        <w:trPr>
          <w:trHeight w:val="283"/>
          <w:jc w:val="center"/>
        </w:trPr>
        <w:tc>
          <w:tcPr>
            <w:tcW w:w="3440" w:type="dxa"/>
            <w:gridSpan w:val="2"/>
            <w:shd w:val="clear" w:color="auto" w:fill="auto"/>
            <w:noWrap/>
            <w:vAlign w:val="center"/>
            <w:hideMark/>
          </w:tcPr>
          <w:p w14:paraId="08751C17" w14:textId="77777777" w:rsidR="008E3F8E" w:rsidRPr="00910483" w:rsidRDefault="008E3F8E" w:rsidP="002A5EE4">
            <w:pPr>
              <w:spacing w:after="0" w:line="240" w:lineRule="auto"/>
              <w:rPr>
                <w:color w:val="000000"/>
                <w:sz w:val="18"/>
                <w:szCs w:val="20"/>
              </w:rPr>
            </w:pPr>
            <w:r w:rsidRPr="00910483">
              <w:rPr>
                <w:color w:val="000000"/>
                <w:sz w:val="18"/>
                <w:szCs w:val="20"/>
              </w:rPr>
              <w:t>Vplyv na saldo</w:t>
            </w:r>
          </w:p>
        </w:tc>
        <w:tc>
          <w:tcPr>
            <w:tcW w:w="867" w:type="dxa"/>
            <w:shd w:val="clear" w:color="auto" w:fill="auto"/>
            <w:noWrap/>
            <w:vAlign w:val="center"/>
            <w:hideMark/>
          </w:tcPr>
          <w:p w14:paraId="0FC35056" w14:textId="77777777" w:rsidR="008E3F8E" w:rsidRPr="00910483" w:rsidRDefault="008E3F8E" w:rsidP="002A5EE4">
            <w:pPr>
              <w:spacing w:after="0" w:line="240" w:lineRule="auto"/>
              <w:jc w:val="center"/>
              <w:rPr>
                <w:color w:val="000000"/>
                <w:sz w:val="18"/>
                <w:szCs w:val="20"/>
              </w:rPr>
            </w:pPr>
            <w:r w:rsidRPr="00910483">
              <w:rPr>
                <w:sz w:val="18"/>
                <w:szCs w:val="20"/>
              </w:rPr>
              <w:t>0,0</w:t>
            </w:r>
          </w:p>
        </w:tc>
        <w:tc>
          <w:tcPr>
            <w:tcW w:w="867" w:type="dxa"/>
            <w:shd w:val="clear" w:color="auto" w:fill="auto"/>
            <w:noWrap/>
            <w:vAlign w:val="center"/>
            <w:hideMark/>
          </w:tcPr>
          <w:p w14:paraId="52EDACA3" w14:textId="77777777" w:rsidR="008E3F8E" w:rsidRPr="00910483" w:rsidRDefault="008E3F8E" w:rsidP="002A5EE4">
            <w:pPr>
              <w:spacing w:after="0" w:line="240" w:lineRule="auto"/>
              <w:jc w:val="center"/>
              <w:rPr>
                <w:color w:val="000000"/>
                <w:sz w:val="18"/>
                <w:szCs w:val="20"/>
              </w:rPr>
            </w:pPr>
            <w:r w:rsidRPr="00910483">
              <w:rPr>
                <w:sz w:val="18"/>
                <w:szCs w:val="20"/>
              </w:rPr>
              <w:t>0,1</w:t>
            </w:r>
          </w:p>
        </w:tc>
        <w:tc>
          <w:tcPr>
            <w:tcW w:w="867" w:type="dxa"/>
            <w:shd w:val="clear" w:color="auto" w:fill="auto"/>
            <w:noWrap/>
            <w:vAlign w:val="center"/>
            <w:hideMark/>
          </w:tcPr>
          <w:p w14:paraId="0304C84E" w14:textId="77777777" w:rsidR="008E3F8E" w:rsidRPr="00910483" w:rsidRDefault="008E3F8E" w:rsidP="002A5EE4">
            <w:pPr>
              <w:spacing w:after="0" w:line="240" w:lineRule="auto"/>
              <w:jc w:val="center"/>
              <w:rPr>
                <w:color w:val="000000"/>
                <w:sz w:val="18"/>
                <w:szCs w:val="20"/>
              </w:rPr>
            </w:pPr>
            <w:r w:rsidRPr="00910483">
              <w:rPr>
                <w:sz w:val="18"/>
                <w:szCs w:val="20"/>
              </w:rPr>
              <w:t>0,1</w:t>
            </w:r>
          </w:p>
        </w:tc>
        <w:tc>
          <w:tcPr>
            <w:tcW w:w="867" w:type="dxa"/>
            <w:shd w:val="clear" w:color="auto" w:fill="auto"/>
            <w:noWrap/>
            <w:vAlign w:val="center"/>
            <w:hideMark/>
          </w:tcPr>
          <w:p w14:paraId="6984F8B4" w14:textId="77777777" w:rsidR="008E3F8E" w:rsidRPr="00910483" w:rsidRDefault="008E3F8E" w:rsidP="002A5EE4">
            <w:pPr>
              <w:spacing w:after="0" w:line="240" w:lineRule="auto"/>
              <w:jc w:val="center"/>
              <w:rPr>
                <w:color w:val="000000"/>
                <w:sz w:val="18"/>
                <w:szCs w:val="20"/>
              </w:rPr>
            </w:pPr>
            <w:r w:rsidRPr="00910483">
              <w:rPr>
                <w:sz w:val="18"/>
                <w:szCs w:val="20"/>
              </w:rPr>
              <w:t>0,1</w:t>
            </w:r>
          </w:p>
        </w:tc>
        <w:tc>
          <w:tcPr>
            <w:tcW w:w="867" w:type="dxa"/>
            <w:vAlign w:val="center"/>
          </w:tcPr>
          <w:p w14:paraId="2D45FD37" w14:textId="77777777" w:rsidR="008E3F8E" w:rsidRDefault="008E3F8E" w:rsidP="002A5EE4">
            <w:pPr>
              <w:spacing w:after="0" w:line="240" w:lineRule="auto"/>
              <w:jc w:val="center"/>
              <w:rPr>
                <w:sz w:val="18"/>
                <w:szCs w:val="20"/>
              </w:rPr>
            </w:pPr>
            <w:r>
              <w:rPr>
                <w:sz w:val="18"/>
                <w:szCs w:val="20"/>
              </w:rPr>
              <w:t>0,0</w:t>
            </w:r>
          </w:p>
        </w:tc>
        <w:tc>
          <w:tcPr>
            <w:tcW w:w="1009" w:type="dxa"/>
            <w:shd w:val="clear" w:color="auto" w:fill="auto"/>
            <w:noWrap/>
            <w:vAlign w:val="center"/>
          </w:tcPr>
          <w:p w14:paraId="71100011" w14:textId="77777777" w:rsidR="008E3F8E" w:rsidRPr="00910483" w:rsidRDefault="008E3F8E" w:rsidP="002A5EE4">
            <w:pPr>
              <w:spacing w:after="0" w:line="240" w:lineRule="auto"/>
              <w:jc w:val="center"/>
              <w:rPr>
                <w:color w:val="000000"/>
                <w:sz w:val="18"/>
                <w:szCs w:val="20"/>
              </w:rPr>
            </w:pPr>
            <w:r>
              <w:rPr>
                <w:sz w:val="18"/>
                <w:szCs w:val="20"/>
              </w:rPr>
              <w:t>2,6</w:t>
            </w:r>
          </w:p>
        </w:tc>
      </w:tr>
      <w:tr w:rsidR="008E3F8E" w:rsidRPr="00910483" w14:paraId="6BFC45D4" w14:textId="77777777" w:rsidTr="00C43BB4">
        <w:trPr>
          <w:trHeight w:val="283"/>
          <w:jc w:val="center"/>
        </w:trPr>
        <w:tc>
          <w:tcPr>
            <w:tcW w:w="3440" w:type="dxa"/>
            <w:gridSpan w:val="2"/>
            <w:tcBorders>
              <w:bottom w:val="single" w:sz="4" w:space="0" w:color="auto"/>
            </w:tcBorders>
            <w:shd w:val="clear" w:color="auto" w:fill="auto"/>
            <w:noWrap/>
            <w:vAlign w:val="center"/>
            <w:hideMark/>
          </w:tcPr>
          <w:p w14:paraId="53EE18D9" w14:textId="77777777" w:rsidR="008E3F8E" w:rsidRPr="00910483" w:rsidRDefault="008E3F8E" w:rsidP="002A5EE4">
            <w:pPr>
              <w:spacing w:after="0" w:line="240" w:lineRule="auto"/>
              <w:rPr>
                <w:b/>
                <w:bCs/>
                <w:color w:val="000000"/>
                <w:sz w:val="18"/>
                <w:szCs w:val="20"/>
              </w:rPr>
            </w:pPr>
            <w:r w:rsidRPr="00910483">
              <w:rPr>
                <w:b/>
                <w:bCs/>
                <w:color w:val="000000"/>
                <w:sz w:val="18"/>
                <w:szCs w:val="20"/>
              </w:rPr>
              <w:t xml:space="preserve"> - </w:t>
            </w:r>
            <w:r>
              <w:rPr>
                <w:b/>
                <w:bCs/>
                <w:color w:val="000000"/>
                <w:sz w:val="18"/>
                <w:szCs w:val="20"/>
              </w:rPr>
              <w:t>diskontovaná hodnota k roku 2020</w:t>
            </w:r>
          </w:p>
        </w:tc>
        <w:tc>
          <w:tcPr>
            <w:tcW w:w="867" w:type="dxa"/>
            <w:tcBorders>
              <w:bottom w:val="single" w:sz="4" w:space="0" w:color="auto"/>
            </w:tcBorders>
            <w:shd w:val="clear" w:color="auto" w:fill="auto"/>
            <w:noWrap/>
            <w:vAlign w:val="center"/>
            <w:hideMark/>
          </w:tcPr>
          <w:p w14:paraId="703C2DAC" w14:textId="77777777" w:rsidR="008E3F8E" w:rsidRPr="00910483" w:rsidRDefault="008E3F8E" w:rsidP="002A5EE4">
            <w:pPr>
              <w:spacing w:after="0" w:line="240" w:lineRule="auto"/>
              <w:jc w:val="center"/>
              <w:rPr>
                <w:b/>
                <w:bCs/>
                <w:color w:val="000000"/>
                <w:sz w:val="18"/>
                <w:szCs w:val="20"/>
              </w:rPr>
            </w:pPr>
            <w:r w:rsidRPr="00910483">
              <w:rPr>
                <w:b/>
                <w:sz w:val="18"/>
                <w:szCs w:val="20"/>
              </w:rPr>
              <w:t>0,0</w:t>
            </w:r>
          </w:p>
        </w:tc>
        <w:tc>
          <w:tcPr>
            <w:tcW w:w="867" w:type="dxa"/>
            <w:tcBorders>
              <w:bottom w:val="single" w:sz="4" w:space="0" w:color="auto"/>
            </w:tcBorders>
            <w:shd w:val="clear" w:color="auto" w:fill="auto"/>
            <w:noWrap/>
            <w:vAlign w:val="center"/>
            <w:hideMark/>
          </w:tcPr>
          <w:p w14:paraId="4FB10E74" w14:textId="77777777" w:rsidR="008E3F8E" w:rsidRPr="00910483" w:rsidRDefault="008E3F8E" w:rsidP="002A5EE4">
            <w:pPr>
              <w:spacing w:after="0" w:line="240" w:lineRule="auto"/>
              <w:jc w:val="center"/>
              <w:rPr>
                <w:b/>
                <w:bCs/>
                <w:color w:val="000000"/>
                <w:sz w:val="18"/>
                <w:szCs w:val="20"/>
              </w:rPr>
            </w:pPr>
            <w:r w:rsidRPr="00910483">
              <w:rPr>
                <w:b/>
                <w:sz w:val="18"/>
                <w:szCs w:val="20"/>
              </w:rPr>
              <w:t>0,2</w:t>
            </w:r>
          </w:p>
        </w:tc>
        <w:tc>
          <w:tcPr>
            <w:tcW w:w="867" w:type="dxa"/>
            <w:tcBorders>
              <w:bottom w:val="single" w:sz="4" w:space="0" w:color="auto"/>
            </w:tcBorders>
            <w:shd w:val="clear" w:color="auto" w:fill="auto"/>
            <w:noWrap/>
            <w:vAlign w:val="center"/>
            <w:hideMark/>
          </w:tcPr>
          <w:p w14:paraId="5684526E" w14:textId="77777777" w:rsidR="008E3F8E" w:rsidRPr="00910483" w:rsidRDefault="008E3F8E" w:rsidP="002A5EE4">
            <w:pPr>
              <w:spacing w:after="0" w:line="240" w:lineRule="auto"/>
              <w:jc w:val="center"/>
              <w:rPr>
                <w:b/>
                <w:bCs/>
                <w:color w:val="000000"/>
                <w:sz w:val="18"/>
                <w:szCs w:val="20"/>
              </w:rPr>
            </w:pPr>
            <w:r>
              <w:rPr>
                <w:b/>
                <w:sz w:val="18"/>
                <w:szCs w:val="20"/>
              </w:rPr>
              <w:t>0,2</w:t>
            </w:r>
          </w:p>
        </w:tc>
        <w:tc>
          <w:tcPr>
            <w:tcW w:w="867" w:type="dxa"/>
            <w:tcBorders>
              <w:bottom w:val="single" w:sz="4" w:space="0" w:color="auto"/>
            </w:tcBorders>
            <w:shd w:val="clear" w:color="auto" w:fill="auto"/>
            <w:noWrap/>
            <w:vAlign w:val="center"/>
            <w:hideMark/>
          </w:tcPr>
          <w:p w14:paraId="2D5B1B15" w14:textId="77777777" w:rsidR="008E3F8E" w:rsidRPr="005C7412" w:rsidRDefault="008E3F8E" w:rsidP="002A5EE4">
            <w:pPr>
              <w:spacing w:after="0" w:line="240" w:lineRule="auto"/>
              <w:jc w:val="center"/>
              <w:rPr>
                <w:b/>
                <w:bCs/>
                <w:color w:val="000000"/>
                <w:sz w:val="18"/>
                <w:szCs w:val="20"/>
              </w:rPr>
            </w:pPr>
            <w:r w:rsidRPr="005C7412">
              <w:rPr>
                <w:b/>
                <w:sz w:val="18"/>
                <w:szCs w:val="20"/>
              </w:rPr>
              <w:t>0,1</w:t>
            </w:r>
          </w:p>
        </w:tc>
        <w:tc>
          <w:tcPr>
            <w:tcW w:w="867" w:type="dxa"/>
            <w:tcBorders>
              <w:bottom w:val="single" w:sz="4" w:space="0" w:color="auto"/>
            </w:tcBorders>
            <w:vAlign w:val="center"/>
          </w:tcPr>
          <w:p w14:paraId="1B2AB54B" w14:textId="77777777" w:rsidR="008E3F8E" w:rsidRPr="005C7412" w:rsidRDefault="008E3F8E" w:rsidP="002A5EE4">
            <w:pPr>
              <w:spacing w:after="0" w:line="240" w:lineRule="auto"/>
              <w:jc w:val="center"/>
              <w:rPr>
                <w:b/>
                <w:sz w:val="18"/>
                <w:szCs w:val="20"/>
              </w:rPr>
            </w:pPr>
            <w:r w:rsidRPr="005C7412">
              <w:rPr>
                <w:b/>
                <w:sz w:val="18"/>
                <w:szCs w:val="20"/>
              </w:rPr>
              <w:t>0,1</w:t>
            </w:r>
          </w:p>
        </w:tc>
        <w:tc>
          <w:tcPr>
            <w:tcW w:w="1009" w:type="dxa"/>
            <w:tcBorders>
              <w:bottom w:val="single" w:sz="4" w:space="0" w:color="auto"/>
            </w:tcBorders>
            <w:shd w:val="clear" w:color="auto" w:fill="auto"/>
            <w:noWrap/>
            <w:vAlign w:val="center"/>
          </w:tcPr>
          <w:p w14:paraId="5079CEB8" w14:textId="77777777" w:rsidR="008E3F8E" w:rsidRPr="00910483" w:rsidRDefault="008E3F8E" w:rsidP="002A5EE4">
            <w:pPr>
              <w:spacing w:after="0" w:line="240" w:lineRule="auto"/>
              <w:jc w:val="center"/>
              <w:rPr>
                <w:b/>
                <w:bCs/>
                <w:color w:val="000000"/>
                <w:sz w:val="18"/>
                <w:szCs w:val="20"/>
              </w:rPr>
            </w:pPr>
            <w:r>
              <w:rPr>
                <w:b/>
                <w:sz w:val="18"/>
                <w:szCs w:val="20"/>
              </w:rPr>
              <w:t>4,2</w:t>
            </w:r>
          </w:p>
        </w:tc>
      </w:tr>
      <w:tr w:rsidR="008E3F8E" w:rsidRPr="00910483" w14:paraId="3AF56989" w14:textId="77777777" w:rsidTr="00C43BB4">
        <w:trPr>
          <w:trHeight w:val="227"/>
          <w:jc w:val="center"/>
        </w:trPr>
        <w:tc>
          <w:tcPr>
            <w:tcW w:w="284" w:type="dxa"/>
            <w:tcBorders>
              <w:top w:val="single" w:sz="4" w:space="0" w:color="auto"/>
              <w:left w:val="nil"/>
              <w:bottom w:val="nil"/>
              <w:right w:val="nil"/>
            </w:tcBorders>
          </w:tcPr>
          <w:p w14:paraId="480FBFD0" w14:textId="77777777" w:rsidR="008E3F8E" w:rsidRPr="00910483" w:rsidRDefault="008E3F8E" w:rsidP="002A5EE4">
            <w:pPr>
              <w:spacing w:after="0" w:line="240" w:lineRule="auto"/>
              <w:rPr>
                <w:i/>
                <w:iCs/>
                <w:color w:val="000000"/>
                <w:sz w:val="14"/>
                <w:szCs w:val="14"/>
                <w:lang w:eastAsia="sk-SK"/>
              </w:rPr>
            </w:pPr>
          </w:p>
        </w:tc>
        <w:tc>
          <w:tcPr>
            <w:tcW w:w="8505" w:type="dxa"/>
            <w:gridSpan w:val="7"/>
            <w:tcBorders>
              <w:top w:val="single" w:sz="4" w:space="0" w:color="auto"/>
              <w:left w:val="nil"/>
              <w:bottom w:val="nil"/>
              <w:right w:val="nil"/>
            </w:tcBorders>
            <w:shd w:val="clear" w:color="auto" w:fill="auto"/>
            <w:noWrap/>
            <w:vAlign w:val="center"/>
          </w:tcPr>
          <w:p w14:paraId="1F3E7AB0" w14:textId="77777777" w:rsidR="008E3F8E" w:rsidRPr="00910483" w:rsidRDefault="008E3F8E" w:rsidP="002A5EE4">
            <w:pPr>
              <w:spacing w:after="0" w:line="240" w:lineRule="auto"/>
              <w:jc w:val="right"/>
              <w:rPr>
                <w:color w:val="000000"/>
                <w:sz w:val="14"/>
                <w:szCs w:val="14"/>
              </w:rPr>
            </w:pPr>
            <w:r w:rsidRPr="001C6C00">
              <w:rPr>
                <w:i/>
                <w:color w:val="000000"/>
                <w:sz w:val="14"/>
                <w:szCs w:val="14"/>
              </w:rPr>
              <w:t>Zdroj: MF SR</w:t>
            </w:r>
          </w:p>
        </w:tc>
      </w:tr>
    </w:tbl>
    <w:p w14:paraId="00F47F83" w14:textId="77777777" w:rsidR="00061F19" w:rsidRDefault="00061F19" w:rsidP="00061F19">
      <w:pPr>
        <w:rPr>
          <w:b/>
        </w:rPr>
      </w:pPr>
    </w:p>
    <w:p w14:paraId="44E1F8F4" w14:textId="77777777" w:rsidR="00061F19" w:rsidRDefault="00061F19">
      <w:pPr>
        <w:rPr>
          <w:b/>
        </w:rPr>
      </w:pPr>
      <w:r>
        <w:rPr>
          <w:b/>
        </w:rPr>
        <w:br w:type="page"/>
      </w:r>
    </w:p>
    <w:p w14:paraId="72206D73" w14:textId="355F1C85" w:rsidR="00233E82" w:rsidRDefault="00233E82" w:rsidP="00233E82">
      <w:pPr>
        <w:spacing w:after="0" w:line="240" w:lineRule="auto"/>
        <w:jc w:val="both"/>
      </w:pPr>
      <w:r>
        <w:lastRenderedPageBreak/>
        <w:t>Pre účely zobrazenia časového radu vývoja implicitných záväzkov od roku 2012, boli upravené predchádzajúce roky tak, aby bola zabezpečená konzistencia v použitom prepočte na konečnom horizonte.</w:t>
      </w:r>
    </w:p>
    <w:p w14:paraId="1CD5DD74" w14:textId="77777777" w:rsidR="00233E82" w:rsidRPr="00233E82" w:rsidRDefault="00233E82" w:rsidP="00233E82">
      <w:pPr>
        <w:spacing w:after="0" w:line="240" w:lineRule="auto"/>
        <w:jc w:val="both"/>
      </w:pPr>
    </w:p>
    <w:p w14:paraId="71011B32" w14:textId="6CFE4816" w:rsidR="00233E82" w:rsidRDefault="00233E82" w:rsidP="00233E82">
      <w:pPr>
        <w:rPr>
          <w:b/>
        </w:rPr>
      </w:pPr>
      <w:r>
        <w:rPr>
          <w:b/>
        </w:rPr>
        <w:t xml:space="preserve">Graf 19: </w:t>
      </w:r>
      <w:r w:rsidRPr="001246E2">
        <w:rPr>
          <w:b/>
        </w:rPr>
        <w:t>Vývoj a štruktúra implicitných záväzkov na konečnom horizonte do roku 2064 (% HDP)</w:t>
      </w:r>
    </w:p>
    <w:p w14:paraId="7F38F709" w14:textId="77777777" w:rsidR="00061F19" w:rsidRDefault="00061F19" w:rsidP="00061F19">
      <w:r>
        <w:rPr>
          <w:noProof/>
          <w:lang w:eastAsia="sk-SK"/>
        </w:rPr>
        <w:drawing>
          <wp:inline distT="0" distB="0" distL="0" distR="0" wp14:anchorId="490DF565" wp14:editId="378BFBA8">
            <wp:extent cx="5760720" cy="3219045"/>
            <wp:effectExtent l="0" t="0" r="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76A0350" w14:textId="77777777" w:rsidR="00061F19" w:rsidRPr="001246E2" w:rsidRDefault="00061F19" w:rsidP="00061F19">
      <w:pPr>
        <w:tabs>
          <w:tab w:val="left" w:pos="8222"/>
        </w:tabs>
        <w:rPr>
          <w:i/>
          <w:sz w:val="14"/>
        </w:rPr>
      </w:pPr>
      <w:r>
        <w:rPr>
          <w:i/>
          <w:sz w:val="14"/>
        </w:rPr>
        <w:t xml:space="preserve">Pozn.: Nárast implicitných záväzkov predovšetkým zo starnutia populácie v roku 2020 oproti 2019 je spôsobený zmenou diskontovania pod vplyvom zníženia nominálnych úrokových mier v projekcii AWG 2021. Len tento efekt vyvolal medziročné zvýšenie záväzkov na konečnom horizonte celkovo o 214,4 </w:t>
      </w:r>
      <w:proofErr w:type="spellStart"/>
      <w:r>
        <w:rPr>
          <w:i/>
          <w:sz w:val="14"/>
        </w:rPr>
        <w:t>p.b</w:t>
      </w:r>
      <w:proofErr w:type="spellEnd"/>
      <w:r>
        <w:rPr>
          <w:i/>
          <w:sz w:val="14"/>
        </w:rPr>
        <w:t xml:space="preserve">. HDP. </w:t>
      </w:r>
      <w:r>
        <w:rPr>
          <w:i/>
          <w:sz w:val="14"/>
        </w:rPr>
        <w:br/>
        <w:t xml:space="preserve">Pozn.2: </w:t>
      </w:r>
      <w:r w:rsidRPr="001246E2">
        <w:rPr>
          <w:i/>
          <w:sz w:val="14"/>
        </w:rPr>
        <w:t>V prípade schémy financovania jadrových zariadení ide o celkový horizont do roku 2140.</w:t>
      </w:r>
      <w:r>
        <w:rPr>
          <w:i/>
          <w:sz w:val="14"/>
        </w:rPr>
        <w:tab/>
        <w:t>Zdroj: MF SR</w:t>
      </w:r>
    </w:p>
    <w:p w14:paraId="34A95315" w14:textId="40D097E5" w:rsidR="00061F19" w:rsidRDefault="00061F19">
      <w:pPr>
        <w:rPr>
          <w:rFonts w:eastAsia="Calibri"/>
          <w:b/>
          <w:szCs w:val="22"/>
          <w:highlight w:val="yellow"/>
        </w:rPr>
      </w:pPr>
    </w:p>
    <w:p w14:paraId="1FBA7436" w14:textId="7DDD87FB" w:rsidR="008117A9" w:rsidRPr="005F39BA" w:rsidRDefault="008117A9" w:rsidP="00182A70">
      <w:pPr>
        <w:pStyle w:val="Nadpis3"/>
        <w:numPr>
          <w:ilvl w:val="2"/>
          <w:numId w:val="50"/>
        </w:numPr>
      </w:pPr>
      <w:bookmarkStart w:id="79" w:name="_Toc495990499"/>
      <w:bookmarkStart w:id="80" w:name="_Toc85718914"/>
      <w:r w:rsidRPr="005F39BA">
        <w:t>Podmienené záväzky</w:t>
      </w:r>
      <w:bookmarkEnd w:id="79"/>
      <w:bookmarkEnd w:id="80"/>
    </w:p>
    <w:p w14:paraId="19DF3901" w14:textId="08A68175" w:rsidR="00E64E4C" w:rsidRPr="00465859" w:rsidRDefault="00465859" w:rsidP="00465859">
      <w:pPr>
        <w:spacing w:after="120" w:line="240" w:lineRule="auto"/>
        <w:jc w:val="both"/>
        <w:rPr>
          <w:bCs/>
        </w:rPr>
      </w:pPr>
      <w:r w:rsidRPr="00465859">
        <w:rPr>
          <w:bCs/>
        </w:rPr>
        <w:t>Podmienené záväzky predstavujú položku</w:t>
      </w:r>
      <w:r w:rsidR="00E64E4C" w:rsidRPr="00465859">
        <w:rPr>
          <w:bCs/>
        </w:rPr>
        <w:t xml:space="preserve"> iných pasív, ktoré za určitých okolností môžu negatívne ovplyvniť finančnú situáciu štátu či územnej samosprávy (v závislosti od toho, aký subjekt podmienené záväzky vykazuje). Tieto záväzky nie sú vykazované na súvahových položkách pasív, pretože nie sú splnené podmienky pre ich zaúčtovanie (výška takéhoto ,,neistého“ záväzku sa nedá spoľahlivo oceniť, obdobie, ku ktorému sa povinnosť viaže nie je určené alebo úbytok ekonomických úžitkov v budúcnosti nie je istý). Z tohto dôvodu nie je možné jednoznačne odhadnúť vplyv na verejné financie z pohľadu času a už vôbec nie je možné stotožňovať hodnotu vyčíslených podmienených záväzkov v danom roku s aktuálnou potrebou peňažných prostriedkov na plnenie takýchto ,,možných“ povinností. </w:t>
      </w:r>
    </w:p>
    <w:p w14:paraId="239AA35F" w14:textId="6A7FD3CA" w:rsidR="00E64E4C" w:rsidRPr="00465859" w:rsidRDefault="00E64E4C" w:rsidP="00465859">
      <w:pPr>
        <w:spacing w:after="120" w:line="240" w:lineRule="auto"/>
        <w:jc w:val="both"/>
        <w:rPr>
          <w:bCs/>
        </w:rPr>
      </w:pPr>
      <w:r w:rsidRPr="00465859">
        <w:rPr>
          <w:bCs/>
        </w:rPr>
        <w:t>Podľa ústavného zákona o rozpočtovej zodpovednosti sú podmienené záväzky súčasťou</w:t>
      </w:r>
      <w:r w:rsidRPr="00465859">
        <w:rPr>
          <w:bCs/>
        </w:rPr>
        <w:br/>
        <w:t>Návrhu rozpočtu v</w:t>
      </w:r>
      <w:r w:rsidR="00465859" w:rsidRPr="00465859">
        <w:rPr>
          <w:bCs/>
        </w:rPr>
        <w:t>erejnej správy (v prílohe č. 4)</w:t>
      </w:r>
      <w:r w:rsidRPr="00465859">
        <w:rPr>
          <w:bCs/>
        </w:rPr>
        <w:t xml:space="preserve">. Informácia v návrhu rozpočtu je </w:t>
      </w:r>
      <w:r w:rsidR="00F309B5" w:rsidRPr="00465859">
        <w:rPr>
          <w:bCs/>
        </w:rPr>
        <w:t>smerodajná najmä</w:t>
      </w:r>
      <w:r w:rsidRPr="00465859">
        <w:rPr>
          <w:bCs/>
        </w:rPr>
        <w:t xml:space="preserve"> pre účely hodnotenia dlhodobej udržateľnosti a výpočtu základného scenára zo strany Rady pre rozpočtovú zodpovednosť, ako aj transparentné zverejňovanie </w:t>
      </w:r>
      <w:proofErr w:type="spellStart"/>
      <w:r w:rsidRPr="00465859">
        <w:rPr>
          <w:bCs/>
        </w:rPr>
        <w:t>mimobilančných</w:t>
      </w:r>
      <w:proofErr w:type="spellEnd"/>
      <w:r w:rsidRPr="00465859">
        <w:rPr>
          <w:bCs/>
        </w:rPr>
        <w:t xml:space="preserve"> položiek s potenciálnym vplyvom na verejné financie.</w:t>
      </w:r>
    </w:p>
    <w:p w14:paraId="7E7A3C57" w14:textId="77777777" w:rsidR="00E64E4C" w:rsidRPr="00465859" w:rsidRDefault="00E64E4C" w:rsidP="00465859">
      <w:pPr>
        <w:spacing w:after="120" w:line="240" w:lineRule="auto"/>
        <w:jc w:val="both"/>
        <w:rPr>
          <w:bCs/>
        </w:rPr>
      </w:pPr>
      <w:r w:rsidRPr="00465859">
        <w:rPr>
          <w:bCs/>
        </w:rPr>
        <w:t xml:space="preserve">Požiadavku na zverejňovanie podmienených záväzkov obsahuje aj európska legislatíva, a to konkrétne smernica Rady 2011/85/EÚ o požiadavkách na rozpočtové rámce členský štátov. Podľa článku 14 ods. 3 tejto smernice členské štáty za všetky subsektory verejnej správy ,,uverejnia príslušné informácie o podmienených záväzkoch s možným veľkým vplyvom na rozpočet verejnej správy vrátane štátnych záruk, problémových úverov a záväzkov vyplývajúcich z činnosti verejnoprávnych korporácií vrátane ich rozsahu“. Podľa tejto smernice sa pravidelne zverejňujú záväzky zo záruk, </w:t>
      </w:r>
      <w:proofErr w:type="spellStart"/>
      <w:r w:rsidRPr="00465859">
        <w:rPr>
          <w:bCs/>
        </w:rPr>
        <w:t>mimobilančných</w:t>
      </w:r>
      <w:proofErr w:type="spellEnd"/>
      <w:r w:rsidRPr="00465859">
        <w:rPr>
          <w:bCs/>
        </w:rPr>
        <w:t xml:space="preserve"> projektov PPP a nesplácané úvery. </w:t>
      </w:r>
    </w:p>
    <w:p w14:paraId="3269C4BA" w14:textId="77777777" w:rsidR="00E64E4C" w:rsidRPr="00441B81" w:rsidRDefault="00E64E4C" w:rsidP="00441B81">
      <w:pPr>
        <w:spacing w:after="120" w:line="240" w:lineRule="auto"/>
        <w:jc w:val="both"/>
        <w:rPr>
          <w:bCs/>
        </w:rPr>
      </w:pPr>
      <w:r w:rsidRPr="00441B81">
        <w:rPr>
          <w:bCs/>
        </w:rPr>
        <w:lastRenderedPageBreak/>
        <w:t xml:space="preserve">Z uvedeného vyplýva, že aj pri podmienených záväzkoch existuje viacero metodických prístupov a na konkrétne podmienené záväzky je možné nazerať odlišne. V ekonomickej teórii, ale aj v legislatívnej praxi účtovného výkazníctva sa ako ostatné pasíva (širší pojem od podmienených záväzkov) spomínajú najčastejšie </w:t>
      </w:r>
      <w:r w:rsidRPr="00441B81">
        <w:rPr>
          <w:bCs/>
          <w:u w:val="single"/>
        </w:rPr>
        <w:t>pasíva</w:t>
      </w:r>
      <w:r w:rsidRPr="00441B81">
        <w:rPr>
          <w:bCs/>
        </w:rPr>
        <w:t xml:space="preserve"> z prebiehajúcich alebo hroziacich súdnych sporov, z poskytnutých záruk, zo všeobecne záväzných právnych predpisov alebo sú to </w:t>
      </w:r>
      <w:r w:rsidRPr="00441B81">
        <w:rPr>
          <w:bCs/>
          <w:u w:val="single"/>
        </w:rPr>
        <w:t>iné finančné povinnosti</w:t>
      </w:r>
      <w:r w:rsidRPr="00441B81">
        <w:rPr>
          <w:bCs/>
        </w:rPr>
        <w:t xml:space="preserve"> ako napríklad z devízových termínovaných obchodov, z opčných obchodov, zákonná alebo zmluvná povinnosť odobrať určité produkty, napríklad z dodávateľských zmlúv a odberateľských zmlúv, povinnosti z nájomných zmlúv, koncesionárskych a iných zmlúv. </w:t>
      </w:r>
    </w:p>
    <w:p w14:paraId="597C537B" w14:textId="12AC8A36" w:rsidR="00E64E4C" w:rsidRPr="00DD165F" w:rsidRDefault="00E64E4C" w:rsidP="00441B81">
      <w:pPr>
        <w:spacing w:after="120" w:line="240" w:lineRule="auto"/>
        <w:jc w:val="both"/>
        <w:rPr>
          <w:bCs/>
        </w:rPr>
      </w:pPr>
      <w:r w:rsidRPr="00441B81">
        <w:rPr>
          <w:bCs/>
        </w:rPr>
        <w:t xml:space="preserve">Subjekty verejnej správy majú z podstaty svojej činnosti často špecifické položky nielen na riadnych záväzkoch, ale aj v iných pasívach. Z pohľadu prezentácie údajov v účtovnej závierke často zverejňujú aj informácie, ktoré nemusia predstavovať podmienené záväzky, ale pre účely splnenia si povinnosti poskytnúť užívateľovi účtovnej závierky významné informácie, uvedú ich medzi </w:t>
      </w:r>
      <w:proofErr w:type="spellStart"/>
      <w:r w:rsidRPr="00441B81">
        <w:rPr>
          <w:bCs/>
        </w:rPr>
        <w:t>mimobilančné</w:t>
      </w:r>
      <w:proofErr w:type="spellEnd"/>
      <w:r w:rsidRPr="00441B81">
        <w:rPr>
          <w:bCs/>
        </w:rPr>
        <w:t xml:space="preserve"> položky. </w:t>
      </w:r>
      <w:r w:rsidRPr="00DD165F">
        <w:rPr>
          <w:bCs/>
        </w:rPr>
        <w:t xml:space="preserve">V súhrnnej výročnej správe </w:t>
      </w:r>
      <w:r w:rsidR="00157FF1">
        <w:rPr>
          <w:bCs/>
        </w:rPr>
        <w:t xml:space="preserve">pre účely odhadu čistého bohatstva a jeho jednotlivých zložiek </w:t>
      </w:r>
      <w:r w:rsidRPr="00DD165F">
        <w:rPr>
          <w:bCs/>
        </w:rPr>
        <w:t xml:space="preserve">sú preto podmienené záväzky chápané podľa účtovnej definície (uvedenej v prvom odseku) a sú predmetom analytického skúmania </w:t>
      </w:r>
      <w:r w:rsidR="00157FF1">
        <w:rPr>
          <w:bCs/>
        </w:rPr>
        <w:t xml:space="preserve">ich vplyvu na zmenu </w:t>
      </w:r>
      <w:r w:rsidRPr="00DD165F">
        <w:rPr>
          <w:bCs/>
        </w:rPr>
        <w:t>čistého bohatstva</w:t>
      </w:r>
      <w:r w:rsidR="00B447F4">
        <w:rPr>
          <w:rStyle w:val="Odkaznapoznmkupodiarou"/>
          <w:bCs/>
        </w:rPr>
        <w:footnoteReference w:id="42"/>
      </w:r>
      <w:r w:rsidRPr="00DD165F">
        <w:rPr>
          <w:bCs/>
        </w:rPr>
        <w:t>.</w:t>
      </w:r>
    </w:p>
    <w:p w14:paraId="63F1E841" w14:textId="4F254768" w:rsidR="00DD165F" w:rsidRDefault="00E64E4C" w:rsidP="00DD165F">
      <w:pPr>
        <w:spacing w:after="120" w:line="240" w:lineRule="auto"/>
        <w:jc w:val="both"/>
        <w:rPr>
          <w:szCs w:val="22"/>
        </w:rPr>
      </w:pPr>
      <w:r w:rsidRPr="000F5E53">
        <w:rPr>
          <w:b/>
          <w:color w:val="0070C0"/>
        </w:rPr>
        <w:t>Celkové podmienené záväzky verejného sektora boli k 31.12.20</w:t>
      </w:r>
      <w:r w:rsidR="006546BF" w:rsidRPr="000F5E53">
        <w:rPr>
          <w:b/>
          <w:color w:val="0070C0"/>
        </w:rPr>
        <w:t>20</w:t>
      </w:r>
      <w:r w:rsidRPr="000F5E53">
        <w:rPr>
          <w:b/>
          <w:color w:val="0070C0"/>
        </w:rPr>
        <w:t xml:space="preserve"> vykázané vo výške</w:t>
      </w:r>
      <w:r w:rsidR="006546BF" w:rsidRPr="000F5E53">
        <w:rPr>
          <w:b/>
          <w:color w:val="0070C0"/>
        </w:rPr>
        <w:br/>
        <w:t>19 729 488</w:t>
      </w:r>
      <w:r w:rsidRPr="000F5E53">
        <w:rPr>
          <w:b/>
          <w:color w:val="0070C0"/>
        </w:rPr>
        <w:t> tis. eur</w:t>
      </w:r>
      <w:r w:rsidRPr="000F5E53">
        <w:rPr>
          <w:rStyle w:val="Odkaznapoznmkupodiarou"/>
          <w:rFonts w:eastAsiaTheme="majorEastAsia"/>
          <w:color w:val="0070C0"/>
        </w:rPr>
        <w:footnoteReference w:id="43"/>
      </w:r>
      <w:r w:rsidRPr="000F5E53">
        <w:rPr>
          <w:b/>
          <w:color w:val="0070C0"/>
        </w:rPr>
        <w:t xml:space="preserve"> (</w:t>
      </w:r>
      <w:r w:rsidR="00DD165F" w:rsidRPr="000F5E53">
        <w:rPr>
          <w:b/>
          <w:color w:val="0070C0"/>
        </w:rPr>
        <w:t>21,4</w:t>
      </w:r>
      <w:r w:rsidRPr="000F5E53">
        <w:rPr>
          <w:b/>
          <w:color w:val="0070C0"/>
        </w:rPr>
        <w:t xml:space="preserve"> % HDP</w:t>
      </w:r>
      <w:r w:rsidR="00DD165F" w:rsidRPr="000F5E53">
        <w:rPr>
          <w:b/>
          <w:color w:val="0070C0"/>
        </w:rPr>
        <w:t xml:space="preserve"> roku 2020</w:t>
      </w:r>
      <w:r w:rsidRPr="000F5E53">
        <w:rPr>
          <w:b/>
          <w:color w:val="0070C0"/>
        </w:rPr>
        <w:t>).</w:t>
      </w:r>
      <w:r w:rsidRPr="000F5E53">
        <w:rPr>
          <w:color w:val="0070C0"/>
        </w:rPr>
        <w:t xml:space="preserve"> </w:t>
      </w:r>
      <w:r w:rsidRPr="00DD165F">
        <w:t>Medziročný nárast celkových podmienených záväzkov</w:t>
      </w:r>
      <w:r w:rsidR="0052583C" w:rsidRPr="00DD165F">
        <w:t xml:space="preserve"> o 1 </w:t>
      </w:r>
      <w:r w:rsidR="00DD165F" w:rsidRPr="00DD165F">
        <w:t>186 946</w:t>
      </w:r>
      <w:r w:rsidRPr="00DD165F">
        <w:t xml:space="preserve"> tis. eur bol spôsobený najmä nárastom hodnoty </w:t>
      </w:r>
      <w:r w:rsidR="00DD165F" w:rsidRPr="00DD165F">
        <w:t>potenciálnej účasti na Európskom mechanizme</w:t>
      </w:r>
      <w:r w:rsidR="003D5247">
        <w:t xml:space="preserve"> pre stabilitu</w:t>
      </w:r>
      <w:r w:rsidR="00DD165F">
        <w:t xml:space="preserve"> (ESM)</w:t>
      </w:r>
      <w:r w:rsidR="00DD165F" w:rsidRPr="00DD165F">
        <w:t xml:space="preserve"> o 1 039 650 tis. eur z dôvodu, že Slovenskej republike vypršala </w:t>
      </w:r>
      <w:r w:rsidR="00DD165F" w:rsidRPr="00DD165F">
        <w:rPr>
          <w:szCs w:val="22"/>
        </w:rPr>
        <w:t>výnimka na kľúči na určenie príspevkov do ESM k 1.1.2021, ktorá bola udelená na obdobie dvanástich rokov od vstupu do eurozóny pre všetky krajiny, ktoré v čase vzniku ESM mali hodnotu HDP na obyvateľa nižšiu, ako je 75  % priemeru Európskej únie. Slovenská republika preto uhradila 134</w:t>
      </w:r>
      <w:r w:rsidR="00B5360C">
        <w:rPr>
          <w:szCs w:val="22"/>
        </w:rPr>
        <w:t xml:space="preserve"> </w:t>
      </w:r>
      <w:r w:rsidR="00DD165F" w:rsidRPr="00DD165F">
        <w:rPr>
          <w:szCs w:val="22"/>
        </w:rPr>
        <w:t>15</w:t>
      </w:r>
      <w:r w:rsidR="00B5360C">
        <w:rPr>
          <w:szCs w:val="22"/>
        </w:rPr>
        <w:t>0</w:t>
      </w:r>
      <w:r w:rsidR="00DD165F" w:rsidRPr="00DD165F">
        <w:rPr>
          <w:szCs w:val="22"/>
        </w:rPr>
        <w:t xml:space="preserve"> </w:t>
      </w:r>
      <w:r w:rsidR="00B5360C">
        <w:rPr>
          <w:szCs w:val="22"/>
        </w:rPr>
        <w:t>tis. eur</w:t>
      </w:r>
      <w:r w:rsidR="00DD165F" w:rsidRPr="00DD165F">
        <w:rPr>
          <w:szCs w:val="22"/>
        </w:rPr>
        <w:t xml:space="preserve"> v decembri 2020, čo upravilo kľúč na určenie príspevkov do ESM pre Slovenskú republiku na hodnotu 0,985 %. Navýšenie splatného kapitálu bolo schválené Národnou radou SR dňa 5.11.2020</w:t>
      </w:r>
      <w:r w:rsidR="00DD165F" w:rsidRPr="00DD165F">
        <w:rPr>
          <w:rStyle w:val="Odkaznapoznmkupodiarou"/>
          <w:rFonts w:eastAsiaTheme="majorEastAsia"/>
          <w:szCs w:val="22"/>
        </w:rPr>
        <w:footnoteReference w:id="44"/>
      </w:r>
      <w:r w:rsidR="00DD165F" w:rsidRPr="00DD165F">
        <w:rPr>
          <w:szCs w:val="22"/>
        </w:rPr>
        <w:t>. </w:t>
      </w:r>
    </w:p>
    <w:p w14:paraId="64313659" w14:textId="67837023" w:rsidR="00964008" w:rsidRPr="00DD165F" w:rsidRDefault="00964008" w:rsidP="00DD165F">
      <w:pPr>
        <w:spacing w:after="120" w:line="240" w:lineRule="auto"/>
        <w:jc w:val="both"/>
      </w:pPr>
      <w:r>
        <w:rPr>
          <w:szCs w:val="22"/>
        </w:rPr>
        <w:t>V rámci podmienených záväzkov došlo medziročne k viacerým významným úbytkom a prírastkom, ktoré sa vzájomne bilancovali do výslednej zmeny 1 186 946 tis. eur a ich opis je uvedený ďalej v texte.</w:t>
      </w:r>
    </w:p>
    <w:tbl>
      <w:tblPr>
        <w:tblW w:w="9072" w:type="dxa"/>
        <w:tblCellMar>
          <w:left w:w="70" w:type="dxa"/>
          <w:right w:w="70" w:type="dxa"/>
        </w:tblCellMar>
        <w:tblLook w:val="04A0" w:firstRow="1" w:lastRow="0" w:firstColumn="1" w:lastColumn="0" w:noHBand="0" w:noVBand="1"/>
      </w:tblPr>
      <w:tblGrid>
        <w:gridCol w:w="3544"/>
        <w:gridCol w:w="160"/>
        <w:gridCol w:w="1417"/>
        <w:gridCol w:w="1418"/>
        <w:gridCol w:w="1276"/>
        <w:gridCol w:w="1257"/>
      </w:tblGrid>
      <w:tr w:rsidR="009A479F" w:rsidRPr="00C43BB4" w14:paraId="093E6625" w14:textId="77777777" w:rsidTr="00867FA9">
        <w:trPr>
          <w:trHeight w:val="420"/>
        </w:trPr>
        <w:tc>
          <w:tcPr>
            <w:tcW w:w="9072" w:type="dxa"/>
            <w:gridSpan w:val="6"/>
            <w:tcBorders>
              <w:top w:val="nil"/>
              <w:left w:val="nil"/>
              <w:bottom w:val="single" w:sz="4" w:space="0" w:color="auto"/>
              <w:right w:val="nil"/>
            </w:tcBorders>
            <w:shd w:val="clear" w:color="000000" w:fill="000000"/>
            <w:noWrap/>
            <w:vAlign w:val="center"/>
            <w:hideMark/>
          </w:tcPr>
          <w:p w14:paraId="7292EA96" w14:textId="2B8D2971" w:rsidR="009A479F" w:rsidRPr="00C43BB4" w:rsidRDefault="009A479F" w:rsidP="008733F8">
            <w:pPr>
              <w:spacing w:after="0" w:line="240" w:lineRule="auto"/>
              <w:ind w:left="2"/>
              <w:rPr>
                <w:b/>
                <w:bCs/>
                <w:color w:val="FFFFFF"/>
                <w:sz w:val="18"/>
                <w:szCs w:val="18"/>
                <w:lang w:eastAsia="sk-SK"/>
              </w:rPr>
            </w:pPr>
            <w:r w:rsidRPr="00C43BB4">
              <w:rPr>
                <w:b/>
                <w:sz w:val="18"/>
                <w:szCs w:val="18"/>
              </w:rPr>
              <w:br w:type="page"/>
            </w:r>
            <w:r w:rsidR="00C43BB4" w:rsidRPr="00C43BB4">
              <w:rPr>
                <w:b/>
                <w:sz w:val="18"/>
                <w:szCs w:val="18"/>
              </w:rPr>
              <w:t xml:space="preserve">Tab. 22 - </w:t>
            </w:r>
            <w:r w:rsidRPr="00C43BB4">
              <w:rPr>
                <w:b/>
                <w:bCs/>
                <w:color w:val="FFFFFF"/>
                <w:sz w:val="18"/>
                <w:szCs w:val="18"/>
                <w:lang w:eastAsia="sk-SK"/>
              </w:rPr>
              <w:t xml:space="preserve">Podmienené záväzky podľa zložiek verejného sektora </w:t>
            </w:r>
            <w:r w:rsidR="008733F8" w:rsidRPr="00C43BB4">
              <w:rPr>
                <w:b/>
                <w:bCs/>
                <w:color w:val="FFFFFF"/>
                <w:sz w:val="18"/>
                <w:szCs w:val="18"/>
                <w:lang w:eastAsia="sk-SK"/>
              </w:rPr>
              <w:t xml:space="preserve">  (</w:t>
            </w:r>
            <w:r w:rsidRPr="00C43BB4">
              <w:rPr>
                <w:b/>
                <w:bCs/>
                <w:color w:val="FFFFFF"/>
                <w:sz w:val="18"/>
                <w:szCs w:val="18"/>
                <w:lang w:eastAsia="sk-SK"/>
              </w:rPr>
              <w:t>v tis. eur</w:t>
            </w:r>
            <w:r w:rsidR="008733F8" w:rsidRPr="00C43BB4">
              <w:rPr>
                <w:b/>
                <w:bCs/>
                <w:color w:val="FFFFFF"/>
                <w:sz w:val="18"/>
                <w:szCs w:val="18"/>
                <w:lang w:eastAsia="sk-SK"/>
              </w:rPr>
              <w:t>)</w:t>
            </w:r>
          </w:p>
        </w:tc>
      </w:tr>
      <w:tr w:rsidR="00593036" w:rsidRPr="00461B5C" w14:paraId="521E6CF3" w14:textId="77777777" w:rsidTr="00593036">
        <w:trPr>
          <w:trHeight w:val="300"/>
        </w:trPr>
        <w:tc>
          <w:tcPr>
            <w:tcW w:w="3704" w:type="dxa"/>
            <w:gridSpan w:val="2"/>
            <w:tcBorders>
              <w:top w:val="nil"/>
              <w:left w:val="nil"/>
              <w:bottom w:val="nil"/>
              <w:right w:val="nil"/>
            </w:tcBorders>
            <w:shd w:val="clear" w:color="000000" w:fill="BFBFBF"/>
            <w:vAlign w:val="bottom"/>
            <w:hideMark/>
          </w:tcPr>
          <w:p w14:paraId="39E1516A" w14:textId="77777777" w:rsidR="00593036" w:rsidRPr="00461B5C" w:rsidRDefault="00593036" w:rsidP="00593036">
            <w:pPr>
              <w:spacing w:after="0" w:line="240" w:lineRule="auto"/>
              <w:jc w:val="right"/>
              <w:rPr>
                <w:b/>
                <w:bCs/>
                <w:sz w:val="18"/>
                <w:szCs w:val="18"/>
                <w:lang w:eastAsia="sk-SK"/>
              </w:rPr>
            </w:pPr>
            <w:r w:rsidRPr="00461B5C">
              <w:rPr>
                <w:b/>
                <w:bCs/>
                <w:sz w:val="18"/>
                <w:szCs w:val="18"/>
                <w:lang w:eastAsia="sk-SK"/>
              </w:rPr>
              <w:t> </w:t>
            </w:r>
          </w:p>
        </w:tc>
        <w:tc>
          <w:tcPr>
            <w:tcW w:w="1417" w:type="dxa"/>
            <w:tcBorders>
              <w:top w:val="nil"/>
              <w:left w:val="nil"/>
              <w:bottom w:val="nil"/>
              <w:right w:val="nil"/>
            </w:tcBorders>
            <w:shd w:val="clear" w:color="000000" w:fill="BFBFBF"/>
            <w:vAlign w:val="bottom"/>
          </w:tcPr>
          <w:p w14:paraId="13FD1D49" w14:textId="02A6D536" w:rsidR="00593036" w:rsidRPr="00461B5C" w:rsidRDefault="00593036" w:rsidP="00593036">
            <w:pPr>
              <w:spacing w:after="0" w:line="240" w:lineRule="auto"/>
              <w:jc w:val="center"/>
              <w:rPr>
                <w:b/>
                <w:bCs/>
                <w:sz w:val="18"/>
                <w:szCs w:val="18"/>
                <w:lang w:eastAsia="sk-SK"/>
              </w:rPr>
            </w:pPr>
            <w:r w:rsidRPr="00461B5C">
              <w:rPr>
                <w:b/>
                <w:bCs/>
                <w:sz w:val="18"/>
                <w:szCs w:val="18"/>
                <w:lang w:eastAsia="sk-SK"/>
              </w:rPr>
              <w:t xml:space="preserve">   2018</w:t>
            </w:r>
          </w:p>
        </w:tc>
        <w:tc>
          <w:tcPr>
            <w:tcW w:w="1418" w:type="dxa"/>
            <w:tcBorders>
              <w:top w:val="nil"/>
              <w:left w:val="nil"/>
              <w:bottom w:val="nil"/>
              <w:right w:val="nil"/>
            </w:tcBorders>
            <w:shd w:val="clear" w:color="000000" w:fill="BFBFBF"/>
            <w:vAlign w:val="bottom"/>
          </w:tcPr>
          <w:p w14:paraId="705941D3" w14:textId="53E9C18D" w:rsidR="00593036" w:rsidRPr="00461B5C" w:rsidRDefault="00593036" w:rsidP="00593036">
            <w:pPr>
              <w:spacing w:after="0" w:line="240" w:lineRule="auto"/>
              <w:jc w:val="center"/>
              <w:rPr>
                <w:b/>
                <w:bCs/>
                <w:sz w:val="18"/>
                <w:szCs w:val="18"/>
                <w:lang w:eastAsia="sk-SK"/>
              </w:rPr>
            </w:pPr>
            <w:r w:rsidRPr="00461B5C">
              <w:rPr>
                <w:b/>
                <w:bCs/>
                <w:sz w:val="18"/>
                <w:szCs w:val="18"/>
                <w:lang w:eastAsia="sk-SK"/>
              </w:rPr>
              <w:t>2019</w:t>
            </w:r>
          </w:p>
        </w:tc>
        <w:tc>
          <w:tcPr>
            <w:tcW w:w="1276" w:type="dxa"/>
            <w:tcBorders>
              <w:top w:val="nil"/>
              <w:left w:val="nil"/>
              <w:bottom w:val="nil"/>
              <w:right w:val="nil"/>
            </w:tcBorders>
            <w:shd w:val="clear" w:color="000000" w:fill="BFBFBF"/>
            <w:vAlign w:val="bottom"/>
            <w:hideMark/>
          </w:tcPr>
          <w:p w14:paraId="2B3F205C" w14:textId="708E9A81" w:rsidR="00593036" w:rsidRPr="00461B5C" w:rsidRDefault="00593036" w:rsidP="00593036">
            <w:pPr>
              <w:spacing w:after="0" w:line="240" w:lineRule="auto"/>
              <w:jc w:val="center"/>
              <w:rPr>
                <w:b/>
                <w:bCs/>
                <w:sz w:val="18"/>
                <w:szCs w:val="18"/>
                <w:lang w:eastAsia="sk-SK"/>
              </w:rPr>
            </w:pPr>
            <w:r w:rsidRPr="00461B5C">
              <w:rPr>
                <w:b/>
                <w:bCs/>
                <w:sz w:val="18"/>
                <w:szCs w:val="18"/>
                <w:lang w:eastAsia="sk-SK"/>
              </w:rPr>
              <w:t xml:space="preserve">   2020</w:t>
            </w:r>
          </w:p>
        </w:tc>
        <w:tc>
          <w:tcPr>
            <w:tcW w:w="1257" w:type="dxa"/>
            <w:tcBorders>
              <w:top w:val="nil"/>
              <w:left w:val="nil"/>
              <w:bottom w:val="nil"/>
              <w:right w:val="nil"/>
            </w:tcBorders>
            <w:shd w:val="clear" w:color="000000" w:fill="BFBFBF"/>
            <w:vAlign w:val="bottom"/>
            <w:hideMark/>
          </w:tcPr>
          <w:p w14:paraId="2FC921B2" w14:textId="3C284F3F" w:rsidR="00593036" w:rsidRPr="00461B5C" w:rsidRDefault="00593036" w:rsidP="00593036">
            <w:pPr>
              <w:spacing w:after="0" w:line="240" w:lineRule="auto"/>
              <w:jc w:val="right"/>
              <w:rPr>
                <w:b/>
                <w:bCs/>
                <w:sz w:val="18"/>
                <w:szCs w:val="18"/>
                <w:lang w:eastAsia="sk-SK"/>
              </w:rPr>
            </w:pPr>
            <w:r w:rsidRPr="00461B5C">
              <w:rPr>
                <w:b/>
                <w:bCs/>
                <w:sz w:val="18"/>
                <w:szCs w:val="18"/>
                <w:lang w:eastAsia="sk-SK"/>
              </w:rPr>
              <w:t>Δ 2020-2019</w:t>
            </w:r>
          </w:p>
        </w:tc>
      </w:tr>
      <w:tr w:rsidR="00593036" w:rsidRPr="00461B5C" w14:paraId="291A5402" w14:textId="77777777" w:rsidTr="00CB3C46">
        <w:trPr>
          <w:trHeight w:val="300"/>
        </w:trPr>
        <w:tc>
          <w:tcPr>
            <w:tcW w:w="3544" w:type="dxa"/>
            <w:tcBorders>
              <w:top w:val="single" w:sz="4" w:space="0" w:color="auto"/>
              <w:left w:val="nil"/>
              <w:bottom w:val="nil"/>
              <w:right w:val="nil"/>
            </w:tcBorders>
            <w:vAlign w:val="center"/>
            <w:hideMark/>
          </w:tcPr>
          <w:p w14:paraId="74468476" w14:textId="49C40122" w:rsidR="00593036" w:rsidRPr="00461B5C" w:rsidRDefault="00593036" w:rsidP="00593036">
            <w:pPr>
              <w:spacing w:after="0" w:line="336" w:lineRule="auto"/>
              <w:rPr>
                <w:color w:val="000000"/>
                <w:sz w:val="18"/>
                <w:szCs w:val="18"/>
                <w:lang w:eastAsia="sk-SK"/>
              </w:rPr>
            </w:pPr>
            <w:r w:rsidRPr="00461B5C">
              <w:rPr>
                <w:color w:val="000000"/>
                <w:sz w:val="18"/>
                <w:szCs w:val="18"/>
                <w:lang w:eastAsia="sk-SK"/>
              </w:rPr>
              <w:t>Ústredná správa a ostatné subjekty</w:t>
            </w:r>
            <w:r w:rsidR="002C6153" w:rsidRPr="00461B5C">
              <w:rPr>
                <w:color w:val="000000"/>
                <w:sz w:val="18"/>
                <w:szCs w:val="18"/>
                <w:lang w:eastAsia="sk-SK"/>
              </w:rPr>
              <w:t xml:space="preserve"> VS</w:t>
            </w:r>
          </w:p>
        </w:tc>
        <w:tc>
          <w:tcPr>
            <w:tcW w:w="160" w:type="dxa"/>
            <w:tcBorders>
              <w:top w:val="single" w:sz="4" w:space="0" w:color="auto"/>
              <w:left w:val="nil"/>
              <w:bottom w:val="nil"/>
              <w:right w:val="nil"/>
            </w:tcBorders>
            <w:noWrap/>
            <w:vAlign w:val="center"/>
          </w:tcPr>
          <w:p w14:paraId="50548912" w14:textId="0A007B52" w:rsidR="00593036" w:rsidRPr="00461B5C" w:rsidRDefault="00593036" w:rsidP="00593036">
            <w:pPr>
              <w:spacing w:after="0" w:line="336" w:lineRule="auto"/>
              <w:jc w:val="right"/>
              <w:rPr>
                <w:color w:val="000000"/>
                <w:sz w:val="18"/>
                <w:szCs w:val="18"/>
                <w:lang w:eastAsia="sk-SK"/>
              </w:rPr>
            </w:pPr>
          </w:p>
        </w:tc>
        <w:tc>
          <w:tcPr>
            <w:tcW w:w="1417" w:type="dxa"/>
            <w:tcBorders>
              <w:top w:val="single" w:sz="4" w:space="0" w:color="auto"/>
              <w:left w:val="nil"/>
              <w:bottom w:val="nil"/>
              <w:right w:val="nil"/>
            </w:tcBorders>
            <w:noWrap/>
            <w:vAlign w:val="center"/>
          </w:tcPr>
          <w:p w14:paraId="561B4816" w14:textId="554C1978" w:rsidR="00593036" w:rsidRPr="00461B5C" w:rsidRDefault="00593036" w:rsidP="00593036">
            <w:pPr>
              <w:spacing w:after="0" w:line="336" w:lineRule="auto"/>
              <w:jc w:val="right"/>
              <w:rPr>
                <w:color w:val="000000"/>
                <w:sz w:val="18"/>
                <w:szCs w:val="18"/>
                <w:lang w:eastAsia="sk-SK"/>
              </w:rPr>
            </w:pPr>
            <w:r w:rsidRPr="00461B5C">
              <w:rPr>
                <w:color w:val="000000"/>
                <w:sz w:val="18"/>
                <w:szCs w:val="18"/>
                <w:lang w:eastAsia="sk-SK"/>
              </w:rPr>
              <w:t>17 203 830</w:t>
            </w:r>
          </w:p>
        </w:tc>
        <w:tc>
          <w:tcPr>
            <w:tcW w:w="1418" w:type="dxa"/>
            <w:tcBorders>
              <w:top w:val="single" w:sz="4" w:space="0" w:color="auto"/>
              <w:left w:val="nil"/>
              <w:bottom w:val="nil"/>
              <w:right w:val="nil"/>
            </w:tcBorders>
            <w:noWrap/>
            <w:vAlign w:val="center"/>
          </w:tcPr>
          <w:p w14:paraId="6FA957F2" w14:textId="28F86575" w:rsidR="00593036" w:rsidRPr="00461B5C" w:rsidRDefault="00593036" w:rsidP="00593036">
            <w:pPr>
              <w:spacing w:after="0" w:line="336" w:lineRule="auto"/>
              <w:jc w:val="right"/>
              <w:rPr>
                <w:color w:val="000000"/>
                <w:sz w:val="18"/>
                <w:szCs w:val="18"/>
                <w:lang w:eastAsia="sk-SK"/>
              </w:rPr>
            </w:pPr>
            <w:r w:rsidRPr="00461B5C">
              <w:rPr>
                <w:color w:val="000000"/>
                <w:sz w:val="18"/>
                <w:szCs w:val="18"/>
                <w:lang w:eastAsia="sk-SK"/>
              </w:rPr>
              <w:t>18 488 756</w:t>
            </w:r>
          </w:p>
        </w:tc>
        <w:tc>
          <w:tcPr>
            <w:tcW w:w="1276" w:type="dxa"/>
            <w:tcBorders>
              <w:top w:val="single" w:sz="4" w:space="0" w:color="auto"/>
              <w:left w:val="nil"/>
              <w:bottom w:val="nil"/>
              <w:right w:val="nil"/>
            </w:tcBorders>
            <w:shd w:val="clear" w:color="auto" w:fill="BFBFBF" w:themeFill="background1" w:themeFillShade="BF"/>
            <w:noWrap/>
            <w:vAlign w:val="center"/>
          </w:tcPr>
          <w:p w14:paraId="4E9FC497" w14:textId="44BF70B7" w:rsidR="00593036" w:rsidRPr="00461B5C" w:rsidRDefault="003001C3" w:rsidP="00593036">
            <w:pPr>
              <w:spacing w:after="0" w:line="336" w:lineRule="auto"/>
              <w:jc w:val="right"/>
              <w:rPr>
                <w:color w:val="000000"/>
                <w:sz w:val="18"/>
                <w:szCs w:val="18"/>
                <w:lang w:eastAsia="sk-SK"/>
              </w:rPr>
            </w:pPr>
            <w:r w:rsidRPr="00461B5C">
              <w:rPr>
                <w:color w:val="000000"/>
                <w:sz w:val="18"/>
                <w:szCs w:val="18"/>
                <w:lang w:eastAsia="sk-SK"/>
              </w:rPr>
              <w:t>19 661 268</w:t>
            </w:r>
          </w:p>
        </w:tc>
        <w:tc>
          <w:tcPr>
            <w:tcW w:w="1257" w:type="dxa"/>
            <w:tcBorders>
              <w:top w:val="single" w:sz="4" w:space="0" w:color="auto"/>
              <w:left w:val="nil"/>
              <w:bottom w:val="nil"/>
              <w:right w:val="nil"/>
            </w:tcBorders>
            <w:vAlign w:val="center"/>
          </w:tcPr>
          <w:p w14:paraId="6245C16D" w14:textId="52A4BBFB" w:rsidR="00593036" w:rsidRPr="00461B5C" w:rsidRDefault="003001C3" w:rsidP="00593036">
            <w:pPr>
              <w:spacing w:after="0" w:line="336" w:lineRule="auto"/>
              <w:jc w:val="right"/>
              <w:rPr>
                <w:color w:val="000000"/>
                <w:sz w:val="18"/>
                <w:szCs w:val="18"/>
                <w:lang w:eastAsia="sk-SK"/>
              </w:rPr>
            </w:pPr>
            <w:r w:rsidRPr="00461B5C">
              <w:rPr>
                <w:color w:val="000000"/>
                <w:sz w:val="18"/>
                <w:szCs w:val="18"/>
                <w:lang w:eastAsia="sk-SK"/>
              </w:rPr>
              <w:t>1 172 512</w:t>
            </w:r>
          </w:p>
        </w:tc>
      </w:tr>
      <w:tr w:rsidR="00593036" w:rsidRPr="00461B5C" w14:paraId="291FEA91" w14:textId="77777777" w:rsidTr="00CB3C46">
        <w:trPr>
          <w:trHeight w:val="300"/>
        </w:trPr>
        <w:tc>
          <w:tcPr>
            <w:tcW w:w="3544" w:type="dxa"/>
            <w:tcBorders>
              <w:top w:val="nil"/>
              <w:left w:val="nil"/>
              <w:bottom w:val="nil"/>
              <w:right w:val="nil"/>
            </w:tcBorders>
            <w:vAlign w:val="center"/>
            <w:hideMark/>
          </w:tcPr>
          <w:p w14:paraId="7215894B" w14:textId="0E0CDE4C" w:rsidR="00593036" w:rsidRPr="00461B5C" w:rsidRDefault="00593036" w:rsidP="002C6153">
            <w:pPr>
              <w:spacing w:after="0" w:line="336" w:lineRule="auto"/>
              <w:rPr>
                <w:color w:val="000000"/>
                <w:sz w:val="18"/>
                <w:szCs w:val="18"/>
                <w:lang w:eastAsia="sk-SK"/>
              </w:rPr>
            </w:pPr>
            <w:r w:rsidRPr="00461B5C">
              <w:rPr>
                <w:color w:val="000000"/>
                <w:sz w:val="18"/>
                <w:szCs w:val="18"/>
                <w:lang w:eastAsia="sk-SK"/>
              </w:rPr>
              <w:t>Obce a</w:t>
            </w:r>
            <w:r w:rsidR="002C6153" w:rsidRPr="00461B5C">
              <w:rPr>
                <w:color w:val="000000"/>
                <w:sz w:val="18"/>
                <w:szCs w:val="18"/>
                <w:lang w:eastAsia="sk-SK"/>
              </w:rPr>
              <w:t> ich ú</w:t>
            </w:r>
            <w:r w:rsidRPr="00461B5C">
              <w:rPr>
                <w:color w:val="000000"/>
                <w:sz w:val="18"/>
                <w:szCs w:val="18"/>
                <w:lang w:eastAsia="sk-SK"/>
              </w:rPr>
              <w:t>čtovné jednotky</w:t>
            </w:r>
          </w:p>
        </w:tc>
        <w:tc>
          <w:tcPr>
            <w:tcW w:w="160" w:type="dxa"/>
            <w:tcBorders>
              <w:top w:val="nil"/>
              <w:left w:val="nil"/>
              <w:bottom w:val="nil"/>
              <w:right w:val="nil"/>
            </w:tcBorders>
            <w:vAlign w:val="center"/>
          </w:tcPr>
          <w:p w14:paraId="3F4107C5" w14:textId="4F87B601" w:rsidR="00593036" w:rsidRPr="00461B5C" w:rsidRDefault="00593036" w:rsidP="00593036">
            <w:pPr>
              <w:spacing w:after="0" w:line="336" w:lineRule="auto"/>
              <w:jc w:val="right"/>
              <w:rPr>
                <w:color w:val="000000"/>
                <w:sz w:val="18"/>
                <w:szCs w:val="18"/>
                <w:lang w:eastAsia="sk-SK"/>
              </w:rPr>
            </w:pPr>
          </w:p>
        </w:tc>
        <w:tc>
          <w:tcPr>
            <w:tcW w:w="1417" w:type="dxa"/>
            <w:tcBorders>
              <w:top w:val="nil"/>
              <w:left w:val="nil"/>
              <w:bottom w:val="nil"/>
              <w:right w:val="nil"/>
            </w:tcBorders>
            <w:vAlign w:val="center"/>
          </w:tcPr>
          <w:p w14:paraId="3CD3DE6B" w14:textId="6379E5B6" w:rsidR="00593036" w:rsidRPr="00461B5C" w:rsidRDefault="00593036" w:rsidP="00593036">
            <w:pPr>
              <w:spacing w:after="0" w:line="336" w:lineRule="auto"/>
              <w:jc w:val="right"/>
              <w:rPr>
                <w:color w:val="000000"/>
                <w:sz w:val="18"/>
                <w:szCs w:val="18"/>
                <w:lang w:eastAsia="sk-SK"/>
              </w:rPr>
            </w:pPr>
            <w:r w:rsidRPr="00461B5C">
              <w:rPr>
                <w:color w:val="000000"/>
                <w:sz w:val="18"/>
                <w:szCs w:val="18"/>
                <w:lang w:eastAsia="sk-SK"/>
              </w:rPr>
              <w:t>53 212</w:t>
            </w:r>
          </w:p>
        </w:tc>
        <w:tc>
          <w:tcPr>
            <w:tcW w:w="1418" w:type="dxa"/>
            <w:tcBorders>
              <w:top w:val="nil"/>
              <w:left w:val="nil"/>
              <w:bottom w:val="nil"/>
              <w:right w:val="nil"/>
            </w:tcBorders>
            <w:vAlign w:val="center"/>
          </w:tcPr>
          <w:p w14:paraId="27087E26" w14:textId="610E44C5" w:rsidR="00593036" w:rsidRPr="00461B5C" w:rsidRDefault="00593036" w:rsidP="00593036">
            <w:pPr>
              <w:spacing w:after="0" w:line="336" w:lineRule="auto"/>
              <w:jc w:val="right"/>
              <w:rPr>
                <w:color w:val="000000"/>
                <w:sz w:val="18"/>
                <w:szCs w:val="18"/>
                <w:lang w:eastAsia="sk-SK"/>
              </w:rPr>
            </w:pPr>
            <w:r w:rsidRPr="00461B5C">
              <w:rPr>
                <w:color w:val="000000"/>
                <w:sz w:val="18"/>
                <w:szCs w:val="18"/>
                <w:lang w:eastAsia="sk-SK"/>
              </w:rPr>
              <w:t>53 257</w:t>
            </w:r>
          </w:p>
        </w:tc>
        <w:tc>
          <w:tcPr>
            <w:tcW w:w="1276" w:type="dxa"/>
            <w:tcBorders>
              <w:top w:val="nil"/>
              <w:left w:val="nil"/>
              <w:bottom w:val="nil"/>
              <w:right w:val="nil"/>
            </w:tcBorders>
            <w:shd w:val="clear" w:color="auto" w:fill="BFBFBF" w:themeFill="background1" w:themeFillShade="BF"/>
            <w:vAlign w:val="center"/>
          </w:tcPr>
          <w:p w14:paraId="0BDC3207" w14:textId="254FE599" w:rsidR="00593036" w:rsidRPr="00461B5C" w:rsidRDefault="003001C3" w:rsidP="00CD6B5B">
            <w:pPr>
              <w:spacing w:after="0" w:line="336" w:lineRule="auto"/>
              <w:jc w:val="right"/>
              <w:rPr>
                <w:color w:val="000000"/>
                <w:sz w:val="18"/>
                <w:szCs w:val="18"/>
                <w:lang w:eastAsia="sk-SK"/>
              </w:rPr>
            </w:pPr>
            <w:r w:rsidRPr="00461B5C">
              <w:rPr>
                <w:color w:val="000000"/>
                <w:sz w:val="18"/>
                <w:szCs w:val="18"/>
                <w:lang w:eastAsia="sk-SK"/>
              </w:rPr>
              <w:t>67 691</w:t>
            </w:r>
          </w:p>
        </w:tc>
        <w:tc>
          <w:tcPr>
            <w:tcW w:w="1257" w:type="dxa"/>
            <w:tcBorders>
              <w:top w:val="nil"/>
              <w:left w:val="nil"/>
              <w:bottom w:val="nil"/>
              <w:right w:val="nil"/>
            </w:tcBorders>
            <w:vAlign w:val="center"/>
          </w:tcPr>
          <w:p w14:paraId="1977EF31" w14:textId="41F2B92A" w:rsidR="00593036" w:rsidRPr="00461B5C" w:rsidRDefault="003001C3" w:rsidP="00593036">
            <w:pPr>
              <w:spacing w:after="0" w:line="336" w:lineRule="auto"/>
              <w:jc w:val="right"/>
              <w:rPr>
                <w:color w:val="000000"/>
                <w:sz w:val="18"/>
                <w:szCs w:val="18"/>
                <w:lang w:eastAsia="sk-SK"/>
              </w:rPr>
            </w:pPr>
            <w:r w:rsidRPr="00461B5C">
              <w:rPr>
                <w:color w:val="000000"/>
                <w:sz w:val="18"/>
                <w:szCs w:val="18"/>
                <w:lang w:eastAsia="sk-SK"/>
              </w:rPr>
              <w:t>14 434</w:t>
            </w:r>
          </w:p>
        </w:tc>
      </w:tr>
      <w:tr w:rsidR="00593036" w:rsidRPr="00461B5C" w14:paraId="27B0199F" w14:textId="77777777" w:rsidTr="00CB3C46">
        <w:trPr>
          <w:trHeight w:val="300"/>
        </w:trPr>
        <w:tc>
          <w:tcPr>
            <w:tcW w:w="3544" w:type="dxa"/>
            <w:tcBorders>
              <w:top w:val="nil"/>
              <w:left w:val="nil"/>
              <w:bottom w:val="nil"/>
              <w:right w:val="nil"/>
            </w:tcBorders>
            <w:vAlign w:val="center"/>
            <w:hideMark/>
          </w:tcPr>
          <w:p w14:paraId="48768641" w14:textId="77777777" w:rsidR="00593036" w:rsidRPr="00461B5C" w:rsidRDefault="00593036" w:rsidP="00593036">
            <w:pPr>
              <w:spacing w:after="0" w:line="336" w:lineRule="auto"/>
              <w:rPr>
                <w:color w:val="000000"/>
                <w:sz w:val="18"/>
                <w:szCs w:val="18"/>
                <w:lang w:eastAsia="sk-SK"/>
              </w:rPr>
            </w:pPr>
            <w:r w:rsidRPr="00461B5C">
              <w:rPr>
                <w:color w:val="000000"/>
                <w:sz w:val="18"/>
                <w:szCs w:val="18"/>
                <w:lang w:eastAsia="sk-SK"/>
              </w:rPr>
              <w:t>VÚC a ich účtovné jednotky</w:t>
            </w:r>
          </w:p>
        </w:tc>
        <w:tc>
          <w:tcPr>
            <w:tcW w:w="160" w:type="dxa"/>
            <w:tcBorders>
              <w:top w:val="nil"/>
              <w:left w:val="nil"/>
              <w:bottom w:val="nil"/>
              <w:right w:val="nil"/>
            </w:tcBorders>
            <w:vAlign w:val="center"/>
          </w:tcPr>
          <w:p w14:paraId="060953B1" w14:textId="245E2D91" w:rsidR="00593036" w:rsidRPr="00461B5C" w:rsidRDefault="00593036" w:rsidP="00593036">
            <w:pPr>
              <w:spacing w:after="0" w:line="336" w:lineRule="auto"/>
              <w:jc w:val="right"/>
              <w:rPr>
                <w:color w:val="000000"/>
                <w:sz w:val="18"/>
                <w:szCs w:val="18"/>
                <w:lang w:eastAsia="sk-SK"/>
              </w:rPr>
            </w:pPr>
          </w:p>
        </w:tc>
        <w:tc>
          <w:tcPr>
            <w:tcW w:w="1417" w:type="dxa"/>
            <w:tcBorders>
              <w:top w:val="nil"/>
              <w:left w:val="nil"/>
              <w:bottom w:val="nil"/>
              <w:right w:val="nil"/>
            </w:tcBorders>
            <w:vAlign w:val="center"/>
          </w:tcPr>
          <w:p w14:paraId="2EDC6C3E" w14:textId="566E5E24" w:rsidR="00593036" w:rsidRPr="00461B5C" w:rsidRDefault="00593036" w:rsidP="00593036">
            <w:pPr>
              <w:spacing w:after="0" w:line="336" w:lineRule="auto"/>
              <w:jc w:val="right"/>
              <w:rPr>
                <w:color w:val="000000"/>
                <w:sz w:val="18"/>
                <w:szCs w:val="18"/>
                <w:lang w:eastAsia="sk-SK"/>
              </w:rPr>
            </w:pPr>
            <w:r w:rsidRPr="00461B5C">
              <w:rPr>
                <w:color w:val="000000"/>
                <w:sz w:val="18"/>
                <w:szCs w:val="18"/>
                <w:lang w:eastAsia="sk-SK"/>
              </w:rPr>
              <w:t>677</w:t>
            </w:r>
          </w:p>
        </w:tc>
        <w:tc>
          <w:tcPr>
            <w:tcW w:w="1418" w:type="dxa"/>
            <w:tcBorders>
              <w:top w:val="nil"/>
              <w:left w:val="nil"/>
              <w:bottom w:val="nil"/>
              <w:right w:val="nil"/>
            </w:tcBorders>
            <w:vAlign w:val="center"/>
          </w:tcPr>
          <w:p w14:paraId="5931502D" w14:textId="1207B8EE" w:rsidR="00593036" w:rsidRPr="00461B5C" w:rsidRDefault="00593036" w:rsidP="00593036">
            <w:pPr>
              <w:spacing w:after="0" w:line="336" w:lineRule="auto"/>
              <w:jc w:val="right"/>
              <w:rPr>
                <w:color w:val="000000"/>
                <w:sz w:val="18"/>
                <w:szCs w:val="18"/>
                <w:lang w:eastAsia="sk-SK"/>
              </w:rPr>
            </w:pPr>
            <w:r w:rsidRPr="00461B5C">
              <w:rPr>
                <w:color w:val="000000"/>
                <w:sz w:val="18"/>
                <w:szCs w:val="18"/>
                <w:lang w:eastAsia="sk-SK"/>
              </w:rPr>
              <w:t>529</w:t>
            </w:r>
          </w:p>
        </w:tc>
        <w:tc>
          <w:tcPr>
            <w:tcW w:w="1276" w:type="dxa"/>
            <w:tcBorders>
              <w:top w:val="nil"/>
              <w:left w:val="nil"/>
              <w:bottom w:val="nil"/>
              <w:right w:val="nil"/>
            </w:tcBorders>
            <w:shd w:val="clear" w:color="auto" w:fill="BFBFBF" w:themeFill="background1" w:themeFillShade="BF"/>
            <w:vAlign w:val="center"/>
          </w:tcPr>
          <w:p w14:paraId="53DDBD64" w14:textId="48B2CE90" w:rsidR="00593036" w:rsidRPr="00461B5C" w:rsidRDefault="003001C3" w:rsidP="00593036">
            <w:pPr>
              <w:spacing w:after="0" w:line="336" w:lineRule="auto"/>
              <w:jc w:val="right"/>
              <w:rPr>
                <w:color w:val="000000"/>
                <w:sz w:val="18"/>
                <w:szCs w:val="18"/>
                <w:lang w:eastAsia="sk-SK"/>
              </w:rPr>
            </w:pPr>
            <w:r w:rsidRPr="00461B5C">
              <w:rPr>
                <w:color w:val="000000"/>
                <w:sz w:val="18"/>
                <w:szCs w:val="18"/>
                <w:lang w:eastAsia="sk-SK"/>
              </w:rPr>
              <w:t>529</w:t>
            </w:r>
          </w:p>
        </w:tc>
        <w:tc>
          <w:tcPr>
            <w:tcW w:w="1257" w:type="dxa"/>
            <w:tcBorders>
              <w:top w:val="nil"/>
              <w:left w:val="nil"/>
              <w:bottom w:val="nil"/>
              <w:right w:val="nil"/>
            </w:tcBorders>
            <w:vAlign w:val="center"/>
          </w:tcPr>
          <w:p w14:paraId="7CB78682" w14:textId="0A08367C" w:rsidR="00593036" w:rsidRPr="00461B5C" w:rsidRDefault="003001C3" w:rsidP="00593036">
            <w:pPr>
              <w:spacing w:after="0" w:line="336" w:lineRule="auto"/>
              <w:jc w:val="right"/>
              <w:rPr>
                <w:color w:val="000000"/>
                <w:sz w:val="18"/>
                <w:szCs w:val="18"/>
                <w:lang w:eastAsia="sk-SK"/>
              </w:rPr>
            </w:pPr>
            <w:r w:rsidRPr="00461B5C">
              <w:rPr>
                <w:color w:val="000000"/>
                <w:sz w:val="18"/>
                <w:szCs w:val="18"/>
                <w:lang w:eastAsia="sk-SK"/>
              </w:rPr>
              <w:t>0</w:t>
            </w:r>
          </w:p>
        </w:tc>
      </w:tr>
      <w:tr w:rsidR="00593036" w:rsidRPr="00461B5C" w14:paraId="69BC1365" w14:textId="77777777" w:rsidTr="00867FA9">
        <w:trPr>
          <w:trHeight w:val="300"/>
        </w:trPr>
        <w:tc>
          <w:tcPr>
            <w:tcW w:w="3704" w:type="dxa"/>
            <w:gridSpan w:val="2"/>
            <w:tcBorders>
              <w:top w:val="single" w:sz="4" w:space="0" w:color="auto"/>
              <w:left w:val="nil"/>
              <w:bottom w:val="single" w:sz="4" w:space="0" w:color="auto"/>
              <w:right w:val="nil"/>
            </w:tcBorders>
            <w:shd w:val="clear" w:color="000000" w:fill="BFBFBF"/>
            <w:noWrap/>
            <w:vAlign w:val="center"/>
            <w:hideMark/>
          </w:tcPr>
          <w:p w14:paraId="29D3ADEC" w14:textId="77777777" w:rsidR="00593036" w:rsidRPr="00461B5C" w:rsidRDefault="00593036" w:rsidP="00593036">
            <w:pPr>
              <w:spacing w:after="0" w:line="240" w:lineRule="auto"/>
              <w:rPr>
                <w:b/>
                <w:bCs/>
                <w:color w:val="000000"/>
                <w:sz w:val="18"/>
                <w:szCs w:val="18"/>
                <w:lang w:eastAsia="sk-SK"/>
              </w:rPr>
            </w:pPr>
            <w:r w:rsidRPr="00461B5C">
              <w:rPr>
                <w:b/>
                <w:bCs/>
                <w:color w:val="000000"/>
                <w:sz w:val="18"/>
                <w:szCs w:val="18"/>
                <w:lang w:eastAsia="sk-SK"/>
              </w:rPr>
              <w:t>Spolu</w:t>
            </w:r>
          </w:p>
        </w:tc>
        <w:tc>
          <w:tcPr>
            <w:tcW w:w="1417" w:type="dxa"/>
            <w:tcBorders>
              <w:top w:val="single" w:sz="4" w:space="0" w:color="auto"/>
              <w:left w:val="nil"/>
              <w:bottom w:val="single" w:sz="4" w:space="0" w:color="auto"/>
              <w:right w:val="nil"/>
            </w:tcBorders>
            <w:shd w:val="clear" w:color="000000" w:fill="BFBFBF"/>
            <w:noWrap/>
            <w:vAlign w:val="center"/>
          </w:tcPr>
          <w:p w14:paraId="38C40350" w14:textId="35C9DA23" w:rsidR="00593036" w:rsidRPr="00461B5C" w:rsidRDefault="00593036" w:rsidP="00593036">
            <w:pPr>
              <w:spacing w:after="0" w:line="240" w:lineRule="auto"/>
              <w:jc w:val="right"/>
              <w:rPr>
                <w:b/>
                <w:bCs/>
                <w:color w:val="000000"/>
                <w:sz w:val="18"/>
                <w:szCs w:val="18"/>
                <w:lang w:eastAsia="sk-SK"/>
              </w:rPr>
            </w:pPr>
            <w:r w:rsidRPr="00461B5C">
              <w:rPr>
                <w:b/>
                <w:bCs/>
                <w:color w:val="000000"/>
                <w:sz w:val="18"/>
                <w:szCs w:val="18"/>
                <w:lang w:eastAsia="sk-SK"/>
              </w:rPr>
              <w:t>17 257 719</w:t>
            </w:r>
          </w:p>
        </w:tc>
        <w:tc>
          <w:tcPr>
            <w:tcW w:w="1418" w:type="dxa"/>
            <w:tcBorders>
              <w:top w:val="single" w:sz="4" w:space="0" w:color="auto"/>
              <w:left w:val="nil"/>
              <w:bottom w:val="single" w:sz="4" w:space="0" w:color="auto"/>
              <w:right w:val="nil"/>
            </w:tcBorders>
            <w:shd w:val="clear" w:color="000000" w:fill="BFBFBF"/>
            <w:noWrap/>
            <w:vAlign w:val="center"/>
          </w:tcPr>
          <w:p w14:paraId="52BFDFF7" w14:textId="54D975EA" w:rsidR="00593036" w:rsidRPr="00461B5C" w:rsidRDefault="00593036" w:rsidP="00593036">
            <w:pPr>
              <w:spacing w:after="0" w:line="240" w:lineRule="auto"/>
              <w:jc w:val="right"/>
              <w:rPr>
                <w:b/>
                <w:bCs/>
                <w:color w:val="000000"/>
                <w:sz w:val="18"/>
                <w:szCs w:val="18"/>
                <w:lang w:eastAsia="sk-SK"/>
              </w:rPr>
            </w:pPr>
            <w:r w:rsidRPr="00461B5C">
              <w:rPr>
                <w:b/>
                <w:bCs/>
                <w:color w:val="000000"/>
                <w:sz w:val="18"/>
                <w:szCs w:val="18"/>
                <w:lang w:eastAsia="sk-SK"/>
              </w:rPr>
              <w:t>18 542 542</w:t>
            </w:r>
          </w:p>
        </w:tc>
        <w:tc>
          <w:tcPr>
            <w:tcW w:w="1276" w:type="dxa"/>
            <w:tcBorders>
              <w:top w:val="single" w:sz="4" w:space="0" w:color="auto"/>
              <w:left w:val="nil"/>
              <w:bottom w:val="single" w:sz="4" w:space="0" w:color="auto"/>
              <w:right w:val="nil"/>
            </w:tcBorders>
            <w:shd w:val="clear" w:color="000000" w:fill="BFBFBF"/>
            <w:noWrap/>
            <w:vAlign w:val="center"/>
          </w:tcPr>
          <w:p w14:paraId="25FFE0A5" w14:textId="7AED752A" w:rsidR="00593036" w:rsidRPr="00461B5C" w:rsidRDefault="003001C3" w:rsidP="00593036">
            <w:pPr>
              <w:spacing w:after="0" w:line="240" w:lineRule="auto"/>
              <w:jc w:val="right"/>
              <w:rPr>
                <w:b/>
                <w:bCs/>
                <w:color w:val="000000"/>
                <w:sz w:val="18"/>
                <w:szCs w:val="18"/>
                <w:lang w:eastAsia="sk-SK"/>
              </w:rPr>
            </w:pPr>
            <w:r w:rsidRPr="00461B5C">
              <w:rPr>
                <w:b/>
                <w:bCs/>
                <w:color w:val="000000"/>
                <w:sz w:val="18"/>
                <w:szCs w:val="18"/>
                <w:lang w:eastAsia="sk-SK"/>
              </w:rPr>
              <w:t>19 729 488</w:t>
            </w:r>
          </w:p>
        </w:tc>
        <w:tc>
          <w:tcPr>
            <w:tcW w:w="1257" w:type="dxa"/>
            <w:tcBorders>
              <w:top w:val="single" w:sz="4" w:space="0" w:color="auto"/>
              <w:left w:val="nil"/>
              <w:bottom w:val="single" w:sz="4" w:space="0" w:color="auto"/>
              <w:right w:val="nil"/>
            </w:tcBorders>
            <w:shd w:val="clear" w:color="000000" w:fill="BFBFBF"/>
            <w:noWrap/>
            <w:vAlign w:val="center"/>
          </w:tcPr>
          <w:p w14:paraId="6459F294" w14:textId="5CD4EFFE" w:rsidR="00593036" w:rsidRPr="00461B5C" w:rsidRDefault="003001C3" w:rsidP="00593036">
            <w:pPr>
              <w:spacing w:after="0" w:line="240" w:lineRule="auto"/>
              <w:jc w:val="right"/>
              <w:rPr>
                <w:b/>
                <w:bCs/>
                <w:color w:val="000000"/>
                <w:sz w:val="18"/>
                <w:szCs w:val="18"/>
                <w:lang w:eastAsia="sk-SK"/>
              </w:rPr>
            </w:pPr>
            <w:r w:rsidRPr="00461B5C">
              <w:rPr>
                <w:b/>
                <w:bCs/>
                <w:color w:val="000000"/>
                <w:sz w:val="18"/>
                <w:szCs w:val="18"/>
                <w:lang w:eastAsia="sk-SK"/>
              </w:rPr>
              <w:t>1 186 946</w:t>
            </w:r>
          </w:p>
        </w:tc>
      </w:tr>
    </w:tbl>
    <w:p w14:paraId="2B763B44" w14:textId="77777777" w:rsidR="009A479F" w:rsidRPr="00461B5C" w:rsidRDefault="009A479F" w:rsidP="00593036">
      <w:pPr>
        <w:spacing w:after="120" w:line="336" w:lineRule="auto"/>
        <w:ind w:left="7080" w:firstLine="708"/>
        <w:jc w:val="center"/>
        <w:rPr>
          <w:sz w:val="18"/>
          <w:szCs w:val="18"/>
        </w:rPr>
      </w:pPr>
      <w:r w:rsidRPr="00461B5C">
        <w:rPr>
          <w:sz w:val="18"/>
          <w:szCs w:val="18"/>
        </w:rPr>
        <w:t>Zdroj: MF SR</w:t>
      </w:r>
    </w:p>
    <w:p w14:paraId="07EF37D6" w14:textId="1AAFCC3E" w:rsidR="009A479F" w:rsidRPr="002632BB" w:rsidRDefault="009A479F" w:rsidP="00C03DCF">
      <w:pPr>
        <w:spacing w:after="120" w:line="240" w:lineRule="auto"/>
        <w:jc w:val="both"/>
      </w:pPr>
      <w:r w:rsidRPr="002632BB">
        <w:t xml:space="preserve">Hodnotovo najvýznamnejšiu skupinu tvoria </w:t>
      </w:r>
      <w:r w:rsidRPr="002632BB">
        <w:rPr>
          <w:b/>
        </w:rPr>
        <w:t>podmienené záväzky vyplývajúce z poskytnutých záruk</w:t>
      </w:r>
      <w:r w:rsidRPr="002632BB">
        <w:t xml:space="preserve"> vyplývajúcich zo stabilizačných mechanizmov (v správe Ministerstva financií SR) a </w:t>
      </w:r>
      <w:r w:rsidRPr="002632BB">
        <w:rPr>
          <w:b/>
        </w:rPr>
        <w:t xml:space="preserve">kapitálu splatného na požiadanie </w:t>
      </w:r>
      <w:r w:rsidRPr="002632BB">
        <w:t xml:space="preserve">v medzinárodných finančných inštitúciách. Najväčší podmienený záväzok ostáva vykázaný pri </w:t>
      </w:r>
      <w:r w:rsidR="00E5456C" w:rsidRPr="002632BB">
        <w:t>ESM</w:t>
      </w:r>
      <w:r w:rsidRPr="002632BB">
        <w:rPr>
          <w:vertAlign w:val="superscript"/>
        </w:rPr>
        <w:footnoteReference w:id="45"/>
      </w:r>
      <w:r w:rsidRPr="002632BB">
        <w:t xml:space="preserve"> vo výške </w:t>
      </w:r>
      <w:r w:rsidR="00E5456C" w:rsidRPr="002632BB">
        <w:t>6 148 450</w:t>
      </w:r>
      <w:r w:rsidRPr="002632BB">
        <w:t xml:space="preserve"> tis. eur. Tento finančný mechanizmus je určený na poskytovanie pomoci členským štátom eurozóny vo vážnych finančných problémoch s cieľom zabezpečiť stabilitu eurozóny. Základné imanie ESM v sume 70</w:t>
      </w:r>
      <w:r w:rsidR="009704F0" w:rsidRPr="002632BB">
        <w:t>4 798 700</w:t>
      </w:r>
      <w:r w:rsidRPr="002632BB">
        <w:t> tis. eur tvorí 80</w:t>
      </w:r>
      <w:r w:rsidR="009704F0" w:rsidRPr="002632BB">
        <w:t> 548 400</w:t>
      </w:r>
      <w:r w:rsidRPr="002632BB">
        <w:t xml:space="preserve"> tis. eur vo forme splatených akcií (z toho podiel SR: </w:t>
      </w:r>
      <w:r w:rsidR="009704F0" w:rsidRPr="002632BB">
        <w:t>659 200</w:t>
      </w:r>
      <w:r w:rsidRPr="002632BB">
        <w:t xml:space="preserve"> tis. eur) a</w:t>
      </w:r>
      <w:r w:rsidR="009704F0" w:rsidRPr="002632BB">
        <w:t> 624 250 300</w:t>
      </w:r>
      <w:r w:rsidRPr="002632BB">
        <w:t xml:space="preserve"> tis. eur vo forme akcií splatných na vyzvanie (z toho podiel SR: </w:t>
      </w:r>
      <w:r w:rsidR="009704F0" w:rsidRPr="002632BB">
        <w:t>5 768 000</w:t>
      </w:r>
      <w:r w:rsidR="00E5456C" w:rsidRPr="002632BB">
        <w:t xml:space="preserve"> </w:t>
      </w:r>
      <w:r w:rsidRPr="002632BB">
        <w:t>tis. eur). Slovenská republika sa ratifikáciou zmluvy, ktorou sa zriaďuje ESM zaviazala, že v prípade, ak úroveň splateného imania klesne pod schválen</w:t>
      </w:r>
      <w:r w:rsidR="00E5456C" w:rsidRPr="002632BB">
        <w:t>ú úroveň</w:t>
      </w:r>
      <w:r w:rsidRPr="002632BB">
        <w:t xml:space="preserve"> absorbovaním strát vzniknutých </w:t>
      </w:r>
      <w:r w:rsidRPr="002632BB">
        <w:lastRenderedPageBreak/>
        <w:t>v rámci pomoci členským štátom eurozóny, Správna rada ESM vyzve akcionárov na jeho splatenie jednoduchou väčšinou.</w:t>
      </w:r>
      <w:r w:rsidR="002632BB" w:rsidRPr="002632BB">
        <w:t xml:space="preserve"> Zmena podielov SR na základe poslednej úhrady 134 150 tis. eur podľa účtovnej závierky ESM sa prejaví až v roku 2021.</w:t>
      </w:r>
    </w:p>
    <w:p w14:paraId="7F3DB25A" w14:textId="542482EC" w:rsidR="009A479F" w:rsidRPr="00DE0F50" w:rsidRDefault="009A479F" w:rsidP="00DE0F50">
      <w:pPr>
        <w:spacing w:after="120" w:line="240" w:lineRule="auto"/>
        <w:jc w:val="both"/>
      </w:pPr>
      <w:r w:rsidRPr="00DE0F50">
        <w:t>Európsky nástroj finančnej stability (EFSF</w:t>
      </w:r>
      <w:r w:rsidRPr="00DE0F50">
        <w:rPr>
          <w:vertAlign w:val="superscript"/>
        </w:rPr>
        <w:footnoteReference w:id="46"/>
      </w:r>
      <w:r w:rsidRPr="00DE0F50">
        <w:t xml:space="preserve">) je predchodca ESM (tzv. </w:t>
      </w:r>
      <w:proofErr w:type="spellStart"/>
      <w:r w:rsidRPr="00DE0F50">
        <w:t>euroval</w:t>
      </w:r>
      <w:proofErr w:type="spellEnd"/>
      <w:r w:rsidRPr="00DE0F50">
        <w:t xml:space="preserve"> 1). Slovenská republika sa ako členský štát EFSF zaviazala poskytovať záruky za dlhové finančné inštrumenty vydávané EFSF v prípade žiadosti členského štátu eurozóny o finančnú stabilizačnú pomoc. V zmysle zákona</w:t>
      </w:r>
      <w:r w:rsidRPr="00DE0F50">
        <w:br/>
        <w:t xml:space="preserve">č. 381/2010 Z. z. o špecifických štátnych zárukách a o zmene a doplnení niektorých zákonov sa Slovensko musí podieľať na celkovej výške záruk do sumy, ktorá nepresiahne 7 727 570 tis. eur. Zároveň sa musí podieľať na ďalších záručných mechanizmoch potrebných na získanie AAA ratingu pre EFSF, napríklad poskytnutím dodatočných záruk EFSF do výšky 165 % svojho podielu na zárukách pre každú emisiu. Stav záruk vystavených Slovenskou republikou bol </w:t>
      </w:r>
      <w:r w:rsidR="009B0DE7" w:rsidRPr="00DE0F50">
        <w:t>k 31.12.20</w:t>
      </w:r>
      <w:r w:rsidR="00DE0F50" w:rsidRPr="00DE0F50">
        <w:t>20</w:t>
      </w:r>
      <w:r w:rsidR="009B0DE7" w:rsidRPr="00DE0F50">
        <w:t xml:space="preserve"> vo výške </w:t>
      </w:r>
      <w:r w:rsidR="00DE0F50" w:rsidRPr="00DE0F50">
        <w:t>2 372 001</w:t>
      </w:r>
      <w:r w:rsidR="009B0DE7" w:rsidRPr="00DE0F50">
        <w:t> </w:t>
      </w:r>
      <w:r w:rsidRPr="00DE0F50">
        <w:t>tis. eur a medziročne sa znížil o</w:t>
      </w:r>
      <w:r w:rsidR="00DE0F50" w:rsidRPr="00DE0F50">
        <w:t> 54 841</w:t>
      </w:r>
      <w:r w:rsidRPr="00DE0F50">
        <w:t xml:space="preserve"> tis. eur. </w:t>
      </w:r>
    </w:p>
    <w:p w14:paraId="53673230" w14:textId="26855C73" w:rsidR="00A02178" w:rsidRDefault="009A479F" w:rsidP="00A02178">
      <w:pPr>
        <w:spacing w:after="0" w:line="240" w:lineRule="auto"/>
        <w:jc w:val="both"/>
      </w:pPr>
      <w:r w:rsidRPr="00A02178">
        <w:rPr>
          <w:b/>
        </w:rPr>
        <w:t>Kapitál splatný na vyzvanie (tzv. ,,</w:t>
      </w:r>
      <w:proofErr w:type="spellStart"/>
      <w:r w:rsidRPr="00A02178">
        <w:rPr>
          <w:b/>
        </w:rPr>
        <w:t>call</w:t>
      </w:r>
      <w:proofErr w:type="spellEnd"/>
      <w:r w:rsidRPr="00A02178">
        <w:rPr>
          <w:b/>
        </w:rPr>
        <w:t xml:space="preserve"> </w:t>
      </w:r>
      <w:proofErr w:type="spellStart"/>
      <w:r w:rsidRPr="00A02178">
        <w:rPr>
          <w:b/>
        </w:rPr>
        <w:t>capital</w:t>
      </w:r>
      <w:proofErr w:type="spellEnd"/>
      <w:r w:rsidRPr="00A02178">
        <w:rPr>
          <w:b/>
        </w:rPr>
        <w:t>“) v medzinárodných finančných inštitúciách</w:t>
      </w:r>
      <w:r w:rsidRPr="00A02178">
        <w:t xml:space="preserve"> je takisto v správe Ministerstva financií SR. Ide o nesplatenú časť podielov na základnom imaní konkrétnych finančných inštitúcií, k splateniu ktorej je nutná výzva pre akcionárov („</w:t>
      </w:r>
      <w:proofErr w:type="spellStart"/>
      <w:r w:rsidRPr="00A02178">
        <w:t>call</w:t>
      </w:r>
      <w:proofErr w:type="spellEnd"/>
      <w:r w:rsidRPr="00A02178">
        <w:t xml:space="preserve">“). Keďže nie je isté v akom čase a v akom objeme bude nutné doplniť základné imanie týchto inštitúcií, rozvrhnutý podiel pripadajúci na Slovenskú republiku, ako člena v medzinárodných finančných inštitúciách, sa vykazuje na </w:t>
      </w:r>
      <w:proofErr w:type="spellStart"/>
      <w:r w:rsidRPr="00A02178">
        <w:t>podsúvahe</w:t>
      </w:r>
      <w:proofErr w:type="spellEnd"/>
      <w:r w:rsidRPr="00A02178">
        <w:t xml:space="preserve"> ako podmienené pasívum. Primárnym cieľom členstva v medzinárodných bankách je vzájomná pomoc v oblasti hospodárskeho rozvoja prostredníctvom koncentrácie kapitálu z národných zdrojov. Samotná Slovenská republika čerpá zvýhodnené úvery od niektorých z týchto bánk, napríklad na rozvoj domácej cestnej infraštruktúry a podporu spoločných programov SR a EÚ (</w:t>
      </w:r>
      <w:r w:rsidRPr="00A02178">
        <w:rPr>
          <w:i/>
        </w:rPr>
        <w:t>bližšie informácie sú uvedené v prílohe č. 3 Súhrnnej účtovnej závierky</w:t>
      </w:r>
      <w:r w:rsidRPr="00A02178">
        <w:t>).</w:t>
      </w:r>
    </w:p>
    <w:p w14:paraId="653864D8" w14:textId="77777777" w:rsidR="004258AA" w:rsidRDefault="004258AA" w:rsidP="00A02178">
      <w:pPr>
        <w:spacing w:after="0" w:line="240" w:lineRule="auto"/>
        <w:jc w:val="both"/>
      </w:pPr>
    </w:p>
    <w:tbl>
      <w:tblPr>
        <w:tblW w:w="9356" w:type="dxa"/>
        <w:tblCellMar>
          <w:left w:w="70" w:type="dxa"/>
          <w:right w:w="70" w:type="dxa"/>
        </w:tblCellMar>
        <w:tblLook w:val="04A0" w:firstRow="1" w:lastRow="0" w:firstColumn="1" w:lastColumn="0" w:noHBand="0" w:noVBand="1"/>
      </w:tblPr>
      <w:tblGrid>
        <w:gridCol w:w="4678"/>
        <w:gridCol w:w="1176"/>
        <w:gridCol w:w="1176"/>
        <w:gridCol w:w="1176"/>
        <w:gridCol w:w="1150"/>
      </w:tblGrid>
      <w:tr w:rsidR="00C43BB4" w:rsidRPr="00C43BB4" w14:paraId="769804FA" w14:textId="77777777" w:rsidTr="00FC7447">
        <w:trPr>
          <w:trHeight w:val="276"/>
        </w:trPr>
        <w:tc>
          <w:tcPr>
            <w:tcW w:w="7030" w:type="dxa"/>
            <w:gridSpan w:val="3"/>
            <w:tcBorders>
              <w:top w:val="nil"/>
              <w:left w:val="nil"/>
              <w:bottom w:val="nil"/>
              <w:right w:val="nil"/>
            </w:tcBorders>
            <w:shd w:val="clear" w:color="000000" w:fill="000000"/>
            <w:noWrap/>
            <w:vAlign w:val="center"/>
            <w:hideMark/>
          </w:tcPr>
          <w:p w14:paraId="3182D19D" w14:textId="6C9B4150" w:rsidR="00C43BB4" w:rsidRPr="00C43BB4" w:rsidRDefault="00C43BB4" w:rsidP="00C43BB4">
            <w:pPr>
              <w:spacing w:after="0" w:line="240" w:lineRule="auto"/>
              <w:rPr>
                <w:b/>
                <w:bCs/>
                <w:color w:val="FFFFFF"/>
                <w:sz w:val="20"/>
                <w:szCs w:val="20"/>
                <w:lang w:eastAsia="sk-SK"/>
              </w:rPr>
            </w:pPr>
            <w:r w:rsidRPr="00C43BB4">
              <w:rPr>
                <w:b/>
                <w:sz w:val="20"/>
                <w:szCs w:val="20"/>
              </w:rPr>
              <w:br w:type="page"/>
              <w:t xml:space="preserve">Tab. 23 - </w:t>
            </w:r>
            <w:r w:rsidRPr="00C43BB4">
              <w:rPr>
                <w:b/>
                <w:bCs/>
                <w:color w:val="FFFFFF"/>
                <w:sz w:val="20"/>
                <w:szCs w:val="20"/>
                <w:lang w:eastAsia="sk-SK"/>
              </w:rPr>
              <w:t>Prehľad najväčších podmienených záväzkov (v tis. eur) </w:t>
            </w:r>
          </w:p>
        </w:tc>
        <w:tc>
          <w:tcPr>
            <w:tcW w:w="1176" w:type="dxa"/>
            <w:tcBorders>
              <w:top w:val="nil"/>
              <w:left w:val="nil"/>
              <w:bottom w:val="nil"/>
              <w:right w:val="nil"/>
            </w:tcBorders>
            <w:shd w:val="clear" w:color="000000" w:fill="000000"/>
            <w:noWrap/>
            <w:vAlign w:val="center"/>
            <w:hideMark/>
          </w:tcPr>
          <w:p w14:paraId="02B044D0" w14:textId="77777777" w:rsidR="00C43BB4" w:rsidRPr="00C43BB4" w:rsidRDefault="00C43BB4" w:rsidP="00B067CB">
            <w:pPr>
              <w:spacing w:after="0" w:line="240" w:lineRule="auto"/>
              <w:rPr>
                <w:b/>
                <w:bCs/>
                <w:color w:val="FFFFFF"/>
                <w:sz w:val="20"/>
                <w:szCs w:val="20"/>
                <w:lang w:eastAsia="sk-SK"/>
              </w:rPr>
            </w:pPr>
            <w:r w:rsidRPr="00C43BB4">
              <w:rPr>
                <w:b/>
                <w:bCs/>
                <w:color w:val="FFFFFF"/>
                <w:sz w:val="20"/>
                <w:szCs w:val="20"/>
                <w:lang w:eastAsia="sk-SK"/>
              </w:rPr>
              <w:t> </w:t>
            </w:r>
          </w:p>
        </w:tc>
        <w:tc>
          <w:tcPr>
            <w:tcW w:w="1150" w:type="dxa"/>
            <w:tcBorders>
              <w:top w:val="nil"/>
              <w:left w:val="nil"/>
              <w:bottom w:val="nil"/>
              <w:right w:val="nil"/>
            </w:tcBorders>
            <w:shd w:val="clear" w:color="000000" w:fill="000000"/>
            <w:noWrap/>
            <w:vAlign w:val="center"/>
            <w:hideMark/>
          </w:tcPr>
          <w:p w14:paraId="3F4C8BB2" w14:textId="77777777" w:rsidR="00C43BB4" w:rsidRPr="00C43BB4" w:rsidRDefault="00C43BB4" w:rsidP="00B067CB">
            <w:pPr>
              <w:spacing w:after="0" w:line="240" w:lineRule="auto"/>
              <w:rPr>
                <w:b/>
                <w:bCs/>
                <w:color w:val="FFFFFF"/>
                <w:sz w:val="20"/>
                <w:szCs w:val="20"/>
                <w:lang w:eastAsia="sk-SK"/>
              </w:rPr>
            </w:pPr>
            <w:r w:rsidRPr="00C43BB4">
              <w:rPr>
                <w:b/>
                <w:bCs/>
                <w:color w:val="FFFFFF"/>
                <w:sz w:val="20"/>
                <w:szCs w:val="20"/>
                <w:lang w:eastAsia="sk-SK"/>
              </w:rPr>
              <w:t> </w:t>
            </w:r>
          </w:p>
        </w:tc>
      </w:tr>
      <w:tr w:rsidR="008901FD" w:rsidRPr="008733F8" w14:paraId="4272B2DB" w14:textId="77777777" w:rsidTr="008901FD">
        <w:trPr>
          <w:trHeight w:val="276"/>
        </w:trPr>
        <w:tc>
          <w:tcPr>
            <w:tcW w:w="4678" w:type="dxa"/>
            <w:tcBorders>
              <w:top w:val="single" w:sz="4" w:space="0" w:color="auto"/>
              <w:left w:val="nil"/>
              <w:bottom w:val="single" w:sz="4" w:space="0" w:color="auto"/>
              <w:right w:val="nil"/>
            </w:tcBorders>
            <w:shd w:val="clear" w:color="000000" w:fill="BFBFBF"/>
            <w:vAlign w:val="center"/>
            <w:hideMark/>
          </w:tcPr>
          <w:p w14:paraId="4103EF72" w14:textId="77777777" w:rsidR="008901FD" w:rsidRPr="008733F8" w:rsidRDefault="008901FD" w:rsidP="00B067CB">
            <w:pPr>
              <w:spacing w:after="0" w:line="240" w:lineRule="auto"/>
              <w:rPr>
                <w:color w:val="000000"/>
                <w:sz w:val="18"/>
                <w:szCs w:val="18"/>
                <w:lang w:eastAsia="sk-SK"/>
              </w:rPr>
            </w:pPr>
            <w:r w:rsidRPr="008733F8">
              <w:rPr>
                <w:color w:val="000000"/>
                <w:sz w:val="18"/>
                <w:szCs w:val="18"/>
                <w:lang w:eastAsia="sk-SK"/>
              </w:rPr>
              <w:t> </w:t>
            </w:r>
          </w:p>
        </w:tc>
        <w:tc>
          <w:tcPr>
            <w:tcW w:w="1176" w:type="dxa"/>
            <w:tcBorders>
              <w:top w:val="single" w:sz="4" w:space="0" w:color="auto"/>
              <w:left w:val="nil"/>
              <w:bottom w:val="single" w:sz="4" w:space="0" w:color="auto"/>
              <w:right w:val="nil"/>
            </w:tcBorders>
            <w:shd w:val="clear" w:color="000000" w:fill="BFBFBF"/>
            <w:vAlign w:val="bottom"/>
            <w:hideMark/>
          </w:tcPr>
          <w:p w14:paraId="4980DBC6" w14:textId="77777777" w:rsidR="008901FD" w:rsidRPr="008733F8" w:rsidRDefault="008901FD" w:rsidP="00B067CB">
            <w:pPr>
              <w:spacing w:after="0" w:line="240" w:lineRule="auto"/>
              <w:jc w:val="right"/>
              <w:rPr>
                <w:b/>
                <w:bCs/>
                <w:sz w:val="18"/>
                <w:szCs w:val="18"/>
                <w:lang w:eastAsia="sk-SK"/>
              </w:rPr>
            </w:pPr>
            <w:r w:rsidRPr="008733F8">
              <w:rPr>
                <w:b/>
                <w:bCs/>
                <w:sz w:val="18"/>
                <w:szCs w:val="18"/>
                <w:lang w:eastAsia="sk-SK"/>
              </w:rPr>
              <w:t>31.12.2018</w:t>
            </w:r>
          </w:p>
        </w:tc>
        <w:tc>
          <w:tcPr>
            <w:tcW w:w="1176" w:type="dxa"/>
            <w:tcBorders>
              <w:top w:val="single" w:sz="4" w:space="0" w:color="auto"/>
              <w:left w:val="nil"/>
              <w:bottom w:val="single" w:sz="4" w:space="0" w:color="auto"/>
              <w:right w:val="nil"/>
            </w:tcBorders>
            <w:shd w:val="clear" w:color="000000" w:fill="BFBFBF"/>
            <w:vAlign w:val="bottom"/>
            <w:hideMark/>
          </w:tcPr>
          <w:p w14:paraId="6F7C0BC6" w14:textId="77777777" w:rsidR="008901FD" w:rsidRPr="008733F8" w:rsidRDefault="008901FD" w:rsidP="00B067CB">
            <w:pPr>
              <w:spacing w:after="0" w:line="240" w:lineRule="auto"/>
              <w:jc w:val="right"/>
              <w:rPr>
                <w:b/>
                <w:bCs/>
                <w:sz w:val="18"/>
                <w:szCs w:val="18"/>
                <w:lang w:eastAsia="sk-SK"/>
              </w:rPr>
            </w:pPr>
            <w:r w:rsidRPr="008733F8">
              <w:rPr>
                <w:b/>
                <w:bCs/>
                <w:sz w:val="18"/>
                <w:szCs w:val="18"/>
                <w:lang w:eastAsia="sk-SK"/>
              </w:rPr>
              <w:t>31.12.2019</w:t>
            </w:r>
          </w:p>
        </w:tc>
        <w:tc>
          <w:tcPr>
            <w:tcW w:w="1176" w:type="dxa"/>
            <w:tcBorders>
              <w:top w:val="single" w:sz="4" w:space="0" w:color="auto"/>
              <w:left w:val="nil"/>
              <w:bottom w:val="single" w:sz="4" w:space="0" w:color="auto"/>
              <w:right w:val="nil"/>
            </w:tcBorders>
            <w:shd w:val="clear" w:color="000000" w:fill="BFBFBF"/>
            <w:vAlign w:val="bottom"/>
            <w:hideMark/>
          </w:tcPr>
          <w:p w14:paraId="04DCAAC3" w14:textId="77777777" w:rsidR="008901FD" w:rsidRPr="008733F8" w:rsidRDefault="008901FD" w:rsidP="00B067CB">
            <w:pPr>
              <w:spacing w:after="0" w:line="240" w:lineRule="auto"/>
              <w:jc w:val="right"/>
              <w:rPr>
                <w:b/>
                <w:bCs/>
                <w:sz w:val="18"/>
                <w:szCs w:val="18"/>
                <w:lang w:eastAsia="sk-SK"/>
              </w:rPr>
            </w:pPr>
            <w:r w:rsidRPr="008733F8">
              <w:rPr>
                <w:b/>
                <w:bCs/>
                <w:sz w:val="18"/>
                <w:szCs w:val="18"/>
                <w:lang w:eastAsia="sk-SK"/>
              </w:rPr>
              <w:t>31.12.2020</w:t>
            </w:r>
          </w:p>
        </w:tc>
        <w:tc>
          <w:tcPr>
            <w:tcW w:w="1150" w:type="dxa"/>
            <w:tcBorders>
              <w:top w:val="single" w:sz="4" w:space="0" w:color="auto"/>
              <w:left w:val="nil"/>
              <w:bottom w:val="single" w:sz="4" w:space="0" w:color="auto"/>
              <w:right w:val="nil"/>
            </w:tcBorders>
            <w:shd w:val="clear" w:color="000000" w:fill="BFBFBF"/>
            <w:vAlign w:val="bottom"/>
            <w:hideMark/>
          </w:tcPr>
          <w:p w14:paraId="208FA9D2" w14:textId="77777777" w:rsidR="008901FD" w:rsidRPr="008733F8" w:rsidRDefault="008901FD" w:rsidP="00B067CB">
            <w:pPr>
              <w:spacing w:after="0" w:line="240" w:lineRule="auto"/>
              <w:jc w:val="right"/>
              <w:rPr>
                <w:b/>
                <w:bCs/>
                <w:sz w:val="18"/>
                <w:szCs w:val="18"/>
                <w:lang w:eastAsia="sk-SK"/>
              </w:rPr>
            </w:pPr>
            <w:r w:rsidRPr="008733F8">
              <w:rPr>
                <w:b/>
                <w:bCs/>
                <w:sz w:val="18"/>
                <w:szCs w:val="18"/>
                <w:lang w:eastAsia="sk-SK"/>
              </w:rPr>
              <w:t>Δ2020-2019</w:t>
            </w:r>
          </w:p>
        </w:tc>
      </w:tr>
      <w:tr w:rsidR="008901FD" w:rsidRPr="008733F8" w14:paraId="0E0241DA" w14:textId="77777777" w:rsidTr="008901FD">
        <w:trPr>
          <w:trHeight w:val="276"/>
        </w:trPr>
        <w:tc>
          <w:tcPr>
            <w:tcW w:w="4678" w:type="dxa"/>
            <w:tcBorders>
              <w:top w:val="nil"/>
              <w:left w:val="nil"/>
              <w:bottom w:val="nil"/>
              <w:right w:val="nil"/>
            </w:tcBorders>
            <w:shd w:val="clear" w:color="auto" w:fill="auto"/>
            <w:noWrap/>
            <w:vAlign w:val="bottom"/>
            <w:hideMark/>
          </w:tcPr>
          <w:p w14:paraId="45446608" w14:textId="77777777" w:rsidR="008901FD" w:rsidRPr="008733F8" w:rsidRDefault="008901FD" w:rsidP="00B067CB">
            <w:pPr>
              <w:spacing w:after="0" w:line="240" w:lineRule="auto"/>
              <w:rPr>
                <w:b/>
                <w:bCs/>
                <w:color w:val="000000"/>
                <w:sz w:val="18"/>
                <w:szCs w:val="18"/>
                <w:lang w:eastAsia="sk-SK"/>
              </w:rPr>
            </w:pPr>
            <w:r w:rsidRPr="008733F8">
              <w:rPr>
                <w:b/>
                <w:bCs/>
                <w:color w:val="000000"/>
                <w:sz w:val="18"/>
                <w:szCs w:val="18"/>
                <w:lang w:eastAsia="sk-SK"/>
              </w:rPr>
              <w:t>Kapitál na požiadanie a záruky v </w:t>
            </w:r>
            <w:proofErr w:type="spellStart"/>
            <w:r w:rsidRPr="008733F8">
              <w:rPr>
                <w:b/>
                <w:bCs/>
                <w:color w:val="000000"/>
                <w:sz w:val="18"/>
                <w:szCs w:val="18"/>
                <w:lang w:eastAsia="sk-SK"/>
              </w:rPr>
              <w:t>medz</w:t>
            </w:r>
            <w:proofErr w:type="spellEnd"/>
            <w:r w:rsidRPr="008733F8">
              <w:rPr>
                <w:b/>
                <w:bCs/>
                <w:color w:val="000000"/>
                <w:sz w:val="18"/>
                <w:szCs w:val="18"/>
                <w:lang w:eastAsia="sk-SK"/>
              </w:rPr>
              <w:t>. finančných inštitúciách</w:t>
            </w:r>
          </w:p>
        </w:tc>
        <w:tc>
          <w:tcPr>
            <w:tcW w:w="1176" w:type="dxa"/>
            <w:tcBorders>
              <w:top w:val="nil"/>
              <w:left w:val="nil"/>
              <w:bottom w:val="nil"/>
              <w:right w:val="nil"/>
            </w:tcBorders>
            <w:shd w:val="clear" w:color="auto" w:fill="auto"/>
            <w:vAlign w:val="center"/>
            <w:hideMark/>
          </w:tcPr>
          <w:p w14:paraId="5AB7B4C3" w14:textId="77777777" w:rsidR="008901FD" w:rsidRPr="008733F8" w:rsidRDefault="008901FD" w:rsidP="00B067CB">
            <w:pPr>
              <w:spacing w:after="0" w:line="240" w:lineRule="auto"/>
              <w:jc w:val="right"/>
              <w:rPr>
                <w:b/>
                <w:bCs/>
                <w:color w:val="000000"/>
                <w:sz w:val="18"/>
                <w:szCs w:val="18"/>
                <w:lang w:eastAsia="sk-SK"/>
              </w:rPr>
            </w:pPr>
            <w:r w:rsidRPr="008733F8">
              <w:rPr>
                <w:b/>
                <w:bCs/>
                <w:color w:val="000000"/>
                <w:sz w:val="18"/>
                <w:szCs w:val="18"/>
                <w:lang w:eastAsia="sk-SK"/>
              </w:rPr>
              <w:t>8 700 585</w:t>
            </w:r>
          </w:p>
        </w:tc>
        <w:tc>
          <w:tcPr>
            <w:tcW w:w="1176" w:type="dxa"/>
            <w:tcBorders>
              <w:top w:val="nil"/>
              <w:left w:val="nil"/>
              <w:bottom w:val="nil"/>
              <w:right w:val="nil"/>
            </w:tcBorders>
            <w:shd w:val="clear" w:color="auto" w:fill="auto"/>
            <w:vAlign w:val="center"/>
            <w:hideMark/>
          </w:tcPr>
          <w:p w14:paraId="549E728F" w14:textId="77777777" w:rsidR="008901FD" w:rsidRPr="008733F8" w:rsidRDefault="008901FD" w:rsidP="00B067CB">
            <w:pPr>
              <w:spacing w:after="0" w:line="240" w:lineRule="auto"/>
              <w:jc w:val="right"/>
              <w:rPr>
                <w:b/>
                <w:bCs/>
                <w:color w:val="000000"/>
                <w:sz w:val="18"/>
                <w:szCs w:val="18"/>
                <w:lang w:eastAsia="sk-SK"/>
              </w:rPr>
            </w:pPr>
            <w:r w:rsidRPr="008733F8">
              <w:rPr>
                <w:b/>
                <w:bCs/>
                <w:color w:val="000000"/>
                <w:sz w:val="18"/>
                <w:szCs w:val="18"/>
                <w:lang w:eastAsia="sk-SK"/>
              </w:rPr>
              <w:t>8 707 364</w:t>
            </w:r>
          </w:p>
        </w:tc>
        <w:tc>
          <w:tcPr>
            <w:tcW w:w="1176" w:type="dxa"/>
            <w:tcBorders>
              <w:top w:val="nil"/>
              <w:left w:val="nil"/>
              <w:bottom w:val="nil"/>
              <w:right w:val="nil"/>
            </w:tcBorders>
            <w:shd w:val="clear" w:color="auto" w:fill="auto"/>
            <w:vAlign w:val="center"/>
            <w:hideMark/>
          </w:tcPr>
          <w:p w14:paraId="5D9DA9FF" w14:textId="77777777" w:rsidR="008901FD" w:rsidRPr="008733F8" w:rsidRDefault="008901FD" w:rsidP="00B067CB">
            <w:pPr>
              <w:spacing w:after="0" w:line="240" w:lineRule="auto"/>
              <w:jc w:val="right"/>
              <w:rPr>
                <w:b/>
                <w:bCs/>
                <w:color w:val="000000"/>
                <w:sz w:val="18"/>
                <w:szCs w:val="18"/>
                <w:lang w:eastAsia="sk-SK"/>
              </w:rPr>
            </w:pPr>
            <w:r w:rsidRPr="008733F8">
              <w:rPr>
                <w:b/>
                <w:bCs/>
                <w:color w:val="000000"/>
                <w:sz w:val="18"/>
                <w:szCs w:val="18"/>
                <w:lang w:eastAsia="sk-SK"/>
              </w:rPr>
              <w:t>9 775 515</w:t>
            </w:r>
          </w:p>
        </w:tc>
        <w:tc>
          <w:tcPr>
            <w:tcW w:w="1150" w:type="dxa"/>
            <w:tcBorders>
              <w:top w:val="nil"/>
              <w:left w:val="nil"/>
              <w:bottom w:val="nil"/>
              <w:right w:val="nil"/>
            </w:tcBorders>
            <w:shd w:val="clear" w:color="auto" w:fill="auto"/>
            <w:vAlign w:val="center"/>
            <w:hideMark/>
          </w:tcPr>
          <w:p w14:paraId="048F7182" w14:textId="77777777" w:rsidR="008901FD" w:rsidRPr="008733F8" w:rsidRDefault="008901FD" w:rsidP="00B067CB">
            <w:pPr>
              <w:spacing w:after="0" w:line="240" w:lineRule="auto"/>
              <w:jc w:val="right"/>
              <w:rPr>
                <w:b/>
                <w:bCs/>
                <w:color w:val="000000"/>
                <w:sz w:val="18"/>
                <w:szCs w:val="18"/>
                <w:lang w:eastAsia="sk-SK"/>
              </w:rPr>
            </w:pPr>
            <w:r w:rsidRPr="008733F8">
              <w:rPr>
                <w:b/>
                <w:bCs/>
                <w:color w:val="000000"/>
                <w:sz w:val="18"/>
                <w:szCs w:val="18"/>
                <w:lang w:eastAsia="sk-SK"/>
              </w:rPr>
              <w:t>1 068 151</w:t>
            </w:r>
          </w:p>
        </w:tc>
      </w:tr>
      <w:tr w:rsidR="008901FD" w:rsidRPr="008733F8" w14:paraId="2F124471" w14:textId="77777777" w:rsidTr="008901FD">
        <w:trPr>
          <w:trHeight w:val="276"/>
        </w:trPr>
        <w:tc>
          <w:tcPr>
            <w:tcW w:w="4678" w:type="dxa"/>
            <w:tcBorders>
              <w:top w:val="nil"/>
              <w:left w:val="nil"/>
              <w:bottom w:val="nil"/>
              <w:right w:val="nil"/>
            </w:tcBorders>
            <w:shd w:val="clear" w:color="auto" w:fill="auto"/>
            <w:vAlign w:val="center"/>
            <w:hideMark/>
          </w:tcPr>
          <w:p w14:paraId="07A4EF76"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Európsky stabilizačný mechanizmus (ESM)</w:t>
            </w:r>
          </w:p>
        </w:tc>
        <w:tc>
          <w:tcPr>
            <w:tcW w:w="1176" w:type="dxa"/>
            <w:tcBorders>
              <w:top w:val="nil"/>
              <w:left w:val="nil"/>
              <w:bottom w:val="nil"/>
              <w:right w:val="nil"/>
            </w:tcBorders>
            <w:shd w:val="clear" w:color="auto" w:fill="auto"/>
            <w:vAlign w:val="center"/>
            <w:hideMark/>
          </w:tcPr>
          <w:p w14:paraId="725ED8F8"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5 108 800</w:t>
            </w:r>
          </w:p>
        </w:tc>
        <w:tc>
          <w:tcPr>
            <w:tcW w:w="1176" w:type="dxa"/>
            <w:tcBorders>
              <w:top w:val="nil"/>
              <w:left w:val="nil"/>
              <w:bottom w:val="nil"/>
              <w:right w:val="nil"/>
            </w:tcBorders>
            <w:shd w:val="clear" w:color="auto" w:fill="auto"/>
            <w:vAlign w:val="center"/>
            <w:hideMark/>
          </w:tcPr>
          <w:p w14:paraId="3BB6A97D"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5 108 800</w:t>
            </w:r>
          </w:p>
        </w:tc>
        <w:tc>
          <w:tcPr>
            <w:tcW w:w="1176" w:type="dxa"/>
            <w:tcBorders>
              <w:top w:val="nil"/>
              <w:left w:val="nil"/>
              <w:bottom w:val="nil"/>
              <w:right w:val="nil"/>
            </w:tcBorders>
            <w:shd w:val="clear" w:color="auto" w:fill="auto"/>
            <w:vAlign w:val="center"/>
            <w:hideMark/>
          </w:tcPr>
          <w:p w14:paraId="699102F0"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6 148 450</w:t>
            </w:r>
          </w:p>
        </w:tc>
        <w:tc>
          <w:tcPr>
            <w:tcW w:w="1150" w:type="dxa"/>
            <w:tcBorders>
              <w:top w:val="nil"/>
              <w:left w:val="nil"/>
              <w:bottom w:val="nil"/>
              <w:right w:val="nil"/>
            </w:tcBorders>
            <w:shd w:val="clear" w:color="auto" w:fill="auto"/>
            <w:vAlign w:val="center"/>
            <w:hideMark/>
          </w:tcPr>
          <w:p w14:paraId="7B2AABEB"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1 039 650</w:t>
            </w:r>
          </w:p>
        </w:tc>
      </w:tr>
      <w:tr w:rsidR="008901FD" w:rsidRPr="008733F8" w14:paraId="21A07D34" w14:textId="77777777" w:rsidTr="008901FD">
        <w:trPr>
          <w:trHeight w:val="276"/>
        </w:trPr>
        <w:tc>
          <w:tcPr>
            <w:tcW w:w="4678" w:type="dxa"/>
            <w:tcBorders>
              <w:top w:val="nil"/>
              <w:left w:val="nil"/>
              <w:bottom w:val="nil"/>
              <w:right w:val="nil"/>
            </w:tcBorders>
            <w:shd w:val="clear" w:color="auto" w:fill="auto"/>
            <w:vAlign w:val="center"/>
            <w:hideMark/>
          </w:tcPr>
          <w:p w14:paraId="6AD87672"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Európsky nástroj finančnej stability (EFSF)</w:t>
            </w:r>
          </w:p>
        </w:tc>
        <w:tc>
          <w:tcPr>
            <w:tcW w:w="1176" w:type="dxa"/>
            <w:tcBorders>
              <w:top w:val="nil"/>
              <w:left w:val="nil"/>
              <w:bottom w:val="nil"/>
              <w:right w:val="nil"/>
            </w:tcBorders>
            <w:shd w:val="clear" w:color="auto" w:fill="auto"/>
            <w:vAlign w:val="center"/>
            <w:hideMark/>
          </w:tcPr>
          <w:p w14:paraId="29C9A71B"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2 440 759</w:t>
            </w:r>
          </w:p>
        </w:tc>
        <w:tc>
          <w:tcPr>
            <w:tcW w:w="1176" w:type="dxa"/>
            <w:tcBorders>
              <w:top w:val="nil"/>
              <w:left w:val="nil"/>
              <w:bottom w:val="nil"/>
              <w:right w:val="nil"/>
            </w:tcBorders>
            <w:shd w:val="clear" w:color="auto" w:fill="auto"/>
            <w:vAlign w:val="center"/>
            <w:hideMark/>
          </w:tcPr>
          <w:p w14:paraId="381C8A21"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2 426 842</w:t>
            </w:r>
          </w:p>
        </w:tc>
        <w:tc>
          <w:tcPr>
            <w:tcW w:w="1176" w:type="dxa"/>
            <w:tcBorders>
              <w:top w:val="nil"/>
              <w:left w:val="nil"/>
              <w:bottom w:val="nil"/>
              <w:right w:val="nil"/>
            </w:tcBorders>
            <w:shd w:val="clear" w:color="auto" w:fill="auto"/>
            <w:vAlign w:val="center"/>
            <w:hideMark/>
          </w:tcPr>
          <w:p w14:paraId="39EBED3B"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2 372 001</w:t>
            </w:r>
          </w:p>
        </w:tc>
        <w:tc>
          <w:tcPr>
            <w:tcW w:w="1150" w:type="dxa"/>
            <w:tcBorders>
              <w:top w:val="nil"/>
              <w:left w:val="nil"/>
              <w:bottom w:val="nil"/>
              <w:right w:val="nil"/>
            </w:tcBorders>
            <w:shd w:val="clear" w:color="auto" w:fill="auto"/>
            <w:vAlign w:val="center"/>
            <w:hideMark/>
          </w:tcPr>
          <w:p w14:paraId="2AF8B0B9"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-54 841</w:t>
            </w:r>
          </w:p>
        </w:tc>
      </w:tr>
      <w:tr w:rsidR="008901FD" w:rsidRPr="008733F8" w14:paraId="1779FBD3" w14:textId="77777777" w:rsidTr="00B51DF6">
        <w:trPr>
          <w:trHeight w:val="276"/>
        </w:trPr>
        <w:tc>
          <w:tcPr>
            <w:tcW w:w="4678" w:type="dxa"/>
            <w:tcBorders>
              <w:top w:val="nil"/>
              <w:left w:val="nil"/>
              <w:bottom w:val="nil"/>
              <w:right w:val="nil"/>
            </w:tcBorders>
            <w:shd w:val="clear" w:color="auto" w:fill="auto"/>
            <w:noWrap/>
            <w:vAlign w:val="center"/>
            <w:hideMark/>
          </w:tcPr>
          <w:p w14:paraId="24EFFF1F"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 xml:space="preserve">Európska investičná banka </w:t>
            </w:r>
          </w:p>
        </w:tc>
        <w:tc>
          <w:tcPr>
            <w:tcW w:w="1176" w:type="dxa"/>
            <w:tcBorders>
              <w:top w:val="nil"/>
              <w:left w:val="nil"/>
              <w:bottom w:val="nil"/>
              <w:right w:val="nil"/>
            </w:tcBorders>
            <w:shd w:val="clear" w:color="auto" w:fill="auto"/>
            <w:vAlign w:val="center"/>
            <w:hideMark/>
          </w:tcPr>
          <w:p w14:paraId="6E31B47C"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573 996</w:t>
            </w:r>
          </w:p>
        </w:tc>
        <w:tc>
          <w:tcPr>
            <w:tcW w:w="1176" w:type="dxa"/>
            <w:tcBorders>
              <w:top w:val="nil"/>
              <w:left w:val="nil"/>
              <w:bottom w:val="nil"/>
              <w:right w:val="nil"/>
            </w:tcBorders>
            <w:shd w:val="clear" w:color="auto" w:fill="auto"/>
            <w:vAlign w:val="center"/>
            <w:hideMark/>
          </w:tcPr>
          <w:p w14:paraId="03E5E83F"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573 996</w:t>
            </w:r>
          </w:p>
        </w:tc>
        <w:tc>
          <w:tcPr>
            <w:tcW w:w="1176" w:type="dxa"/>
            <w:tcBorders>
              <w:top w:val="nil"/>
              <w:left w:val="nil"/>
              <w:bottom w:val="nil"/>
              <w:right w:val="nil"/>
            </w:tcBorders>
            <w:shd w:val="clear" w:color="auto" w:fill="auto"/>
            <w:vAlign w:val="center"/>
            <w:hideMark/>
          </w:tcPr>
          <w:p w14:paraId="260B5B48"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684 231</w:t>
            </w:r>
          </w:p>
        </w:tc>
        <w:tc>
          <w:tcPr>
            <w:tcW w:w="1150" w:type="dxa"/>
            <w:tcBorders>
              <w:top w:val="nil"/>
              <w:left w:val="nil"/>
              <w:bottom w:val="nil"/>
              <w:right w:val="nil"/>
            </w:tcBorders>
            <w:shd w:val="clear" w:color="auto" w:fill="auto"/>
            <w:vAlign w:val="center"/>
            <w:hideMark/>
          </w:tcPr>
          <w:p w14:paraId="1CB99AF2"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110 235</w:t>
            </w:r>
          </w:p>
        </w:tc>
      </w:tr>
      <w:tr w:rsidR="008901FD" w:rsidRPr="008733F8" w14:paraId="52BB2774" w14:textId="77777777" w:rsidTr="008901FD">
        <w:trPr>
          <w:trHeight w:val="276"/>
        </w:trPr>
        <w:tc>
          <w:tcPr>
            <w:tcW w:w="4678" w:type="dxa"/>
            <w:tcBorders>
              <w:top w:val="nil"/>
              <w:left w:val="nil"/>
              <w:bottom w:val="nil"/>
              <w:right w:val="nil"/>
            </w:tcBorders>
            <w:shd w:val="clear" w:color="auto" w:fill="auto"/>
            <w:vAlign w:val="center"/>
            <w:hideMark/>
          </w:tcPr>
          <w:p w14:paraId="3DBE9330"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 xml:space="preserve">Medzinárodná banka pre obnovu a rozvoj </w:t>
            </w:r>
          </w:p>
        </w:tc>
        <w:tc>
          <w:tcPr>
            <w:tcW w:w="1176" w:type="dxa"/>
            <w:tcBorders>
              <w:top w:val="nil"/>
              <w:left w:val="nil"/>
              <w:bottom w:val="nil"/>
              <w:right w:val="nil"/>
            </w:tcBorders>
            <w:shd w:val="clear" w:color="auto" w:fill="auto"/>
            <w:vAlign w:val="center"/>
            <w:hideMark/>
          </w:tcPr>
          <w:p w14:paraId="38DAC191"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403 847</w:t>
            </w:r>
          </w:p>
        </w:tc>
        <w:tc>
          <w:tcPr>
            <w:tcW w:w="1176" w:type="dxa"/>
            <w:tcBorders>
              <w:top w:val="nil"/>
              <w:left w:val="nil"/>
              <w:bottom w:val="nil"/>
              <w:right w:val="nil"/>
            </w:tcBorders>
            <w:shd w:val="clear" w:color="auto" w:fill="auto"/>
            <w:vAlign w:val="center"/>
            <w:hideMark/>
          </w:tcPr>
          <w:p w14:paraId="3B40B902"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424 485</w:t>
            </w:r>
          </w:p>
        </w:tc>
        <w:tc>
          <w:tcPr>
            <w:tcW w:w="1176" w:type="dxa"/>
            <w:tcBorders>
              <w:top w:val="nil"/>
              <w:left w:val="nil"/>
              <w:bottom w:val="nil"/>
              <w:right w:val="nil"/>
            </w:tcBorders>
            <w:shd w:val="clear" w:color="auto" w:fill="auto"/>
            <w:vAlign w:val="center"/>
            <w:hideMark/>
          </w:tcPr>
          <w:p w14:paraId="3D0659B1"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400 805</w:t>
            </w:r>
          </w:p>
        </w:tc>
        <w:tc>
          <w:tcPr>
            <w:tcW w:w="1150" w:type="dxa"/>
            <w:tcBorders>
              <w:top w:val="nil"/>
              <w:left w:val="nil"/>
              <w:bottom w:val="nil"/>
              <w:right w:val="nil"/>
            </w:tcBorders>
            <w:shd w:val="clear" w:color="auto" w:fill="auto"/>
            <w:vAlign w:val="center"/>
            <w:hideMark/>
          </w:tcPr>
          <w:p w14:paraId="37ABBE95"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-23 680</w:t>
            </w:r>
          </w:p>
        </w:tc>
      </w:tr>
      <w:tr w:rsidR="008901FD" w:rsidRPr="008733F8" w14:paraId="2E553FF0" w14:textId="77777777" w:rsidTr="008901FD">
        <w:trPr>
          <w:trHeight w:val="276"/>
        </w:trPr>
        <w:tc>
          <w:tcPr>
            <w:tcW w:w="4678" w:type="dxa"/>
            <w:tcBorders>
              <w:top w:val="nil"/>
              <w:left w:val="nil"/>
              <w:bottom w:val="nil"/>
              <w:right w:val="nil"/>
            </w:tcBorders>
            <w:shd w:val="clear" w:color="auto" w:fill="auto"/>
            <w:vAlign w:val="center"/>
            <w:hideMark/>
          </w:tcPr>
          <w:p w14:paraId="70E5785C"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Európska banka pre obnovu a rozvoj</w:t>
            </w:r>
          </w:p>
        </w:tc>
        <w:tc>
          <w:tcPr>
            <w:tcW w:w="1176" w:type="dxa"/>
            <w:tcBorders>
              <w:top w:val="nil"/>
              <w:left w:val="nil"/>
              <w:bottom w:val="nil"/>
              <w:right w:val="nil"/>
            </w:tcBorders>
            <w:shd w:val="clear" w:color="auto" w:fill="auto"/>
            <w:vAlign w:val="center"/>
            <w:hideMark/>
          </w:tcPr>
          <w:p w14:paraId="5B3C6001"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101 359</w:t>
            </w:r>
          </w:p>
        </w:tc>
        <w:tc>
          <w:tcPr>
            <w:tcW w:w="1176" w:type="dxa"/>
            <w:tcBorders>
              <w:top w:val="nil"/>
              <w:left w:val="nil"/>
              <w:bottom w:val="nil"/>
              <w:right w:val="nil"/>
            </w:tcBorders>
            <w:shd w:val="clear" w:color="auto" w:fill="auto"/>
            <w:vAlign w:val="center"/>
            <w:hideMark/>
          </w:tcPr>
          <w:p w14:paraId="363BF914"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101 359</w:t>
            </w:r>
          </w:p>
        </w:tc>
        <w:tc>
          <w:tcPr>
            <w:tcW w:w="1176" w:type="dxa"/>
            <w:tcBorders>
              <w:top w:val="nil"/>
              <w:left w:val="nil"/>
              <w:bottom w:val="nil"/>
              <w:right w:val="nil"/>
            </w:tcBorders>
            <w:shd w:val="clear" w:color="auto" w:fill="auto"/>
            <w:vAlign w:val="center"/>
            <w:hideMark/>
          </w:tcPr>
          <w:p w14:paraId="35CF51A1"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101 359</w:t>
            </w:r>
          </w:p>
        </w:tc>
        <w:tc>
          <w:tcPr>
            <w:tcW w:w="1150" w:type="dxa"/>
            <w:tcBorders>
              <w:top w:val="nil"/>
              <w:left w:val="nil"/>
              <w:bottom w:val="nil"/>
              <w:right w:val="nil"/>
            </w:tcBorders>
            <w:shd w:val="clear" w:color="auto" w:fill="auto"/>
            <w:vAlign w:val="center"/>
            <w:hideMark/>
          </w:tcPr>
          <w:p w14:paraId="6D7B4D66"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0</w:t>
            </w:r>
          </w:p>
        </w:tc>
      </w:tr>
      <w:tr w:rsidR="00696191" w:rsidRPr="008733F8" w14:paraId="56D974BF" w14:textId="77777777" w:rsidTr="00696191">
        <w:trPr>
          <w:trHeight w:val="276"/>
        </w:trPr>
        <w:tc>
          <w:tcPr>
            <w:tcW w:w="4678" w:type="dxa"/>
            <w:tcBorders>
              <w:top w:val="nil"/>
              <w:left w:val="nil"/>
              <w:bottom w:val="nil"/>
              <w:right w:val="nil"/>
            </w:tcBorders>
            <w:shd w:val="clear" w:color="auto" w:fill="auto"/>
            <w:vAlign w:val="center"/>
            <w:hideMark/>
          </w:tcPr>
          <w:p w14:paraId="17A0E71A" w14:textId="77777777" w:rsidR="00696191" w:rsidRPr="008733F8" w:rsidRDefault="00696191" w:rsidP="00F77F59">
            <w:pPr>
              <w:spacing w:after="0" w:line="240" w:lineRule="auto"/>
              <w:ind w:firstLineChars="300" w:firstLine="540"/>
              <w:rPr>
                <w:color w:val="000000"/>
                <w:sz w:val="18"/>
                <w:szCs w:val="18"/>
                <w:lang w:eastAsia="sk-SK"/>
              </w:rPr>
            </w:pPr>
            <w:r w:rsidRPr="008733F8">
              <w:rPr>
                <w:color w:val="000000"/>
                <w:sz w:val="18"/>
                <w:szCs w:val="18"/>
                <w:lang w:eastAsia="sk-SK"/>
              </w:rPr>
              <w:t xml:space="preserve">Medzinárodná investičná banka </w:t>
            </w:r>
          </w:p>
        </w:tc>
        <w:tc>
          <w:tcPr>
            <w:tcW w:w="1176" w:type="dxa"/>
            <w:tcBorders>
              <w:top w:val="nil"/>
              <w:left w:val="nil"/>
              <w:bottom w:val="nil"/>
              <w:right w:val="nil"/>
            </w:tcBorders>
            <w:shd w:val="clear" w:color="auto" w:fill="auto"/>
            <w:vAlign w:val="center"/>
            <w:hideMark/>
          </w:tcPr>
          <w:p w14:paraId="12CE8BB7" w14:textId="77777777" w:rsidR="00696191" w:rsidRPr="008733F8" w:rsidRDefault="00696191" w:rsidP="00F77F59">
            <w:pPr>
              <w:spacing w:after="0" w:line="240" w:lineRule="auto"/>
              <w:jc w:val="right"/>
              <w:rPr>
                <w:color w:val="000000"/>
                <w:sz w:val="18"/>
                <w:szCs w:val="18"/>
                <w:lang w:eastAsia="sk-SK"/>
              </w:rPr>
            </w:pPr>
            <w:r w:rsidRPr="008733F8">
              <w:rPr>
                <w:color w:val="000000"/>
                <w:sz w:val="18"/>
                <w:szCs w:val="18"/>
                <w:lang w:eastAsia="sk-SK"/>
              </w:rPr>
              <w:t>41 319</w:t>
            </w:r>
          </w:p>
        </w:tc>
        <w:tc>
          <w:tcPr>
            <w:tcW w:w="1176" w:type="dxa"/>
            <w:tcBorders>
              <w:top w:val="nil"/>
              <w:left w:val="nil"/>
              <w:bottom w:val="nil"/>
              <w:right w:val="nil"/>
            </w:tcBorders>
            <w:shd w:val="clear" w:color="auto" w:fill="auto"/>
            <w:vAlign w:val="center"/>
            <w:hideMark/>
          </w:tcPr>
          <w:p w14:paraId="18D2B8F6" w14:textId="77777777" w:rsidR="00696191" w:rsidRPr="008733F8" w:rsidRDefault="00696191" w:rsidP="00F77F59">
            <w:pPr>
              <w:spacing w:after="0" w:line="240" w:lineRule="auto"/>
              <w:jc w:val="right"/>
              <w:rPr>
                <w:color w:val="000000"/>
                <w:sz w:val="18"/>
                <w:szCs w:val="18"/>
                <w:lang w:eastAsia="sk-SK"/>
              </w:rPr>
            </w:pPr>
            <w:r w:rsidRPr="008733F8">
              <w:rPr>
                <w:color w:val="000000"/>
                <w:sz w:val="18"/>
                <w:szCs w:val="18"/>
                <w:lang w:eastAsia="sk-SK"/>
              </w:rPr>
              <w:t>41 319</w:t>
            </w:r>
          </w:p>
        </w:tc>
        <w:tc>
          <w:tcPr>
            <w:tcW w:w="1176" w:type="dxa"/>
            <w:tcBorders>
              <w:top w:val="nil"/>
              <w:left w:val="nil"/>
              <w:bottom w:val="nil"/>
              <w:right w:val="nil"/>
            </w:tcBorders>
            <w:shd w:val="clear" w:color="auto" w:fill="auto"/>
            <w:vAlign w:val="center"/>
            <w:hideMark/>
          </w:tcPr>
          <w:p w14:paraId="670E61CC" w14:textId="77777777" w:rsidR="00696191" w:rsidRPr="008733F8" w:rsidRDefault="00696191" w:rsidP="00F77F59">
            <w:pPr>
              <w:spacing w:after="0" w:line="240" w:lineRule="auto"/>
              <w:jc w:val="right"/>
              <w:rPr>
                <w:color w:val="000000"/>
                <w:sz w:val="18"/>
                <w:szCs w:val="18"/>
                <w:lang w:eastAsia="sk-SK"/>
              </w:rPr>
            </w:pPr>
            <w:r w:rsidRPr="008733F8">
              <w:rPr>
                <w:color w:val="000000"/>
                <w:sz w:val="18"/>
                <w:szCs w:val="18"/>
                <w:lang w:eastAsia="sk-SK"/>
              </w:rPr>
              <w:t>38 364</w:t>
            </w:r>
          </w:p>
        </w:tc>
        <w:tc>
          <w:tcPr>
            <w:tcW w:w="1150" w:type="dxa"/>
            <w:tcBorders>
              <w:top w:val="nil"/>
              <w:left w:val="nil"/>
              <w:bottom w:val="nil"/>
              <w:right w:val="nil"/>
            </w:tcBorders>
            <w:shd w:val="clear" w:color="auto" w:fill="auto"/>
            <w:vAlign w:val="center"/>
            <w:hideMark/>
          </w:tcPr>
          <w:p w14:paraId="2DCAC44C" w14:textId="77777777" w:rsidR="00696191" w:rsidRPr="008733F8" w:rsidRDefault="00696191" w:rsidP="00F77F59">
            <w:pPr>
              <w:spacing w:after="0" w:line="240" w:lineRule="auto"/>
              <w:jc w:val="right"/>
              <w:rPr>
                <w:color w:val="000000"/>
                <w:sz w:val="18"/>
                <w:szCs w:val="18"/>
                <w:lang w:eastAsia="sk-SK"/>
              </w:rPr>
            </w:pPr>
            <w:r w:rsidRPr="008733F8">
              <w:rPr>
                <w:color w:val="000000"/>
                <w:sz w:val="18"/>
                <w:szCs w:val="18"/>
                <w:lang w:eastAsia="sk-SK"/>
              </w:rPr>
              <w:t>-2 955</w:t>
            </w:r>
          </w:p>
        </w:tc>
      </w:tr>
      <w:tr w:rsidR="008901FD" w:rsidRPr="008733F8" w14:paraId="51CF1C2A" w14:textId="77777777" w:rsidTr="008901FD">
        <w:trPr>
          <w:trHeight w:val="276"/>
        </w:trPr>
        <w:tc>
          <w:tcPr>
            <w:tcW w:w="4678" w:type="dxa"/>
            <w:tcBorders>
              <w:top w:val="nil"/>
              <w:left w:val="nil"/>
              <w:bottom w:val="nil"/>
              <w:right w:val="nil"/>
            </w:tcBorders>
            <w:shd w:val="clear" w:color="auto" w:fill="auto"/>
            <w:vAlign w:val="center"/>
            <w:hideMark/>
          </w:tcPr>
          <w:p w14:paraId="178293A9"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Rozvojová banka rady Európy</w:t>
            </w:r>
          </w:p>
        </w:tc>
        <w:tc>
          <w:tcPr>
            <w:tcW w:w="1176" w:type="dxa"/>
            <w:tcBorders>
              <w:top w:val="nil"/>
              <w:left w:val="nil"/>
              <w:bottom w:val="nil"/>
              <w:right w:val="nil"/>
            </w:tcBorders>
            <w:shd w:val="clear" w:color="auto" w:fill="auto"/>
            <w:vAlign w:val="center"/>
            <w:hideMark/>
          </w:tcPr>
          <w:p w14:paraId="656CAA01"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16 854</w:t>
            </w:r>
          </w:p>
        </w:tc>
        <w:tc>
          <w:tcPr>
            <w:tcW w:w="1176" w:type="dxa"/>
            <w:tcBorders>
              <w:top w:val="nil"/>
              <w:left w:val="nil"/>
              <w:bottom w:val="nil"/>
              <w:right w:val="nil"/>
            </w:tcBorders>
            <w:shd w:val="clear" w:color="auto" w:fill="auto"/>
            <w:vAlign w:val="center"/>
            <w:hideMark/>
          </w:tcPr>
          <w:p w14:paraId="14C2DBE8"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16 854</w:t>
            </w:r>
          </w:p>
        </w:tc>
        <w:tc>
          <w:tcPr>
            <w:tcW w:w="1176" w:type="dxa"/>
            <w:tcBorders>
              <w:top w:val="nil"/>
              <w:left w:val="nil"/>
              <w:bottom w:val="nil"/>
              <w:right w:val="nil"/>
            </w:tcBorders>
            <w:shd w:val="clear" w:color="auto" w:fill="auto"/>
            <w:vAlign w:val="center"/>
            <w:hideMark/>
          </w:tcPr>
          <w:p w14:paraId="127B0A35"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16 854</w:t>
            </w:r>
          </w:p>
        </w:tc>
        <w:tc>
          <w:tcPr>
            <w:tcW w:w="1150" w:type="dxa"/>
            <w:tcBorders>
              <w:top w:val="nil"/>
              <w:left w:val="nil"/>
              <w:bottom w:val="nil"/>
              <w:right w:val="nil"/>
            </w:tcBorders>
            <w:shd w:val="clear" w:color="auto" w:fill="auto"/>
            <w:vAlign w:val="center"/>
            <w:hideMark/>
          </w:tcPr>
          <w:p w14:paraId="15434C34"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0</w:t>
            </w:r>
          </w:p>
        </w:tc>
      </w:tr>
      <w:tr w:rsidR="008901FD" w:rsidRPr="008733F8" w14:paraId="4B0B2FFC" w14:textId="77777777" w:rsidTr="008901FD">
        <w:trPr>
          <w:trHeight w:val="276"/>
        </w:trPr>
        <w:tc>
          <w:tcPr>
            <w:tcW w:w="4678" w:type="dxa"/>
            <w:tcBorders>
              <w:top w:val="nil"/>
              <w:left w:val="nil"/>
              <w:bottom w:val="nil"/>
              <w:right w:val="nil"/>
            </w:tcBorders>
            <w:shd w:val="clear" w:color="auto" w:fill="auto"/>
            <w:vAlign w:val="center"/>
            <w:hideMark/>
          </w:tcPr>
          <w:p w14:paraId="117856B8"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Medzinárodná banka pre hospodársku spoluprácu</w:t>
            </w:r>
          </w:p>
        </w:tc>
        <w:tc>
          <w:tcPr>
            <w:tcW w:w="1176" w:type="dxa"/>
            <w:tcBorders>
              <w:top w:val="nil"/>
              <w:left w:val="nil"/>
              <w:bottom w:val="nil"/>
              <w:right w:val="nil"/>
            </w:tcBorders>
            <w:shd w:val="clear" w:color="auto" w:fill="auto"/>
            <w:noWrap/>
            <w:vAlign w:val="bottom"/>
            <w:hideMark/>
          </w:tcPr>
          <w:p w14:paraId="44EEABC8"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10 658</w:t>
            </w:r>
          </w:p>
        </w:tc>
        <w:tc>
          <w:tcPr>
            <w:tcW w:w="1176" w:type="dxa"/>
            <w:tcBorders>
              <w:top w:val="nil"/>
              <w:left w:val="nil"/>
              <w:bottom w:val="nil"/>
              <w:right w:val="nil"/>
            </w:tcBorders>
            <w:shd w:val="clear" w:color="auto" w:fill="auto"/>
            <w:noWrap/>
            <w:vAlign w:val="bottom"/>
            <w:hideMark/>
          </w:tcPr>
          <w:p w14:paraId="1340FF23"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10 658</w:t>
            </w:r>
          </w:p>
        </w:tc>
        <w:tc>
          <w:tcPr>
            <w:tcW w:w="1176" w:type="dxa"/>
            <w:tcBorders>
              <w:top w:val="nil"/>
              <w:left w:val="nil"/>
              <w:bottom w:val="nil"/>
              <w:right w:val="nil"/>
            </w:tcBorders>
            <w:shd w:val="clear" w:color="auto" w:fill="auto"/>
            <w:noWrap/>
            <w:vAlign w:val="bottom"/>
            <w:hideMark/>
          </w:tcPr>
          <w:p w14:paraId="3F888F46"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10 658</w:t>
            </w:r>
          </w:p>
        </w:tc>
        <w:tc>
          <w:tcPr>
            <w:tcW w:w="1150" w:type="dxa"/>
            <w:tcBorders>
              <w:top w:val="nil"/>
              <w:left w:val="nil"/>
              <w:bottom w:val="nil"/>
              <w:right w:val="nil"/>
            </w:tcBorders>
            <w:shd w:val="clear" w:color="auto" w:fill="auto"/>
            <w:vAlign w:val="center"/>
            <w:hideMark/>
          </w:tcPr>
          <w:p w14:paraId="74ED34B0"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0</w:t>
            </w:r>
          </w:p>
        </w:tc>
      </w:tr>
      <w:tr w:rsidR="008901FD" w:rsidRPr="008733F8" w14:paraId="15B5F9E9" w14:textId="77777777" w:rsidTr="008901FD">
        <w:trPr>
          <w:trHeight w:val="276"/>
        </w:trPr>
        <w:tc>
          <w:tcPr>
            <w:tcW w:w="4678" w:type="dxa"/>
            <w:tcBorders>
              <w:top w:val="nil"/>
              <w:left w:val="nil"/>
              <w:bottom w:val="nil"/>
              <w:right w:val="nil"/>
            </w:tcBorders>
            <w:shd w:val="clear" w:color="auto" w:fill="auto"/>
            <w:noWrap/>
            <w:vAlign w:val="bottom"/>
            <w:hideMark/>
          </w:tcPr>
          <w:p w14:paraId="073CADB1"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 xml:space="preserve">Mnohostranná agentúra pre investičné záruky </w:t>
            </w:r>
          </w:p>
        </w:tc>
        <w:tc>
          <w:tcPr>
            <w:tcW w:w="1176" w:type="dxa"/>
            <w:tcBorders>
              <w:top w:val="nil"/>
              <w:left w:val="nil"/>
              <w:bottom w:val="nil"/>
              <w:right w:val="nil"/>
            </w:tcBorders>
            <w:shd w:val="clear" w:color="auto" w:fill="auto"/>
            <w:vAlign w:val="center"/>
            <w:hideMark/>
          </w:tcPr>
          <w:p w14:paraId="0B19DB3E"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2 993</w:t>
            </w:r>
          </w:p>
        </w:tc>
        <w:tc>
          <w:tcPr>
            <w:tcW w:w="1176" w:type="dxa"/>
            <w:tcBorders>
              <w:top w:val="nil"/>
              <w:left w:val="nil"/>
              <w:bottom w:val="nil"/>
              <w:right w:val="nil"/>
            </w:tcBorders>
            <w:shd w:val="clear" w:color="auto" w:fill="auto"/>
            <w:vAlign w:val="center"/>
            <w:hideMark/>
          </w:tcPr>
          <w:p w14:paraId="79FC8C19"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3 051</w:t>
            </w:r>
          </w:p>
        </w:tc>
        <w:tc>
          <w:tcPr>
            <w:tcW w:w="1176" w:type="dxa"/>
            <w:tcBorders>
              <w:top w:val="nil"/>
              <w:left w:val="nil"/>
              <w:bottom w:val="nil"/>
              <w:right w:val="nil"/>
            </w:tcBorders>
            <w:shd w:val="clear" w:color="auto" w:fill="auto"/>
            <w:vAlign w:val="center"/>
            <w:hideMark/>
          </w:tcPr>
          <w:p w14:paraId="68978C39"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2 793</w:t>
            </w:r>
          </w:p>
        </w:tc>
        <w:tc>
          <w:tcPr>
            <w:tcW w:w="1150" w:type="dxa"/>
            <w:tcBorders>
              <w:top w:val="nil"/>
              <w:left w:val="nil"/>
              <w:bottom w:val="nil"/>
              <w:right w:val="nil"/>
            </w:tcBorders>
            <w:shd w:val="clear" w:color="auto" w:fill="auto"/>
            <w:vAlign w:val="center"/>
            <w:hideMark/>
          </w:tcPr>
          <w:p w14:paraId="18EB4B57"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-258</w:t>
            </w:r>
          </w:p>
        </w:tc>
      </w:tr>
      <w:tr w:rsidR="008901FD" w:rsidRPr="008733F8" w14:paraId="171C667A" w14:textId="77777777" w:rsidTr="008901FD">
        <w:trPr>
          <w:trHeight w:val="276"/>
        </w:trPr>
        <w:tc>
          <w:tcPr>
            <w:tcW w:w="4678" w:type="dxa"/>
            <w:tcBorders>
              <w:top w:val="nil"/>
              <w:left w:val="nil"/>
              <w:bottom w:val="nil"/>
              <w:right w:val="nil"/>
            </w:tcBorders>
            <w:shd w:val="clear" w:color="auto" w:fill="auto"/>
            <w:vAlign w:val="center"/>
            <w:hideMark/>
          </w:tcPr>
          <w:p w14:paraId="509D60E7" w14:textId="77777777" w:rsidR="008901FD" w:rsidRPr="008733F8" w:rsidRDefault="008901FD" w:rsidP="00B067CB">
            <w:pPr>
              <w:spacing w:after="0" w:line="240" w:lineRule="auto"/>
              <w:rPr>
                <w:b/>
                <w:bCs/>
                <w:color w:val="000000"/>
                <w:sz w:val="18"/>
                <w:szCs w:val="18"/>
                <w:lang w:eastAsia="sk-SK"/>
              </w:rPr>
            </w:pPr>
            <w:r w:rsidRPr="008733F8">
              <w:rPr>
                <w:b/>
                <w:bCs/>
                <w:color w:val="000000"/>
                <w:sz w:val="18"/>
                <w:szCs w:val="18"/>
                <w:lang w:eastAsia="sk-SK"/>
              </w:rPr>
              <w:t>Medzinárodné investičné arbitráže</w:t>
            </w:r>
          </w:p>
        </w:tc>
        <w:tc>
          <w:tcPr>
            <w:tcW w:w="1176" w:type="dxa"/>
            <w:tcBorders>
              <w:top w:val="nil"/>
              <w:left w:val="nil"/>
              <w:bottom w:val="nil"/>
              <w:right w:val="nil"/>
            </w:tcBorders>
            <w:shd w:val="clear" w:color="auto" w:fill="auto"/>
            <w:noWrap/>
            <w:vAlign w:val="bottom"/>
            <w:hideMark/>
          </w:tcPr>
          <w:p w14:paraId="100C74A9" w14:textId="77777777" w:rsidR="008901FD" w:rsidRPr="008733F8" w:rsidRDefault="008901FD" w:rsidP="00B067CB">
            <w:pPr>
              <w:spacing w:after="0" w:line="240" w:lineRule="auto"/>
              <w:jc w:val="right"/>
              <w:rPr>
                <w:b/>
                <w:bCs/>
                <w:color w:val="000000"/>
                <w:sz w:val="18"/>
                <w:szCs w:val="18"/>
                <w:lang w:eastAsia="sk-SK"/>
              </w:rPr>
            </w:pPr>
            <w:r w:rsidRPr="008733F8">
              <w:rPr>
                <w:b/>
                <w:bCs/>
                <w:color w:val="000000"/>
                <w:sz w:val="18"/>
                <w:szCs w:val="18"/>
                <w:lang w:eastAsia="sk-SK"/>
              </w:rPr>
              <w:t>378 997</w:t>
            </w:r>
          </w:p>
        </w:tc>
        <w:tc>
          <w:tcPr>
            <w:tcW w:w="1176" w:type="dxa"/>
            <w:tcBorders>
              <w:top w:val="nil"/>
              <w:left w:val="nil"/>
              <w:bottom w:val="nil"/>
              <w:right w:val="nil"/>
            </w:tcBorders>
            <w:shd w:val="clear" w:color="auto" w:fill="auto"/>
            <w:noWrap/>
            <w:vAlign w:val="bottom"/>
            <w:hideMark/>
          </w:tcPr>
          <w:p w14:paraId="48E42F71" w14:textId="77777777" w:rsidR="008901FD" w:rsidRPr="008733F8" w:rsidRDefault="008901FD" w:rsidP="00B067CB">
            <w:pPr>
              <w:spacing w:after="0" w:line="240" w:lineRule="auto"/>
              <w:jc w:val="right"/>
              <w:rPr>
                <w:b/>
                <w:bCs/>
                <w:color w:val="000000"/>
                <w:sz w:val="18"/>
                <w:szCs w:val="18"/>
                <w:lang w:eastAsia="sk-SK"/>
              </w:rPr>
            </w:pPr>
            <w:r w:rsidRPr="008733F8">
              <w:rPr>
                <w:b/>
                <w:bCs/>
                <w:color w:val="000000"/>
                <w:sz w:val="18"/>
                <w:szCs w:val="18"/>
                <w:lang w:eastAsia="sk-SK"/>
              </w:rPr>
              <w:t>139 292</w:t>
            </w:r>
          </w:p>
        </w:tc>
        <w:tc>
          <w:tcPr>
            <w:tcW w:w="1176" w:type="dxa"/>
            <w:tcBorders>
              <w:top w:val="nil"/>
              <w:left w:val="nil"/>
              <w:bottom w:val="nil"/>
              <w:right w:val="nil"/>
            </w:tcBorders>
            <w:shd w:val="clear" w:color="auto" w:fill="auto"/>
            <w:noWrap/>
            <w:vAlign w:val="bottom"/>
            <w:hideMark/>
          </w:tcPr>
          <w:p w14:paraId="74FCD6CB" w14:textId="77777777" w:rsidR="008901FD" w:rsidRPr="008733F8" w:rsidRDefault="008901FD" w:rsidP="00B067CB">
            <w:pPr>
              <w:spacing w:after="0" w:line="240" w:lineRule="auto"/>
              <w:jc w:val="right"/>
              <w:rPr>
                <w:b/>
                <w:bCs/>
                <w:color w:val="000000"/>
                <w:sz w:val="18"/>
                <w:szCs w:val="18"/>
                <w:lang w:eastAsia="sk-SK"/>
              </w:rPr>
            </w:pPr>
            <w:r w:rsidRPr="008733F8">
              <w:rPr>
                <w:b/>
                <w:bCs/>
                <w:color w:val="000000"/>
                <w:sz w:val="18"/>
                <w:szCs w:val="18"/>
                <w:lang w:eastAsia="sk-SK"/>
              </w:rPr>
              <w:t>28 692</w:t>
            </w:r>
          </w:p>
        </w:tc>
        <w:tc>
          <w:tcPr>
            <w:tcW w:w="1150" w:type="dxa"/>
            <w:tcBorders>
              <w:top w:val="nil"/>
              <w:left w:val="nil"/>
              <w:bottom w:val="nil"/>
              <w:right w:val="nil"/>
            </w:tcBorders>
            <w:shd w:val="clear" w:color="auto" w:fill="auto"/>
            <w:noWrap/>
            <w:vAlign w:val="bottom"/>
            <w:hideMark/>
          </w:tcPr>
          <w:p w14:paraId="22C9144C" w14:textId="77777777" w:rsidR="008901FD" w:rsidRPr="008733F8" w:rsidRDefault="008901FD" w:rsidP="00B067CB">
            <w:pPr>
              <w:spacing w:after="0" w:line="240" w:lineRule="auto"/>
              <w:jc w:val="right"/>
              <w:rPr>
                <w:b/>
                <w:bCs/>
                <w:color w:val="000000"/>
                <w:sz w:val="18"/>
                <w:szCs w:val="18"/>
                <w:lang w:eastAsia="sk-SK"/>
              </w:rPr>
            </w:pPr>
            <w:r w:rsidRPr="008733F8">
              <w:rPr>
                <w:b/>
                <w:bCs/>
                <w:color w:val="000000"/>
                <w:sz w:val="18"/>
                <w:szCs w:val="18"/>
                <w:lang w:eastAsia="sk-SK"/>
              </w:rPr>
              <w:t>-110 600</w:t>
            </w:r>
          </w:p>
        </w:tc>
      </w:tr>
      <w:tr w:rsidR="008901FD" w:rsidRPr="008733F8" w14:paraId="309B35B4" w14:textId="77777777" w:rsidTr="008901FD">
        <w:trPr>
          <w:trHeight w:val="276"/>
        </w:trPr>
        <w:tc>
          <w:tcPr>
            <w:tcW w:w="4678" w:type="dxa"/>
            <w:tcBorders>
              <w:top w:val="nil"/>
              <w:left w:val="nil"/>
              <w:bottom w:val="nil"/>
              <w:right w:val="nil"/>
            </w:tcBorders>
            <w:shd w:val="clear" w:color="auto" w:fill="auto"/>
            <w:vAlign w:val="center"/>
            <w:hideMark/>
          </w:tcPr>
          <w:p w14:paraId="37941902" w14:textId="77777777" w:rsidR="008901FD" w:rsidRPr="008733F8" w:rsidRDefault="008901FD" w:rsidP="00B067CB">
            <w:pPr>
              <w:spacing w:after="0" w:line="240" w:lineRule="auto"/>
              <w:ind w:firstLineChars="300" w:firstLine="540"/>
              <w:rPr>
                <w:color w:val="000000"/>
                <w:sz w:val="18"/>
                <w:szCs w:val="18"/>
                <w:lang w:eastAsia="sk-SK"/>
              </w:rPr>
            </w:pPr>
            <w:proofErr w:type="spellStart"/>
            <w:r w:rsidRPr="008733F8">
              <w:rPr>
                <w:color w:val="000000"/>
                <w:sz w:val="18"/>
                <w:szCs w:val="18"/>
                <w:lang w:eastAsia="sk-SK"/>
              </w:rPr>
              <w:t>Eurogas</w:t>
            </w:r>
            <w:proofErr w:type="spellEnd"/>
            <w:r w:rsidRPr="008733F8">
              <w:rPr>
                <w:color w:val="000000"/>
                <w:sz w:val="18"/>
                <w:szCs w:val="18"/>
                <w:lang w:eastAsia="sk-SK"/>
              </w:rPr>
              <w:t xml:space="preserve"> </w:t>
            </w:r>
            <w:proofErr w:type="spellStart"/>
            <w:r w:rsidRPr="008733F8">
              <w:rPr>
                <w:color w:val="000000"/>
                <w:sz w:val="18"/>
                <w:szCs w:val="18"/>
                <w:lang w:eastAsia="sk-SK"/>
              </w:rPr>
              <w:t>Inc</w:t>
            </w:r>
            <w:proofErr w:type="spellEnd"/>
            <w:r w:rsidRPr="008733F8">
              <w:rPr>
                <w:color w:val="000000"/>
                <w:sz w:val="18"/>
                <w:szCs w:val="18"/>
                <w:lang w:eastAsia="sk-SK"/>
              </w:rPr>
              <w:t xml:space="preserve">. a </w:t>
            </w:r>
            <w:proofErr w:type="spellStart"/>
            <w:r w:rsidRPr="008733F8">
              <w:rPr>
                <w:color w:val="000000"/>
                <w:sz w:val="18"/>
                <w:szCs w:val="18"/>
                <w:lang w:eastAsia="sk-SK"/>
              </w:rPr>
              <w:t>Belmont</w:t>
            </w:r>
            <w:proofErr w:type="spellEnd"/>
            <w:r w:rsidRPr="008733F8">
              <w:rPr>
                <w:color w:val="000000"/>
                <w:sz w:val="18"/>
                <w:szCs w:val="18"/>
                <w:lang w:eastAsia="sk-SK"/>
              </w:rPr>
              <w:t xml:space="preserve"> </w:t>
            </w:r>
            <w:proofErr w:type="spellStart"/>
            <w:r w:rsidRPr="008733F8">
              <w:rPr>
                <w:color w:val="000000"/>
                <w:sz w:val="18"/>
                <w:szCs w:val="18"/>
                <w:lang w:eastAsia="sk-SK"/>
              </w:rPr>
              <w:t>Resources</w:t>
            </w:r>
            <w:proofErr w:type="spellEnd"/>
            <w:r w:rsidRPr="008733F8">
              <w:rPr>
                <w:color w:val="000000"/>
                <w:sz w:val="18"/>
                <w:szCs w:val="18"/>
                <w:lang w:eastAsia="sk-SK"/>
              </w:rPr>
              <w:t xml:space="preserve"> </w:t>
            </w:r>
            <w:proofErr w:type="spellStart"/>
            <w:r w:rsidRPr="008733F8">
              <w:rPr>
                <w:color w:val="000000"/>
                <w:sz w:val="18"/>
                <w:szCs w:val="18"/>
                <w:lang w:eastAsia="sk-SK"/>
              </w:rPr>
              <w:t>Inc</w:t>
            </w:r>
            <w:proofErr w:type="spellEnd"/>
            <w:r w:rsidRPr="008733F8">
              <w:rPr>
                <w:color w:val="000000"/>
                <w:sz w:val="18"/>
                <w:szCs w:val="18"/>
                <w:lang w:eastAsia="sk-SK"/>
              </w:rPr>
              <w:t>.</w:t>
            </w:r>
          </w:p>
        </w:tc>
        <w:tc>
          <w:tcPr>
            <w:tcW w:w="1176" w:type="dxa"/>
            <w:tcBorders>
              <w:top w:val="nil"/>
              <w:left w:val="nil"/>
              <w:bottom w:val="nil"/>
              <w:right w:val="nil"/>
            </w:tcBorders>
            <w:shd w:val="clear" w:color="auto" w:fill="auto"/>
            <w:vAlign w:val="center"/>
            <w:hideMark/>
          </w:tcPr>
          <w:p w14:paraId="112C2A28"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239 705</w:t>
            </w:r>
          </w:p>
        </w:tc>
        <w:tc>
          <w:tcPr>
            <w:tcW w:w="1176" w:type="dxa"/>
            <w:tcBorders>
              <w:top w:val="nil"/>
              <w:left w:val="nil"/>
              <w:bottom w:val="nil"/>
              <w:right w:val="nil"/>
            </w:tcBorders>
            <w:shd w:val="clear" w:color="auto" w:fill="auto"/>
            <w:vAlign w:val="center"/>
            <w:hideMark/>
          </w:tcPr>
          <w:p w14:paraId="6659F055"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0</w:t>
            </w:r>
          </w:p>
        </w:tc>
        <w:tc>
          <w:tcPr>
            <w:tcW w:w="1176" w:type="dxa"/>
            <w:tcBorders>
              <w:top w:val="nil"/>
              <w:left w:val="nil"/>
              <w:bottom w:val="nil"/>
              <w:right w:val="nil"/>
            </w:tcBorders>
            <w:shd w:val="clear" w:color="auto" w:fill="auto"/>
            <w:vAlign w:val="center"/>
            <w:hideMark/>
          </w:tcPr>
          <w:p w14:paraId="2365E8BD"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0</w:t>
            </w:r>
          </w:p>
        </w:tc>
        <w:tc>
          <w:tcPr>
            <w:tcW w:w="1150" w:type="dxa"/>
            <w:tcBorders>
              <w:top w:val="nil"/>
              <w:left w:val="nil"/>
              <w:bottom w:val="nil"/>
              <w:right w:val="nil"/>
            </w:tcBorders>
            <w:shd w:val="clear" w:color="auto" w:fill="auto"/>
            <w:vAlign w:val="center"/>
            <w:hideMark/>
          </w:tcPr>
          <w:p w14:paraId="179E57CE"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0</w:t>
            </w:r>
          </w:p>
        </w:tc>
      </w:tr>
      <w:tr w:rsidR="008901FD" w:rsidRPr="008733F8" w14:paraId="01FD0A65" w14:textId="77777777" w:rsidTr="008901FD">
        <w:trPr>
          <w:trHeight w:val="276"/>
        </w:trPr>
        <w:tc>
          <w:tcPr>
            <w:tcW w:w="4678" w:type="dxa"/>
            <w:tcBorders>
              <w:top w:val="nil"/>
              <w:left w:val="nil"/>
              <w:bottom w:val="nil"/>
              <w:right w:val="nil"/>
            </w:tcBorders>
            <w:shd w:val="clear" w:color="auto" w:fill="auto"/>
            <w:vAlign w:val="center"/>
            <w:hideMark/>
          </w:tcPr>
          <w:p w14:paraId="4D681940"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 xml:space="preserve">Zdravotná poisťovňa </w:t>
            </w:r>
            <w:proofErr w:type="spellStart"/>
            <w:r w:rsidRPr="008733F8">
              <w:rPr>
                <w:color w:val="000000"/>
                <w:sz w:val="18"/>
                <w:szCs w:val="18"/>
                <w:lang w:eastAsia="sk-SK"/>
              </w:rPr>
              <w:t>Union</w:t>
            </w:r>
            <w:proofErr w:type="spellEnd"/>
            <w:r w:rsidRPr="008733F8">
              <w:rPr>
                <w:color w:val="000000"/>
                <w:sz w:val="18"/>
                <w:szCs w:val="18"/>
                <w:lang w:eastAsia="sk-SK"/>
              </w:rPr>
              <w:t xml:space="preserve">, </w:t>
            </w:r>
            <w:proofErr w:type="spellStart"/>
            <w:r w:rsidRPr="008733F8">
              <w:rPr>
                <w:color w:val="000000"/>
                <w:sz w:val="18"/>
                <w:szCs w:val="18"/>
                <w:lang w:eastAsia="sk-SK"/>
              </w:rPr>
              <w:t>a.s</w:t>
            </w:r>
            <w:proofErr w:type="spellEnd"/>
            <w:r w:rsidRPr="008733F8">
              <w:rPr>
                <w:color w:val="000000"/>
                <w:sz w:val="18"/>
                <w:szCs w:val="18"/>
                <w:lang w:eastAsia="sk-SK"/>
              </w:rPr>
              <w:t xml:space="preserve">. </w:t>
            </w:r>
          </w:p>
        </w:tc>
        <w:tc>
          <w:tcPr>
            <w:tcW w:w="1176" w:type="dxa"/>
            <w:tcBorders>
              <w:top w:val="nil"/>
              <w:left w:val="nil"/>
              <w:bottom w:val="nil"/>
              <w:right w:val="nil"/>
            </w:tcBorders>
            <w:shd w:val="clear" w:color="auto" w:fill="auto"/>
            <w:vAlign w:val="center"/>
            <w:hideMark/>
          </w:tcPr>
          <w:p w14:paraId="1B68ED97"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28 692</w:t>
            </w:r>
          </w:p>
        </w:tc>
        <w:tc>
          <w:tcPr>
            <w:tcW w:w="1176" w:type="dxa"/>
            <w:tcBorders>
              <w:top w:val="nil"/>
              <w:left w:val="nil"/>
              <w:bottom w:val="nil"/>
              <w:right w:val="nil"/>
            </w:tcBorders>
            <w:shd w:val="clear" w:color="auto" w:fill="auto"/>
            <w:vAlign w:val="center"/>
            <w:hideMark/>
          </w:tcPr>
          <w:p w14:paraId="236F8682"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28 692</w:t>
            </w:r>
          </w:p>
        </w:tc>
        <w:tc>
          <w:tcPr>
            <w:tcW w:w="1176" w:type="dxa"/>
            <w:tcBorders>
              <w:top w:val="nil"/>
              <w:left w:val="nil"/>
              <w:bottom w:val="nil"/>
              <w:right w:val="nil"/>
            </w:tcBorders>
            <w:shd w:val="clear" w:color="auto" w:fill="auto"/>
            <w:vAlign w:val="center"/>
            <w:hideMark/>
          </w:tcPr>
          <w:p w14:paraId="0887FC1A"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28 692</w:t>
            </w:r>
          </w:p>
        </w:tc>
        <w:tc>
          <w:tcPr>
            <w:tcW w:w="1150" w:type="dxa"/>
            <w:tcBorders>
              <w:top w:val="nil"/>
              <w:left w:val="nil"/>
              <w:bottom w:val="nil"/>
              <w:right w:val="nil"/>
            </w:tcBorders>
            <w:shd w:val="clear" w:color="auto" w:fill="auto"/>
            <w:vAlign w:val="center"/>
            <w:hideMark/>
          </w:tcPr>
          <w:p w14:paraId="63DF20E0"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0</w:t>
            </w:r>
          </w:p>
        </w:tc>
      </w:tr>
      <w:tr w:rsidR="008901FD" w:rsidRPr="008733F8" w14:paraId="1EFBBD21" w14:textId="77777777" w:rsidTr="008901FD">
        <w:trPr>
          <w:trHeight w:val="276"/>
        </w:trPr>
        <w:tc>
          <w:tcPr>
            <w:tcW w:w="4678" w:type="dxa"/>
            <w:tcBorders>
              <w:top w:val="nil"/>
              <w:left w:val="nil"/>
              <w:bottom w:val="nil"/>
              <w:right w:val="nil"/>
            </w:tcBorders>
            <w:shd w:val="clear" w:color="auto" w:fill="auto"/>
            <w:vAlign w:val="center"/>
            <w:hideMark/>
          </w:tcPr>
          <w:p w14:paraId="63847013" w14:textId="77777777" w:rsidR="008901FD" w:rsidRPr="008733F8" w:rsidRDefault="008901FD" w:rsidP="00B067CB">
            <w:pPr>
              <w:spacing w:after="0" w:line="240" w:lineRule="auto"/>
              <w:ind w:firstLineChars="300" w:firstLine="540"/>
              <w:rPr>
                <w:color w:val="000000"/>
                <w:sz w:val="18"/>
                <w:szCs w:val="18"/>
                <w:lang w:eastAsia="sk-SK"/>
              </w:rPr>
            </w:pPr>
            <w:proofErr w:type="spellStart"/>
            <w:r w:rsidRPr="008733F8">
              <w:rPr>
                <w:color w:val="000000"/>
                <w:sz w:val="18"/>
                <w:szCs w:val="18"/>
                <w:lang w:eastAsia="sk-SK"/>
              </w:rPr>
              <w:t>Spoldzielnica</w:t>
            </w:r>
            <w:proofErr w:type="spellEnd"/>
            <w:r w:rsidRPr="008733F8">
              <w:rPr>
                <w:color w:val="000000"/>
                <w:sz w:val="18"/>
                <w:szCs w:val="18"/>
                <w:lang w:eastAsia="sk-SK"/>
              </w:rPr>
              <w:t xml:space="preserve"> </w:t>
            </w:r>
            <w:proofErr w:type="spellStart"/>
            <w:r w:rsidRPr="008733F8">
              <w:rPr>
                <w:color w:val="000000"/>
                <w:sz w:val="18"/>
                <w:szCs w:val="18"/>
                <w:lang w:eastAsia="sk-SK"/>
              </w:rPr>
              <w:t>Pracy</w:t>
            </w:r>
            <w:proofErr w:type="spellEnd"/>
            <w:r w:rsidRPr="008733F8">
              <w:rPr>
                <w:color w:val="000000"/>
                <w:sz w:val="18"/>
                <w:szCs w:val="18"/>
                <w:lang w:eastAsia="sk-SK"/>
              </w:rPr>
              <w:t xml:space="preserve"> </w:t>
            </w:r>
            <w:proofErr w:type="spellStart"/>
            <w:r w:rsidRPr="008733F8">
              <w:rPr>
                <w:color w:val="000000"/>
                <w:sz w:val="18"/>
                <w:szCs w:val="18"/>
                <w:lang w:eastAsia="sk-SK"/>
              </w:rPr>
              <w:t>Muszynianka</w:t>
            </w:r>
            <w:proofErr w:type="spellEnd"/>
          </w:p>
        </w:tc>
        <w:tc>
          <w:tcPr>
            <w:tcW w:w="1176" w:type="dxa"/>
            <w:tcBorders>
              <w:top w:val="nil"/>
              <w:left w:val="nil"/>
              <w:bottom w:val="nil"/>
              <w:right w:val="nil"/>
            </w:tcBorders>
            <w:shd w:val="clear" w:color="auto" w:fill="auto"/>
            <w:vAlign w:val="center"/>
            <w:hideMark/>
          </w:tcPr>
          <w:p w14:paraId="4149D763"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110 600</w:t>
            </w:r>
          </w:p>
        </w:tc>
        <w:tc>
          <w:tcPr>
            <w:tcW w:w="1176" w:type="dxa"/>
            <w:tcBorders>
              <w:top w:val="nil"/>
              <w:left w:val="nil"/>
              <w:bottom w:val="nil"/>
              <w:right w:val="nil"/>
            </w:tcBorders>
            <w:shd w:val="clear" w:color="auto" w:fill="auto"/>
            <w:vAlign w:val="center"/>
            <w:hideMark/>
          </w:tcPr>
          <w:p w14:paraId="48D8BD51"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110 600</w:t>
            </w:r>
          </w:p>
        </w:tc>
        <w:tc>
          <w:tcPr>
            <w:tcW w:w="1176" w:type="dxa"/>
            <w:tcBorders>
              <w:top w:val="nil"/>
              <w:left w:val="nil"/>
              <w:bottom w:val="nil"/>
              <w:right w:val="nil"/>
            </w:tcBorders>
            <w:shd w:val="clear" w:color="auto" w:fill="auto"/>
            <w:vAlign w:val="center"/>
            <w:hideMark/>
          </w:tcPr>
          <w:p w14:paraId="3DE3A9C9"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0</w:t>
            </w:r>
          </w:p>
        </w:tc>
        <w:tc>
          <w:tcPr>
            <w:tcW w:w="1150" w:type="dxa"/>
            <w:tcBorders>
              <w:top w:val="nil"/>
              <w:left w:val="nil"/>
              <w:bottom w:val="nil"/>
              <w:right w:val="nil"/>
            </w:tcBorders>
            <w:shd w:val="clear" w:color="auto" w:fill="auto"/>
            <w:vAlign w:val="center"/>
            <w:hideMark/>
          </w:tcPr>
          <w:p w14:paraId="61F56A4B"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-110 600</w:t>
            </w:r>
          </w:p>
        </w:tc>
      </w:tr>
      <w:tr w:rsidR="008901FD" w:rsidRPr="008733F8" w14:paraId="38DA08BE" w14:textId="77777777" w:rsidTr="008901FD">
        <w:trPr>
          <w:trHeight w:val="276"/>
        </w:trPr>
        <w:tc>
          <w:tcPr>
            <w:tcW w:w="4678" w:type="dxa"/>
            <w:tcBorders>
              <w:top w:val="nil"/>
              <w:left w:val="nil"/>
              <w:bottom w:val="nil"/>
              <w:right w:val="nil"/>
            </w:tcBorders>
            <w:shd w:val="clear" w:color="auto" w:fill="auto"/>
            <w:vAlign w:val="center"/>
            <w:hideMark/>
          </w:tcPr>
          <w:p w14:paraId="3A935475" w14:textId="77777777" w:rsidR="008901FD" w:rsidRPr="008733F8" w:rsidRDefault="008901FD" w:rsidP="00B067CB">
            <w:pPr>
              <w:spacing w:after="0" w:line="240" w:lineRule="auto"/>
              <w:rPr>
                <w:b/>
                <w:bCs/>
                <w:color w:val="000000"/>
                <w:sz w:val="18"/>
                <w:szCs w:val="18"/>
                <w:lang w:eastAsia="sk-SK"/>
              </w:rPr>
            </w:pPr>
            <w:r w:rsidRPr="008733F8">
              <w:rPr>
                <w:b/>
                <w:bCs/>
                <w:color w:val="000000"/>
                <w:sz w:val="18"/>
                <w:szCs w:val="18"/>
                <w:lang w:eastAsia="sk-SK"/>
              </w:rPr>
              <w:t>Ostatné súdne spory</w:t>
            </w:r>
          </w:p>
        </w:tc>
        <w:tc>
          <w:tcPr>
            <w:tcW w:w="1176" w:type="dxa"/>
            <w:tcBorders>
              <w:top w:val="nil"/>
              <w:left w:val="nil"/>
              <w:bottom w:val="nil"/>
              <w:right w:val="nil"/>
            </w:tcBorders>
            <w:shd w:val="clear" w:color="auto" w:fill="auto"/>
            <w:vAlign w:val="center"/>
            <w:hideMark/>
          </w:tcPr>
          <w:p w14:paraId="7BCC8C5E" w14:textId="77777777" w:rsidR="008901FD" w:rsidRPr="008733F8" w:rsidRDefault="008901FD" w:rsidP="00B067CB">
            <w:pPr>
              <w:spacing w:after="0" w:line="240" w:lineRule="auto"/>
              <w:jc w:val="right"/>
              <w:rPr>
                <w:b/>
                <w:bCs/>
                <w:color w:val="000000"/>
                <w:sz w:val="18"/>
                <w:szCs w:val="18"/>
                <w:lang w:eastAsia="sk-SK"/>
              </w:rPr>
            </w:pPr>
            <w:r w:rsidRPr="008733F8">
              <w:rPr>
                <w:b/>
                <w:bCs/>
                <w:color w:val="000000"/>
                <w:sz w:val="18"/>
                <w:szCs w:val="18"/>
                <w:lang w:eastAsia="sk-SK"/>
              </w:rPr>
              <w:t>3 009 504</w:t>
            </w:r>
          </w:p>
        </w:tc>
        <w:tc>
          <w:tcPr>
            <w:tcW w:w="1176" w:type="dxa"/>
            <w:tcBorders>
              <w:top w:val="nil"/>
              <w:left w:val="nil"/>
              <w:bottom w:val="nil"/>
              <w:right w:val="nil"/>
            </w:tcBorders>
            <w:shd w:val="clear" w:color="auto" w:fill="auto"/>
            <w:vAlign w:val="center"/>
            <w:hideMark/>
          </w:tcPr>
          <w:p w14:paraId="7131E5AF" w14:textId="77777777" w:rsidR="008901FD" w:rsidRPr="008733F8" w:rsidRDefault="008901FD" w:rsidP="00B067CB">
            <w:pPr>
              <w:spacing w:after="0" w:line="240" w:lineRule="auto"/>
              <w:jc w:val="right"/>
              <w:rPr>
                <w:b/>
                <w:bCs/>
                <w:color w:val="000000"/>
                <w:sz w:val="18"/>
                <w:szCs w:val="18"/>
                <w:lang w:eastAsia="sk-SK"/>
              </w:rPr>
            </w:pPr>
            <w:r w:rsidRPr="008733F8">
              <w:rPr>
                <w:b/>
                <w:bCs/>
                <w:color w:val="000000"/>
                <w:sz w:val="18"/>
                <w:szCs w:val="18"/>
                <w:lang w:eastAsia="sk-SK"/>
              </w:rPr>
              <w:t>4 245 705</w:t>
            </w:r>
          </w:p>
        </w:tc>
        <w:tc>
          <w:tcPr>
            <w:tcW w:w="1176" w:type="dxa"/>
            <w:tcBorders>
              <w:top w:val="nil"/>
              <w:left w:val="nil"/>
              <w:bottom w:val="nil"/>
              <w:right w:val="nil"/>
            </w:tcBorders>
            <w:shd w:val="clear" w:color="auto" w:fill="auto"/>
            <w:vAlign w:val="center"/>
            <w:hideMark/>
          </w:tcPr>
          <w:p w14:paraId="22456E60" w14:textId="77777777" w:rsidR="008901FD" w:rsidRPr="008733F8" w:rsidRDefault="008901FD" w:rsidP="00B067CB">
            <w:pPr>
              <w:spacing w:after="0" w:line="240" w:lineRule="auto"/>
              <w:jc w:val="right"/>
              <w:rPr>
                <w:b/>
                <w:bCs/>
                <w:color w:val="000000"/>
                <w:sz w:val="18"/>
                <w:szCs w:val="18"/>
                <w:lang w:eastAsia="sk-SK"/>
              </w:rPr>
            </w:pPr>
            <w:r w:rsidRPr="008733F8">
              <w:rPr>
                <w:b/>
                <w:bCs/>
                <w:color w:val="000000"/>
                <w:sz w:val="18"/>
                <w:szCs w:val="18"/>
                <w:lang w:eastAsia="sk-SK"/>
              </w:rPr>
              <w:t>4 092 515</w:t>
            </w:r>
          </w:p>
        </w:tc>
        <w:tc>
          <w:tcPr>
            <w:tcW w:w="1150" w:type="dxa"/>
            <w:tcBorders>
              <w:top w:val="nil"/>
              <w:left w:val="nil"/>
              <w:bottom w:val="nil"/>
              <w:right w:val="nil"/>
            </w:tcBorders>
            <w:shd w:val="clear" w:color="auto" w:fill="auto"/>
            <w:vAlign w:val="center"/>
            <w:hideMark/>
          </w:tcPr>
          <w:p w14:paraId="5CA81FD5" w14:textId="77777777" w:rsidR="008901FD" w:rsidRPr="008733F8" w:rsidRDefault="008901FD" w:rsidP="00B067CB">
            <w:pPr>
              <w:spacing w:after="0" w:line="240" w:lineRule="auto"/>
              <w:jc w:val="right"/>
              <w:rPr>
                <w:b/>
                <w:bCs/>
                <w:color w:val="000000"/>
                <w:sz w:val="18"/>
                <w:szCs w:val="18"/>
                <w:lang w:eastAsia="sk-SK"/>
              </w:rPr>
            </w:pPr>
            <w:r w:rsidRPr="008733F8">
              <w:rPr>
                <w:b/>
                <w:bCs/>
                <w:color w:val="000000"/>
                <w:sz w:val="18"/>
                <w:szCs w:val="18"/>
                <w:lang w:eastAsia="sk-SK"/>
              </w:rPr>
              <w:t>-153 190</w:t>
            </w:r>
          </w:p>
        </w:tc>
      </w:tr>
      <w:tr w:rsidR="008901FD" w:rsidRPr="008733F8" w14:paraId="5CE02F7F" w14:textId="77777777" w:rsidTr="008901FD">
        <w:trPr>
          <w:trHeight w:val="276"/>
        </w:trPr>
        <w:tc>
          <w:tcPr>
            <w:tcW w:w="4678" w:type="dxa"/>
            <w:tcBorders>
              <w:top w:val="nil"/>
              <w:left w:val="nil"/>
              <w:bottom w:val="nil"/>
              <w:right w:val="nil"/>
            </w:tcBorders>
            <w:shd w:val="clear" w:color="auto" w:fill="auto"/>
            <w:vAlign w:val="center"/>
            <w:hideMark/>
          </w:tcPr>
          <w:p w14:paraId="1F8E3D1D"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Ministerstvo financií SR</w:t>
            </w:r>
          </w:p>
        </w:tc>
        <w:tc>
          <w:tcPr>
            <w:tcW w:w="1176" w:type="dxa"/>
            <w:tcBorders>
              <w:top w:val="nil"/>
              <w:left w:val="nil"/>
              <w:bottom w:val="nil"/>
              <w:right w:val="nil"/>
            </w:tcBorders>
            <w:shd w:val="clear" w:color="auto" w:fill="auto"/>
            <w:vAlign w:val="center"/>
            <w:hideMark/>
          </w:tcPr>
          <w:p w14:paraId="661A8531"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1 568 121</w:t>
            </w:r>
          </w:p>
        </w:tc>
        <w:tc>
          <w:tcPr>
            <w:tcW w:w="1176" w:type="dxa"/>
            <w:tcBorders>
              <w:top w:val="nil"/>
              <w:left w:val="nil"/>
              <w:bottom w:val="nil"/>
              <w:right w:val="nil"/>
            </w:tcBorders>
            <w:shd w:val="clear" w:color="auto" w:fill="auto"/>
            <w:vAlign w:val="center"/>
            <w:hideMark/>
          </w:tcPr>
          <w:p w14:paraId="227496CC"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1 500 261</w:t>
            </w:r>
          </w:p>
        </w:tc>
        <w:tc>
          <w:tcPr>
            <w:tcW w:w="1176" w:type="dxa"/>
            <w:tcBorders>
              <w:top w:val="nil"/>
              <w:left w:val="nil"/>
              <w:bottom w:val="nil"/>
              <w:right w:val="nil"/>
            </w:tcBorders>
            <w:shd w:val="clear" w:color="auto" w:fill="auto"/>
            <w:vAlign w:val="center"/>
            <w:hideMark/>
          </w:tcPr>
          <w:p w14:paraId="6DC9DC75"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1 433 565</w:t>
            </w:r>
          </w:p>
        </w:tc>
        <w:tc>
          <w:tcPr>
            <w:tcW w:w="1150" w:type="dxa"/>
            <w:tcBorders>
              <w:top w:val="nil"/>
              <w:left w:val="nil"/>
              <w:bottom w:val="nil"/>
              <w:right w:val="nil"/>
            </w:tcBorders>
            <w:shd w:val="clear" w:color="auto" w:fill="auto"/>
            <w:vAlign w:val="center"/>
            <w:hideMark/>
          </w:tcPr>
          <w:p w14:paraId="741B783A"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-66 696</w:t>
            </w:r>
          </w:p>
        </w:tc>
      </w:tr>
      <w:tr w:rsidR="008901FD" w:rsidRPr="008733F8" w14:paraId="4CA7CE1D" w14:textId="77777777" w:rsidTr="008901FD">
        <w:trPr>
          <w:trHeight w:val="276"/>
        </w:trPr>
        <w:tc>
          <w:tcPr>
            <w:tcW w:w="4678" w:type="dxa"/>
            <w:tcBorders>
              <w:top w:val="nil"/>
              <w:left w:val="nil"/>
              <w:bottom w:val="nil"/>
              <w:right w:val="nil"/>
            </w:tcBorders>
            <w:shd w:val="clear" w:color="auto" w:fill="auto"/>
            <w:vAlign w:val="center"/>
            <w:hideMark/>
          </w:tcPr>
          <w:p w14:paraId="1F8B00AB"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Ministerstvo vnútra SR</w:t>
            </w:r>
          </w:p>
        </w:tc>
        <w:tc>
          <w:tcPr>
            <w:tcW w:w="1176" w:type="dxa"/>
            <w:tcBorders>
              <w:top w:val="nil"/>
              <w:left w:val="nil"/>
              <w:bottom w:val="nil"/>
              <w:right w:val="nil"/>
            </w:tcBorders>
            <w:shd w:val="clear" w:color="auto" w:fill="auto"/>
            <w:vAlign w:val="center"/>
            <w:hideMark/>
          </w:tcPr>
          <w:p w14:paraId="5F9A225C"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89 463</w:t>
            </w:r>
          </w:p>
        </w:tc>
        <w:tc>
          <w:tcPr>
            <w:tcW w:w="1176" w:type="dxa"/>
            <w:tcBorders>
              <w:top w:val="nil"/>
              <w:left w:val="nil"/>
              <w:bottom w:val="nil"/>
              <w:right w:val="nil"/>
            </w:tcBorders>
            <w:shd w:val="clear" w:color="auto" w:fill="auto"/>
            <w:vAlign w:val="center"/>
            <w:hideMark/>
          </w:tcPr>
          <w:p w14:paraId="37251DDB"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1 148 977</w:t>
            </w:r>
          </w:p>
        </w:tc>
        <w:tc>
          <w:tcPr>
            <w:tcW w:w="1176" w:type="dxa"/>
            <w:tcBorders>
              <w:top w:val="nil"/>
              <w:left w:val="nil"/>
              <w:bottom w:val="nil"/>
              <w:right w:val="nil"/>
            </w:tcBorders>
            <w:shd w:val="clear" w:color="auto" w:fill="auto"/>
            <w:vAlign w:val="center"/>
            <w:hideMark/>
          </w:tcPr>
          <w:p w14:paraId="25F72CC2"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1 140 340</w:t>
            </w:r>
          </w:p>
        </w:tc>
        <w:tc>
          <w:tcPr>
            <w:tcW w:w="1150" w:type="dxa"/>
            <w:tcBorders>
              <w:top w:val="nil"/>
              <w:left w:val="nil"/>
              <w:bottom w:val="nil"/>
              <w:right w:val="nil"/>
            </w:tcBorders>
            <w:shd w:val="clear" w:color="auto" w:fill="auto"/>
            <w:vAlign w:val="center"/>
            <w:hideMark/>
          </w:tcPr>
          <w:p w14:paraId="167CCBEC"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-8 637</w:t>
            </w:r>
          </w:p>
        </w:tc>
      </w:tr>
      <w:tr w:rsidR="008901FD" w:rsidRPr="008733F8" w14:paraId="7476B1CE" w14:textId="77777777" w:rsidTr="008901FD">
        <w:trPr>
          <w:trHeight w:val="276"/>
        </w:trPr>
        <w:tc>
          <w:tcPr>
            <w:tcW w:w="4678" w:type="dxa"/>
            <w:tcBorders>
              <w:top w:val="nil"/>
              <w:left w:val="nil"/>
              <w:bottom w:val="nil"/>
              <w:right w:val="nil"/>
            </w:tcBorders>
            <w:shd w:val="clear" w:color="auto" w:fill="auto"/>
            <w:vAlign w:val="center"/>
            <w:hideMark/>
          </w:tcPr>
          <w:p w14:paraId="5C9AFCE9"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Kancelária národnej rady SR</w:t>
            </w:r>
          </w:p>
        </w:tc>
        <w:tc>
          <w:tcPr>
            <w:tcW w:w="1176" w:type="dxa"/>
            <w:tcBorders>
              <w:top w:val="nil"/>
              <w:left w:val="nil"/>
              <w:bottom w:val="nil"/>
              <w:right w:val="nil"/>
            </w:tcBorders>
            <w:shd w:val="clear" w:color="auto" w:fill="auto"/>
            <w:vAlign w:val="center"/>
            <w:hideMark/>
          </w:tcPr>
          <w:p w14:paraId="61240D9D"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582 573</w:t>
            </w:r>
          </w:p>
        </w:tc>
        <w:tc>
          <w:tcPr>
            <w:tcW w:w="1176" w:type="dxa"/>
            <w:tcBorders>
              <w:top w:val="nil"/>
              <w:left w:val="nil"/>
              <w:bottom w:val="nil"/>
              <w:right w:val="nil"/>
            </w:tcBorders>
            <w:shd w:val="clear" w:color="auto" w:fill="auto"/>
            <w:vAlign w:val="center"/>
            <w:hideMark/>
          </w:tcPr>
          <w:p w14:paraId="3F2B3932"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615 625</w:t>
            </w:r>
          </w:p>
        </w:tc>
        <w:tc>
          <w:tcPr>
            <w:tcW w:w="1176" w:type="dxa"/>
            <w:tcBorders>
              <w:top w:val="nil"/>
              <w:left w:val="nil"/>
              <w:bottom w:val="nil"/>
              <w:right w:val="nil"/>
            </w:tcBorders>
            <w:shd w:val="clear" w:color="auto" w:fill="auto"/>
            <w:vAlign w:val="center"/>
            <w:hideMark/>
          </w:tcPr>
          <w:p w14:paraId="783E01FC"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615 625</w:t>
            </w:r>
          </w:p>
        </w:tc>
        <w:tc>
          <w:tcPr>
            <w:tcW w:w="1150" w:type="dxa"/>
            <w:tcBorders>
              <w:top w:val="nil"/>
              <w:left w:val="nil"/>
              <w:bottom w:val="nil"/>
              <w:right w:val="nil"/>
            </w:tcBorders>
            <w:shd w:val="clear" w:color="auto" w:fill="auto"/>
            <w:vAlign w:val="center"/>
            <w:hideMark/>
          </w:tcPr>
          <w:p w14:paraId="7DDF240B"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0</w:t>
            </w:r>
          </w:p>
        </w:tc>
      </w:tr>
      <w:tr w:rsidR="008901FD" w:rsidRPr="008733F8" w14:paraId="3F59A50E" w14:textId="77777777" w:rsidTr="008901FD">
        <w:trPr>
          <w:trHeight w:val="276"/>
        </w:trPr>
        <w:tc>
          <w:tcPr>
            <w:tcW w:w="4678" w:type="dxa"/>
            <w:tcBorders>
              <w:top w:val="nil"/>
              <w:left w:val="nil"/>
              <w:bottom w:val="nil"/>
              <w:right w:val="nil"/>
            </w:tcBorders>
            <w:shd w:val="clear" w:color="auto" w:fill="auto"/>
            <w:vAlign w:val="center"/>
            <w:hideMark/>
          </w:tcPr>
          <w:p w14:paraId="089016C3"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Ministerstvo práce, sociálnych vecí a rodiny SR</w:t>
            </w:r>
          </w:p>
        </w:tc>
        <w:tc>
          <w:tcPr>
            <w:tcW w:w="1176" w:type="dxa"/>
            <w:tcBorders>
              <w:top w:val="nil"/>
              <w:left w:val="nil"/>
              <w:bottom w:val="nil"/>
              <w:right w:val="nil"/>
            </w:tcBorders>
            <w:shd w:val="clear" w:color="auto" w:fill="auto"/>
            <w:vAlign w:val="center"/>
            <w:hideMark/>
          </w:tcPr>
          <w:p w14:paraId="3EDDAC45"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453 228</w:t>
            </w:r>
          </w:p>
        </w:tc>
        <w:tc>
          <w:tcPr>
            <w:tcW w:w="1176" w:type="dxa"/>
            <w:tcBorders>
              <w:top w:val="nil"/>
              <w:left w:val="nil"/>
              <w:bottom w:val="nil"/>
              <w:right w:val="nil"/>
            </w:tcBorders>
            <w:shd w:val="clear" w:color="auto" w:fill="auto"/>
            <w:vAlign w:val="center"/>
            <w:hideMark/>
          </w:tcPr>
          <w:p w14:paraId="5926B033"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451 089</w:t>
            </w:r>
          </w:p>
        </w:tc>
        <w:tc>
          <w:tcPr>
            <w:tcW w:w="1176" w:type="dxa"/>
            <w:tcBorders>
              <w:top w:val="nil"/>
              <w:left w:val="nil"/>
              <w:bottom w:val="nil"/>
              <w:right w:val="nil"/>
            </w:tcBorders>
            <w:shd w:val="clear" w:color="auto" w:fill="auto"/>
            <w:vAlign w:val="center"/>
            <w:hideMark/>
          </w:tcPr>
          <w:p w14:paraId="3C428C43"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452 469</w:t>
            </w:r>
          </w:p>
        </w:tc>
        <w:tc>
          <w:tcPr>
            <w:tcW w:w="1150" w:type="dxa"/>
            <w:tcBorders>
              <w:top w:val="nil"/>
              <w:left w:val="nil"/>
              <w:bottom w:val="nil"/>
              <w:right w:val="nil"/>
            </w:tcBorders>
            <w:shd w:val="clear" w:color="auto" w:fill="auto"/>
            <w:vAlign w:val="center"/>
            <w:hideMark/>
          </w:tcPr>
          <w:p w14:paraId="600BCA38"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1 380</w:t>
            </w:r>
          </w:p>
        </w:tc>
      </w:tr>
      <w:tr w:rsidR="008901FD" w:rsidRPr="008733F8" w14:paraId="613ADEFC" w14:textId="77777777" w:rsidTr="008901FD">
        <w:trPr>
          <w:trHeight w:val="276"/>
        </w:trPr>
        <w:tc>
          <w:tcPr>
            <w:tcW w:w="4678" w:type="dxa"/>
            <w:tcBorders>
              <w:top w:val="nil"/>
              <w:left w:val="nil"/>
              <w:bottom w:val="nil"/>
              <w:right w:val="nil"/>
            </w:tcBorders>
            <w:shd w:val="clear" w:color="auto" w:fill="auto"/>
            <w:vAlign w:val="center"/>
            <w:hideMark/>
          </w:tcPr>
          <w:p w14:paraId="6D1DD456" w14:textId="4043E4E4" w:rsidR="008901FD" w:rsidRPr="008733F8" w:rsidRDefault="008901FD" w:rsidP="00972127">
            <w:pPr>
              <w:spacing w:after="0" w:line="240" w:lineRule="auto"/>
              <w:ind w:firstLineChars="300" w:firstLine="540"/>
              <w:rPr>
                <w:color w:val="000000"/>
                <w:sz w:val="18"/>
                <w:szCs w:val="18"/>
                <w:lang w:eastAsia="sk-SK"/>
              </w:rPr>
            </w:pPr>
            <w:r w:rsidRPr="008733F8">
              <w:rPr>
                <w:color w:val="000000"/>
                <w:sz w:val="18"/>
                <w:szCs w:val="18"/>
                <w:lang w:eastAsia="sk-SK"/>
              </w:rPr>
              <w:t xml:space="preserve">MH Manažment, a.s. </w:t>
            </w:r>
          </w:p>
        </w:tc>
        <w:tc>
          <w:tcPr>
            <w:tcW w:w="1176" w:type="dxa"/>
            <w:tcBorders>
              <w:top w:val="nil"/>
              <w:left w:val="nil"/>
              <w:bottom w:val="nil"/>
              <w:right w:val="nil"/>
            </w:tcBorders>
            <w:shd w:val="clear" w:color="auto" w:fill="auto"/>
            <w:vAlign w:val="center"/>
            <w:hideMark/>
          </w:tcPr>
          <w:p w14:paraId="626D9537"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0</w:t>
            </w:r>
          </w:p>
        </w:tc>
        <w:tc>
          <w:tcPr>
            <w:tcW w:w="1176" w:type="dxa"/>
            <w:tcBorders>
              <w:top w:val="nil"/>
              <w:left w:val="nil"/>
              <w:bottom w:val="nil"/>
              <w:right w:val="nil"/>
            </w:tcBorders>
            <w:shd w:val="clear" w:color="auto" w:fill="auto"/>
            <w:vAlign w:val="center"/>
            <w:hideMark/>
          </w:tcPr>
          <w:p w14:paraId="21024748"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227 446</w:t>
            </w:r>
          </w:p>
        </w:tc>
        <w:tc>
          <w:tcPr>
            <w:tcW w:w="1176" w:type="dxa"/>
            <w:tcBorders>
              <w:top w:val="nil"/>
              <w:left w:val="nil"/>
              <w:bottom w:val="nil"/>
              <w:right w:val="nil"/>
            </w:tcBorders>
            <w:shd w:val="clear" w:color="auto" w:fill="auto"/>
            <w:vAlign w:val="center"/>
            <w:hideMark/>
          </w:tcPr>
          <w:p w14:paraId="6F756900"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191 563</w:t>
            </w:r>
          </w:p>
        </w:tc>
        <w:tc>
          <w:tcPr>
            <w:tcW w:w="1150" w:type="dxa"/>
            <w:tcBorders>
              <w:top w:val="nil"/>
              <w:left w:val="nil"/>
              <w:bottom w:val="nil"/>
              <w:right w:val="nil"/>
            </w:tcBorders>
            <w:shd w:val="clear" w:color="auto" w:fill="auto"/>
            <w:vAlign w:val="center"/>
            <w:hideMark/>
          </w:tcPr>
          <w:p w14:paraId="064A08A9"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-35 883</w:t>
            </w:r>
          </w:p>
        </w:tc>
      </w:tr>
      <w:tr w:rsidR="00696191" w:rsidRPr="008733F8" w14:paraId="675B3650" w14:textId="77777777" w:rsidTr="00696191">
        <w:trPr>
          <w:trHeight w:val="276"/>
        </w:trPr>
        <w:tc>
          <w:tcPr>
            <w:tcW w:w="4678" w:type="dxa"/>
            <w:tcBorders>
              <w:top w:val="nil"/>
              <w:left w:val="nil"/>
              <w:bottom w:val="nil"/>
              <w:right w:val="nil"/>
            </w:tcBorders>
            <w:shd w:val="clear" w:color="auto" w:fill="auto"/>
            <w:vAlign w:val="center"/>
            <w:hideMark/>
          </w:tcPr>
          <w:p w14:paraId="2F305A98" w14:textId="77777777" w:rsidR="00696191" w:rsidRPr="008733F8" w:rsidRDefault="00696191" w:rsidP="00F77F59">
            <w:pPr>
              <w:spacing w:after="0" w:line="240" w:lineRule="auto"/>
              <w:ind w:firstLineChars="300" w:firstLine="540"/>
              <w:rPr>
                <w:color w:val="000000"/>
                <w:sz w:val="18"/>
                <w:szCs w:val="18"/>
                <w:lang w:eastAsia="sk-SK"/>
              </w:rPr>
            </w:pPr>
            <w:r w:rsidRPr="008733F8">
              <w:rPr>
                <w:color w:val="000000"/>
                <w:sz w:val="18"/>
                <w:szCs w:val="18"/>
                <w:lang w:eastAsia="sk-SK"/>
              </w:rPr>
              <w:t>Ministerstvo hospodárstva SR</w:t>
            </w:r>
          </w:p>
        </w:tc>
        <w:tc>
          <w:tcPr>
            <w:tcW w:w="1176" w:type="dxa"/>
            <w:tcBorders>
              <w:top w:val="nil"/>
              <w:left w:val="nil"/>
              <w:bottom w:val="nil"/>
              <w:right w:val="nil"/>
            </w:tcBorders>
            <w:shd w:val="clear" w:color="auto" w:fill="auto"/>
            <w:vAlign w:val="center"/>
            <w:hideMark/>
          </w:tcPr>
          <w:p w14:paraId="6D1038FB" w14:textId="77777777" w:rsidR="00696191" w:rsidRPr="008733F8" w:rsidRDefault="00696191" w:rsidP="00F77F59">
            <w:pPr>
              <w:spacing w:after="0" w:line="240" w:lineRule="auto"/>
              <w:jc w:val="right"/>
              <w:rPr>
                <w:color w:val="000000"/>
                <w:sz w:val="18"/>
                <w:szCs w:val="18"/>
                <w:lang w:eastAsia="sk-SK"/>
              </w:rPr>
            </w:pPr>
            <w:r w:rsidRPr="008733F8">
              <w:rPr>
                <w:color w:val="000000"/>
                <w:sz w:val="18"/>
                <w:szCs w:val="18"/>
                <w:lang w:eastAsia="sk-SK"/>
              </w:rPr>
              <w:t>84 858</w:t>
            </w:r>
          </w:p>
        </w:tc>
        <w:tc>
          <w:tcPr>
            <w:tcW w:w="1176" w:type="dxa"/>
            <w:tcBorders>
              <w:top w:val="nil"/>
              <w:left w:val="nil"/>
              <w:bottom w:val="nil"/>
              <w:right w:val="nil"/>
            </w:tcBorders>
            <w:shd w:val="clear" w:color="auto" w:fill="auto"/>
            <w:vAlign w:val="center"/>
            <w:hideMark/>
          </w:tcPr>
          <w:p w14:paraId="2266E521" w14:textId="77777777" w:rsidR="00696191" w:rsidRPr="008733F8" w:rsidRDefault="00696191" w:rsidP="00F77F59">
            <w:pPr>
              <w:spacing w:after="0" w:line="240" w:lineRule="auto"/>
              <w:jc w:val="right"/>
              <w:rPr>
                <w:color w:val="000000"/>
                <w:sz w:val="18"/>
                <w:szCs w:val="18"/>
                <w:lang w:eastAsia="sk-SK"/>
              </w:rPr>
            </w:pPr>
            <w:r w:rsidRPr="008733F8">
              <w:rPr>
                <w:color w:val="000000"/>
                <w:sz w:val="18"/>
                <w:szCs w:val="18"/>
                <w:lang w:eastAsia="sk-SK"/>
              </w:rPr>
              <w:t>88 800</w:t>
            </w:r>
          </w:p>
        </w:tc>
        <w:tc>
          <w:tcPr>
            <w:tcW w:w="1176" w:type="dxa"/>
            <w:tcBorders>
              <w:top w:val="nil"/>
              <w:left w:val="nil"/>
              <w:bottom w:val="nil"/>
              <w:right w:val="nil"/>
            </w:tcBorders>
            <w:shd w:val="clear" w:color="auto" w:fill="auto"/>
            <w:vAlign w:val="center"/>
            <w:hideMark/>
          </w:tcPr>
          <w:p w14:paraId="6070E4D9" w14:textId="77777777" w:rsidR="00696191" w:rsidRPr="008733F8" w:rsidRDefault="00696191" w:rsidP="00F77F59">
            <w:pPr>
              <w:spacing w:after="0" w:line="240" w:lineRule="auto"/>
              <w:jc w:val="right"/>
              <w:rPr>
                <w:color w:val="000000"/>
                <w:sz w:val="18"/>
                <w:szCs w:val="18"/>
                <w:lang w:eastAsia="sk-SK"/>
              </w:rPr>
            </w:pPr>
            <w:r w:rsidRPr="008733F8">
              <w:rPr>
                <w:color w:val="000000"/>
                <w:sz w:val="18"/>
                <w:szCs w:val="18"/>
                <w:lang w:eastAsia="sk-SK"/>
              </w:rPr>
              <w:t>119 155</w:t>
            </w:r>
          </w:p>
        </w:tc>
        <w:tc>
          <w:tcPr>
            <w:tcW w:w="1150" w:type="dxa"/>
            <w:tcBorders>
              <w:top w:val="nil"/>
              <w:left w:val="nil"/>
              <w:bottom w:val="nil"/>
              <w:right w:val="nil"/>
            </w:tcBorders>
            <w:shd w:val="clear" w:color="auto" w:fill="auto"/>
            <w:vAlign w:val="center"/>
            <w:hideMark/>
          </w:tcPr>
          <w:p w14:paraId="66084C12" w14:textId="77777777" w:rsidR="00696191" w:rsidRPr="008733F8" w:rsidRDefault="00696191" w:rsidP="00F77F59">
            <w:pPr>
              <w:spacing w:after="0" w:line="240" w:lineRule="auto"/>
              <w:jc w:val="right"/>
              <w:rPr>
                <w:color w:val="000000"/>
                <w:sz w:val="18"/>
                <w:szCs w:val="18"/>
                <w:lang w:eastAsia="sk-SK"/>
              </w:rPr>
            </w:pPr>
            <w:r w:rsidRPr="008733F8">
              <w:rPr>
                <w:color w:val="000000"/>
                <w:sz w:val="18"/>
                <w:szCs w:val="18"/>
                <w:lang w:eastAsia="sk-SK"/>
              </w:rPr>
              <w:t>30 355</w:t>
            </w:r>
          </w:p>
        </w:tc>
      </w:tr>
      <w:tr w:rsidR="008901FD" w:rsidRPr="008733F8" w14:paraId="0C276AED" w14:textId="77777777" w:rsidTr="008901FD">
        <w:trPr>
          <w:trHeight w:val="276"/>
        </w:trPr>
        <w:tc>
          <w:tcPr>
            <w:tcW w:w="4678" w:type="dxa"/>
            <w:tcBorders>
              <w:top w:val="nil"/>
              <w:left w:val="nil"/>
              <w:bottom w:val="nil"/>
              <w:right w:val="nil"/>
            </w:tcBorders>
            <w:shd w:val="clear" w:color="auto" w:fill="auto"/>
            <w:vAlign w:val="center"/>
            <w:hideMark/>
          </w:tcPr>
          <w:p w14:paraId="2A894E1A"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Slovenský pozemkový fond</w:t>
            </w:r>
          </w:p>
        </w:tc>
        <w:tc>
          <w:tcPr>
            <w:tcW w:w="1176" w:type="dxa"/>
            <w:tcBorders>
              <w:top w:val="nil"/>
              <w:left w:val="nil"/>
              <w:bottom w:val="nil"/>
              <w:right w:val="nil"/>
            </w:tcBorders>
            <w:shd w:val="clear" w:color="auto" w:fill="auto"/>
            <w:vAlign w:val="center"/>
            <w:hideMark/>
          </w:tcPr>
          <w:p w14:paraId="2E39754A"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101 900</w:t>
            </w:r>
          </w:p>
        </w:tc>
        <w:tc>
          <w:tcPr>
            <w:tcW w:w="1176" w:type="dxa"/>
            <w:tcBorders>
              <w:top w:val="nil"/>
              <w:left w:val="nil"/>
              <w:bottom w:val="nil"/>
              <w:right w:val="nil"/>
            </w:tcBorders>
            <w:shd w:val="clear" w:color="auto" w:fill="auto"/>
            <w:vAlign w:val="center"/>
            <w:hideMark/>
          </w:tcPr>
          <w:p w14:paraId="6D556B6D"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101 900</w:t>
            </w:r>
          </w:p>
        </w:tc>
        <w:tc>
          <w:tcPr>
            <w:tcW w:w="1176" w:type="dxa"/>
            <w:tcBorders>
              <w:top w:val="nil"/>
              <w:left w:val="nil"/>
              <w:bottom w:val="nil"/>
              <w:right w:val="nil"/>
            </w:tcBorders>
            <w:shd w:val="clear" w:color="auto" w:fill="auto"/>
            <w:vAlign w:val="center"/>
            <w:hideMark/>
          </w:tcPr>
          <w:p w14:paraId="010722BF"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79 942</w:t>
            </w:r>
          </w:p>
        </w:tc>
        <w:tc>
          <w:tcPr>
            <w:tcW w:w="1150" w:type="dxa"/>
            <w:tcBorders>
              <w:top w:val="nil"/>
              <w:left w:val="nil"/>
              <w:bottom w:val="nil"/>
              <w:right w:val="nil"/>
            </w:tcBorders>
            <w:shd w:val="clear" w:color="auto" w:fill="auto"/>
            <w:vAlign w:val="center"/>
            <w:hideMark/>
          </w:tcPr>
          <w:p w14:paraId="09CCAD77"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-21 958</w:t>
            </w:r>
          </w:p>
        </w:tc>
      </w:tr>
      <w:tr w:rsidR="008901FD" w:rsidRPr="008733F8" w14:paraId="204C5174" w14:textId="77777777" w:rsidTr="008901FD">
        <w:trPr>
          <w:trHeight w:val="276"/>
        </w:trPr>
        <w:tc>
          <w:tcPr>
            <w:tcW w:w="4678" w:type="dxa"/>
            <w:tcBorders>
              <w:top w:val="nil"/>
              <w:left w:val="nil"/>
              <w:bottom w:val="nil"/>
              <w:right w:val="nil"/>
            </w:tcBorders>
            <w:shd w:val="clear" w:color="auto" w:fill="auto"/>
            <w:vAlign w:val="center"/>
            <w:hideMark/>
          </w:tcPr>
          <w:p w14:paraId="54BC858C"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 xml:space="preserve">Vodohospodárska výstavba, </w:t>
            </w:r>
            <w:proofErr w:type="spellStart"/>
            <w:r w:rsidRPr="008733F8">
              <w:rPr>
                <w:color w:val="000000"/>
                <w:sz w:val="18"/>
                <w:szCs w:val="18"/>
                <w:lang w:eastAsia="sk-SK"/>
              </w:rPr>
              <w:t>š.p</w:t>
            </w:r>
            <w:proofErr w:type="spellEnd"/>
            <w:r w:rsidRPr="008733F8">
              <w:rPr>
                <w:color w:val="000000"/>
                <w:sz w:val="18"/>
                <w:szCs w:val="18"/>
                <w:lang w:eastAsia="sk-SK"/>
              </w:rPr>
              <w:t>.</w:t>
            </w:r>
          </w:p>
        </w:tc>
        <w:tc>
          <w:tcPr>
            <w:tcW w:w="1176" w:type="dxa"/>
            <w:tcBorders>
              <w:top w:val="nil"/>
              <w:left w:val="nil"/>
              <w:bottom w:val="nil"/>
              <w:right w:val="nil"/>
            </w:tcBorders>
            <w:shd w:val="clear" w:color="auto" w:fill="auto"/>
            <w:vAlign w:val="center"/>
            <w:hideMark/>
          </w:tcPr>
          <w:p w14:paraId="3C762086"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77 609</w:t>
            </w:r>
          </w:p>
        </w:tc>
        <w:tc>
          <w:tcPr>
            <w:tcW w:w="1176" w:type="dxa"/>
            <w:tcBorders>
              <w:top w:val="nil"/>
              <w:left w:val="nil"/>
              <w:bottom w:val="nil"/>
              <w:right w:val="nil"/>
            </w:tcBorders>
            <w:shd w:val="clear" w:color="auto" w:fill="auto"/>
            <w:vAlign w:val="center"/>
            <w:hideMark/>
          </w:tcPr>
          <w:p w14:paraId="1ACA8A8D"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59 856</w:t>
            </w:r>
          </w:p>
        </w:tc>
        <w:tc>
          <w:tcPr>
            <w:tcW w:w="1176" w:type="dxa"/>
            <w:tcBorders>
              <w:top w:val="nil"/>
              <w:left w:val="nil"/>
              <w:bottom w:val="nil"/>
              <w:right w:val="nil"/>
            </w:tcBorders>
            <w:shd w:val="clear" w:color="auto" w:fill="auto"/>
            <w:vAlign w:val="center"/>
            <w:hideMark/>
          </w:tcPr>
          <w:p w14:paraId="6731FCD7"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59 856</w:t>
            </w:r>
          </w:p>
        </w:tc>
        <w:tc>
          <w:tcPr>
            <w:tcW w:w="1150" w:type="dxa"/>
            <w:tcBorders>
              <w:top w:val="nil"/>
              <w:left w:val="nil"/>
              <w:bottom w:val="nil"/>
              <w:right w:val="nil"/>
            </w:tcBorders>
            <w:shd w:val="clear" w:color="auto" w:fill="auto"/>
            <w:vAlign w:val="center"/>
            <w:hideMark/>
          </w:tcPr>
          <w:p w14:paraId="03BDB819"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0</w:t>
            </w:r>
          </w:p>
        </w:tc>
      </w:tr>
      <w:tr w:rsidR="004258AA" w:rsidRPr="008733F8" w14:paraId="7A3848FC" w14:textId="77777777" w:rsidTr="00571CA4">
        <w:trPr>
          <w:trHeight w:val="276"/>
        </w:trPr>
        <w:tc>
          <w:tcPr>
            <w:tcW w:w="4678" w:type="dxa"/>
            <w:tcBorders>
              <w:top w:val="single" w:sz="4" w:space="0" w:color="auto"/>
              <w:left w:val="nil"/>
              <w:bottom w:val="single" w:sz="4" w:space="0" w:color="auto"/>
              <w:right w:val="nil"/>
            </w:tcBorders>
            <w:shd w:val="clear" w:color="000000" w:fill="BFBFBF"/>
            <w:vAlign w:val="center"/>
            <w:hideMark/>
          </w:tcPr>
          <w:p w14:paraId="62D5295F" w14:textId="77777777" w:rsidR="004258AA" w:rsidRPr="008733F8" w:rsidRDefault="004258AA" w:rsidP="00571CA4">
            <w:pPr>
              <w:spacing w:after="0" w:line="240" w:lineRule="auto"/>
              <w:rPr>
                <w:color w:val="000000"/>
                <w:sz w:val="18"/>
                <w:szCs w:val="18"/>
                <w:lang w:eastAsia="sk-SK"/>
              </w:rPr>
            </w:pPr>
            <w:r w:rsidRPr="008733F8">
              <w:rPr>
                <w:color w:val="000000"/>
                <w:sz w:val="18"/>
                <w:szCs w:val="18"/>
                <w:lang w:eastAsia="sk-SK"/>
              </w:rPr>
              <w:lastRenderedPageBreak/>
              <w:t> </w:t>
            </w:r>
          </w:p>
        </w:tc>
        <w:tc>
          <w:tcPr>
            <w:tcW w:w="1176" w:type="dxa"/>
            <w:tcBorders>
              <w:top w:val="single" w:sz="4" w:space="0" w:color="auto"/>
              <w:left w:val="nil"/>
              <w:bottom w:val="single" w:sz="4" w:space="0" w:color="auto"/>
              <w:right w:val="nil"/>
            </w:tcBorders>
            <w:shd w:val="clear" w:color="000000" w:fill="BFBFBF"/>
            <w:vAlign w:val="bottom"/>
            <w:hideMark/>
          </w:tcPr>
          <w:p w14:paraId="26A119C6" w14:textId="77777777" w:rsidR="004258AA" w:rsidRPr="008733F8" w:rsidRDefault="004258AA" w:rsidP="00571CA4">
            <w:pPr>
              <w:spacing w:after="0" w:line="240" w:lineRule="auto"/>
              <w:jc w:val="right"/>
              <w:rPr>
                <w:b/>
                <w:bCs/>
                <w:sz w:val="18"/>
                <w:szCs w:val="18"/>
                <w:lang w:eastAsia="sk-SK"/>
              </w:rPr>
            </w:pPr>
            <w:r w:rsidRPr="008733F8">
              <w:rPr>
                <w:b/>
                <w:bCs/>
                <w:sz w:val="18"/>
                <w:szCs w:val="18"/>
                <w:lang w:eastAsia="sk-SK"/>
              </w:rPr>
              <w:t>31.12.2018</w:t>
            </w:r>
          </w:p>
        </w:tc>
        <w:tc>
          <w:tcPr>
            <w:tcW w:w="1176" w:type="dxa"/>
            <w:tcBorders>
              <w:top w:val="single" w:sz="4" w:space="0" w:color="auto"/>
              <w:left w:val="nil"/>
              <w:bottom w:val="single" w:sz="4" w:space="0" w:color="auto"/>
              <w:right w:val="nil"/>
            </w:tcBorders>
            <w:shd w:val="clear" w:color="000000" w:fill="BFBFBF"/>
            <w:vAlign w:val="bottom"/>
            <w:hideMark/>
          </w:tcPr>
          <w:p w14:paraId="0D6688DD" w14:textId="77777777" w:rsidR="004258AA" w:rsidRPr="008733F8" w:rsidRDefault="004258AA" w:rsidP="00571CA4">
            <w:pPr>
              <w:spacing w:after="0" w:line="240" w:lineRule="auto"/>
              <w:jc w:val="right"/>
              <w:rPr>
                <w:b/>
                <w:bCs/>
                <w:sz w:val="18"/>
                <w:szCs w:val="18"/>
                <w:lang w:eastAsia="sk-SK"/>
              </w:rPr>
            </w:pPr>
            <w:r w:rsidRPr="008733F8">
              <w:rPr>
                <w:b/>
                <w:bCs/>
                <w:sz w:val="18"/>
                <w:szCs w:val="18"/>
                <w:lang w:eastAsia="sk-SK"/>
              </w:rPr>
              <w:t>31.12.2019</w:t>
            </w:r>
          </w:p>
        </w:tc>
        <w:tc>
          <w:tcPr>
            <w:tcW w:w="1176" w:type="dxa"/>
            <w:tcBorders>
              <w:top w:val="single" w:sz="4" w:space="0" w:color="auto"/>
              <w:left w:val="nil"/>
              <w:bottom w:val="single" w:sz="4" w:space="0" w:color="auto"/>
              <w:right w:val="nil"/>
            </w:tcBorders>
            <w:shd w:val="clear" w:color="000000" w:fill="BFBFBF"/>
            <w:vAlign w:val="bottom"/>
            <w:hideMark/>
          </w:tcPr>
          <w:p w14:paraId="319D4826" w14:textId="77777777" w:rsidR="004258AA" w:rsidRPr="008733F8" w:rsidRDefault="004258AA" w:rsidP="00571CA4">
            <w:pPr>
              <w:spacing w:after="0" w:line="240" w:lineRule="auto"/>
              <w:jc w:val="right"/>
              <w:rPr>
                <w:b/>
                <w:bCs/>
                <w:sz w:val="18"/>
                <w:szCs w:val="18"/>
                <w:lang w:eastAsia="sk-SK"/>
              </w:rPr>
            </w:pPr>
            <w:r w:rsidRPr="008733F8">
              <w:rPr>
                <w:b/>
                <w:bCs/>
                <w:sz w:val="18"/>
                <w:szCs w:val="18"/>
                <w:lang w:eastAsia="sk-SK"/>
              </w:rPr>
              <w:t>31.12.2020</w:t>
            </w:r>
          </w:p>
        </w:tc>
        <w:tc>
          <w:tcPr>
            <w:tcW w:w="1150" w:type="dxa"/>
            <w:tcBorders>
              <w:top w:val="single" w:sz="4" w:space="0" w:color="auto"/>
              <w:left w:val="nil"/>
              <w:bottom w:val="single" w:sz="4" w:space="0" w:color="auto"/>
              <w:right w:val="nil"/>
            </w:tcBorders>
            <w:shd w:val="clear" w:color="000000" w:fill="BFBFBF"/>
            <w:vAlign w:val="bottom"/>
            <w:hideMark/>
          </w:tcPr>
          <w:p w14:paraId="79E5A6AE" w14:textId="77777777" w:rsidR="004258AA" w:rsidRPr="008733F8" w:rsidRDefault="004258AA" w:rsidP="00571CA4">
            <w:pPr>
              <w:spacing w:after="0" w:line="240" w:lineRule="auto"/>
              <w:jc w:val="right"/>
              <w:rPr>
                <w:b/>
                <w:bCs/>
                <w:sz w:val="18"/>
                <w:szCs w:val="18"/>
                <w:lang w:eastAsia="sk-SK"/>
              </w:rPr>
            </w:pPr>
            <w:r w:rsidRPr="008733F8">
              <w:rPr>
                <w:b/>
                <w:bCs/>
                <w:sz w:val="18"/>
                <w:szCs w:val="18"/>
                <w:lang w:eastAsia="sk-SK"/>
              </w:rPr>
              <w:t>Δ2020-2019</w:t>
            </w:r>
          </w:p>
        </w:tc>
      </w:tr>
      <w:tr w:rsidR="008901FD" w:rsidRPr="008733F8" w14:paraId="1906203E" w14:textId="77777777" w:rsidTr="008901FD">
        <w:trPr>
          <w:trHeight w:val="276"/>
        </w:trPr>
        <w:tc>
          <w:tcPr>
            <w:tcW w:w="4678" w:type="dxa"/>
            <w:tcBorders>
              <w:top w:val="nil"/>
              <w:left w:val="nil"/>
              <w:bottom w:val="nil"/>
              <w:right w:val="nil"/>
            </w:tcBorders>
            <w:shd w:val="clear" w:color="auto" w:fill="auto"/>
            <w:vAlign w:val="center"/>
            <w:hideMark/>
          </w:tcPr>
          <w:p w14:paraId="2ADD95BA" w14:textId="77777777" w:rsidR="008901FD" w:rsidRPr="000D420F" w:rsidRDefault="008901FD" w:rsidP="00B067CB">
            <w:pPr>
              <w:spacing w:after="0" w:line="240" w:lineRule="auto"/>
              <w:ind w:firstLineChars="300" w:firstLine="540"/>
              <w:rPr>
                <w:color w:val="000000"/>
                <w:sz w:val="18"/>
                <w:szCs w:val="18"/>
                <w:lang w:eastAsia="sk-SK"/>
              </w:rPr>
            </w:pPr>
            <w:r w:rsidRPr="000D420F">
              <w:rPr>
                <w:color w:val="000000"/>
                <w:sz w:val="18"/>
                <w:szCs w:val="18"/>
                <w:lang w:eastAsia="sk-SK"/>
              </w:rPr>
              <w:t xml:space="preserve">Železničná spoločnosť Slovensko, </w:t>
            </w:r>
            <w:proofErr w:type="spellStart"/>
            <w:r w:rsidRPr="000D420F">
              <w:rPr>
                <w:color w:val="000000"/>
                <w:sz w:val="18"/>
                <w:szCs w:val="18"/>
                <w:lang w:eastAsia="sk-SK"/>
              </w:rPr>
              <w:t>a.s</w:t>
            </w:r>
            <w:proofErr w:type="spellEnd"/>
            <w:r w:rsidRPr="000D420F">
              <w:rPr>
                <w:color w:val="000000"/>
                <w:sz w:val="18"/>
                <w:szCs w:val="18"/>
                <w:lang w:eastAsia="sk-SK"/>
              </w:rPr>
              <w:t>.</w:t>
            </w:r>
          </w:p>
        </w:tc>
        <w:tc>
          <w:tcPr>
            <w:tcW w:w="1176" w:type="dxa"/>
            <w:tcBorders>
              <w:top w:val="nil"/>
              <w:left w:val="nil"/>
              <w:bottom w:val="nil"/>
              <w:right w:val="nil"/>
            </w:tcBorders>
            <w:shd w:val="clear" w:color="auto" w:fill="auto"/>
            <w:vAlign w:val="center"/>
            <w:hideMark/>
          </w:tcPr>
          <w:p w14:paraId="4BB00AC9" w14:textId="77777777" w:rsidR="008901FD" w:rsidRPr="000D420F" w:rsidRDefault="008901FD" w:rsidP="00B067CB">
            <w:pPr>
              <w:spacing w:after="0" w:line="240" w:lineRule="auto"/>
              <w:jc w:val="right"/>
              <w:rPr>
                <w:color w:val="000000"/>
                <w:sz w:val="18"/>
                <w:szCs w:val="18"/>
                <w:lang w:eastAsia="sk-SK"/>
              </w:rPr>
            </w:pPr>
            <w:r w:rsidRPr="000D420F">
              <w:rPr>
                <w:color w:val="000000"/>
                <w:sz w:val="18"/>
                <w:szCs w:val="18"/>
                <w:lang w:eastAsia="sk-SK"/>
              </w:rPr>
              <w:t>51 752</w:t>
            </w:r>
          </w:p>
        </w:tc>
        <w:tc>
          <w:tcPr>
            <w:tcW w:w="1176" w:type="dxa"/>
            <w:tcBorders>
              <w:top w:val="nil"/>
              <w:left w:val="nil"/>
              <w:bottom w:val="nil"/>
              <w:right w:val="nil"/>
            </w:tcBorders>
            <w:shd w:val="clear" w:color="auto" w:fill="auto"/>
            <w:vAlign w:val="center"/>
            <w:hideMark/>
          </w:tcPr>
          <w:p w14:paraId="3B9A8E6C" w14:textId="77777777" w:rsidR="008901FD" w:rsidRPr="000D420F" w:rsidRDefault="008901FD" w:rsidP="00B067CB">
            <w:pPr>
              <w:spacing w:after="0" w:line="240" w:lineRule="auto"/>
              <w:jc w:val="right"/>
              <w:rPr>
                <w:color w:val="000000"/>
                <w:sz w:val="18"/>
                <w:szCs w:val="18"/>
                <w:lang w:eastAsia="sk-SK"/>
              </w:rPr>
            </w:pPr>
            <w:r w:rsidRPr="000D420F">
              <w:rPr>
                <w:color w:val="000000"/>
                <w:sz w:val="18"/>
                <w:szCs w:val="18"/>
                <w:lang w:eastAsia="sk-SK"/>
              </w:rPr>
              <w:t>51 751</w:t>
            </w:r>
          </w:p>
        </w:tc>
        <w:tc>
          <w:tcPr>
            <w:tcW w:w="1176" w:type="dxa"/>
            <w:tcBorders>
              <w:top w:val="nil"/>
              <w:left w:val="nil"/>
              <w:bottom w:val="nil"/>
              <w:right w:val="nil"/>
            </w:tcBorders>
            <w:shd w:val="clear" w:color="auto" w:fill="auto"/>
            <w:vAlign w:val="center"/>
            <w:hideMark/>
          </w:tcPr>
          <w:p w14:paraId="33569110" w14:textId="77777777" w:rsidR="008901FD" w:rsidRPr="000D420F" w:rsidRDefault="008901FD" w:rsidP="00B067CB">
            <w:pPr>
              <w:spacing w:after="0" w:line="240" w:lineRule="auto"/>
              <w:jc w:val="right"/>
              <w:rPr>
                <w:color w:val="000000"/>
                <w:sz w:val="18"/>
                <w:szCs w:val="18"/>
                <w:lang w:eastAsia="sk-SK"/>
              </w:rPr>
            </w:pPr>
            <w:r w:rsidRPr="000D420F">
              <w:rPr>
                <w:color w:val="000000"/>
                <w:sz w:val="18"/>
                <w:szCs w:val="18"/>
                <w:lang w:eastAsia="sk-SK"/>
              </w:rPr>
              <w:t>0</w:t>
            </w:r>
          </w:p>
        </w:tc>
        <w:tc>
          <w:tcPr>
            <w:tcW w:w="1150" w:type="dxa"/>
            <w:tcBorders>
              <w:top w:val="nil"/>
              <w:left w:val="nil"/>
              <w:bottom w:val="nil"/>
              <w:right w:val="nil"/>
            </w:tcBorders>
            <w:shd w:val="clear" w:color="auto" w:fill="auto"/>
            <w:vAlign w:val="center"/>
            <w:hideMark/>
          </w:tcPr>
          <w:p w14:paraId="1B07E5C3" w14:textId="77777777" w:rsidR="008901FD" w:rsidRPr="008733F8" w:rsidRDefault="008901FD" w:rsidP="00B067CB">
            <w:pPr>
              <w:spacing w:after="0" w:line="240" w:lineRule="auto"/>
              <w:jc w:val="right"/>
              <w:rPr>
                <w:color w:val="000000"/>
                <w:sz w:val="18"/>
                <w:szCs w:val="18"/>
                <w:lang w:eastAsia="sk-SK"/>
              </w:rPr>
            </w:pPr>
            <w:r w:rsidRPr="000D420F">
              <w:rPr>
                <w:color w:val="000000"/>
                <w:sz w:val="18"/>
                <w:szCs w:val="18"/>
                <w:lang w:eastAsia="sk-SK"/>
              </w:rPr>
              <w:t>-51 751</w:t>
            </w:r>
          </w:p>
        </w:tc>
      </w:tr>
      <w:tr w:rsidR="008901FD" w:rsidRPr="008733F8" w14:paraId="498633F8" w14:textId="77777777" w:rsidTr="008901FD">
        <w:trPr>
          <w:trHeight w:val="276"/>
        </w:trPr>
        <w:tc>
          <w:tcPr>
            <w:tcW w:w="4678" w:type="dxa"/>
            <w:tcBorders>
              <w:top w:val="nil"/>
              <w:left w:val="nil"/>
              <w:bottom w:val="nil"/>
              <w:right w:val="nil"/>
            </w:tcBorders>
            <w:shd w:val="clear" w:color="auto" w:fill="auto"/>
            <w:vAlign w:val="center"/>
            <w:hideMark/>
          </w:tcPr>
          <w:p w14:paraId="1B0F990E" w14:textId="77777777" w:rsidR="008901FD" w:rsidRPr="008733F8" w:rsidRDefault="008901FD" w:rsidP="00B067CB">
            <w:pPr>
              <w:spacing w:after="0" w:line="240" w:lineRule="auto"/>
              <w:rPr>
                <w:b/>
                <w:bCs/>
                <w:color w:val="000000"/>
                <w:sz w:val="18"/>
                <w:szCs w:val="18"/>
                <w:lang w:eastAsia="sk-SK"/>
              </w:rPr>
            </w:pPr>
            <w:r w:rsidRPr="008733F8">
              <w:rPr>
                <w:b/>
                <w:bCs/>
                <w:color w:val="000000"/>
                <w:sz w:val="18"/>
                <w:szCs w:val="18"/>
                <w:lang w:eastAsia="sk-SK"/>
              </w:rPr>
              <w:t xml:space="preserve">Iné (podniky štátnej správy, MF SR) </w:t>
            </w:r>
          </w:p>
        </w:tc>
        <w:tc>
          <w:tcPr>
            <w:tcW w:w="1176" w:type="dxa"/>
            <w:tcBorders>
              <w:top w:val="nil"/>
              <w:left w:val="nil"/>
              <w:bottom w:val="nil"/>
              <w:right w:val="nil"/>
            </w:tcBorders>
            <w:shd w:val="clear" w:color="auto" w:fill="auto"/>
            <w:vAlign w:val="center"/>
            <w:hideMark/>
          </w:tcPr>
          <w:p w14:paraId="0B2EC659" w14:textId="77777777" w:rsidR="008901FD" w:rsidRPr="008733F8" w:rsidRDefault="008901FD" w:rsidP="00B067CB">
            <w:pPr>
              <w:spacing w:after="0" w:line="240" w:lineRule="auto"/>
              <w:jc w:val="right"/>
              <w:rPr>
                <w:b/>
                <w:bCs/>
                <w:color w:val="000000"/>
                <w:sz w:val="18"/>
                <w:szCs w:val="18"/>
                <w:lang w:eastAsia="sk-SK"/>
              </w:rPr>
            </w:pPr>
            <w:r w:rsidRPr="008733F8">
              <w:rPr>
                <w:b/>
                <w:bCs/>
                <w:color w:val="000000"/>
                <w:sz w:val="18"/>
                <w:szCs w:val="18"/>
                <w:lang w:eastAsia="sk-SK"/>
              </w:rPr>
              <w:t>4 661 417</w:t>
            </w:r>
          </w:p>
        </w:tc>
        <w:tc>
          <w:tcPr>
            <w:tcW w:w="1176" w:type="dxa"/>
            <w:tcBorders>
              <w:top w:val="nil"/>
              <w:left w:val="nil"/>
              <w:bottom w:val="nil"/>
              <w:right w:val="nil"/>
            </w:tcBorders>
            <w:shd w:val="clear" w:color="auto" w:fill="auto"/>
            <w:vAlign w:val="center"/>
            <w:hideMark/>
          </w:tcPr>
          <w:p w14:paraId="1C7BFB42" w14:textId="77777777" w:rsidR="008901FD" w:rsidRPr="008733F8" w:rsidRDefault="008901FD" w:rsidP="00B067CB">
            <w:pPr>
              <w:spacing w:after="0" w:line="240" w:lineRule="auto"/>
              <w:jc w:val="right"/>
              <w:rPr>
                <w:b/>
                <w:bCs/>
                <w:color w:val="000000"/>
                <w:sz w:val="18"/>
                <w:szCs w:val="18"/>
                <w:lang w:eastAsia="sk-SK"/>
              </w:rPr>
            </w:pPr>
            <w:r w:rsidRPr="008733F8">
              <w:rPr>
                <w:b/>
                <w:bCs/>
                <w:color w:val="000000"/>
                <w:sz w:val="18"/>
                <w:szCs w:val="18"/>
                <w:lang w:eastAsia="sk-SK"/>
              </w:rPr>
              <w:t>5 035 279</w:t>
            </w:r>
          </w:p>
        </w:tc>
        <w:tc>
          <w:tcPr>
            <w:tcW w:w="1176" w:type="dxa"/>
            <w:tcBorders>
              <w:top w:val="nil"/>
              <w:left w:val="nil"/>
              <w:bottom w:val="nil"/>
              <w:right w:val="nil"/>
            </w:tcBorders>
            <w:shd w:val="clear" w:color="auto" w:fill="auto"/>
            <w:vAlign w:val="center"/>
            <w:hideMark/>
          </w:tcPr>
          <w:p w14:paraId="5B62CBEC" w14:textId="77777777" w:rsidR="008901FD" w:rsidRPr="008733F8" w:rsidRDefault="008901FD" w:rsidP="00B067CB">
            <w:pPr>
              <w:spacing w:after="0" w:line="240" w:lineRule="auto"/>
              <w:jc w:val="right"/>
              <w:rPr>
                <w:b/>
                <w:bCs/>
                <w:color w:val="000000"/>
                <w:sz w:val="18"/>
                <w:szCs w:val="18"/>
                <w:lang w:eastAsia="sk-SK"/>
              </w:rPr>
            </w:pPr>
            <w:r w:rsidRPr="008733F8">
              <w:rPr>
                <w:b/>
                <w:bCs/>
                <w:color w:val="000000"/>
                <w:sz w:val="18"/>
                <w:szCs w:val="18"/>
                <w:lang w:eastAsia="sk-SK"/>
              </w:rPr>
              <w:t>5 216 262</w:t>
            </w:r>
          </w:p>
        </w:tc>
        <w:tc>
          <w:tcPr>
            <w:tcW w:w="1150" w:type="dxa"/>
            <w:tcBorders>
              <w:top w:val="nil"/>
              <w:left w:val="nil"/>
              <w:bottom w:val="nil"/>
              <w:right w:val="nil"/>
            </w:tcBorders>
            <w:shd w:val="clear" w:color="auto" w:fill="auto"/>
            <w:vAlign w:val="center"/>
            <w:hideMark/>
          </w:tcPr>
          <w:p w14:paraId="7835F85E" w14:textId="77777777" w:rsidR="008901FD" w:rsidRPr="008733F8" w:rsidRDefault="008901FD" w:rsidP="00B067CB">
            <w:pPr>
              <w:spacing w:after="0" w:line="240" w:lineRule="auto"/>
              <w:jc w:val="right"/>
              <w:rPr>
                <w:b/>
                <w:bCs/>
                <w:color w:val="000000"/>
                <w:sz w:val="18"/>
                <w:szCs w:val="18"/>
                <w:lang w:eastAsia="sk-SK"/>
              </w:rPr>
            </w:pPr>
            <w:r w:rsidRPr="008733F8">
              <w:rPr>
                <w:b/>
                <w:bCs/>
                <w:color w:val="000000"/>
                <w:sz w:val="18"/>
                <w:szCs w:val="18"/>
                <w:lang w:eastAsia="sk-SK"/>
              </w:rPr>
              <w:t>180 983</w:t>
            </w:r>
          </w:p>
        </w:tc>
      </w:tr>
      <w:tr w:rsidR="008901FD" w:rsidRPr="008733F8" w14:paraId="3DA519DF" w14:textId="77777777" w:rsidTr="008901FD">
        <w:trPr>
          <w:trHeight w:val="276"/>
        </w:trPr>
        <w:tc>
          <w:tcPr>
            <w:tcW w:w="4678" w:type="dxa"/>
            <w:tcBorders>
              <w:top w:val="nil"/>
              <w:left w:val="nil"/>
              <w:bottom w:val="nil"/>
              <w:right w:val="nil"/>
            </w:tcBorders>
            <w:shd w:val="clear" w:color="auto" w:fill="auto"/>
            <w:vAlign w:val="center"/>
            <w:hideMark/>
          </w:tcPr>
          <w:p w14:paraId="3C849AD1"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Slovenské elektrárne, a.s.</w:t>
            </w:r>
          </w:p>
        </w:tc>
        <w:tc>
          <w:tcPr>
            <w:tcW w:w="1176" w:type="dxa"/>
            <w:tcBorders>
              <w:top w:val="nil"/>
              <w:left w:val="nil"/>
              <w:bottom w:val="nil"/>
              <w:right w:val="nil"/>
            </w:tcBorders>
            <w:shd w:val="clear" w:color="auto" w:fill="auto"/>
            <w:vAlign w:val="center"/>
            <w:hideMark/>
          </w:tcPr>
          <w:p w14:paraId="17023F0C"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2 758 668</w:t>
            </w:r>
          </w:p>
        </w:tc>
        <w:tc>
          <w:tcPr>
            <w:tcW w:w="1176" w:type="dxa"/>
            <w:tcBorders>
              <w:top w:val="nil"/>
              <w:left w:val="nil"/>
              <w:bottom w:val="nil"/>
              <w:right w:val="nil"/>
            </w:tcBorders>
            <w:shd w:val="clear" w:color="auto" w:fill="auto"/>
            <w:vAlign w:val="center"/>
            <w:hideMark/>
          </w:tcPr>
          <w:p w14:paraId="4C39806E"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3 087 698</w:t>
            </w:r>
          </w:p>
        </w:tc>
        <w:tc>
          <w:tcPr>
            <w:tcW w:w="1176" w:type="dxa"/>
            <w:tcBorders>
              <w:top w:val="nil"/>
              <w:left w:val="nil"/>
              <w:bottom w:val="nil"/>
              <w:right w:val="nil"/>
            </w:tcBorders>
            <w:shd w:val="clear" w:color="auto" w:fill="auto"/>
            <w:vAlign w:val="center"/>
            <w:hideMark/>
          </w:tcPr>
          <w:p w14:paraId="5500EA54"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3 177 596</w:t>
            </w:r>
          </w:p>
        </w:tc>
        <w:tc>
          <w:tcPr>
            <w:tcW w:w="1150" w:type="dxa"/>
            <w:tcBorders>
              <w:top w:val="nil"/>
              <w:left w:val="nil"/>
              <w:bottom w:val="nil"/>
              <w:right w:val="nil"/>
            </w:tcBorders>
            <w:shd w:val="clear" w:color="auto" w:fill="auto"/>
            <w:vAlign w:val="center"/>
            <w:hideMark/>
          </w:tcPr>
          <w:p w14:paraId="1F2A87B6"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89 898</w:t>
            </w:r>
          </w:p>
        </w:tc>
      </w:tr>
      <w:tr w:rsidR="008901FD" w:rsidRPr="008733F8" w14:paraId="596CE630" w14:textId="77777777" w:rsidTr="008901FD">
        <w:trPr>
          <w:trHeight w:val="276"/>
        </w:trPr>
        <w:tc>
          <w:tcPr>
            <w:tcW w:w="4678" w:type="dxa"/>
            <w:tcBorders>
              <w:top w:val="nil"/>
              <w:left w:val="nil"/>
              <w:bottom w:val="nil"/>
              <w:right w:val="nil"/>
            </w:tcBorders>
            <w:shd w:val="clear" w:color="auto" w:fill="auto"/>
            <w:vAlign w:val="center"/>
            <w:hideMark/>
          </w:tcPr>
          <w:p w14:paraId="01DE682B"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 xml:space="preserve">MH Manažment, a.s. </w:t>
            </w:r>
          </w:p>
        </w:tc>
        <w:tc>
          <w:tcPr>
            <w:tcW w:w="1176" w:type="dxa"/>
            <w:tcBorders>
              <w:top w:val="nil"/>
              <w:left w:val="nil"/>
              <w:bottom w:val="nil"/>
              <w:right w:val="nil"/>
            </w:tcBorders>
            <w:shd w:val="clear" w:color="auto" w:fill="auto"/>
            <w:vAlign w:val="center"/>
            <w:hideMark/>
          </w:tcPr>
          <w:p w14:paraId="2AB58773"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976 822</w:t>
            </w:r>
          </w:p>
        </w:tc>
        <w:tc>
          <w:tcPr>
            <w:tcW w:w="1176" w:type="dxa"/>
            <w:tcBorders>
              <w:top w:val="nil"/>
              <w:left w:val="nil"/>
              <w:bottom w:val="nil"/>
              <w:right w:val="nil"/>
            </w:tcBorders>
            <w:shd w:val="clear" w:color="auto" w:fill="auto"/>
            <w:vAlign w:val="center"/>
            <w:hideMark/>
          </w:tcPr>
          <w:p w14:paraId="111A2364"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976 822</w:t>
            </w:r>
          </w:p>
        </w:tc>
        <w:tc>
          <w:tcPr>
            <w:tcW w:w="1176" w:type="dxa"/>
            <w:tcBorders>
              <w:top w:val="nil"/>
              <w:left w:val="nil"/>
              <w:bottom w:val="nil"/>
              <w:right w:val="nil"/>
            </w:tcBorders>
            <w:shd w:val="clear" w:color="auto" w:fill="auto"/>
            <w:vAlign w:val="center"/>
            <w:hideMark/>
          </w:tcPr>
          <w:p w14:paraId="32CC7A49"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976 822</w:t>
            </w:r>
          </w:p>
        </w:tc>
        <w:tc>
          <w:tcPr>
            <w:tcW w:w="1150" w:type="dxa"/>
            <w:tcBorders>
              <w:top w:val="nil"/>
              <w:left w:val="nil"/>
              <w:bottom w:val="nil"/>
              <w:right w:val="nil"/>
            </w:tcBorders>
            <w:shd w:val="clear" w:color="auto" w:fill="auto"/>
            <w:vAlign w:val="center"/>
            <w:hideMark/>
          </w:tcPr>
          <w:p w14:paraId="697C1CE1"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0</w:t>
            </w:r>
          </w:p>
        </w:tc>
      </w:tr>
      <w:tr w:rsidR="008901FD" w:rsidRPr="008733F8" w14:paraId="1C7DAF9E" w14:textId="77777777" w:rsidTr="008901FD">
        <w:trPr>
          <w:trHeight w:val="276"/>
        </w:trPr>
        <w:tc>
          <w:tcPr>
            <w:tcW w:w="4678" w:type="dxa"/>
            <w:tcBorders>
              <w:top w:val="nil"/>
              <w:left w:val="nil"/>
              <w:bottom w:val="nil"/>
              <w:right w:val="nil"/>
            </w:tcBorders>
            <w:shd w:val="clear" w:color="auto" w:fill="auto"/>
            <w:vAlign w:val="center"/>
            <w:hideMark/>
          </w:tcPr>
          <w:p w14:paraId="41C7A258"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Slovenský plynárenský priemysel, a.s.</w:t>
            </w:r>
          </w:p>
        </w:tc>
        <w:tc>
          <w:tcPr>
            <w:tcW w:w="1176" w:type="dxa"/>
            <w:tcBorders>
              <w:top w:val="nil"/>
              <w:left w:val="nil"/>
              <w:bottom w:val="nil"/>
              <w:right w:val="nil"/>
            </w:tcBorders>
            <w:shd w:val="clear" w:color="auto" w:fill="auto"/>
            <w:vAlign w:val="center"/>
            <w:hideMark/>
          </w:tcPr>
          <w:p w14:paraId="3959CE50"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544 250</w:t>
            </w:r>
          </w:p>
        </w:tc>
        <w:tc>
          <w:tcPr>
            <w:tcW w:w="1176" w:type="dxa"/>
            <w:tcBorders>
              <w:top w:val="nil"/>
              <w:left w:val="nil"/>
              <w:bottom w:val="nil"/>
              <w:right w:val="nil"/>
            </w:tcBorders>
            <w:shd w:val="clear" w:color="auto" w:fill="auto"/>
            <w:vAlign w:val="center"/>
            <w:hideMark/>
          </w:tcPr>
          <w:p w14:paraId="454C9F6A"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452 442</w:t>
            </w:r>
          </w:p>
        </w:tc>
        <w:tc>
          <w:tcPr>
            <w:tcW w:w="1176" w:type="dxa"/>
            <w:tcBorders>
              <w:top w:val="nil"/>
              <w:left w:val="nil"/>
              <w:bottom w:val="nil"/>
              <w:right w:val="nil"/>
            </w:tcBorders>
            <w:shd w:val="clear" w:color="auto" w:fill="auto"/>
            <w:vAlign w:val="center"/>
            <w:hideMark/>
          </w:tcPr>
          <w:p w14:paraId="278C82DF"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347 233</w:t>
            </w:r>
          </w:p>
        </w:tc>
        <w:tc>
          <w:tcPr>
            <w:tcW w:w="1150" w:type="dxa"/>
            <w:tcBorders>
              <w:top w:val="nil"/>
              <w:left w:val="nil"/>
              <w:bottom w:val="nil"/>
              <w:right w:val="nil"/>
            </w:tcBorders>
            <w:shd w:val="clear" w:color="auto" w:fill="auto"/>
            <w:vAlign w:val="center"/>
            <w:hideMark/>
          </w:tcPr>
          <w:p w14:paraId="548564ED"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-105 209</w:t>
            </w:r>
          </w:p>
        </w:tc>
      </w:tr>
      <w:tr w:rsidR="001E5826" w:rsidRPr="008733F8" w14:paraId="432DC2F0" w14:textId="77777777" w:rsidTr="001E5826">
        <w:trPr>
          <w:trHeight w:val="276"/>
        </w:trPr>
        <w:tc>
          <w:tcPr>
            <w:tcW w:w="4678" w:type="dxa"/>
            <w:tcBorders>
              <w:top w:val="nil"/>
              <w:left w:val="nil"/>
              <w:bottom w:val="nil"/>
              <w:right w:val="nil"/>
            </w:tcBorders>
            <w:shd w:val="clear" w:color="auto" w:fill="auto"/>
            <w:vAlign w:val="center"/>
            <w:hideMark/>
          </w:tcPr>
          <w:p w14:paraId="32BD5D62" w14:textId="77777777" w:rsidR="001E5826" w:rsidRPr="008733F8" w:rsidRDefault="001E5826" w:rsidP="00F77F59">
            <w:pPr>
              <w:spacing w:after="0" w:line="240" w:lineRule="auto"/>
              <w:ind w:firstLineChars="300" w:firstLine="540"/>
              <w:rPr>
                <w:color w:val="000000"/>
                <w:sz w:val="18"/>
                <w:szCs w:val="18"/>
                <w:lang w:eastAsia="sk-SK"/>
              </w:rPr>
            </w:pPr>
            <w:r w:rsidRPr="008733F8">
              <w:rPr>
                <w:color w:val="000000"/>
                <w:sz w:val="18"/>
                <w:szCs w:val="18"/>
                <w:lang w:eastAsia="sk-SK"/>
              </w:rPr>
              <w:t>Záruky MF SR</w:t>
            </w:r>
          </w:p>
        </w:tc>
        <w:tc>
          <w:tcPr>
            <w:tcW w:w="1176" w:type="dxa"/>
            <w:tcBorders>
              <w:top w:val="nil"/>
              <w:left w:val="nil"/>
              <w:bottom w:val="nil"/>
              <w:right w:val="nil"/>
            </w:tcBorders>
            <w:shd w:val="clear" w:color="auto" w:fill="auto"/>
            <w:vAlign w:val="center"/>
            <w:hideMark/>
          </w:tcPr>
          <w:p w14:paraId="25B45750" w14:textId="77777777" w:rsidR="001E5826" w:rsidRPr="008733F8" w:rsidRDefault="001E5826" w:rsidP="00F77F59">
            <w:pPr>
              <w:spacing w:after="0" w:line="240" w:lineRule="auto"/>
              <w:jc w:val="right"/>
              <w:rPr>
                <w:color w:val="000000"/>
                <w:sz w:val="18"/>
                <w:szCs w:val="18"/>
                <w:lang w:eastAsia="sk-SK"/>
              </w:rPr>
            </w:pPr>
            <w:r w:rsidRPr="008733F8">
              <w:rPr>
                <w:color w:val="000000"/>
                <w:sz w:val="18"/>
                <w:szCs w:val="18"/>
                <w:lang w:eastAsia="sk-SK"/>
              </w:rPr>
              <w:t>12 184</w:t>
            </w:r>
          </w:p>
        </w:tc>
        <w:tc>
          <w:tcPr>
            <w:tcW w:w="1176" w:type="dxa"/>
            <w:tcBorders>
              <w:top w:val="nil"/>
              <w:left w:val="nil"/>
              <w:bottom w:val="nil"/>
              <w:right w:val="nil"/>
            </w:tcBorders>
            <w:shd w:val="clear" w:color="auto" w:fill="auto"/>
            <w:vAlign w:val="center"/>
            <w:hideMark/>
          </w:tcPr>
          <w:p w14:paraId="12866252" w14:textId="77777777" w:rsidR="001E5826" w:rsidRPr="008733F8" w:rsidRDefault="001E5826" w:rsidP="00F77F59">
            <w:pPr>
              <w:spacing w:after="0" w:line="240" w:lineRule="auto"/>
              <w:jc w:val="right"/>
              <w:rPr>
                <w:color w:val="000000"/>
                <w:sz w:val="18"/>
                <w:szCs w:val="18"/>
                <w:lang w:eastAsia="sk-SK"/>
              </w:rPr>
            </w:pPr>
            <w:r w:rsidRPr="008733F8">
              <w:rPr>
                <w:color w:val="000000"/>
                <w:sz w:val="18"/>
                <w:szCs w:val="18"/>
                <w:lang w:eastAsia="sk-SK"/>
              </w:rPr>
              <w:t>9 765</w:t>
            </w:r>
          </w:p>
        </w:tc>
        <w:tc>
          <w:tcPr>
            <w:tcW w:w="1176" w:type="dxa"/>
            <w:tcBorders>
              <w:top w:val="nil"/>
              <w:left w:val="nil"/>
              <w:bottom w:val="nil"/>
              <w:right w:val="nil"/>
            </w:tcBorders>
            <w:shd w:val="clear" w:color="auto" w:fill="auto"/>
            <w:vAlign w:val="center"/>
            <w:hideMark/>
          </w:tcPr>
          <w:p w14:paraId="4876977D" w14:textId="77777777" w:rsidR="001E5826" w:rsidRPr="008733F8" w:rsidRDefault="001E5826" w:rsidP="00F77F59">
            <w:pPr>
              <w:spacing w:after="0" w:line="240" w:lineRule="auto"/>
              <w:jc w:val="right"/>
              <w:rPr>
                <w:color w:val="000000"/>
                <w:sz w:val="18"/>
                <w:szCs w:val="18"/>
                <w:lang w:eastAsia="sk-SK"/>
              </w:rPr>
            </w:pPr>
            <w:r w:rsidRPr="008733F8">
              <w:rPr>
                <w:color w:val="000000"/>
                <w:sz w:val="18"/>
                <w:szCs w:val="18"/>
                <w:lang w:eastAsia="sk-SK"/>
              </w:rPr>
              <w:t>221 195</w:t>
            </w:r>
          </w:p>
        </w:tc>
        <w:tc>
          <w:tcPr>
            <w:tcW w:w="1150" w:type="dxa"/>
            <w:tcBorders>
              <w:top w:val="nil"/>
              <w:left w:val="nil"/>
              <w:bottom w:val="nil"/>
              <w:right w:val="nil"/>
            </w:tcBorders>
            <w:shd w:val="clear" w:color="auto" w:fill="auto"/>
            <w:vAlign w:val="center"/>
            <w:hideMark/>
          </w:tcPr>
          <w:p w14:paraId="089E7CFE" w14:textId="77777777" w:rsidR="001E5826" w:rsidRPr="008733F8" w:rsidRDefault="001E5826" w:rsidP="00F77F59">
            <w:pPr>
              <w:spacing w:after="0" w:line="240" w:lineRule="auto"/>
              <w:jc w:val="right"/>
              <w:rPr>
                <w:color w:val="000000"/>
                <w:sz w:val="18"/>
                <w:szCs w:val="18"/>
                <w:lang w:eastAsia="sk-SK"/>
              </w:rPr>
            </w:pPr>
            <w:r w:rsidRPr="008733F8">
              <w:rPr>
                <w:color w:val="000000"/>
                <w:sz w:val="18"/>
                <w:szCs w:val="18"/>
                <w:lang w:eastAsia="sk-SK"/>
              </w:rPr>
              <w:t>211 430</w:t>
            </w:r>
          </w:p>
        </w:tc>
      </w:tr>
      <w:tr w:rsidR="008901FD" w:rsidRPr="008733F8" w14:paraId="6AD6F420" w14:textId="77777777" w:rsidTr="008901FD">
        <w:trPr>
          <w:trHeight w:val="276"/>
        </w:trPr>
        <w:tc>
          <w:tcPr>
            <w:tcW w:w="4678" w:type="dxa"/>
            <w:tcBorders>
              <w:top w:val="nil"/>
              <w:left w:val="nil"/>
              <w:bottom w:val="nil"/>
              <w:right w:val="nil"/>
            </w:tcBorders>
            <w:shd w:val="clear" w:color="auto" w:fill="auto"/>
            <w:vAlign w:val="center"/>
            <w:hideMark/>
          </w:tcPr>
          <w:p w14:paraId="1CC6F9DF"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Exportno-importná banka Slovenska</w:t>
            </w:r>
          </w:p>
        </w:tc>
        <w:tc>
          <w:tcPr>
            <w:tcW w:w="1176" w:type="dxa"/>
            <w:tcBorders>
              <w:top w:val="nil"/>
              <w:left w:val="nil"/>
              <w:bottom w:val="nil"/>
              <w:right w:val="nil"/>
            </w:tcBorders>
            <w:shd w:val="clear" w:color="auto" w:fill="auto"/>
            <w:vAlign w:val="center"/>
            <w:hideMark/>
          </w:tcPr>
          <w:p w14:paraId="2923D618"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131 790</w:t>
            </w:r>
          </w:p>
        </w:tc>
        <w:tc>
          <w:tcPr>
            <w:tcW w:w="1176" w:type="dxa"/>
            <w:tcBorders>
              <w:top w:val="nil"/>
              <w:left w:val="nil"/>
              <w:bottom w:val="nil"/>
              <w:right w:val="nil"/>
            </w:tcBorders>
            <w:shd w:val="clear" w:color="auto" w:fill="auto"/>
            <w:vAlign w:val="center"/>
            <w:hideMark/>
          </w:tcPr>
          <w:p w14:paraId="5ED923E5"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165 981</w:t>
            </w:r>
          </w:p>
        </w:tc>
        <w:tc>
          <w:tcPr>
            <w:tcW w:w="1176" w:type="dxa"/>
            <w:tcBorders>
              <w:top w:val="nil"/>
              <w:left w:val="nil"/>
              <w:bottom w:val="nil"/>
              <w:right w:val="nil"/>
            </w:tcBorders>
            <w:shd w:val="clear" w:color="auto" w:fill="auto"/>
            <w:vAlign w:val="center"/>
            <w:hideMark/>
          </w:tcPr>
          <w:p w14:paraId="4B42E57A"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190 237</w:t>
            </w:r>
          </w:p>
        </w:tc>
        <w:tc>
          <w:tcPr>
            <w:tcW w:w="1150" w:type="dxa"/>
            <w:tcBorders>
              <w:top w:val="nil"/>
              <w:left w:val="nil"/>
              <w:bottom w:val="nil"/>
              <w:right w:val="nil"/>
            </w:tcBorders>
            <w:shd w:val="clear" w:color="auto" w:fill="auto"/>
            <w:vAlign w:val="center"/>
            <w:hideMark/>
          </w:tcPr>
          <w:p w14:paraId="606A58A1"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24 256</w:t>
            </w:r>
          </w:p>
        </w:tc>
      </w:tr>
      <w:tr w:rsidR="001E5826" w:rsidRPr="008733F8" w14:paraId="75E92EE8" w14:textId="77777777" w:rsidTr="001E5826">
        <w:trPr>
          <w:trHeight w:val="276"/>
        </w:trPr>
        <w:tc>
          <w:tcPr>
            <w:tcW w:w="4678" w:type="dxa"/>
            <w:tcBorders>
              <w:top w:val="nil"/>
              <w:left w:val="nil"/>
              <w:bottom w:val="nil"/>
              <w:right w:val="nil"/>
            </w:tcBorders>
            <w:shd w:val="clear" w:color="auto" w:fill="auto"/>
            <w:vAlign w:val="center"/>
            <w:hideMark/>
          </w:tcPr>
          <w:p w14:paraId="2495A305" w14:textId="7D946AE5" w:rsidR="001E5826" w:rsidRPr="008733F8" w:rsidRDefault="001E5826" w:rsidP="00F77F59">
            <w:pPr>
              <w:spacing w:after="0" w:line="240" w:lineRule="auto"/>
              <w:ind w:firstLineChars="300" w:firstLine="540"/>
              <w:rPr>
                <w:color w:val="000000"/>
                <w:sz w:val="18"/>
                <w:szCs w:val="18"/>
                <w:lang w:eastAsia="sk-SK"/>
              </w:rPr>
            </w:pPr>
            <w:r w:rsidRPr="008733F8">
              <w:rPr>
                <w:color w:val="000000"/>
                <w:sz w:val="18"/>
                <w:szCs w:val="18"/>
                <w:lang w:eastAsia="sk-SK"/>
              </w:rPr>
              <w:t>Východoslovenská energetika</w:t>
            </w:r>
            <w:r w:rsidR="00A15586">
              <w:rPr>
                <w:color w:val="000000"/>
                <w:sz w:val="18"/>
                <w:szCs w:val="18"/>
                <w:lang w:eastAsia="sk-SK"/>
              </w:rPr>
              <w:t xml:space="preserve"> Holding</w:t>
            </w:r>
            <w:r w:rsidRPr="008733F8">
              <w:rPr>
                <w:color w:val="000000"/>
                <w:sz w:val="18"/>
                <w:szCs w:val="18"/>
                <w:lang w:eastAsia="sk-SK"/>
              </w:rPr>
              <w:t>, a.s.</w:t>
            </w:r>
          </w:p>
        </w:tc>
        <w:tc>
          <w:tcPr>
            <w:tcW w:w="1176" w:type="dxa"/>
            <w:tcBorders>
              <w:top w:val="nil"/>
              <w:left w:val="nil"/>
              <w:bottom w:val="nil"/>
              <w:right w:val="nil"/>
            </w:tcBorders>
            <w:shd w:val="clear" w:color="auto" w:fill="auto"/>
            <w:vAlign w:val="center"/>
            <w:hideMark/>
          </w:tcPr>
          <w:p w14:paraId="1B9BC378" w14:textId="77777777" w:rsidR="001E5826" w:rsidRPr="008733F8" w:rsidRDefault="001E5826" w:rsidP="00F77F59">
            <w:pPr>
              <w:spacing w:after="0" w:line="240" w:lineRule="auto"/>
              <w:jc w:val="right"/>
              <w:rPr>
                <w:color w:val="000000"/>
                <w:sz w:val="18"/>
                <w:szCs w:val="18"/>
                <w:lang w:eastAsia="sk-SK"/>
              </w:rPr>
            </w:pPr>
            <w:r w:rsidRPr="008733F8">
              <w:rPr>
                <w:color w:val="000000"/>
                <w:sz w:val="18"/>
                <w:szCs w:val="18"/>
                <w:lang w:eastAsia="sk-SK"/>
              </w:rPr>
              <w:t>0</w:t>
            </w:r>
          </w:p>
        </w:tc>
        <w:tc>
          <w:tcPr>
            <w:tcW w:w="1176" w:type="dxa"/>
            <w:tcBorders>
              <w:top w:val="nil"/>
              <w:left w:val="nil"/>
              <w:bottom w:val="nil"/>
              <w:right w:val="nil"/>
            </w:tcBorders>
            <w:shd w:val="clear" w:color="auto" w:fill="auto"/>
            <w:vAlign w:val="center"/>
            <w:hideMark/>
          </w:tcPr>
          <w:p w14:paraId="41A6A577" w14:textId="77777777" w:rsidR="001E5826" w:rsidRPr="008733F8" w:rsidRDefault="001E5826" w:rsidP="00F77F59">
            <w:pPr>
              <w:spacing w:after="0" w:line="240" w:lineRule="auto"/>
              <w:jc w:val="right"/>
              <w:rPr>
                <w:color w:val="000000"/>
                <w:sz w:val="18"/>
                <w:szCs w:val="18"/>
                <w:lang w:eastAsia="sk-SK"/>
              </w:rPr>
            </w:pPr>
            <w:r w:rsidRPr="008733F8">
              <w:rPr>
                <w:color w:val="000000"/>
                <w:sz w:val="18"/>
                <w:szCs w:val="18"/>
                <w:lang w:eastAsia="sk-SK"/>
              </w:rPr>
              <w:t>112 200</w:t>
            </w:r>
          </w:p>
        </w:tc>
        <w:tc>
          <w:tcPr>
            <w:tcW w:w="1176" w:type="dxa"/>
            <w:tcBorders>
              <w:top w:val="nil"/>
              <w:left w:val="nil"/>
              <w:bottom w:val="nil"/>
              <w:right w:val="nil"/>
            </w:tcBorders>
            <w:shd w:val="clear" w:color="auto" w:fill="auto"/>
            <w:vAlign w:val="center"/>
            <w:hideMark/>
          </w:tcPr>
          <w:p w14:paraId="31269C06" w14:textId="77777777" w:rsidR="001E5826" w:rsidRPr="008733F8" w:rsidRDefault="001E5826" w:rsidP="00F77F59">
            <w:pPr>
              <w:spacing w:after="0" w:line="240" w:lineRule="auto"/>
              <w:jc w:val="right"/>
              <w:rPr>
                <w:color w:val="000000"/>
                <w:sz w:val="18"/>
                <w:szCs w:val="18"/>
                <w:lang w:eastAsia="sk-SK"/>
              </w:rPr>
            </w:pPr>
            <w:r w:rsidRPr="008733F8">
              <w:rPr>
                <w:color w:val="000000"/>
                <w:sz w:val="18"/>
                <w:szCs w:val="18"/>
                <w:lang w:eastAsia="sk-SK"/>
              </w:rPr>
              <w:t>112 200</w:t>
            </w:r>
          </w:p>
        </w:tc>
        <w:tc>
          <w:tcPr>
            <w:tcW w:w="1150" w:type="dxa"/>
            <w:tcBorders>
              <w:top w:val="nil"/>
              <w:left w:val="nil"/>
              <w:bottom w:val="nil"/>
              <w:right w:val="nil"/>
            </w:tcBorders>
            <w:shd w:val="clear" w:color="auto" w:fill="auto"/>
            <w:vAlign w:val="center"/>
            <w:hideMark/>
          </w:tcPr>
          <w:p w14:paraId="313C6B32" w14:textId="77777777" w:rsidR="001E5826" w:rsidRPr="008733F8" w:rsidRDefault="001E5826" w:rsidP="00F77F59">
            <w:pPr>
              <w:spacing w:after="0" w:line="240" w:lineRule="auto"/>
              <w:jc w:val="right"/>
              <w:rPr>
                <w:color w:val="000000"/>
                <w:sz w:val="18"/>
                <w:szCs w:val="18"/>
                <w:lang w:eastAsia="sk-SK"/>
              </w:rPr>
            </w:pPr>
            <w:r w:rsidRPr="008733F8">
              <w:rPr>
                <w:color w:val="000000"/>
                <w:sz w:val="18"/>
                <w:szCs w:val="18"/>
                <w:lang w:eastAsia="sk-SK"/>
              </w:rPr>
              <w:t>0</w:t>
            </w:r>
          </w:p>
        </w:tc>
      </w:tr>
      <w:tr w:rsidR="008901FD" w:rsidRPr="008733F8" w14:paraId="369176D7" w14:textId="77777777" w:rsidTr="008901FD">
        <w:trPr>
          <w:trHeight w:val="276"/>
        </w:trPr>
        <w:tc>
          <w:tcPr>
            <w:tcW w:w="4678" w:type="dxa"/>
            <w:tcBorders>
              <w:top w:val="nil"/>
              <w:left w:val="nil"/>
              <w:bottom w:val="nil"/>
              <w:right w:val="nil"/>
            </w:tcBorders>
            <w:shd w:val="clear" w:color="auto" w:fill="auto"/>
            <w:vAlign w:val="center"/>
            <w:hideMark/>
          </w:tcPr>
          <w:p w14:paraId="53604F15"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Slovenská záručná a rozvojová banka, a.s.</w:t>
            </w:r>
          </w:p>
        </w:tc>
        <w:tc>
          <w:tcPr>
            <w:tcW w:w="1176" w:type="dxa"/>
            <w:tcBorders>
              <w:top w:val="nil"/>
              <w:left w:val="nil"/>
              <w:bottom w:val="nil"/>
              <w:right w:val="nil"/>
            </w:tcBorders>
            <w:shd w:val="clear" w:color="auto" w:fill="auto"/>
            <w:vAlign w:val="center"/>
            <w:hideMark/>
          </w:tcPr>
          <w:p w14:paraId="7996E2ED"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110 525</w:t>
            </w:r>
          </w:p>
        </w:tc>
        <w:tc>
          <w:tcPr>
            <w:tcW w:w="1176" w:type="dxa"/>
            <w:tcBorders>
              <w:top w:val="nil"/>
              <w:left w:val="nil"/>
              <w:bottom w:val="nil"/>
              <w:right w:val="nil"/>
            </w:tcBorders>
            <w:shd w:val="clear" w:color="auto" w:fill="auto"/>
            <w:vAlign w:val="center"/>
            <w:hideMark/>
          </w:tcPr>
          <w:p w14:paraId="2C8CA4E5"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121 941</w:t>
            </w:r>
          </w:p>
        </w:tc>
        <w:tc>
          <w:tcPr>
            <w:tcW w:w="1176" w:type="dxa"/>
            <w:tcBorders>
              <w:top w:val="nil"/>
              <w:left w:val="nil"/>
              <w:bottom w:val="nil"/>
              <w:right w:val="nil"/>
            </w:tcBorders>
            <w:shd w:val="clear" w:color="auto" w:fill="auto"/>
            <w:vAlign w:val="center"/>
            <w:hideMark/>
          </w:tcPr>
          <w:p w14:paraId="2A9EB657"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89 215</w:t>
            </w:r>
          </w:p>
        </w:tc>
        <w:tc>
          <w:tcPr>
            <w:tcW w:w="1150" w:type="dxa"/>
            <w:tcBorders>
              <w:top w:val="nil"/>
              <w:left w:val="nil"/>
              <w:bottom w:val="nil"/>
              <w:right w:val="nil"/>
            </w:tcBorders>
            <w:shd w:val="clear" w:color="auto" w:fill="auto"/>
            <w:vAlign w:val="center"/>
            <w:hideMark/>
          </w:tcPr>
          <w:p w14:paraId="25C5F695"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-32 726</w:t>
            </w:r>
          </w:p>
        </w:tc>
      </w:tr>
      <w:tr w:rsidR="008901FD" w:rsidRPr="008733F8" w14:paraId="7A90B09E" w14:textId="77777777" w:rsidTr="008901FD">
        <w:trPr>
          <w:trHeight w:val="276"/>
        </w:trPr>
        <w:tc>
          <w:tcPr>
            <w:tcW w:w="4678" w:type="dxa"/>
            <w:tcBorders>
              <w:top w:val="nil"/>
              <w:left w:val="nil"/>
              <w:bottom w:val="nil"/>
              <w:right w:val="nil"/>
            </w:tcBorders>
            <w:shd w:val="clear" w:color="auto" w:fill="auto"/>
            <w:vAlign w:val="center"/>
            <w:hideMark/>
          </w:tcPr>
          <w:p w14:paraId="5971D31D"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Jadrová a vyraďovacia spoločnosť, a.s.</w:t>
            </w:r>
          </w:p>
        </w:tc>
        <w:tc>
          <w:tcPr>
            <w:tcW w:w="1176" w:type="dxa"/>
            <w:tcBorders>
              <w:top w:val="nil"/>
              <w:left w:val="nil"/>
              <w:bottom w:val="nil"/>
              <w:right w:val="nil"/>
            </w:tcBorders>
            <w:shd w:val="clear" w:color="auto" w:fill="auto"/>
            <w:vAlign w:val="center"/>
            <w:hideMark/>
          </w:tcPr>
          <w:p w14:paraId="11A4D311"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0</w:t>
            </w:r>
          </w:p>
        </w:tc>
        <w:tc>
          <w:tcPr>
            <w:tcW w:w="1176" w:type="dxa"/>
            <w:tcBorders>
              <w:top w:val="nil"/>
              <w:left w:val="nil"/>
              <w:bottom w:val="nil"/>
              <w:right w:val="nil"/>
            </w:tcBorders>
            <w:shd w:val="clear" w:color="auto" w:fill="auto"/>
            <w:vAlign w:val="center"/>
            <w:hideMark/>
          </w:tcPr>
          <w:p w14:paraId="7B41FCD4"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71 912</w:t>
            </w:r>
          </w:p>
        </w:tc>
        <w:tc>
          <w:tcPr>
            <w:tcW w:w="1176" w:type="dxa"/>
            <w:tcBorders>
              <w:top w:val="nil"/>
              <w:left w:val="nil"/>
              <w:bottom w:val="nil"/>
              <w:right w:val="nil"/>
            </w:tcBorders>
            <w:shd w:val="clear" w:color="auto" w:fill="auto"/>
            <w:vAlign w:val="center"/>
            <w:hideMark/>
          </w:tcPr>
          <w:p w14:paraId="2D8D4010"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71 912</w:t>
            </w:r>
          </w:p>
        </w:tc>
        <w:tc>
          <w:tcPr>
            <w:tcW w:w="1150" w:type="dxa"/>
            <w:tcBorders>
              <w:top w:val="nil"/>
              <w:left w:val="nil"/>
              <w:bottom w:val="nil"/>
              <w:right w:val="nil"/>
            </w:tcBorders>
            <w:shd w:val="clear" w:color="auto" w:fill="auto"/>
            <w:vAlign w:val="center"/>
            <w:hideMark/>
          </w:tcPr>
          <w:p w14:paraId="1EDF60C9"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0</w:t>
            </w:r>
          </w:p>
        </w:tc>
      </w:tr>
      <w:tr w:rsidR="001E5826" w:rsidRPr="008733F8" w14:paraId="343A7261" w14:textId="77777777" w:rsidTr="001E5826">
        <w:trPr>
          <w:trHeight w:val="276"/>
        </w:trPr>
        <w:tc>
          <w:tcPr>
            <w:tcW w:w="4678" w:type="dxa"/>
            <w:tcBorders>
              <w:top w:val="nil"/>
              <w:left w:val="nil"/>
              <w:bottom w:val="nil"/>
              <w:right w:val="nil"/>
            </w:tcBorders>
            <w:shd w:val="clear" w:color="auto" w:fill="auto"/>
            <w:vAlign w:val="center"/>
            <w:hideMark/>
          </w:tcPr>
          <w:p w14:paraId="67016C17" w14:textId="77777777" w:rsidR="001E5826" w:rsidRPr="008733F8" w:rsidRDefault="001E5826" w:rsidP="00F77F59">
            <w:pPr>
              <w:spacing w:after="0" w:line="240" w:lineRule="auto"/>
              <w:ind w:firstLineChars="300" w:firstLine="540"/>
              <w:rPr>
                <w:color w:val="000000"/>
                <w:sz w:val="18"/>
                <w:szCs w:val="18"/>
                <w:lang w:eastAsia="sk-SK"/>
              </w:rPr>
            </w:pPr>
            <w:r w:rsidRPr="008733F8">
              <w:rPr>
                <w:color w:val="000000"/>
                <w:sz w:val="18"/>
                <w:szCs w:val="18"/>
                <w:lang w:eastAsia="sk-SK"/>
              </w:rPr>
              <w:t xml:space="preserve">Lesy SR, </w:t>
            </w:r>
            <w:proofErr w:type="spellStart"/>
            <w:r w:rsidRPr="008733F8">
              <w:rPr>
                <w:color w:val="000000"/>
                <w:sz w:val="18"/>
                <w:szCs w:val="18"/>
                <w:lang w:eastAsia="sk-SK"/>
              </w:rPr>
              <w:t>š.p</w:t>
            </w:r>
            <w:proofErr w:type="spellEnd"/>
            <w:r w:rsidRPr="008733F8">
              <w:rPr>
                <w:color w:val="000000"/>
                <w:sz w:val="18"/>
                <w:szCs w:val="18"/>
                <w:lang w:eastAsia="sk-SK"/>
              </w:rPr>
              <w:t>.</w:t>
            </w:r>
          </w:p>
        </w:tc>
        <w:tc>
          <w:tcPr>
            <w:tcW w:w="1176" w:type="dxa"/>
            <w:tcBorders>
              <w:top w:val="nil"/>
              <w:left w:val="nil"/>
              <w:bottom w:val="nil"/>
              <w:right w:val="nil"/>
            </w:tcBorders>
            <w:shd w:val="clear" w:color="auto" w:fill="auto"/>
            <w:vAlign w:val="center"/>
            <w:hideMark/>
          </w:tcPr>
          <w:p w14:paraId="3C9CA604" w14:textId="77777777" w:rsidR="001E5826" w:rsidRPr="008733F8" w:rsidRDefault="001E5826" w:rsidP="00F77F59">
            <w:pPr>
              <w:spacing w:after="0" w:line="240" w:lineRule="auto"/>
              <w:jc w:val="right"/>
              <w:rPr>
                <w:color w:val="000000"/>
                <w:sz w:val="18"/>
                <w:szCs w:val="18"/>
                <w:lang w:eastAsia="sk-SK"/>
              </w:rPr>
            </w:pPr>
            <w:r w:rsidRPr="008733F8">
              <w:rPr>
                <w:color w:val="000000"/>
                <w:sz w:val="18"/>
                <w:szCs w:val="18"/>
                <w:lang w:eastAsia="sk-SK"/>
              </w:rPr>
              <w:t>49 227</w:t>
            </w:r>
          </w:p>
        </w:tc>
        <w:tc>
          <w:tcPr>
            <w:tcW w:w="1176" w:type="dxa"/>
            <w:tcBorders>
              <w:top w:val="nil"/>
              <w:left w:val="nil"/>
              <w:bottom w:val="nil"/>
              <w:right w:val="nil"/>
            </w:tcBorders>
            <w:shd w:val="clear" w:color="auto" w:fill="auto"/>
            <w:vAlign w:val="center"/>
            <w:hideMark/>
          </w:tcPr>
          <w:p w14:paraId="6099C45D" w14:textId="77777777" w:rsidR="001E5826" w:rsidRPr="008733F8" w:rsidRDefault="001E5826" w:rsidP="00F77F59">
            <w:pPr>
              <w:spacing w:after="0" w:line="240" w:lineRule="auto"/>
              <w:jc w:val="right"/>
              <w:rPr>
                <w:color w:val="000000"/>
                <w:sz w:val="18"/>
                <w:szCs w:val="18"/>
                <w:lang w:eastAsia="sk-SK"/>
              </w:rPr>
            </w:pPr>
            <w:r w:rsidRPr="008733F8">
              <w:rPr>
                <w:color w:val="000000"/>
                <w:sz w:val="18"/>
                <w:szCs w:val="18"/>
                <w:lang w:eastAsia="sk-SK"/>
              </w:rPr>
              <w:t>15 818</w:t>
            </w:r>
          </w:p>
        </w:tc>
        <w:tc>
          <w:tcPr>
            <w:tcW w:w="1176" w:type="dxa"/>
            <w:tcBorders>
              <w:top w:val="nil"/>
              <w:left w:val="nil"/>
              <w:bottom w:val="nil"/>
              <w:right w:val="nil"/>
            </w:tcBorders>
            <w:shd w:val="clear" w:color="auto" w:fill="auto"/>
            <w:vAlign w:val="center"/>
            <w:hideMark/>
          </w:tcPr>
          <w:p w14:paraId="060F069F" w14:textId="77777777" w:rsidR="001E5826" w:rsidRPr="008733F8" w:rsidRDefault="001E5826" w:rsidP="00F77F59">
            <w:pPr>
              <w:spacing w:after="0" w:line="240" w:lineRule="auto"/>
              <w:jc w:val="right"/>
              <w:rPr>
                <w:color w:val="000000"/>
                <w:sz w:val="18"/>
                <w:szCs w:val="18"/>
                <w:lang w:eastAsia="sk-SK"/>
              </w:rPr>
            </w:pPr>
            <w:r w:rsidRPr="008733F8">
              <w:rPr>
                <w:color w:val="000000"/>
                <w:sz w:val="18"/>
                <w:szCs w:val="18"/>
                <w:lang w:eastAsia="sk-SK"/>
              </w:rPr>
              <w:t>15 486</w:t>
            </w:r>
          </w:p>
        </w:tc>
        <w:tc>
          <w:tcPr>
            <w:tcW w:w="1150" w:type="dxa"/>
            <w:tcBorders>
              <w:top w:val="nil"/>
              <w:left w:val="nil"/>
              <w:bottom w:val="nil"/>
              <w:right w:val="nil"/>
            </w:tcBorders>
            <w:shd w:val="clear" w:color="auto" w:fill="auto"/>
            <w:vAlign w:val="center"/>
            <w:hideMark/>
          </w:tcPr>
          <w:p w14:paraId="097DA548" w14:textId="77777777" w:rsidR="001E5826" w:rsidRPr="008733F8" w:rsidRDefault="001E5826" w:rsidP="00F77F59">
            <w:pPr>
              <w:spacing w:after="0" w:line="240" w:lineRule="auto"/>
              <w:jc w:val="right"/>
              <w:rPr>
                <w:color w:val="000000"/>
                <w:sz w:val="18"/>
                <w:szCs w:val="18"/>
                <w:lang w:eastAsia="sk-SK"/>
              </w:rPr>
            </w:pPr>
            <w:r w:rsidRPr="008733F8">
              <w:rPr>
                <w:color w:val="000000"/>
                <w:sz w:val="18"/>
                <w:szCs w:val="18"/>
                <w:lang w:eastAsia="sk-SK"/>
              </w:rPr>
              <w:t>-332</w:t>
            </w:r>
          </w:p>
        </w:tc>
      </w:tr>
      <w:tr w:rsidR="008901FD" w:rsidRPr="008733F8" w14:paraId="78907231" w14:textId="77777777" w:rsidTr="008901FD">
        <w:trPr>
          <w:trHeight w:val="276"/>
        </w:trPr>
        <w:tc>
          <w:tcPr>
            <w:tcW w:w="4678" w:type="dxa"/>
            <w:tcBorders>
              <w:top w:val="nil"/>
              <w:left w:val="nil"/>
              <w:bottom w:val="nil"/>
              <w:right w:val="nil"/>
            </w:tcBorders>
            <w:shd w:val="clear" w:color="auto" w:fill="auto"/>
            <w:vAlign w:val="center"/>
            <w:hideMark/>
          </w:tcPr>
          <w:p w14:paraId="7255DB18"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Národná diaľničná spoločnosť, a.s.</w:t>
            </w:r>
          </w:p>
        </w:tc>
        <w:tc>
          <w:tcPr>
            <w:tcW w:w="1176" w:type="dxa"/>
            <w:tcBorders>
              <w:top w:val="nil"/>
              <w:left w:val="nil"/>
              <w:bottom w:val="nil"/>
              <w:right w:val="nil"/>
            </w:tcBorders>
            <w:shd w:val="clear" w:color="auto" w:fill="auto"/>
            <w:vAlign w:val="center"/>
            <w:hideMark/>
          </w:tcPr>
          <w:p w14:paraId="6AC2B6CE"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9 300</w:t>
            </w:r>
          </w:p>
        </w:tc>
        <w:tc>
          <w:tcPr>
            <w:tcW w:w="1176" w:type="dxa"/>
            <w:tcBorders>
              <w:top w:val="nil"/>
              <w:left w:val="nil"/>
              <w:bottom w:val="nil"/>
              <w:right w:val="nil"/>
            </w:tcBorders>
            <w:shd w:val="clear" w:color="auto" w:fill="auto"/>
            <w:vAlign w:val="center"/>
            <w:hideMark/>
          </w:tcPr>
          <w:p w14:paraId="4AEBE762"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1 823</w:t>
            </w:r>
          </w:p>
        </w:tc>
        <w:tc>
          <w:tcPr>
            <w:tcW w:w="1176" w:type="dxa"/>
            <w:tcBorders>
              <w:top w:val="nil"/>
              <w:left w:val="nil"/>
              <w:bottom w:val="nil"/>
              <w:right w:val="nil"/>
            </w:tcBorders>
            <w:shd w:val="clear" w:color="auto" w:fill="auto"/>
            <w:vAlign w:val="center"/>
            <w:hideMark/>
          </w:tcPr>
          <w:p w14:paraId="57187FAE"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8 682</w:t>
            </w:r>
          </w:p>
        </w:tc>
        <w:tc>
          <w:tcPr>
            <w:tcW w:w="1150" w:type="dxa"/>
            <w:tcBorders>
              <w:top w:val="nil"/>
              <w:left w:val="nil"/>
              <w:bottom w:val="nil"/>
              <w:right w:val="nil"/>
            </w:tcBorders>
            <w:shd w:val="clear" w:color="auto" w:fill="auto"/>
            <w:vAlign w:val="center"/>
            <w:hideMark/>
          </w:tcPr>
          <w:p w14:paraId="61E71152"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6 859</w:t>
            </w:r>
          </w:p>
        </w:tc>
      </w:tr>
      <w:tr w:rsidR="001E5826" w:rsidRPr="008733F8" w14:paraId="3CBBFEC5" w14:textId="77777777" w:rsidTr="001E5826">
        <w:trPr>
          <w:trHeight w:val="276"/>
        </w:trPr>
        <w:tc>
          <w:tcPr>
            <w:tcW w:w="4678" w:type="dxa"/>
            <w:tcBorders>
              <w:top w:val="nil"/>
              <w:left w:val="nil"/>
              <w:bottom w:val="nil"/>
              <w:right w:val="nil"/>
            </w:tcBorders>
            <w:shd w:val="clear" w:color="auto" w:fill="auto"/>
            <w:vAlign w:val="center"/>
            <w:hideMark/>
          </w:tcPr>
          <w:p w14:paraId="7D0872A4" w14:textId="77777777" w:rsidR="001E5826" w:rsidRPr="008733F8" w:rsidRDefault="001E5826" w:rsidP="00F77F59">
            <w:pPr>
              <w:spacing w:after="0" w:line="240" w:lineRule="auto"/>
              <w:ind w:firstLineChars="300" w:firstLine="540"/>
              <w:rPr>
                <w:color w:val="000000"/>
                <w:sz w:val="18"/>
                <w:szCs w:val="18"/>
                <w:lang w:eastAsia="sk-SK"/>
              </w:rPr>
            </w:pPr>
            <w:r w:rsidRPr="008733F8">
              <w:rPr>
                <w:color w:val="000000"/>
                <w:sz w:val="18"/>
                <w:szCs w:val="18"/>
                <w:lang w:eastAsia="sk-SK"/>
              </w:rPr>
              <w:t>Slovenská elektrizačná a prenosová sústava, a.s.</w:t>
            </w:r>
          </w:p>
        </w:tc>
        <w:tc>
          <w:tcPr>
            <w:tcW w:w="1176" w:type="dxa"/>
            <w:tcBorders>
              <w:top w:val="nil"/>
              <w:left w:val="nil"/>
              <w:bottom w:val="nil"/>
              <w:right w:val="nil"/>
            </w:tcBorders>
            <w:shd w:val="clear" w:color="auto" w:fill="auto"/>
            <w:vAlign w:val="center"/>
            <w:hideMark/>
          </w:tcPr>
          <w:p w14:paraId="4822E8E0" w14:textId="77777777" w:rsidR="001E5826" w:rsidRPr="008733F8" w:rsidRDefault="001E5826" w:rsidP="00F77F59">
            <w:pPr>
              <w:spacing w:after="0" w:line="240" w:lineRule="auto"/>
              <w:jc w:val="right"/>
              <w:rPr>
                <w:color w:val="000000"/>
                <w:sz w:val="18"/>
                <w:szCs w:val="18"/>
                <w:lang w:eastAsia="sk-SK"/>
              </w:rPr>
            </w:pPr>
            <w:r w:rsidRPr="008733F8">
              <w:rPr>
                <w:color w:val="000000"/>
                <w:sz w:val="18"/>
                <w:szCs w:val="18"/>
                <w:lang w:eastAsia="sk-SK"/>
              </w:rPr>
              <w:t>50 193</w:t>
            </w:r>
          </w:p>
        </w:tc>
        <w:tc>
          <w:tcPr>
            <w:tcW w:w="1176" w:type="dxa"/>
            <w:tcBorders>
              <w:top w:val="nil"/>
              <w:left w:val="nil"/>
              <w:bottom w:val="nil"/>
              <w:right w:val="nil"/>
            </w:tcBorders>
            <w:shd w:val="clear" w:color="auto" w:fill="auto"/>
            <w:vAlign w:val="center"/>
            <w:hideMark/>
          </w:tcPr>
          <w:p w14:paraId="7E4CB768" w14:textId="77777777" w:rsidR="001E5826" w:rsidRPr="008733F8" w:rsidRDefault="001E5826" w:rsidP="00F77F59">
            <w:pPr>
              <w:spacing w:after="0" w:line="240" w:lineRule="auto"/>
              <w:jc w:val="right"/>
              <w:rPr>
                <w:color w:val="000000"/>
                <w:sz w:val="18"/>
                <w:szCs w:val="18"/>
                <w:lang w:eastAsia="sk-SK"/>
              </w:rPr>
            </w:pPr>
            <w:r w:rsidRPr="008733F8">
              <w:rPr>
                <w:color w:val="000000"/>
                <w:sz w:val="18"/>
                <w:szCs w:val="18"/>
                <w:lang w:eastAsia="sk-SK"/>
              </w:rPr>
              <w:t>0</w:t>
            </w:r>
          </w:p>
        </w:tc>
        <w:tc>
          <w:tcPr>
            <w:tcW w:w="1176" w:type="dxa"/>
            <w:tcBorders>
              <w:top w:val="nil"/>
              <w:left w:val="nil"/>
              <w:bottom w:val="nil"/>
              <w:right w:val="nil"/>
            </w:tcBorders>
            <w:shd w:val="clear" w:color="auto" w:fill="auto"/>
            <w:vAlign w:val="center"/>
            <w:hideMark/>
          </w:tcPr>
          <w:p w14:paraId="60250F69" w14:textId="77777777" w:rsidR="001E5826" w:rsidRPr="008733F8" w:rsidRDefault="001E5826" w:rsidP="00F77F59">
            <w:pPr>
              <w:spacing w:after="0" w:line="240" w:lineRule="auto"/>
              <w:jc w:val="right"/>
              <w:rPr>
                <w:color w:val="000000"/>
                <w:sz w:val="18"/>
                <w:szCs w:val="18"/>
                <w:lang w:eastAsia="sk-SK"/>
              </w:rPr>
            </w:pPr>
            <w:r w:rsidRPr="008733F8">
              <w:rPr>
                <w:color w:val="000000"/>
                <w:sz w:val="18"/>
                <w:szCs w:val="18"/>
                <w:lang w:eastAsia="sk-SK"/>
              </w:rPr>
              <w:t>3 792</w:t>
            </w:r>
          </w:p>
        </w:tc>
        <w:tc>
          <w:tcPr>
            <w:tcW w:w="1150" w:type="dxa"/>
            <w:tcBorders>
              <w:top w:val="nil"/>
              <w:left w:val="nil"/>
              <w:bottom w:val="nil"/>
              <w:right w:val="nil"/>
            </w:tcBorders>
            <w:shd w:val="clear" w:color="auto" w:fill="auto"/>
            <w:vAlign w:val="center"/>
            <w:hideMark/>
          </w:tcPr>
          <w:p w14:paraId="08CD0817" w14:textId="77777777" w:rsidR="001E5826" w:rsidRPr="008733F8" w:rsidRDefault="001E5826" w:rsidP="00F77F59">
            <w:pPr>
              <w:spacing w:after="0" w:line="240" w:lineRule="auto"/>
              <w:jc w:val="right"/>
              <w:rPr>
                <w:color w:val="000000"/>
                <w:sz w:val="18"/>
                <w:szCs w:val="18"/>
                <w:lang w:eastAsia="sk-SK"/>
              </w:rPr>
            </w:pPr>
            <w:r w:rsidRPr="008733F8">
              <w:rPr>
                <w:color w:val="000000"/>
                <w:sz w:val="18"/>
                <w:szCs w:val="18"/>
                <w:lang w:eastAsia="sk-SK"/>
              </w:rPr>
              <w:t>3 792</w:t>
            </w:r>
          </w:p>
        </w:tc>
      </w:tr>
      <w:tr w:rsidR="001E5826" w:rsidRPr="008733F8" w14:paraId="3FFFED4E" w14:textId="77777777" w:rsidTr="001E5826">
        <w:trPr>
          <w:trHeight w:val="276"/>
        </w:trPr>
        <w:tc>
          <w:tcPr>
            <w:tcW w:w="4678" w:type="dxa"/>
            <w:tcBorders>
              <w:top w:val="nil"/>
              <w:left w:val="nil"/>
              <w:bottom w:val="nil"/>
              <w:right w:val="nil"/>
            </w:tcBorders>
            <w:shd w:val="clear" w:color="auto" w:fill="auto"/>
            <w:vAlign w:val="center"/>
            <w:hideMark/>
          </w:tcPr>
          <w:p w14:paraId="0729493C" w14:textId="77777777" w:rsidR="001E5826" w:rsidRPr="008733F8" w:rsidRDefault="001E5826" w:rsidP="00F77F59">
            <w:pPr>
              <w:spacing w:after="0" w:line="240" w:lineRule="auto"/>
              <w:ind w:firstLineChars="300" w:firstLine="540"/>
              <w:rPr>
                <w:color w:val="000000"/>
                <w:sz w:val="18"/>
                <w:szCs w:val="18"/>
                <w:lang w:eastAsia="sk-SK"/>
              </w:rPr>
            </w:pPr>
            <w:r w:rsidRPr="008733F8">
              <w:rPr>
                <w:color w:val="000000"/>
                <w:sz w:val="18"/>
                <w:szCs w:val="18"/>
                <w:lang w:eastAsia="sk-SK"/>
              </w:rPr>
              <w:t xml:space="preserve">MH </w:t>
            </w:r>
            <w:proofErr w:type="spellStart"/>
            <w:r w:rsidRPr="008733F8">
              <w:rPr>
                <w:color w:val="000000"/>
                <w:sz w:val="18"/>
                <w:szCs w:val="18"/>
                <w:lang w:eastAsia="sk-SK"/>
              </w:rPr>
              <w:t>Invest</w:t>
            </w:r>
            <w:proofErr w:type="spellEnd"/>
            <w:r w:rsidRPr="008733F8">
              <w:rPr>
                <w:color w:val="000000"/>
                <w:sz w:val="18"/>
                <w:szCs w:val="18"/>
                <w:lang w:eastAsia="sk-SK"/>
              </w:rPr>
              <w:t xml:space="preserve">, </w:t>
            </w:r>
            <w:proofErr w:type="spellStart"/>
            <w:r w:rsidRPr="008733F8">
              <w:rPr>
                <w:color w:val="000000"/>
                <w:sz w:val="18"/>
                <w:szCs w:val="18"/>
                <w:lang w:eastAsia="sk-SK"/>
              </w:rPr>
              <w:t>s.r.o</w:t>
            </w:r>
            <w:proofErr w:type="spellEnd"/>
          </w:p>
        </w:tc>
        <w:tc>
          <w:tcPr>
            <w:tcW w:w="1176" w:type="dxa"/>
            <w:tcBorders>
              <w:top w:val="nil"/>
              <w:left w:val="nil"/>
              <w:bottom w:val="nil"/>
              <w:right w:val="nil"/>
            </w:tcBorders>
            <w:shd w:val="clear" w:color="auto" w:fill="auto"/>
            <w:vAlign w:val="center"/>
            <w:hideMark/>
          </w:tcPr>
          <w:p w14:paraId="55EB45C8" w14:textId="77777777" w:rsidR="001E5826" w:rsidRPr="008733F8" w:rsidRDefault="001E5826" w:rsidP="00F77F59">
            <w:pPr>
              <w:spacing w:after="0" w:line="240" w:lineRule="auto"/>
              <w:jc w:val="right"/>
              <w:rPr>
                <w:color w:val="000000"/>
                <w:sz w:val="18"/>
                <w:szCs w:val="18"/>
                <w:lang w:eastAsia="sk-SK"/>
              </w:rPr>
            </w:pPr>
            <w:r w:rsidRPr="008733F8">
              <w:rPr>
                <w:color w:val="000000"/>
                <w:sz w:val="18"/>
                <w:szCs w:val="18"/>
                <w:lang w:eastAsia="sk-SK"/>
              </w:rPr>
              <w:t>18 458</w:t>
            </w:r>
          </w:p>
        </w:tc>
        <w:tc>
          <w:tcPr>
            <w:tcW w:w="1176" w:type="dxa"/>
            <w:tcBorders>
              <w:top w:val="nil"/>
              <w:left w:val="nil"/>
              <w:bottom w:val="nil"/>
              <w:right w:val="nil"/>
            </w:tcBorders>
            <w:shd w:val="clear" w:color="auto" w:fill="auto"/>
            <w:vAlign w:val="center"/>
            <w:hideMark/>
          </w:tcPr>
          <w:p w14:paraId="3DE0F255" w14:textId="77777777" w:rsidR="001E5826" w:rsidRPr="008733F8" w:rsidRDefault="001E5826" w:rsidP="00F77F59">
            <w:pPr>
              <w:spacing w:after="0" w:line="240" w:lineRule="auto"/>
              <w:jc w:val="right"/>
              <w:rPr>
                <w:color w:val="000000"/>
                <w:sz w:val="18"/>
                <w:szCs w:val="18"/>
                <w:lang w:eastAsia="sk-SK"/>
              </w:rPr>
            </w:pPr>
            <w:r w:rsidRPr="008733F8">
              <w:rPr>
                <w:color w:val="000000"/>
                <w:sz w:val="18"/>
                <w:szCs w:val="18"/>
                <w:lang w:eastAsia="sk-SK"/>
              </w:rPr>
              <w:t>18 877</w:t>
            </w:r>
          </w:p>
        </w:tc>
        <w:tc>
          <w:tcPr>
            <w:tcW w:w="1176" w:type="dxa"/>
            <w:tcBorders>
              <w:top w:val="nil"/>
              <w:left w:val="nil"/>
              <w:bottom w:val="nil"/>
              <w:right w:val="nil"/>
            </w:tcBorders>
            <w:shd w:val="clear" w:color="auto" w:fill="auto"/>
            <w:vAlign w:val="center"/>
            <w:hideMark/>
          </w:tcPr>
          <w:p w14:paraId="79BD7733" w14:textId="77777777" w:rsidR="001E5826" w:rsidRPr="008733F8" w:rsidRDefault="001E5826" w:rsidP="00F77F59">
            <w:pPr>
              <w:spacing w:after="0" w:line="240" w:lineRule="auto"/>
              <w:jc w:val="right"/>
              <w:rPr>
                <w:color w:val="000000"/>
                <w:sz w:val="18"/>
                <w:szCs w:val="18"/>
                <w:lang w:eastAsia="sk-SK"/>
              </w:rPr>
            </w:pPr>
            <w:r w:rsidRPr="008733F8">
              <w:rPr>
                <w:color w:val="000000"/>
                <w:sz w:val="18"/>
                <w:szCs w:val="18"/>
                <w:lang w:eastAsia="sk-SK"/>
              </w:rPr>
              <w:t>1 892</w:t>
            </w:r>
          </w:p>
        </w:tc>
        <w:tc>
          <w:tcPr>
            <w:tcW w:w="1150" w:type="dxa"/>
            <w:tcBorders>
              <w:top w:val="nil"/>
              <w:left w:val="nil"/>
              <w:bottom w:val="nil"/>
              <w:right w:val="nil"/>
            </w:tcBorders>
            <w:shd w:val="clear" w:color="auto" w:fill="auto"/>
            <w:vAlign w:val="center"/>
            <w:hideMark/>
          </w:tcPr>
          <w:p w14:paraId="7492D4F0" w14:textId="77777777" w:rsidR="001E5826" w:rsidRPr="008733F8" w:rsidRDefault="001E5826" w:rsidP="00F77F59">
            <w:pPr>
              <w:spacing w:after="0" w:line="240" w:lineRule="auto"/>
              <w:jc w:val="right"/>
              <w:rPr>
                <w:color w:val="000000"/>
                <w:sz w:val="18"/>
                <w:szCs w:val="18"/>
                <w:lang w:eastAsia="sk-SK"/>
              </w:rPr>
            </w:pPr>
            <w:r w:rsidRPr="008733F8">
              <w:rPr>
                <w:color w:val="000000"/>
                <w:sz w:val="18"/>
                <w:szCs w:val="18"/>
                <w:lang w:eastAsia="sk-SK"/>
              </w:rPr>
              <w:t>-16 985</w:t>
            </w:r>
          </w:p>
        </w:tc>
      </w:tr>
      <w:tr w:rsidR="008901FD" w:rsidRPr="008733F8" w14:paraId="5BE57A1E" w14:textId="77777777" w:rsidTr="008901FD">
        <w:trPr>
          <w:trHeight w:val="276"/>
        </w:trPr>
        <w:tc>
          <w:tcPr>
            <w:tcW w:w="4678" w:type="dxa"/>
            <w:tcBorders>
              <w:top w:val="nil"/>
              <w:left w:val="nil"/>
              <w:bottom w:val="nil"/>
              <w:right w:val="nil"/>
            </w:tcBorders>
            <w:shd w:val="clear" w:color="auto" w:fill="auto"/>
            <w:vAlign w:val="center"/>
            <w:hideMark/>
          </w:tcPr>
          <w:p w14:paraId="5879C839" w14:textId="77777777" w:rsidR="008901FD" w:rsidRPr="008733F8" w:rsidRDefault="008901FD" w:rsidP="00B067CB">
            <w:pPr>
              <w:spacing w:after="0" w:line="240" w:lineRule="auto"/>
              <w:ind w:firstLineChars="300" w:firstLine="540"/>
              <w:rPr>
                <w:color w:val="000000"/>
                <w:sz w:val="18"/>
                <w:szCs w:val="18"/>
                <w:lang w:eastAsia="sk-SK"/>
              </w:rPr>
            </w:pPr>
            <w:r w:rsidRPr="008733F8">
              <w:rPr>
                <w:color w:val="000000"/>
                <w:sz w:val="18"/>
                <w:szCs w:val="18"/>
                <w:lang w:eastAsia="sk-SK"/>
              </w:rPr>
              <w:t>Slovenská správa ciest</w:t>
            </w:r>
          </w:p>
        </w:tc>
        <w:tc>
          <w:tcPr>
            <w:tcW w:w="1176" w:type="dxa"/>
            <w:tcBorders>
              <w:top w:val="nil"/>
              <w:left w:val="nil"/>
              <w:bottom w:val="nil"/>
              <w:right w:val="nil"/>
            </w:tcBorders>
            <w:shd w:val="clear" w:color="auto" w:fill="auto"/>
            <w:vAlign w:val="center"/>
            <w:hideMark/>
          </w:tcPr>
          <w:p w14:paraId="5E288C8B"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0</w:t>
            </w:r>
          </w:p>
        </w:tc>
        <w:tc>
          <w:tcPr>
            <w:tcW w:w="1176" w:type="dxa"/>
            <w:tcBorders>
              <w:top w:val="nil"/>
              <w:left w:val="nil"/>
              <w:bottom w:val="nil"/>
              <w:right w:val="nil"/>
            </w:tcBorders>
            <w:shd w:val="clear" w:color="auto" w:fill="auto"/>
            <w:vAlign w:val="center"/>
            <w:hideMark/>
          </w:tcPr>
          <w:p w14:paraId="54A4ABE7"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0</w:t>
            </w:r>
          </w:p>
        </w:tc>
        <w:tc>
          <w:tcPr>
            <w:tcW w:w="1176" w:type="dxa"/>
            <w:tcBorders>
              <w:top w:val="nil"/>
              <w:left w:val="nil"/>
              <w:bottom w:val="nil"/>
              <w:right w:val="nil"/>
            </w:tcBorders>
            <w:shd w:val="clear" w:color="auto" w:fill="auto"/>
            <w:vAlign w:val="center"/>
            <w:hideMark/>
          </w:tcPr>
          <w:p w14:paraId="4C639CFA"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0</w:t>
            </w:r>
          </w:p>
        </w:tc>
        <w:tc>
          <w:tcPr>
            <w:tcW w:w="1150" w:type="dxa"/>
            <w:tcBorders>
              <w:top w:val="nil"/>
              <w:left w:val="nil"/>
              <w:bottom w:val="nil"/>
              <w:right w:val="nil"/>
            </w:tcBorders>
            <w:shd w:val="clear" w:color="auto" w:fill="auto"/>
            <w:vAlign w:val="center"/>
            <w:hideMark/>
          </w:tcPr>
          <w:p w14:paraId="2489F76B" w14:textId="77777777" w:rsidR="008901FD" w:rsidRPr="008733F8" w:rsidRDefault="008901FD" w:rsidP="00B067CB">
            <w:pPr>
              <w:spacing w:after="0" w:line="240" w:lineRule="auto"/>
              <w:jc w:val="right"/>
              <w:rPr>
                <w:color w:val="000000"/>
                <w:sz w:val="18"/>
                <w:szCs w:val="18"/>
                <w:lang w:eastAsia="sk-SK"/>
              </w:rPr>
            </w:pPr>
            <w:r w:rsidRPr="008733F8">
              <w:rPr>
                <w:color w:val="000000"/>
                <w:sz w:val="18"/>
                <w:szCs w:val="18"/>
                <w:lang w:eastAsia="sk-SK"/>
              </w:rPr>
              <w:t>0</w:t>
            </w:r>
          </w:p>
        </w:tc>
      </w:tr>
      <w:tr w:rsidR="008901FD" w:rsidRPr="008733F8" w14:paraId="6F5E00B8" w14:textId="77777777" w:rsidTr="008901FD">
        <w:trPr>
          <w:trHeight w:val="276"/>
        </w:trPr>
        <w:tc>
          <w:tcPr>
            <w:tcW w:w="4678" w:type="dxa"/>
            <w:tcBorders>
              <w:top w:val="single" w:sz="4" w:space="0" w:color="auto"/>
              <w:left w:val="nil"/>
              <w:bottom w:val="single" w:sz="4" w:space="0" w:color="auto"/>
              <w:right w:val="nil"/>
            </w:tcBorders>
            <w:shd w:val="clear" w:color="000000" w:fill="BFBFBF"/>
            <w:noWrap/>
            <w:vAlign w:val="center"/>
            <w:hideMark/>
          </w:tcPr>
          <w:p w14:paraId="0D8ABE39" w14:textId="77777777" w:rsidR="008901FD" w:rsidRPr="008733F8" w:rsidRDefault="008901FD" w:rsidP="00B067CB">
            <w:pPr>
              <w:spacing w:after="0" w:line="240" w:lineRule="auto"/>
              <w:rPr>
                <w:b/>
                <w:bCs/>
                <w:color w:val="000000"/>
                <w:sz w:val="18"/>
                <w:szCs w:val="18"/>
                <w:lang w:eastAsia="sk-SK"/>
              </w:rPr>
            </w:pPr>
            <w:r w:rsidRPr="008733F8">
              <w:rPr>
                <w:b/>
                <w:bCs/>
                <w:color w:val="000000"/>
                <w:sz w:val="18"/>
                <w:szCs w:val="18"/>
                <w:lang w:eastAsia="sk-SK"/>
              </w:rPr>
              <w:t xml:space="preserve">Spolu  </w:t>
            </w:r>
          </w:p>
        </w:tc>
        <w:tc>
          <w:tcPr>
            <w:tcW w:w="1176" w:type="dxa"/>
            <w:tcBorders>
              <w:top w:val="single" w:sz="4" w:space="0" w:color="auto"/>
              <w:left w:val="nil"/>
              <w:bottom w:val="single" w:sz="4" w:space="0" w:color="auto"/>
              <w:right w:val="nil"/>
            </w:tcBorders>
            <w:shd w:val="clear" w:color="000000" w:fill="BFBFBF"/>
            <w:vAlign w:val="center"/>
            <w:hideMark/>
          </w:tcPr>
          <w:p w14:paraId="22B679F1" w14:textId="77777777" w:rsidR="008901FD" w:rsidRPr="008733F8" w:rsidRDefault="008901FD" w:rsidP="00B067CB">
            <w:pPr>
              <w:spacing w:after="0" w:line="240" w:lineRule="auto"/>
              <w:jc w:val="right"/>
              <w:rPr>
                <w:b/>
                <w:bCs/>
                <w:color w:val="000000"/>
                <w:sz w:val="18"/>
                <w:szCs w:val="18"/>
                <w:lang w:eastAsia="sk-SK"/>
              </w:rPr>
            </w:pPr>
            <w:r w:rsidRPr="008733F8">
              <w:rPr>
                <w:b/>
                <w:bCs/>
                <w:color w:val="000000"/>
                <w:sz w:val="18"/>
                <w:szCs w:val="18"/>
                <w:lang w:eastAsia="sk-SK"/>
              </w:rPr>
              <w:t>16 750 503</w:t>
            </w:r>
          </w:p>
        </w:tc>
        <w:tc>
          <w:tcPr>
            <w:tcW w:w="1176" w:type="dxa"/>
            <w:tcBorders>
              <w:top w:val="single" w:sz="4" w:space="0" w:color="auto"/>
              <w:left w:val="nil"/>
              <w:bottom w:val="single" w:sz="4" w:space="0" w:color="auto"/>
              <w:right w:val="nil"/>
            </w:tcBorders>
            <w:shd w:val="clear" w:color="000000" w:fill="BFBFBF"/>
            <w:vAlign w:val="center"/>
            <w:hideMark/>
          </w:tcPr>
          <w:p w14:paraId="4D70C5A7" w14:textId="77777777" w:rsidR="008901FD" w:rsidRPr="008733F8" w:rsidRDefault="008901FD" w:rsidP="00B067CB">
            <w:pPr>
              <w:spacing w:after="0" w:line="240" w:lineRule="auto"/>
              <w:jc w:val="right"/>
              <w:rPr>
                <w:b/>
                <w:bCs/>
                <w:color w:val="000000"/>
                <w:sz w:val="18"/>
                <w:szCs w:val="18"/>
                <w:lang w:eastAsia="sk-SK"/>
              </w:rPr>
            </w:pPr>
            <w:r w:rsidRPr="008733F8">
              <w:rPr>
                <w:b/>
                <w:bCs/>
                <w:color w:val="000000"/>
                <w:sz w:val="18"/>
                <w:szCs w:val="18"/>
                <w:lang w:eastAsia="sk-SK"/>
              </w:rPr>
              <w:t>18 127 640</w:t>
            </w:r>
          </w:p>
        </w:tc>
        <w:tc>
          <w:tcPr>
            <w:tcW w:w="1176" w:type="dxa"/>
            <w:tcBorders>
              <w:top w:val="single" w:sz="4" w:space="0" w:color="auto"/>
              <w:left w:val="nil"/>
              <w:bottom w:val="single" w:sz="4" w:space="0" w:color="auto"/>
              <w:right w:val="nil"/>
            </w:tcBorders>
            <w:shd w:val="clear" w:color="000000" w:fill="BFBFBF"/>
            <w:vAlign w:val="center"/>
            <w:hideMark/>
          </w:tcPr>
          <w:p w14:paraId="7A5B6CDC" w14:textId="77777777" w:rsidR="008901FD" w:rsidRPr="008733F8" w:rsidRDefault="008901FD" w:rsidP="00B067CB">
            <w:pPr>
              <w:spacing w:after="0" w:line="240" w:lineRule="auto"/>
              <w:jc w:val="right"/>
              <w:rPr>
                <w:b/>
                <w:bCs/>
                <w:color w:val="000000"/>
                <w:sz w:val="18"/>
                <w:szCs w:val="18"/>
                <w:lang w:eastAsia="sk-SK"/>
              </w:rPr>
            </w:pPr>
            <w:r w:rsidRPr="008733F8">
              <w:rPr>
                <w:b/>
                <w:bCs/>
                <w:color w:val="000000"/>
                <w:sz w:val="18"/>
                <w:szCs w:val="18"/>
                <w:lang w:eastAsia="sk-SK"/>
              </w:rPr>
              <w:t>19 112 984</w:t>
            </w:r>
          </w:p>
        </w:tc>
        <w:tc>
          <w:tcPr>
            <w:tcW w:w="1150" w:type="dxa"/>
            <w:tcBorders>
              <w:top w:val="single" w:sz="4" w:space="0" w:color="auto"/>
              <w:left w:val="nil"/>
              <w:bottom w:val="single" w:sz="4" w:space="0" w:color="auto"/>
              <w:right w:val="nil"/>
            </w:tcBorders>
            <w:shd w:val="clear" w:color="000000" w:fill="BFBFBF"/>
            <w:vAlign w:val="center"/>
            <w:hideMark/>
          </w:tcPr>
          <w:p w14:paraId="206C21EB" w14:textId="77777777" w:rsidR="008901FD" w:rsidRPr="008733F8" w:rsidRDefault="008901FD" w:rsidP="00B067CB">
            <w:pPr>
              <w:spacing w:after="0" w:line="240" w:lineRule="auto"/>
              <w:jc w:val="right"/>
              <w:rPr>
                <w:b/>
                <w:bCs/>
                <w:color w:val="000000"/>
                <w:sz w:val="18"/>
                <w:szCs w:val="18"/>
                <w:lang w:eastAsia="sk-SK"/>
              </w:rPr>
            </w:pPr>
            <w:r w:rsidRPr="008733F8">
              <w:rPr>
                <w:b/>
                <w:bCs/>
                <w:color w:val="000000"/>
                <w:sz w:val="18"/>
                <w:szCs w:val="18"/>
                <w:lang w:eastAsia="sk-SK"/>
              </w:rPr>
              <w:t>985 344</w:t>
            </w:r>
          </w:p>
        </w:tc>
      </w:tr>
    </w:tbl>
    <w:p w14:paraId="66C0DA18" w14:textId="68BD38D5" w:rsidR="009A479F" w:rsidRPr="007C3184" w:rsidRDefault="009A479F" w:rsidP="009A479F">
      <w:pPr>
        <w:spacing w:after="120" w:line="336" w:lineRule="auto"/>
        <w:jc w:val="right"/>
        <w:rPr>
          <w:sz w:val="18"/>
          <w:szCs w:val="18"/>
        </w:rPr>
      </w:pPr>
      <w:r w:rsidRPr="007C3184">
        <w:rPr>
          <w:sz w:val="18"/>
          <w:szCs w:val="18"/>
        </w:rPr>
        <w:t>Zdroj: Účtovné závierky subjektov a databáza MF SR</w:t>
      </w:r>
    </w:p>
    <w:p w14:paraId="5A3EF286" w14:textId="77777777" w:rsidR="009A479F" w:rsidRPr="00343D6F" w:rsidRDefault="009A479F" w:rsidP="00691588">
      <w:pPr>
        <w:spacing w:after="120" w:line="240" w:lineRule="auto"/>
        <w:jc w:val="both"/>
      </w:pPr>
      <w:r w:rsidRPr="00343D6F">
        <w:rPr>
          <w:b/>
        </w:rPr>
        <w:t>Medzinárodné investičné arbitráže</w:t>
      </w:r>
      <w:r w:rsidRPr="00343D6F">
        <w:t xml:space="preserve"> vznikajú domnelým porušením bilaterálnych investičných dohôd uzatváraných medzi suverénnymi štátmi. Predmetom sporov je náhrada škody za porušenie dohôd o podpore a ochrane investícií.</w:t>
      </w:r>
    </w:p>
    <w:p w14:paraId="674D22A6" w14:textId="583B060D" w:rsidR="00691588" w:rsidRPr="00691588" w:rsidRDefault="00691588" w:rsidP="00691588">
      <w:pPr>
        <w:pStyle w:val="Normlnywebov"/>
        <w:spacing w:after="120" w:afterAutospacing="0"/>
        <w:jc w:val="both"/>
        <w:rPr>
          <w:sz w:val="22"/>
          <w:szCs w:val="22"/>
          <w:highlight w:val="yellow"/>
        </w:rPr>
      </w:pPr>
      <w:r w:rsidRPr="00691588">
        <w:rPr>
          <w:sz w:val="22"/>
          <w:szCs w:val="22"/>
          <w:u w:val="single"/>
        </w:rPr>
        <w:t>S</w:t>
      </w:r>
      <w:r w:rsidR="009A479F" w:rsidRPr="00691588">
        <w:rPr>
          <w:sz w:val="22"/>
          <w:szCs w:val="22"/>
          <w:u w:val="single"/>
        </w:rPr>
        <w:t xml:space="preserve">por s poľskou spoločnosťou </w:t>
      </w:r>
      <w:proofErr w:type="spellStart"/>
      <w:r w:rsidR="009A479F" w:rsidRPr="00691588">
        <w:rPr>
          <w:sz w:val="22"/>
          <w:szCs w:val="22"/>
          <w:u w:val="single"/>
        </w:rPr>
        <w:t>Spóldzielnia</w:t>
      </w:r>
      <w:proofErr w:type="spellEnd"/>
      <w:r w:rsidR="009A479F" w:rsidRPr="00691588">
        <w:rPr>
          <w:sz w:val="22"/>
          <w:szCs w:val="22"/>
          <w:u w:val="single"/>
        </w:rPr>
        <w:t xml:space="preserve"> </w:t>
      </w:r>
      <w:proofErr w:type="spellStart"/>
      <w:r w:rsidR="009A479F" w:rsidRPr="00691588">
        <w:rPr>
          <w:sz w:val="22"/>
          <w:szCs w:val="22"/>
          <w:u w:val="single"/>
        </w:rPr>
        <w:t>Pracy</w:t>
      </w:r>
      <w:proofErr w:type="spellEnd"/>
      <w:r w:rsidR="009A479F" w:rsidRPr="00691588">
        <w:rPr>
          <w:sz w:val="22"/>
          <w:szCs w:val="22"/>
          <w:u w:val="single"/>
        </w:rPr>
        <w:t xml:space="preserve"> </w:t>
      </w:r>
      <w:proofErr w:type="spellStart"/>
      <w:r w:rsidR="009A479F" w:rsidRPr="00691588">
        <w:rPr>
          <w:sz w:val="22"/>
          <w:szCs w:val="22"/>
          <w:u w:val="single"/>
        </w:rPr>
        <w:t>Muszynianka</w:t>
      </w:r>
      <w:proofErr w:type="spellEnd"/>
      <w:r w:rsidR="009A479F" w:rsidRPr="00691588">
        <w:rPr>
          <w:sz w:val="22"/>
          <w:szCs w:val="22"/>
        </w:rPr>
        <w:t xml:space="preserve"> z údajného porušenia bilaterálnej investičnej dohody medzi Poľskom a Slovenskou republikou</w:t>
      </w:r>
      <w:r w:rsidRPr="00691588">
        <w:rPr>
          <w:sz w:val="22"/>
          <w:szCs w:val="22"/>
        </w:rPr>
        <w:t xml:space="preserve"> je predmetom vykazovania aj v roku 2020</w:t>
      </w:r>
      <w:r w:rsidR="009A479F" w:rsidRPr="00691588">
        <w:rPr>
          <w:sz w:val="22"/>
          <w:szCs w:val="22"/>
        </w:rPr>
        <w:t>.</w:t>
      </w:r>
      <w:r w:rsidR="009A479F" w:rsidRPr="00691588">
        <w:rPr>
          <w:sz w:val="22"/>
          <w:szCs w:val="22"/>
        </w:rPr>
        <w:br/>
        <w:t xml:space="preserve">Spor iniciovala poľská spoločnosť </w:t>
      </w:r>
      <w:r w:rsidRPr="00691588">
        <w:rPr>
          <w:sz w:val="22"/>
          <w:szCs w:val="22"/>
        </w:rPr>
        <w:t xml:space="preserve">ešte </w:t>
      </w:r>
      <w:r w:rsidR="009A479F" w:rsidRPr="00691588">
        <w:rPr>
          <w:sz w:val="22"/>
          <w:szCs w:val="22"/>
        </w:rPr>
        <w:t xml:space="preserve">v roku 2016 a ako dôvod </w:t>
      </w:r>
      <w:r w:rsidRPr="00691588">
        <w:rPr>
          <w:sz w:val="22"/>
          <w:szCs w:val="22"/>
        </w:rPr>
        <w:t xml:space="preserve">uviedla </w:t>
      </w:r>
      <w:r w:rsidR="009A479F" w:rsidRPr="00691588">
        <w:rPr>
          <w:sz w:val="22"/>
          <w:szCs w:val="22"/>
        </w:rPr>
        <w:t>ústavný zákaz vývozu vody z územia SR, čím mala byť tejto spoločnosti spôsobená domnelá škoda vo výške 75 960 tis. eur.</w:t>
      </w:r>
      <w:r w:rsidR="009A479F" w:rsidRPr="00691588">
        <w:rPr>
          <w:sz w:val="22"/>
          <w:szCs w:val="22"/>
        </w:rPr>
        <w:br/>
        <w:t xml:space="preserve">V roku 2017 bola požadovaná čiastka na základe expertného posudku poľskej spoločnosti zvýšená na 202 790 tis. eur. V januári 2018 Slovenská republika podala pred arbitrážny tribunál písomnú obhajobu. Počas roka 2018 boli zo strany Ministerstva financií SR predložené podania v rámci obhajoby, potenciálna škoda spoločnosti bola viackrát znížená až na 110 600 tis. eur zo strany samotnej spoločnosti. Na argumenty vznesené v priebehu pojednávania reagovala SR i žalobca samostatnými podaniami v priebehu mája 2019. V marci 2020 dostal arbitrážny tribunál nóty Slovenska a Poľska k rozhodnutiu v prípade </w:t>
      </w:r>
      <w:proofErr w:type="spellStart"/>
      <w:r w:rsidR="009A479F" w:rsidRPr="00691588">
        <w:rPr>
          <w:sz w:val="22"/>
          <w:szCs w:val="22"/>
        </w:rPr>
        <w:t>Achmea</w:t>
      </w:r>
      <w:proofErr w:type="spellEnd"/>
      <w:r w:rsidR="009A479F" w:rsidRPr="00691588">
        <w:rPr>
          <w:sz w:val="22"/>
          <w:szCs w:val="22"/>
        </w:rPr>
        <w:t xml:space="preserve">, na ktoré určil procesný harmonogram na vyjadrenie a to do konca apríla 2020. </w:t>
      </w:r>
      <w:r w:rsidRPr="00691588">
        <w:rPr>
          <w:sz w:val="22"/>
          <w:szCs w:val="22"/>
        </w:rPr>
        <w:t xml:space="preserve">Dňa 7. 10. 2020 bolo vydané rozhodnutie arbitrážneho tribunálu, ktorý rozhodol, že Slovenská republika nie je povinná platiť žiadnu škodu žalobcovi. Žalobca podľa vedomostí SR nepodal žiadosť o zrušenie rozhodcovského rozsudku vo Švajčiarsku, teda rozhodnutie arbitrážneho tribunálu je možné považovať za konečné. </w:t>
      </w:r>
    </w:p>
    <w:p w14:paraId="02BF82B8" w14:textId="77777777" w:rsidR="009A479F" w:rsidRPr="00691588" w:rsidRDefault="009A479F" w:rsidP="00691588">
      <w:pPr>
        <w:spacing w:after="120" w:line="240" w:lineRule="auto"/>
        <w:jc w:val="both"/>
      </w:pPr>
      <w:r w:rsidRPr="00691588">
        <w:rPr>
          <w:u w:val="single"/>
        </w:rPr>
        <w:t xml:space="preserve">Pri medzinárodnej arbitráži so Zdravotnou poisťovňou </w:t>
      </w:r>
      <w:proofErr w:type="spellStart"/>
      <w:r w:rsidRPr="00691588">
        <w:rPr>
          <w:u w:val="single"/>
        </w:rPr>
        <w:t>Union</w:t>
      </w:r>
      <w:proofErr w:type="spellEnd"/>
      <w:r w:rsidRPr="00691588">
        <w:rPr>
          <w:u w:val="single"/>
        </w:rPr>
        <w:t xml:space="preserve">, </w:t>
      </w:r>
      <w:proofErr w:type="spellStart"/>
      <w:r w:rsidRPr="00691588">
        <w:rPr>
          <w:u w:val="single"/>
        </w:rPr>
        <w:t>a.s</w:t>
      </w:r>
      <w:proofErr w:type="spellEnd"/>
      <w:r w:rsidRPr="00691588">
        <w:rPr>
          <w:u w:val="single"/>
        </w:rPr>
        <w:t>.</w:t>
      </w:r>
      <w:r w:rsidRPr="00691588">
        <w:t xml:space="preserve"> ide o spor </w:t>
      </w:r>
      <w:proofErr w:type="spellStart"/>
      <w:r w:rsidRPr="00691588">
        <w:t>Achmea</w:t>
      </w:r>
      <w:proofErr w:type="spellEnd"/>
      <w:r w:rsidRPr="00691588">
        <w:t xml:space="preserve"> </w:t>
      </w:r>
      <w:proofErr w:type="spellStart"/>
      <w:r w:rsidRPr="00691588">
        <w:t>vs</w:t>
      </w:r>
      <w:proofErr w:type="spellEnd"/>
      <w:r w:rsidRPr="00691588">
        <w:t xml:space="preserve">. Slovenská republika, ktorý sa vedie z dôvodu zákazu zisku zdravotných poisťovní z roku 2007. V tejto arbitráži, vedenej podľa bilaterálnej investičnej dohody medzi SR a Holandským kráľovstvom, bol v decembri 2012 vydaný rozsudok, ktorým arbitrážny tribunál nariadil SR zaplatiť žalobcovi, holandskej spoločnosti </w:t>
      </w:r>
      <w:proofErr w:type="spellStart"/>
      <w:r w:rsidRPr="00691588">
        <w:t>Achmea</w:t>
      </w:r>
      <w:proofErr w:type="spellEnd"/>
      <w:r w:rsidRPr="00691588">
        <w:t xml:space="preserve"> B.V., odškodnenie vo výške 25 226 tis. eur plus úroky vo výške 3 466 tis. eur. SR napadla tento rozsudok ako aj jurisdikčné rozhodnutie tribunálu pred nemeckými súdmi. </w:t>
      </w:r>
      <w:proofErr w:type="spellStart"/>
      <w:r w:rsidRPr="00691588">
        <w:t>Achmea</w:t>
      </w:r>
      <w:proofErr w:type="spellEnd"/>
      <w:r w:rsidRPr="00691588">
        <w:t xml:space="preserve"> taktiež paralelne požiadala Luxemburský súd o výkon rozhodnutia arbitrážneho tribunálu z decembra 2012 a zablokovanie majetku SR, pričom hodnota sporu určená Medzinárodným tribunálom bola 28 187 tis. eur. Súdny dvor EÚ rozhodol 6. marca 2018 o predbežnej otázke vo veci neaplikovateľnosti arbitrážnej doložky v bilaterálnej investičnej zmluve medzi SR a Holandskom. Konanie o zrušení tohto rozsudku ako aj jurisdikčného rozhodnutia v tomto spore bolo právoplatne ukončené rozhodnutím Najvyššieho spolkového súdu v Nemecku dna 31.10.2018, čím bol arbitrážny rozsudok ako taký zrušený. </w:t>
      </w:r>
      <w:proofErr w:type="spellStart"/>
      <w:r w:rsidRPr="00691588">
        <w:t>Achmea</w:t>
      </w:r>
      <w:proofErr w:type="spellEnd"/>
      <w:r w:rsidRPr="00691588">
        <w:t xml:space="preserve"> sa v konaní pred Luxemburskými súdmi bráni tým, že podala pred nemeckým Ústavným súdom voči rozhodnutiu Najvyššieho spolkového súdu v Nemecku ústavné sťažnosti, o ktorých prípustnosti zatiaľ nebolo rozhodnuté. Luxemburský súd v novembri 2019 rozhodol, že konanie je pozastavené do rozhodnutia nemeckého Ústavného súdu o ústavných sťažnostiach.</w:t>
      </w:r>
    </w:p>
    <w:p w14:paraId="524876D0" w14:textId="64DB8E24" w:rsidR="00691588" w:rsidRPr="00691588" w:rsidRDefault="00691588" w:rsidP="00691588">
      <w:pPr>
        <w:spacing w:after="120" w:line="240" w:lineRule="auto"/>
        <w:jc w:val="both"/>
      </w:pPr>
      <w:r w:rsidRPr="00691588">
        <w:lastRenderedPageBreak/>
        <w:t xml:space="preserve">Ministerstvo financií SR dostalo v novembri 2020 oznámenie o existencii sporu od americkej spoločnosti </w:t>
      </w:r>
      <w:proofErr w:type="spellStart"/>
      <w:r w:rsidRPr="00691588">
        <w:t>Discovery</w:t>
      </w:r>
      <w:proofErr w:type="spellEnd"/>
      <w:r w:rsidRPr="00862106">
        <w:rPr>
          <w:rFonts w:ascii="Calibri" w:hAnsi="Calibri"/>
          <w:b/>
          <w:sz w:val="20"/>
          <w:szCs w:val="20"/>
        </w:rPr>
        <w:t xml:space="preserve"> </w:t>
      </w:r>
      <w:r w:rsidRPr="00691588">
        <w:t xml:space="preserve">LLC, jediného spoločníka spoločnosti </w:t>
      </w:r>
      <w:proofErr w:type="spellStart"/>
      <w:r w:rsidRPr="00691588">
        <w:t>Alpine</w:t>
      </w:r>
      <w:proofErr w:type="spellEnd"/>
      <w:r w:rsidRPr="00691588">
        <w:t xml:space="preserve"> Oil &amp; </w:t>
      </w:r>
      <w:proofErr w:type="spellStart"/>
      <w:r w:rsidRPr="00691588">
        <w:t>Gas</w:t>
      </w:r>
      <w:proofErr w:type="spellEnd"/>
      <w:r w:rsidRPr="00691588">
        <w:t xml:space="preserve">, s. r. o. vo veci náhrady škody </w:t>
      </w:r>
      <w:r w:rsidRPr="00691588">
        <w:br/>
        <w:t>z dôvodu údajného znemožnenia ťažby ropy a zemného plynu v lokalite východného Slovenska. Ministerstvo financií SR konzultuje so spoločnosťou tvrdený spor a údajný nárok spoločnosti v rámci predarbitrážnej fázy sporu, ktorej výsledkom potenciálne môže byť aj mimosúdne riešenie sporu. Nakoľko potenciálna žalobca existenciu údajnej škody doposiaľ nepodložil relevantnými výpočtami, finančné mimosúdne vyrovnanie v súčasnosti nie je zo strany SR reálne. Vzhľadom k tomu, že sa spor rieši a zatiaľ nie je relevantná informácia k hodnote sporu (nie je doručená žaloba), výška podmieneného záväzku nebola pre účely účtovnej závierky vyčísľovaná.</w:t>
      </w:r>
    </w:p>
    <w:p w14:paraId="430C261F" w14:textId="77777777" w:rsidR="009A479F" w:rsidRPr="00FF7967" w:rsidRDefault="009A479F" w:rsidP="00691588">
      <w:pPr>
        <w:spacing w:after="120" w:line="240" w:lineRule="auto"/>
        <w:jc w:val="both"/>
        <w:rPr>
          <w:bCs/>
        </w:rPr>
      </w:pPr>
      <w:r w:rsidRPr="00FF7967">
        <w:rPr>
          <w:bCs/>
        </w:rPr>
        <w:t xml:space="preserve">Tieto hroziace žaloby považuje Ministerstvo financií za bezpredmetné, nakoľko boli podané na základe bilaterálnych investičných dohôd medzi štátmi EÚ, ktorých arbitrážna doložka je v zmysle rozhodnutia Súdneho dvora EÚ v prípade </w:t>
      </w:r>
      <w:proofErr w:type="spellStart"/>
      <w:r w:rsidRPr="00FF7967">
        <w:rPr>
          <w:bCs/>
        </w:rPr>
        <w:t>Achmea</w:t>
      </w:r>
      <w:proofErr w:type="spellEnd"/>
      <w:r w:rsidRPr="00FF7967">
        <w:rPr>
          <w:bCs/>
        </w:rPr>
        <w:t xml:space="preserve"> neaplikovateľná a na základe postupu Európskej komisie má dôjsť k ukončeniu všetkých takýchto bilaterálnych investičných dohôd v rámci EÚ.</w:t>
      </w:r>
    </w:p>
    <w:p w14:paraId="441F5B0A" w14:textId="77777777" w:rsidR="009A479F" w:rsidRPr="00996FC9" w:rsidRDefault="009A479F" w:rsidP="00996FC9">
      <w:pPr>
        <w:spacing w:after="120" w:line="240" w:lineRule="auto"/>
        <w:jc w:val="both"/>
      </w:pPr>
      <w:r w:rsidRPr="00996FC9">
        <w:t>Z</w:t>
      </w:r>
      <w:r w:rsidRPr="00996FC9">
        <w:rPr>
          <w:b/>
        </w:rPr>
        <w:t xml:space="preserve"> ostatných súdnych sporov</w:t>
      </w:r>
      <w:r w:rsidRPr="00996FC9">
        <w:t xml:space="preserve"> vykazuje najvyššiu hodnotu </w:t>
      </w:r>
      <w:r w:rsidRPr="00996FC9">
        <w:rPr>
          <w:u w:val="single"/>
        </w:rPr>
        <w:t>Ministerstvo financií SR</w:t>
      </w:r>
      <w:r w:rsidRPr="00996FC9">
        <w:t xml:space="preserve">, pričom ide najmä o náhradu škody uplatňovanej podľa zákona č. 514/2003 Z. z. o zodpovednosti za škodu spôsobenú pri výkone verejnej moci a o zmene niektorých zákonov, v ktorých Ministerstvo financií SR zastupuje pred súdom aj iné orgány verejnej moci. </w:t>
      </w:r>
    </w:p>
    <w:p w14:paraId="01F45811" w14:textId="58DA9DE5" w:rsidR="009A479F" w:rsidRPr="00996FC9" w:rsidRDefault="009A479F" w:rsidP="00996FC9">
      <w:pPr>
        <w:spacing w:after="120" w:line="240" w:lineRule="auto"/>
        <w:jc w:val="both"/>
      </w:pPr>
      <w:r w:rsidRPr="00996FC9">
        <w:rPr>
          <w:u w:val="single"/>
        </w:rPr>
        <w:t>Ministerstvo vnútra SR</w:t>
      </w:r>
      <w:r w:rsidRPr="00996FC9">
        <w:t xml:space="preserve"> vykazuje podmienené pasíva zo súdny sporov najmä z titulu náhrady škody spôsobenej pri výkone verejnej moci.</w:t>
      </w:r>
    </w:p>
    <w:p w14:paraId="15E337F4" w14:textId="56D00C09" w:rsidR="009A479F" w:rsidRPr="00A55AA4" w:rsidRDefault="009A479F" w:rsidP="00BF2482">
      <w:pPr>
        <w:spacing w:after="120" w:line="240" w:lineRule="auto"/>
        <w:jc w:val="both"/>
        <w:rPr>
          <w:szCs w:val="22"/>
        </w:rPr>
      </w:pPr>
      <w:r w:rsidRPr="00A55AA4">
        <w:rPr>
          <w:szCs w:val="22"/>
          <w:u w:val="single"/>
        </w:rPr>
        <w:t>Kancelária Národnej rady SR</w:t>
      </w:r>
      <w:r w:rsidRPr="00A55AA4">
        <w:rPr>
          <w:szCs w:val="22"/>
        </w:rPr>
        <w:t xml:space="preserve"> </w:t>
      </w:r>
      <w:r w:rsidRPr="00A55AA4">
        <w:t>eviduje podmienené záväzky z existujúcich alebo hroziacich súdnych sporov, z čoho podstatnú časť tvoria žaloby za náhradu škody spôsobenú legislatívnou činnosťou</w:t>
      </w:r>
      <w:r w:rsidRPr="00A55AA4">
        <w:br/>
        <w:t>NR SR vrátane troch súdnych sporov o ,,zákaz zisku“ zdravotných poisťovní (spolu 61</w:t>
      </w:r>
      <w:r w:rsidR="00A55AA4" w:rsidRPr="00A55AA4">
        <w:t>4</w:t>
      </w:r>
      <w:r w:rsidRPr="00A55AA4">
        <w:t> </w:t>
      </w:r>
      <w:r w:rsidR="00A55AA4" w:rsidRPr="00A55AA4">
        <w:t>080</w:t>
      </w:r>
      <w:r w:rsidRPr="00A55AA4">
        <w:t xml:space="preserve"> tis. eur).</w:t>
      </w:r>
      <w:r w:rsidRPr="00A55AA4">
        <w:rPr>
          <w:szCs w:val="22"/>
        </w:rPr>
        <w:t xml:space="preserve"> </w:t>
      </w:r>
    </w:p>
    <w:p w14:paraId="48E652D3" w14:textId="06E33FFB" w:rsidR="009A479F" w:rsidRPr="00A55AA4" w:rsidRDefault="009A479F" w:rsidP="00BF2482">
      <w:pPr>
        <w:spacing w:after="120" w:line="240" w:lineRule="auto"/>
        <w:jc w:val="both"/>
        <w:rPr>
          <w:bCs/>
          <w:szCs w:val="22"/>
        </w:rPr>
      </w:pPr>
      <w:r w:rsidRPr="00A55AA4">
        <w:rPr>
          <w:u w:val="single"/>
        </w:rPr>
        <w:t>Ministerstvo práce, sociálnych vecí a rodiny SR</w:t>
      </w:r>
      <w:r w:rsidRPr="00A55AA4">
        <w:t xml:space="preserve"> zaznamenalo </w:t>
      </w:r>
      <w:r w:rsidR="00A55AA4" w:rsidRPr="00A55AA4">
        <w:t>zvýšenie</w:t>
      </w:r>
      <w:r w:rsidRPr="00A55AA4">
        <w:t xml:space="preserve"> hodnoty súdnych sporov o</w:t>
      </w:r>
      <w:r w:rsidR="00A55AA4" w:rsidRPr="00A55AA4">
        <w:t> 1 380</w:t>
      </w:r>
      <w:r w:rsidRPr="00A55AA4">
        <w:t xml:space="preserve"> tis. eur. Najvýznamnejší je spor s fyzickou osobou o náhradu škody vo výške 450 000 tis. eur, ktorá mala byť spôsobená údajnou nečinnosťou a nesprávnym úradným postupom. </w:t>
      </w:r>
    </w:p>
    <w:p w14:paraId="17099B7A" w14:textId="0331A905" w:rsidR="00920B4A" w:rsidRPr="00920B4A" w:rsidRDefault="00920B4A" w:rsidP="00BF2482">
      <w:pPr>
        <w:spacing w:after="120" w:line="240" w:lineRule="auto"/>
        <w:jc w:val="both"/>
        <w:rPr>
          <w:bCs/>
          <w:szCs w:val="22"/>
          <w:u w:val="single"/>
        </w:rPr>
      </w:pPr>
      <w:r w:rsidRPr="00920B4A">
        <w:rPr>
          <w:bCs/>
          <w:szCs w:val="22"/>
          <w:u w:val="single"/>
        </w:rPr>
        <w:t>MH Manažment, a.s.</w:t>
      </w:r>
      <w:r w:rsidRPr="00920B4A">
        <w:rPr>
          <w:bCs/>
          <w:szCs w:val="22"/>
        </w:rPr>
        <w:t xml:space="preserve"> </w:t>
      </w:r>
      <w:r>
        <w:rPr>
          <w:bCs/>
          <w:szCs w:val="22"/>
        </w:rPr>
        <w:t>vykazuje hodnotu súdnych sporov, na ktoré nie sú vytvorené rezervy resp. riadne záväzky, vo výške 191 563 tis. eur. Ide o viaceré súdne spory, hodnotovo najväčšie z nich sú vedené s advokátskou kanceláriou JUDr. R.B</w:t>
      </w:r>
      <w:r w:rsidR="00E4291F">
        <w:rPr>
          <w:bCs/>
          <w:szCs w:val="22"/>
        </w:rPr>
        <w:t xml:space="preserve"> (71 340 tis. eur) a voči občianskemu združeni</w:t>
      </w:r>
      <w:r w:rsidR="0084400C">
        <w:rPr>
          <w:bCs/>
          <w:szCs w:val="22"/>
        </w:rPr>
        <w:t>u Fond sociálnej podpory (46 681</w:t>
      </w:r>
      <w:r w:rsidR="00E4291F">
        <w:rPr>
          <w:bCs/>
          <w:szCs w:val="22"/>
        </w:rPr>
        <w:t xml:space="preserve"> tis. eur)</w:t>
      </w:r>
      <w:r w:rsidR="00536E7D">
        <w:rPr>
          <w:bCs/>
          <w:szCs w:val="22"/>
        </w:rPr>
        <w:t>.</w:t>
      </w:r>
    </w:p>
    <w:p w14:paraId="4704488F" w14:textId="467F270B" w:rsidR="009A479F" w:rsidRPr="00C937DA" w:rsidRDefault="009A479F" w:rsidP="00BF2482">
      <w:pPr>
        <w:spacing w:after="120" w:line="240" w:lineRule="auto"/>
        <w:jc w:val="both"/>
      </w:pPr>
      <w:r w:rsidRPr="00C937DA">
        <w:rPr>
          <w:bCs/>
          <w:szCs w:val="22"/>
          <w:u w:val="single"/>
        </w:rPr>
        <w:t>Slo</w:t>
      </w:r>
      <w:r w:rsidRPr="00C937DA">
        <w:rPr>
          <w:u w:val="single"/>
        </w:rPr>
        <w:t>venský pozemkový fond</w:t>
      </w:r>
      <w:r w:rsidRPr="00C937DA">
        <w:t xml:space="preserve"> vykazuje podmienené záväzky z titulu </w:t>
      </w:r>
      <w:r w:rsidR="00A55AA4" w:rsidRPr="00C937DA">
        <w:t>3</w:t>
      </w:r>
      <w:r w:rsidRPr="00C937DA">
        <w:t xml:space="preserve"> právnych sporov v úhr</w:t>
      </w:r>
      <w:r w:rsidR="00A55AA4" w:rsidRPr="00C937DA">
        <w:t>nnej výške</w:t>
      </w:r>
      <w:r w:rsidR="00A55AA4" w:rsidRPr="00C937DA">
        <w:br/>
        <w:t>79 942</w:t>
      </w:r>
      <w:r w:rsidRPr="00C937DA">
        <w:t xml:space="preserve"> tis. eur, pričom ide o žaloby súkromných spoločností v ktorých si uplatňujú náhradu škody titulom údajne zmarenej investície z dôvodu, že fond vydal pozemky, na ktorých sa mali realizovať investičné projekty.</w:t>
      </w:r>
      <w:r w:rsidR="00A55AA4" w:rsidRPr="00C937DA">
        <w:t xml:space="preserve"> Medziročné zníženie bolo spôsobené prehodnotením jedného súdneho sporu (zníženie pravdepodobnosti rizika v prospech fondu) v žalovanej hodnote 23 183 tis. eur. </w:t>
      </w:r>
    </w:p>
    <w:p w14:paraId="0A6082F9" w14:textId="7601B1F8" w:rsidR="009A479F" w:rsidRPr="00FC1C2D" w:rsidRDefault="009A479F" w:rsidP="00BF2482">
      <w:pPr>
        <w:spacing w:after="120" w:line="240" w:lineRule="auto"/>
        <w:jc w:val="both"/>
      </w:pPr>
      <w:r w:rsidRPr="00FC1C2D">
        <w:rPr>
          <w:u w:val="single"/>
        </w:rPr>
        <w:t>Ministerstvo hospodárstva SR</w:t>
      </w:r>
      <w:r w:rsidRPr="00FC1C2D">
        <w:t xml:space="preserve"> eviduje podmienené záväzky zo súdnych sporov vo výške </w:t>
      </w:r>
      <w:r w:rsidR="00C937DA" w:rsidRPr="00FC1C2D">
        <w:t>119 155</w:t>
      </w:r>
      <w:r w:rsidRPr="00FC1C2D">
        <w:t xml:space="preserve"> tis. eur, pričom medziročné zvýšenie</w:t>
      </w:r>
      <w:r w:rsidR="00C937DA" w:rsidRPr="00FC1C2D">
        <w:t xml:space="preserve"> 30 353 tis. eur</w:t>
      </w:r>
      <w:r w:rsidRPr="00FC1C2D">
        <w:t xml:space="preserve"> bolo spôsobené prehodnotením </w:t>
      </w:r>
      <w:r w:rsidR="00C937DA" w:rsidRPr="00FC1C2D">
        <w:t>súdneho sporu so spoločnosťou, ktorá žaluje ministerstvo o náhradu škody pri výkone verejnej moci.</w:t>
      </w:r>
      <w:r w:rsidRPr="00FC1C2D">
        <w:t xml:space="preserve"> </w:t>
      </w:r>
    </w:p>
    <w:p w14:paraId="338D48F3" w14:textId="100CDB32" w:rsidR="009A479F" w:rsidRPr="000D420F" w:rsidRDefault="009A479F" w:rsidP="00BF2482">
      <w:pPr>
        <w:spacing w:after="120" w:line="240" w:lineRule="auto"/>
        <w:jc w:val="both"/>
      </w:pPr>
      <w:r w:rsidRPr="00FC1C2D">
        <w:rPr>
          <w:u w:val="single"/>
        </w:rPr>
        <w:t>Vodohospodárska výstavba, š. p.</w:t>
      </w:r>
      <w:r w:rsidRPr="00FC1C2D">
        <w:t xml:space="preserve"> eviduje viaceré súdne spory, pričom väčšinu z uvedenej sumy tvorí spor o náhradu škody z dôvodu údajného porušenia nájomnej zmluvy a spory so Slovenskými elektrárňami o úhradu platieb podľa zmluvy o prevádzke Vodnej elektrárne Gabčíkovo. Vodohospodárska výstavba, </w:t>
      </w:r>
      <w:proofErr w:type="spellStart"/>
      <w:r w:rsidRPr="00FC1C2D">
        <w:t>š.p</w:t>
      </w:r>
      <w:proofErr w:type="spellEnd"/>
      <w:r w:rsidRPr="00FC1C2D">
        <w:t xml:space="preserve">. vykazuje voči Slovenským elektrárňam aj podmienené aktíva, z titulu bezdôvodného obohatenia, ktoré malo vzniknúť úhradou platieb Slovenským elektrárňam, a.s. podľa neplatnej zmluvy o prevádzke Vodnej elektrárne Gabčíkovo. V súdnych sporoch sa naďalej pokračuje. Pre účely vyčíslenia čistého bohatstva je </w:t>
      </w:r>
      <w:r w:rsidRPr="000D420F">
        <w:t>nutné znížiť túto hodnotu o podiel, ktorý pripadá na štát z dôvodu vlastní</w:t>
      </w:r>
      <w:r w:rsidR="00FC1C2D" w:rsidRPr="000D420F">
        <w:t>ckeho podielu v SE, a.s. (34 %)</w:t>
      </w:r>
      <w:r w:rsidRPr="000D420F">
        <w:t>.</w:t>
      </w:r>
    </w:p>
    <w:p w14:paraId="4E34587C" w14:textId="57A41B82" w:rsidR="009A479F" w:rsidRPr="000D420F" w:rsidRDefault="009A479F" w:rsidP="00477357">
      <w:pPr>
        <w:spacing w:after="120" w:line="240" w:lineRule="auto"/>
        <w:jc w:val="both"/>
      </w:pPr>
      <w:r w:rsidRPr="000D420F">
        <w:rPr>
          <w:u w:val="single"/>
        </w:rPr>
        <w:t>Železničná spoločnosť Slovensko, a.s.</w:t>
      </w:r>
      <w:r w:rsidRPr="000D420F">
        <w:t xml:space="preserve"> </w:t>
      </w:r>
      <w:r w:rsidR="000D420F" w:rsidRPr="000D420F">
        <w:t xml:space="preserve">medziročne vykazuje súdne spory nižšie o </w:t>
      </w:r>
      <w:r w:rsidRPr="000D420F">
        <w:t>51 752 tis. eur</w:t>
      </w:r>
      <w:r w:rsidR="000D420F" w:rsidRPr="000D420F">
        <w:t>. Išlo o súdny spor</w:t>
      </w:r>
      <w:r w:rsidRPr="000D420F">
        <w:t xml:space="preserve"> o náhradu škody, ktorá mala vzniknúť dodávateľovi železničnej spoločnosti zo zmlúv o stavbe, skúškach a zmluvách o dielo k prototypu rušňa radu 755. Okresný súd Bratislava III žalobu v celom rozsahu zamietol a rozsudok bol potvrdený Krajským súdom v Bratislave. Žalobca podal odvolanie</w:t>
      </w:r>
      <w:r w:rsidR="000D420F" w:rsidRPr="000D420F">
        <w:t>, ale z dôvodu neuhradenia správneho poplatku za dovolanie zo strany žalobcu bolo súdne konanie zastavené</w:t>
      </w:r>
      <w:r w:rsidRPr="000D420F">
        <w:t>.</w:t>
      </w:r>
    </w:p>
    <w:p w14:paraId="49336E74" w14:textId="17175D54" w:rsidR="009A479F" w:rsidRPr="0023021E" w:rsidRDefault="009A479F" w:rsidP="0023021E">
      <w:pPr>
        <w:spacing w:after="120" w:line="240" w:lineRule="auto"/>
        <w:jc w:val="both"/>
      </w:pPr>
      <w:r w:rsidRPr="0023021E">
        <w:lastRenderedPageBreak/>
        <w:t xml:space="preserve">Z </w:t>
      </w:r>
      <w:r w:rsidRPr="0023021E">
        <w:rPr>
          <w:b/>
        </w:rPr>
        <w:t>ostatných podmienených záväzkov</w:t>
      </w:r>
      <w:r w:rsidRPr="0023021E">
        <w:t xml:space="preserve"> vykazujú najvyššiu hodnotu </w:t>
      </w:r>
      <w:r w:rsidRPr="0023021E">
        <w:rPr>
          <w:u w:val="single"/>
        </w:rPr>
        <w:t>Slovenské elektrárne, a. s.</w:t>
      </w:r>
      <w:r w:rsidRPr="0023021E">
        <w:t xml:space="preserve"> Vo svojej účtovnej závierke vykázali podmienené pasíva (okrem iných) v podobe záložného práva na dlhodobý hmotný majetok a zásoby. Hodnota záložného práva medziročne vzrástla o</w:t>
      </w:r>
      <w:r w:rsidR="0023021E" w:rsidRPr="0023021E">
        <w:t> 261 825</w:t>
      </w:r>
      <w:r w:rsidRPr="0023021E">
        <w:t xml:space="preserve"> tis. eur. Hodnota podmienených pasív potenciálne prislúchajúca štátu bola prenásobená podielom 34 %, čo tvorí</w:t>
      </w:r>
      <w:r w:rsidRPr="0023021E">
        <w:br/>
        <w:t>3</w:t>
      </w:r>
      <w:r w:rsidR="0023021E" w:rsidRPr="0023021E">
        <w:t> 177 596</w:t>
      </w:r>
      <w:r w:rsidRPr="0023021E">
        <w:t xml:space="preserve"> tis. eur.</w:t>
      </w:r>
    </w:p>
    <w:p w14:paraId="55213713" w14:textId="6ADF2239" w:rsidR="009A479F" w:rsidRPr="00FC3E68" w:rsidRDefault="009A479F" w:rsidP="0023021E">
      <w:pPr>
        <w:spacing w:after="120" w:line="240" w:lineRule="auto"/>
        <w:jc w:val="both"/>
        <w:rPr>
          <w:szCs w:val="22"/>
        </w:rPr>
      </w:pPr>
      <w:r w:rsidRPr="00FC3E68">
        <w:rPr>
          <w:u w:val="single"/>
        </w:rPr>
        <w:t>MH Manažment, a.s.</w:t>
      </w:r>
      <w:r w:rsidRPr="00FC3E68">
        <w:t xml:space="preserve"> vykazuje možné plnenia z bývalých privatizačných zmlúv, ktoré boli do 31.12.2015 agendou Fondu národného majetku. </w:t>
      </w:r>
      <w:r w:rsidR="00FC3E68" w:rsidRPr="00FC3E68">
        <w:t xml:space="preserve">Predchádzajúci </w:t>
      </w:r>
      <w:r w:rsidRPr="00FC3E68">
        <w:rPr>
          <w:szCs w:val="22"/>
        </w:rPr>
        <w:t xml:space="preserve">FNM sa zaviazal uhradiť nadobúdateľom privatizovaných spoločností určité straty na majetku, ktoré im môžu v budúcnosti vzniknúť v dôsledku </w:t>
      </w:r>
      <w:r w:rsidRPr="00FC3E68">
        <w:rPr>
          <w:bCs/>
          <w:iCs/>
          <w:szCs w:val="22"/>
        </w:rPr>
        <w:t>určitých rizík definovaných v privatizačných zmluvách</w:t>
      </w:r>
      <w:r w:rsidRPr="00FC3E68">
        <w:rPr>
          <w:szCs w:val="22"/>
        </w:rPr>
        <w:t>.</w:t>
      </w:r>
    </w:p>
    <w:p w14:paraId="764AB30F" w14:textId="77777777" w:rsidR="009A479F" w:rsidRPr="00E1129A" w:rsidRDefault="009A479F" w:rsidP="0023021E">
      <w:pPr>
        <w:spacing w:after="120" w:line="240" w:lineRule="auto"/>
        <w:jc w:val="both"/>
      </w:pPr>
      <w:r w:rsidRPr="00E1129A">
        <w:rPr>
          <w:u w:val="single"/>
        </w:rPr>
        <w:t>Slovenský plynárenský priemysel, a.s.</w:t>
      </w:r>
      <w:r w:rsidRPr="00E1129A">
        <w:t xml:space="preserve"> vykazuje podmienené pasíva v podobe finančných derivátov, používajúcich sa pri kontrahovaní zemného plynu na komoditných burzách.</w:t>
      </w:r>
    </w:p>
    <w:p w14:paraId="56975472" w14:textId="276E839F" w:rsidR="008B7DA9" w:rsidRPr="005D5519" w:rsidRDefault="008B7DA9" w:rsidP="008B7DA9">
      <w:pPr>
        <w:spacing w:after="120" w:line="240" w:lineRule="auto"/>
        <w:jc w:val="both"/>
        <w:rPr>
          <w:szCs w:val="22"/>
        </w:rPr>
      </w:pPr>
      <w:r w:rsidRPr="008B7DA9">
        <w:rPr>
          <w:szCs w:val="22"/>
          <w:u w:val="single"/>
        </w:rPr>
        <w:t>Poskytnuté záruky Ministerstvom financií SR</w:t>
      </w:r>
      <w:r w:rsidRPr="005D5519">
        <w:rPr>
          <w:szCs w:val="22"/>
        </w:rPr>
        <w:t xml:space="preserve"> boli vykázané vo výške 221 195 tis. eur, a medziročne sa zvýšili o 211 430 tis. eur. Nárast spôsobili vystavené záruky podľa zákona</w:t>
      </w:r>
      <w:r w:rsidRPr="005D5519">
        <w:rPr>
          <w:szCs w:val="22"/>
        </w:rPr>
        <w:br/>
        <w:t>č. 67/2020 Z. z. o niektorých mimoriadnych opatreniach vo finančnej oblasti v súvislosti so šírením nebezpečnej nákazlivej ľudskej choroby  COVID-19 v platnom znení, v prospech finančných inštitúcií (SZRB, Eximbanka a NDF II, a.s.), ktoré poskytli úvery resp. záruky za úvery na podporu podnikateľom v čase pandémie COVID-19. Vzájomné záruky voči subjektom verejnej správy sú predmetom konsolidácie aj na úrovni podmienených záväzkov</w:t>
      </w:r>
      <w:r>
        <w:rPr>
          <w:szCs w:val="22"/>
        </w:rPr>
        <w:t>.</w:t>
      </w:r>
    </w:p>
    <w:p w14:paraId="3E9CD13B" w14:textId="307449C6" w:rsidR="00124551" w:rsidRPr="00886005" w:rsidRDefault="009A479F" w:rsidP="00124551">
      <w:pPr>
        <w:pStyle w:val="Odsekzoznamu"/>
        <w:spacing w:after="120"/>
        <w:ind w:left="0"/>
        <w:jc w:val="both"/>
      </w:pPr>
      <w:r w:rsidRPr="00B14AD6">
        <w:rPr>
          <w:u w:val="single"/>
        </w:rPr>
        <w:t>Exportno-importná banka Slovenska</w:t>
      </w:r>
      <w:r w:rsidRPr="00B14AD6">
        <w:t xml:space="preserve"> vykazuje v iných pasívach </w:t>
      </w:r>
      <w:r w:rsidR="00124551" w:rsidRPr="00B14AD6">
        <w:t>vykazuje v iných pasívach hodnotu</w:t>
      </w:r>
      <w:r w:rsidR="00124551">
        <w:t xml:space="preserve"> poskytnutých záruk 127 113 tis. eur</w:t>
      </w:r>
      <w:r w:rsidR="00124551" w:rsidRPr="005D5519">
        <w:t xml:space="preserve"> a neodvol</w:t>
      </w:r>
      <w:r w:rsidR="00124551">
        <w:t>ateľné úverové</w:t>
      </w:r>
      <w:r w:rsidR="00124551" w:rsidRPr="005D5519">
        <w:t xml:space="preserve"> prísľuby</w:t>
      </w:r>
      <w:r w:rsidR="00124551">
        <w:t xml:space="preserve"> </w:t>
      </w:r>
      <w:r w:rsidR="00124551" w:rsidRPr="005D5519">
        <w:t>63 124 tis. eur.</w:t>
      </w:r>
      <w:r w:rsidR="00124551">
        <w:t xml:space="preserve"> Hodnota záruk vzrástla o 9 676 tis. eur a hodnota úverových prísľubov o 14 580 tis. eur </w:t>
      </w:r>
      <w:r w:rsidR="008B7DA9">
        <w:t xml:space="preserve">obdobne ako pri Ministerstve financií SR </w:t>
      </w:r>
      <w:r w:rsidR="00124551">
        <w:t xml:space="preserve">z dôvodu nových nástrojov podľa </w:t>
      </w:r>
      <w:r w:rsidR="00124551" w:rsidRPr="00886005">
        <w:t xml:space="preserve">zákona č. 67/2020 Z. z. za účelom zabezpečenia likvidity podnikateľov v čase pandémie. </w:t>
      </w:r>
    </w:p>
    <w:p w14:paraId="07E1D03E" w14:textId="355AE89C" w:rsidR="00A15586" w:rsidRPr="00A15586" w:rsidRDefault="00A15586" w:rsidP="0023021E">
      <w:pPr>
        <w:spacing w:after="120" w:line="240" w:lineRule="auto"/>
        <w:jc w:val="both"/>
      </w:pPr>
      <w:r w:rsidRPr="00A15586">
        <w:rPr>
          <w:u w:val="single"/>
        </w:rPr>
        <w:t>Východoslovenská energetika Holding, a.s.</w:t>
      </w:r>
      <w:r w:rsidRPr="00A15586">
        <w:t xml:space="preserve"> </w:t>
      </w:r>
      <w:r>
        <w:t xml:space="preserve">vykazuje vystavené záruky </w:t>
      </w:r>
      <w:r w:rsidR="00421638">
        <w:t xml:space="preserve">voči komerčným bankám v hodnote 220 000 tis. eur, po prepočítaní na vlastnícky podiel štátu je to 112 000 tis. eur. Spoločnosť nepovažuje tieto záruky za rizikové resp. významné, keďže v minulosti existovali úvery poskytnuté skupine VSEH, a.s. a neboli zabezpečené finančnými zárukami a úrokový diferenciál medzi </w:t>
      </w:r>
      <w:r w:rsidR="00E6140B">
        <w:t>zaručenými</w:t>
      </w:r>
      <w:r w:rsidR="00421638">
        <w:t xml:space="preserve"> a </w:t>
      </w:r>
      <w:r w:rsidR="00E6140B">
        <w:t>nezaručenými</w:t>
      </w:r>
      <w:r w:rsidR="00421638">
        <w:t xml:space="preserve"> úvermi bol </w:t>
      </w:r>
      <w:r w:rsidR="00E6140B">
        <w:t>zanedbateľný</w:t>
      </w:r>
      <w:r w:rsidR="00421638">
        <w:t xml:space="preserve">.  </w:t>
      </w:r>
    </w:p>
    <w:p w14:paraId="45059B5E" w14:textId="6E1A7405" w:rsidR="009A479F" w:rsidRDefault="009A479F" w:rsidP="0023021E">
      <w:pPr>
        <w:spacing w:after="120" w:line="240" w:lineRule="auto"/>
        <w:jc w:val="both"/>
      </w:pPr>
      <w:r w:rsidRPr="00886005">
        <w:t xml:space="preserve">Obdobne </w:t>
      </w:r>
      <w:r w:rsidRPr="00886005">
        <w:rPr>
          <w:u w:val="single"/>
        </w:rPr>
        <w:t>Slovenská záručná a rozvojová banka Slovenska, a.s.</w:t>
      </w:r>
      <w:r w:rsidRPr="00886005">
        <w:t xml:space="preserve"> vykazuje podmienené záväzky z titulu poskytnutých záruk v hodnote </w:t>
      </w:r>
      <w:r w:rsidR="00886005" w:rsidRPr="00886005">
        <w:t>48 910</w:t>
      </w:r>
      <w:r w:rsidRPr="00886005">
        <w:t xml:space="preserve"> tis. eur a úverových prísľubov vo výške </w:t>
      </w:r>
      <w:r w:rsidR="00886005" w:rsidRPr="00886005">
        <w:t>40 305</w:t>
      </w:r>
      <w:r w:rsidRPr="00886005">
        <w:t xml:space="preserve"> tis. eur.</w:t>
      </w:r>
    </w:p>
    <w:p w14:paraId="577B4571" w14:textId="70BE6290" w:rsidR="00E21175" w:rsidRPr="00E21175" w:rsidRDefault="00E21175" w:rsidP="0023021E">
      <w:pPr>
        <w:spacing w:after="120" w:line="240" w:lineRule="auto"/>
        <w:jc w:val="both"/>
      </w:pPr>
      <w:r w:rsidRPr="00E21175">
        <w:rPr>
          <w:u w:val="single"/>
        </w:rPr>
        <w:t>Jadrová a vyraďovacia spoločnosť, a.s.</w:t>
      </w:r>
      <w:r w:rsidRPr="00204E46">
        <w:t xml:space="preserve"> </w:t>
      </w:r>
      <w:r>
        <w:t xml:space="preserve">vykazuje podmienené pasíva z titulu </w:t>
      </w:r>
      <w:r w:rsidR="00204E46">
        <w:t>úhrad z</w:t>
      </w:r>
      <w:r>
        <w:t xml:space="preserve">a odstránenie </w:t>
      </w:r>
      <w:r w:rsidR="00FA7343">
        <w:t>kalov</w:t>
      </w:r>
      <w:r w:rsidR="00204E46">
        <w:t xml:space="preserve"> a </w:t>
      </w:r>
      <w:proofErr w:type="spellStart"/>
      <w:r w:rsidR="00204E46">
        <w:t>sorbentov</w:t>
      </w:r>
      <w:proofErr w:type="spellEnd"/>
      <w:r w:rsidR="00204E46">
        <w:t xml:space="preserve"> ako aj odpady z tzv. </w:t>
      </w:r>
      <w:proofErr w:type="spellStart"/>
      <w:r w:rsidR="00204E46">
        <w:t>mogilniku</w:t>
      </w:r>
      <w:proofErr w:type="spellEnd"/>
      <w:r w:rsidR="00204E46">
        <w:t xml:space="preserve"> pochádzajúcich z historickej prevádzky JE V1. Spoločnosť sa zaviazala odstrániť tieto odpady do roku 2020, celková suma za spracovanie týchto odpadov bola fixne stanovená na 71 912 tis. eur.</w:t>
      </w:r>
    </w:p>
    <w:p w14:paraId="03262E95" w14:textId="5FE976EC" w:rsidR="009A479F" w:rsidRPr="00E657DC" w:rsidRDefault="009A479F" w:rsidP="0023021E">
      <w:pPr>
        <w:spacing w:after="120" w:line="240" w:lineRule="auto"/>
        <w:jc w:val="both"/>
      </w:pPr>
      <w:r w:rsidRPr="00E657DC">
        <w:rPr>
          <w:u w:val="single"/>
        </w:rPr>
        <w:t>Lesy Slovenskej republiky, š. p.</w:t>
      </w:r>
      <w:r w:rsidRPr="00E657DC">
        <w:t xml:space="preserve"> dlhodobo vykazujú hodnotu majetku, ktorá je právne neusporiadaná (napr. pozemky a stavby), a ktoré môžu byť predmetom vrátenia pôvodným vlastníkom. Odhadovaná hodnota sa medziročne znížila na 15 </w:t>
      </w:r>
      <w:r w:rsidR="00E657DC" w:rsidRPr="00E657DC">
        <w:t>486</w:t>
      </w:r>
      <w:r w:rsidRPr="00E657DC">
        <w:t xml:space="preserve"> tis. eur.</w:t>
      </w:r>
    </w:p>
    <w:p w14:paraId="4B7E3B7C" w14:textId="19925C26" w:rsidR="00133D38" w:rsidRDefault="009A479F" w:rsidP="00071DAB">
      <w:pPr>
        <w:spacing w:after="120" w:line="240" w:lineRule="auto"/>
        <w:jc w:val="both"/>
        <w:rPr>
          <w:b/>
        </w:rPr>
      </w:pPr>
      <w:r w:rsidRPr="00C61401">
        <w:rPr>
          <w:b/>
        </w:rPr>
        <w:t>Z dôvodu abstrahovania od vzájomných vzťahov v rámci podmienených záväzkov (vzájomné súdne spory, poskytnuté záruky) a</w:t>
      </w:r>
      <w:r w:rsidR="00C61401">
        <w:rPr>
          <w:b/>
        </w:rPr>
        <w:t xml:space="preserve"> vylúčenia </w:t>
      </w:r>
      <w:r w:rsidRPr="00C61401">
        <w:rPr>
          <w:b/>
        </w:rPr>
        <w:t xml:space="preserve">duplicitného vplyvu </w:t>
      </w:r>
      <w:r w:rsidR="00C61401">
        <w:rPr>
          <w:b/>
        </w:rPr>
        <w:t>niektorých pasív</w:t>
      </w:r>
      <w:r w:rsidRPr="00C61401">
        <w:rPr>
          <w:b/>
        </w:rPr>
        <w:t xml:space="preserve"> na čisté bohatstvo je ich hodnota pre účely vyčíslenia čistého bohatstva znížená z hodnoty </w:t>
      </w:r>
      <w:r w:rsidR="00C61401">
        <w:rPr>
          <w:b/>
        </w:rPr>
        <w:t>19 729 488</w:t>
      </w:r>
      <w:r w:rsidRPr="00C61401">
        <w:rPr>
          <w:b/>
        </w:rPr>
        <w:t xml:space="preserve"> tis. eur na hodnotu </w:t>
      </w:r>
      <w:r w:rsidR="00C61401">
        <w:rPr>
          <w:b/>
        </w:rPr>
        <w:t>19 565 557</w:t>
      </w:r>
      <w:r w:rsidRPr="00C61401">
        <w:rPr>
          <w:b/>
        </w:rPr>
        <w:t xml:space="preserve"> tis. eur.</w:t>
      </w:r>
    </w:p>
    <w:p w14:paraId="1EE5D195" w14:textId="77777777" w:rsidR="00071DAB" w:rsidRDefault="00071DAB" w:rsidP="00071DAB">
      <w:pPr>
        <w:spacing w:after="120" w:line="240" w:lineRule="auto"/>
        <w:jc w:val="both"/>
        <w:rPr>
          <w:b/>
          <w:highlight w:val="yellow"/>
        </w:rPr>
      </w:pPr>
    </w:p>
    <w:p w14:paraId="65C26BAD" w14:textId="77777777" w:rsidR="00007DA1" w:rsidRDefault="00007DA1">
      <w:pPr>
        <w:rPr>
          <w:rFonts w:eastAsiaTheme="majorEastAsia"/>
          <w:b/>
          <w:szCs w:val="22"/>
        </w:rPr>
      </w:pPr>
      <w:bookmarkStart w:id="81" w:name="_Toc495990500"/>
      <w:bookmarkStart w:id="82" w:name="_Toc85718915"/>
      <w:r>
        <w:br w:type="page"/>
      </w:r>
    </w:p>
    <w:p w14:paraId="47531D84" w14:textId="6244000A" w:rsidR="008117A9" w:rsidRPr="00071DAB" w:rsidRDefault="00933D4A" w:rsidP="00182A70">
      <w:pPr>
        <w:pStyle w:val="Nadpis3"/>
        <w:numPr>
          <w:ilvl w:val="2"/>
          <w:numId w:val="50"/>
        </w:numPr>
      </w:pPr>
      <w:r w:rsidRPr="00071DAB">
        <w:lastRenderedPageBreak/>
        <w:t xml:space="preserve">Iné aktíva </w:t>
      </w:r>
      <w:bookmarkEnd w:id="81"/>
      <w:r w:rsidRPr="00071DAB">
        <w:t>ako súčasť čistého bohatstva</w:t>
      </w:r>
      <w:bookmarkEnd w:id="82"/>
    </w:p>
    <w:p w14:paraId="2F8AC891" w14:textId="76B19C9C" w:rsidR="009B0DE7" w:rsidRPr="00F85115" w:rsidRDefault="009B0DE7" w:rsidP="00F85115">
      <w:pPr>
        <w:spacing w:after="120" w:line="240" w:lineRule="auto"/>
        <w:jc w:val="both"/>
      </w:pPr>
      <w:r w:rsidRPr="00F85115">
        <w:t>Pod inými aktívami ako súčasť čistého bohatstva sa k 31.12.20</w:t>
      </w:r>
      <w:r w:rsidR="00B0457E">
        <w:t>20</w:t>
      </w:r>
      <w:r w:rsidRPr="00F85115">
        <w:t xml:space="preserve"> vykazovali najmä podsúvahové ocenenie štátnych lesov a pohľadávky po lehote splatnosti v štádiu ich vymáhania. Iné aktíva dosiahli v súhrnnej výške 9</w:t>
      </w:r>
      <w:r w:rsidR="00F85115">
        <w:t> 963 577</w:t>
      </w:r>
      <w:r w:rsidRPr="00F85115">
        <w:t xml:space="preserve"> tis. eur</w:t>
      </w:r>
      <w:r w:rsidR="00F85115">
        <w:t xml:space="preserve"> pred vnútornou konsolidáciou</w:t>
      </w:r>
      <w:r w:rsidRPr="00F85115">
        <w:t>.</w:t>
      </w:r>
    </w:p>
    <w:p w14:paraId="78A0634A" w14:textId="3EF1D8C7" w:rsidR="000B5079" w:rsidRPr="00F85115" w:rsidRDefault="009B0DE7" w:rsidP="00F85115">
      <w:pPr>
        <w:spacing w:after="120" w:line="240" w:lineRule="auto"/>
        <w:jc w:val="both"/>
      </w:pPr>
      <w:r w:rsidRPr="00F85115">
        <w:t>Od roku 2017 je súčasťou podmienených aktív aj hodnota lesných porastov uvedená v poznámkach účtovnej závierky štátneho podniku Lesy Slovenskej republiky, š. p., ktorá je pravidelne aktualizovaná znalcom Národného lesníckeho centra. Toto iné aktívum tvorí 4</w:t>
      </w:r>
      <w:r w:rsidR="00C11845">
        <w:t>0,</w:t>
      </w:r>
      <w:r w:rsidRPr="00F85115">
        <w:t xml:space="preserve">3 % z doteraz identifikovaných </w:t>
      </w:r>
      <w:proofErr w:type="spellStart"/>
      <w:r w:rsidRPr="00F85115">
        <w:t>mimobilančných</w:t>
      </w:r>
      <w:proofErr w:type="spellEnd"/>
      <w:r w:rsidRPr="00F85115">
        <w:t xml:space="preserve"> aktív verejnej správy. Druhým najväčším podmieneným aktívom – 36</w:t>
      </w:r>
      <w:r w:rsidR="00C11845">
        <w:t>,3</w:t>
      </w:r>
      <w:r w:rsidRPr="00F85115">
        <w:t xml:space="preserve"> %, sú pohľadávky postúpené z bankových inštitúcií alebo verejných inštitúcií na vymáhanie Slovenskej konsolidačnej, a.s. (3</w:t>
      </w:r>
      <w:r w:rsidR="00C11845">
        <w:t> 624 879</w:t>
      </w:r>
      <w:r w:rsidRPr="00F85115">
        <w:t xml:space="preserve"> tis. eur), ktorá ich na základe príslušnej legislatívy vymáha a uplatňuje si z nich exekučné nároky. </w:t>
      </w:r>
    </w:p>
    <w:tbl>
      <w:tblPr>
        <w:tblW w:w="9072" w:type="dxa"/>
        <w:tblInd w:w="70" w:type="dxa"/>
        <w:tblLayout w:type="fixed"/>
        <w:tblCellMar>
          <w:left w:w="70" w:type="dxa"/>
          <w:right w:w="70" w:type="dxa"/>
        </w:tblCellMar>
        <w:tblLook w:val="04A0" w:firstRow="1" w:lastRow="0" w:firstColumn="1" w:lastColumn="0" w:noHBand="0" w:noVBand="1"/>
      </w:tblPr>
      <w:tblGrid>
        <w:gridCol w:w="3932"/>
        <w:gridCol w:w="179"/>
        <w:gridCol w:w="1134"/>
        <w:gridCol w:w="1276"/>
        <w:gridCol w:w="1276"/>
        <w:gridCol w:w="1275"/>
      </w:tblGrid>
      <w:tr w:rsidR="009B0DE7" w:rsidRPr="00C87FA1" w14:paraId="7CCC0FED" w14:textId="77777777" w:rsidTr="007811D8">
        <w:trPr>
          <w:trHeight w:val="243"/>
        </w:trPr>
        <w:tc>
          <w:tcPr>
            <w:tcW w:w="9072" w:type="dxa"/>
            <w:gridSpan w:val="6"/>
            <w:tcBorders>
              <w:top w:val="nil"/>
              <w:left w:val="nil"/>
              <w:bottom w:val="single" w:sz="4" w:space="0" w:color="auto"/>
              <w:right w:val="nil"/>
            </w:tcBorders>
            <w:shd w:val="clear" w:color="000000" w:fill="000000"/>
            <w:noWrap/>
            <w:vAlign w:val="center"/>
            <w:hideMark/>
          </w:tcPr>
          <w:p w14:paraId="0DA1371D" w14:textId="3852DB7D" w:rsidR="009B0DE7" w:rsidRPr="00C87FA1" w:rsidRDefault="00C43BB4" w:rsidP="00F27EA0">
            <w:pPr>
              <w:spacing w:after="0" w:line="240" w:lineRule="auto"/>
              <w:rPr>
                <w:b/>
                <w:bCs/>
                <w:color w:val="FFFFFF"/>
                <w:sz w:val="18"/>
                <w:szCs w:val="18"/>
                <w:lang w:eastAsia="sk-SK"/>
              </w:rPr>
            </w:pPr>
            <w:r>
              <w:rPr>
                <w:b/>
                <w:bCs/>
                <w:color w:val="FFFFFF"/>
                <w:sz w:val="18"/>
                <w:szCs w:val="18"/>
                <w:lang w:eastAsia="sk-SK"/>
              </w:rPr>
              <w:t xml:space="preserve">Tab. 24 - </w:t>
            </w:r>
            <w:r w:rsidR="009B0DE7" w:rsidRPr="00C87FA1">
              <w:rPr>
                <w:b/>
                <w:bCs/>
                <w:color w:val="FFFFFF"/>
                <w:sz w:val="18"/>
                <w:szCs w:val="18"/>
                <w:lang w:eastAsia="sk-SK"/>
              </w:rPr>
              <w:t xml:space="preserve">Podmienené aktíva podľa zložiek verejného sektora   </w:t>
            </w:r>
            <w:r w:rsidR="00F27EA0">
              <w:rPr>
                <w:b/>
                <w:bCs/>
                <w:color w:val="FFFFFF"/>
                <w:sz w:val="18"/>
                <w:szCs w:val="18"/>
                <w:lang w:eastAsia="sk-SK"/>
              </w:rPr>
              <w:t>(</w:t>
            </w:r>
            <w:r w:rsidR="009B0DE7" w:rsidRPr="00C87FA1">
              <w:rPr>
                <w:b/>
                <w:bCs/>
                <w:color w:val="FFFFFF"/>
                <w:sz w:val="18"/>
                <w:szCs w:val="18"/>
                <w:lang w:eastAsia="sk-SK"/>
              </w:rPr>
              <w:t>v tis. eur</w:t>
            </w:r>
            <w:r w:rsidR="00F27EA0">
              <w:rPr>
                <w:b/>
                <w:bCs/>
                <w:color w:val="FFFFFF"/>
                <w:sz w:val="18"/>
                <w:szCs w:val="18"/>
                <w:lang w:eastAsia="sk-SK"/>
              </w:rPr>
              <w:t>)</w:t>
            </w:r>
          </w:p>
        </w:tc>
      </w:tr>
      <w:tr w:rsidR="009B0DE7" w:rsidRPr="00C87FA1" w14:paraId="6AD5BD7D" w14:textId="77777777" w:rsidTr="00867FA9">
        <w:trPr>
          <w:trHeight w:val="300"/>
        </w:trPr>
        <w:tc>
          <w:tcPr>
            <w:tcW w:w="3932" w:type="dxa"/>
            <w:tcBorders>
              <w:top w:val="nil"/>
              <w:left w:val="nil"/>
              <w:bottom w:val="single" w:sz="4" w:space="0" w:color="auto"/>
              <w:right w:val="nil"/>
            </w:tcBorders>
            <w:shd w:val="clear" w:color="000000" w:fill="BFBFBF"/>
            <w:vAlign w:val="bottom"/>
            <w:hideMark/>
          </w:tcPr>
          <w:p w14:paraId="3B8BE05F" w14:textId="77777777" w:rsidR="009B0DE7" w:rsidRPr="00C87FA1" w:rsidRDefault="009B0DE7" w:rsidP="009B0DE7">
            <w:pPr>
              <w:spacing w:after="0" w:line="240" w:lineRule="auto"/>
              <w:rPr>
                <w:b/>
                <w:bCs/>
                <w:sz w:val="18"/>
                <w:szCs w:val="18"/>
                <w:lang w:eastAsia="sk-SK"/>
              </w:rPr>
            </w:pPr>
            <w:r w:rsidRPr="00C87FA1">
              <w:rPr>
                <w:b/>
                <w:bCs/>
                <w:sz w:val="18"/>
                <w:szCs w:val="18"/>
                <w:lang w:eastAsia="sk-SK"/>
              </w:rPr>
              <w:t> </w:t>
            </w:r>
          </w:p>
        </w:tc>
        <w:tc>
          <w:tcPr>
            <w:tcW w:w="179" w:type="dxa"/>
            <w:tcBorders>
              <w:top w:val="nil"/>
              <w:left w:val="nil"/>
              <w:bottom w:val="single" w:sz="4" w:space="0" w:color="auto"/>
              <w:right w:val="nil"/>
            </w:tcBorders>
            <w:shd w:val="clear" w:color="000000" w:fill="BFBFBF"/>
            <w:vAlign w:val="bottom"/>
          </w:tcPr>
          <w:p w14:paraId="002B7E4C" w14:textId="77777777" w:rsidR="009B0DE7" w:rsidRPr="00C87FA1" w:rsidRDefault="009B0DE7" w:rsidP="009B0DE7">
            <w:pPr>
              <w:spacing w:after="0" w:line="240" w:lineRule="auto"/>
              <w:jc w:val="right"/>
              <w:rPr>
                <w:b/>
                <w:bCs/>
                <w:sz w:val="18"/>
                <w:szCs w:val="18"/>
                <w:lang w:eastAsia="sk-SK"/>
              </w:rPr>
            </w:pPr>
          </w:p>
        </w:tc>
        <w:tc>
          <w:tcPr>
            <w:tcW w:w="1134" w:type="dxa"/>
            <w:tcBorders>
              <w:top w:val="nil"/>
              <w:left w:val="nil"/>
              <w:bottom w:val="single" w:sz="4" w:space="0" w:color="auto"/>
              <w:right w:val="nil"/>
            </w:tcBorders>
            <w:shd w:val="clear" w:color="000000" w:fill="BFBFBF"/>
            <w:vAlign w:val="bottom"/>
            <w:hideMark/>
          </w:tcPr>
          <w:p w14:paraId="1F98DEA9" w14:textId="3EF49030" w:rsidR="009B0DE7" w:rsidRPr="00C87FA1" w:rsidRDefault="00C87FA1" w:rsidP="009B0DE7">
            <w:pPr>
              <w:spacing w:after="0" w:line="240" w:lineRule="auto"/>
              <w:jc w:val="center"/>
              <w:rPr>
                <w:b/>
                <w:bCs/>
                <w:sz w:val="18"/>
                <w:szCs w:val="18"/>
                <w:lang w:eastAsia="sk-SK"/>
              </w:rPr>
            </w:pPr>
            <w:r>
              <w:rPr>
                <w:b/>
                <w:bCs/>
                <w:sz w:val="18"/>
                <w:szCs w:val="18"/>
                <w:lang w:eastAsia="sk-SK"/>
              </w:rPr>
              <w:t xml:space="preserve">   2018</w:t>
            </w:r>
          </w:p>
        </w:tc>
        <w:tc>
          <w:tcPr>
            <w:tcW w:w="1276" w:type="dxa"/>
            <w:tcBorders>
              <w:top w:val="nil"/>
              <w:left w:val="nil"/>
              <w:bottom w:val="single" w:sz="4" w:space="0" w:color="auto"/>
              <w:right w:val="nil"/>
            </w:tcBorders>
            <w:shd w:val="clear" w:color="000000" w:fill="BFBFBF"/>
            <w:vAlign w:val="bottom"/>
            <w:hideMark/>
          </w:tcPr>
          <w:p w14:paraId="46A2C3F3" w14:textId="2A3E6839" w:rsidR="009B0DE7" w:rsidRPr="00C87FA1" w:rsidRDefault="00C87FA1" w:rsidP="009B0DE7">
            <w:pPr>
              <w:spacing w:after="0" w:line="240" w:lineRule="auto"/>
              <w:jc w:val="center"/>
              <w:rPr>
                <w:b/>
                <w:bCs/>
                <w:sz w:val="18"/>
                <w:szCs w:val="18"/>
                <w:lang w:eastAsia="sk-SK"/>
              </w:rPr>
            </w:pPr>
            <w:r>
              <w:rPr>
                <w:b/>
                <w:bCs/>
                <w:sz w:val="18"/>
                <w:szCs w:val="18"/>
                <w:lang w:eastAsia="sk-SK"/>
              </w:rPr>
              <w:t xml:space="preserve">    2019</w:t>
            </w:r>
          </w:p>
        </w:tc>
        <w:tc>
          <w:tcPr>
            <w:tcW w:w="1276" w:type="dxa"/>
            <w:tcBorders>
              <w:top w:val="nil"/>
              <w:left w:val="nil"/>
              <w:bottom w:val="single" w:sz="4" w:space="0" w:color="auto"/>
              <w:right w:val="nil"/>
            </w:tcBorders>
            <w:shd w:val="clear" w:color="000000" w:fill="BFBFBF"/>
            <w:vAlign w:val="bottom"/>
            <w:hideMark/>
          </w:tcPr>
          <w:p w14:paraId="6D441F3C" w14:textId="017DEE3A" w:rsidR="009B0DE7" w:rsidRPr="00C87FA1" w:rsidRDefault="00C87FA1" w:rsidP="009B0DE7">
            <w:pPr>
              <w:spacing w:after="0" w:line="240" w:lineRule="auto"/>
              <w:jc w:val="center"/>
              <w:rPr>
                <w:b/>
                <w:bCs/>
                <w:sz w:val="18"/>
                <w:szCs w:val="18"/>
                <w:lang w:eastAsia="sk-SK"/>
              </w:rPr>
            </w:pPr>
            <w:r>
              <w:rPr>
                <w:b/>
                <w:bCs/>
                <w:sz w:val="18"/>
                <w:szCs w:val="18"/>
                <w:lang w:eastAsia="sk-SK"/>
              </w:rPr>
              <w:t xml:space="preserve">    2020</w:t>
            </w:r>
          </w:p>
        </w:tc>
        <w:tc>
          <w:tcPr>
            <w:tcW w:w="1275" w:type="dxa"/>
            <w:tcBorders>
              <w:top w:val="nil"/>
              <w:left w:val="nil"/>
              <w:bottom w:val="single" w:sz="4" w:space="0" w:color="auto"/>
              <w:right w:val="nil"/>
            </w:tcBorders>
            <w:shd w:val="clear" w:color="000000" w:fill="BFBFBF"/>
            <w:vAlign w:val="bottom"/>
            <w:hideMark/>
          </w:tcPr>
          <w:p w14:paraId="696F3875" w14:textId="3832B2CA" w:rsidR="009B0DE7" w:rsidRPr="00C87FA1" w:rsidRDefault="009B0DE7" w:rsidP="009B0DE7">
            <w:pPr>
              <w:spacing w:after="0" w:line="240" w:lineRule="auto"/>
              <w:jc w:val="right"/>
              <w:rPr>
                <w:b/>
                <w:bCs/>
                <w:sz w:val="18"/>
                <w:szCs w:val="18"/>
                <w:lang w:eastAsia="sk-SK"/>
              </w:rPr>
            </w:pPr>
            <w:r w:rsidRPr="00C87FA1">
              <w:rPr>
                <w:b/>
                <w:color w:val="000000"/>
                <w:sz w:val="18"/>
                <w:szCs w:val="18"/>
                <w:lang w:eastAsia="sk-SK"/>
              </w:rPr>
              <w:t>Δ</w:t>
            </w:r>
            <w:r w:rsidR="00C87FA1">
              <w:rPr>
                <w:b/>
                <w:bCs/>
                <w:sz w:val="18"/>
                <w:szCs w:val="18"/>
                <w:lang w:eastAsia="sk-SK"/>
              </w:rPr>
              <w:t xml:space="preserve"> 2020-2019</w:t>
            </w:r>
          </w:p>
        </w:tc>
      </w:tr>
      <w:tr w:rsidR="00C87FA1" w:rsidRPr="00C87FA1" w14:paraId="268BFD66" w14:textId="77777777" w:rsidTr="00CB3C46">
        <w:trPr>
          <w:trHeight w:val="300"/>
        </w:trPr>
        <w:tc>
          <w:tcPr>
            <w:tcW w:w="3932" w:type="dxa"/>
            <w:tcBorders>
              <w:top w:val="single" w:sz="4" w:space="0" w:color="auto"/>
              <w:left w:val="nil"/>
              <w:bottom w:val="nil"/>
              <w:right w:val="nil"/>
            </w:tcBorders>
            <w:vAlign w:val="center"/>
            <w:hideMark/>
          </w:tcPr>
          <w:p w14:paraId="24D34E36" w14:textId="77777777" w:rsidR="00C87FA1" w:rsidRPr="00C87FA1" w:rsidRDefault="00C87FA1" w:rsidP="00C87FA1">
            <w:pPr>
              <w:spacing w:after="0" w:line="240" w:lineRule="auto"/>
              <w:rPr>
                <w:color w:val="000000"/>
                <w:sz w:val="18"/>
                <w:szCs w:val="18"/>
                <w:lang w:eastAsia="sk-SK"/>
              </w:rPr>
            </w:pPr>
            <w:r w:rsidRPr="00C87FA1">
              <w:rPr>
                <w:color w:val="000000"/>
                <w:sz w:val="18"/>
                <w:szCs w:val="18"/>
                <w:lang w:eastAsia="sk-SK"/>
              </w:rPr>
              <w:t>Ústredná správa a ostatné subjekty</w:t>
            </w:r>
          </w:p>
        </w:tc>
        <w:tc>
          <w:tcPr>
            <w:tcW w:w="179" w:type="dxa"/>
            <w:tcBorders>
              <w:top w:val="single" w:sz="4" w:space="0" w:color="auto"/>
              <w:left w:val="nil"/>
              <w:bottom w:val="nil"/>
              <w:right w:val="nil"/>
            </w:tcBorders>
            <w:vAlign w:val="center"/>
          </w:tcPr>
          <w:p w14:paraId="596C3360" w14:textId="77777777" w:rsidR="00C87FA1" w:rsidRPr="00C87FA1" w:rsidRDefault="00C87FA1" w:rsidP="00C87FA1">
            <w:pPr>
              <w:spacing w:after="0" w:line="240" w:lineRule="auto"/>
              <w:jc w:val="right"/>
              <w:rPr>
                <w:color w:val="000000"/>
                <w:sz w:val="18"/>
                <w:szCs w:val="18"/>
                <w:lang w:eastAsia="sk-SK"/>
              </w:rPr>
            </w:pPr>
          </w:p>
        </w:tc>
        <w:tc>
          <w:tcPr>
            <w:tcW w:w="1134" w:type="dxa"/>
            <w:tcBorders>
              <w:top w:val="single" w:sz="4" w:space="0" w:color="auto"/>
              <w:left w:val="nil"/>
              <w:bottom w:val="nil"/>
              <w:right w:val="nil"/>
            </w:tcBorders>
            <w:vAlign w:val="center"/>
          </w:tcPr>
          <w:p w14:paraId="26FBC7D6" w14:textId="33F0B183" w:rsidR="00C87FA1" w:rsidRPr="00C87FA1" w:rsidRDefault="00C87FA1" w:rsidP="00C87FA1">
            <w:pPr>
              <w:spacing w:after="0" w:line="240" w:lineRule="auto"/>
              <w:jc w:val="right"/>
              <w:rPr>
                <w:sz w:val="18"/>
                <w:szCs w:val="18"/>
                <w:lang w:eastAsia="sk-SK"/>
              </w:rPr>
            </w:pPr>
            <w:r w:rsidRPr="00C87FA1">
              <w:rPr>
                <w:sz w:val="18"/>
                <w:szCs w:val="18"/>
                <w:lang w:eastAsia="sk-SK"/>
              </w:rPr>
              <w:t>9 229 958</w:t>
            </w:r>
          </w:p>
        </w:tc>
        <w:tc>
          <w:tcPr>
            <w:tcW w:w="1276" w:type="dxa"/>
            <w:tcBorders>
              <w:top w:val="single" w:sz="4" w:space="0" w:color="auto"/>
              <w:left w:val="nil"/>
              <w:bottom w:val="nil"/>
              <w:right w:val="nil"/>
            </w:tcBorders>
            <w:vAlign w:val="center"/>
          </w:tcPr>
          <w:p w14:paraId="242E2E0B" w14:textId="33D6C189" w:rsidR="00C87FA1" w:rsidRPr="00C87FA1" w:rsidRDefault="00C87FA1" w:rsidP="00C87FA1">
            <w:pPr>
              <w:spacing w:after="0" w:line="240" w:lineRule="auto"/>
              <w:jc w:val="right"/>
              <w:rPr>
                <w:sz w:val="18"/>
                <w:szCs w:val="18"/>
                <w:lang w:eastAsia="sk-SK"/>
              </w:rPr>
            </w:pPr>
            <w:r w:rsidRPr="00C87FA1">
              <w:rPr>
                <w:sz w:val="18"/>
                <w:szCs w:val="18"/>
                <w:lang w:eastAsia="sk-SK"/>
              </w:rPr>
              <w:t>9 417 773</w:t>
            </w:r>
          </w:p>
        </w:tc>
        <w:tc>
          <w:tcPr>
            <w:tcW w:w="1276" w:type="dxa"/>
            <w:tcBorders>
              <w:top w:val="single" w:sz="4" w:space="0" w:color="auto"/>
              <w:left w:val="nil"/>
              <w:bottom w:val="nil"/>
              <w:right w:val="nil"/>
            </w:tcBorders>
            <w:shd w:val="clear" w:color="auto" w:fill="BFBFBF" w:themeFill="background1" w:themeFillShade="BF"/>
            <w:vAlign w:val="center"/>
          </w:tcPr>
          <w:p w14:paraId="1AA9128C" w14:textId="5392242A" w:rsidR="00C87FA1" w:rsidRPr="00C87FA1" w:rsidRDefault="00743A54" w:rsidP="00C87FA1">
            <w:pPr>
              <w:spacing w:after="0" w:line="240" w:lineRule="auto"/>
              <w:jc w:val="right"/>
              <w:rPr>
                <w:sz w:val="18"/>
                <w:szCs w:val="18"/>
                <w:lang w:eastAsia="sk-SK"/>
              </w:rPr>
            </w:pPr>
            <w:r>
              <w:rPr>
                <w:sz w:val="18"/>
                <w:szCs w:val="18"/>
                <w:lang w:eastAsia="sk-SK"/>
              </w:rPr>
              <w:t>9 916 560</w:t>
            </w:r>
          </w:p>
        </w:tc>
        <w:tc>
          <w:tcPr>
            <w:tcW w:w="1275" w:type="dxa"/>
            <w:tcBorders>
              <w:top w:val="single" w:sz="4" w:space="0" w:color="auto"/>
              <w:left w:val="nil"/>
              <w:bottom w:val="nil"/>
              <w:right w:val="nil"/>
            </w:tcBorders>
            <w:vAlign w:val="center"/>
          </w:tcPr>
          <w:p w14:paraId="63394153" w14:textId="7463B469" w:rsidR="00C87FA1" w:rsidRPr="00C87FA1" w:rsidRDefault="00743A54" w:rsidP="00C87FA1">
            <w:pPr>
              <w:spacing w:after="0" w:line="240" w:lineRule="auto"/>
              <w:jc w:val="right"/>
              <w:rPr>
                <w:color w:val="000000"/>
                <w:sz w:val="18"/>
                <w:szCs w:val="18"/>
                <w:lang w:eastAsia="sk-SK"/>
              </w:rPr>
            </w:pPr>
            <w:r>
              <w:rPr>
                <w:color w:val="000000"/>
                <w:sz w:val="18"/>
                <w:szCs w:val="18"/>
                <w:lang w:eastAsia="sk-SK"/>
              </w:rPr>
              <w:t>498 787</w:t>
            </w:r>
          </w:p>
        </w:tc>
      </w:tr>
      <w:tr w:rsidR="00C87FA1" w:rsidRPr="00C87FA1" w14:paraId="0B4DCA75" w14:textId="77777777" w:rsidTr="00CB3C46">
        <w:trPr>
          <w:trHeight w:val="300"/>
        </w:trPr>
        <w:tc>
          <w:tcPr>
            <w:tcW w:w="3932" w:type="dxa"/>
            <w:tcBorders>
              <w:left w:val="nil"/>
              <w:bottom w:val="nil"/>
              <w:right w:val="nil"/>
            </w:tcBorders>
            <w:vAlign w:val="center"/>
            <w:hideMark/>
          </w:tcPr>
          <w:p w14:paraId="6384E946" w14:textId="77777777" w:rsidR="00C87FA1" w:rsidRPr="00C87FA1" w:rsidRDefault="00C87FA1" w:rsidP="00C87FA1">
            <w:pPr>
              <w:spacing w:after="0" w:line="240" w:lineRule="auto"/>
              <w:rPr>
                <w:color w:val="000000"/>
                <w:sz w:val="18"/>
                <w:szCs w:val="18"/>
                <w:lang w:eastAsia="sk-SK"/>
              </w:rPr>
            </w:pPr>
            <w:r w:rsidRPr="00C87FA1">
              <w:rPr>
                <w:color w:val="000000"/>
                <w:sz w:val="18"/>
                <w:szCs w:val="18"/>
                <w:lang w:eastAsia="sk-SK"/>
              </w:rPr>
              <w:t>Obce a ich účtovné jednotky</w:t>
            </w:r>
          </w:p>
        </w:tc>
        <w:tc>
          <w:tcPr>
            <w:tcW w:w="179" w:type="dxa"/>
            <w:tcBorders>
              <w:left w:val="nil"/>
              <w:bottom w:val="nil"/>
              <w:right w:val="nil"/>
            </w:tcBorders>
            <w:vAlign w:val="center"/>
          </w:tcPr>
          <w:p w14:paraId="7CF61D9C" w14:textId="77777777" w:rsidR="00C87FA1" w:rsidRPr="00C87FA1" w:rsidRDefault="00C87FA1" w:rsidP="00C87FA1">
            <w:pPr>
              <w:spacing w:after="0" w:line="240" w:lineRule="auto"/>
              <w:jc w:val="right"/>
              <w:rPr>
                <w:color w:val="000000"/>
                <w:sz w:val="18"/>
                <w:szCs w:val="18"/>
                <w:lang w:eastAsia="sk-SK"/>
              </w:rPr>
            </w:pPr>
          </w:p>
        </w:tc>
        <w:tc>
          <w:tcPr>
            <w:tcW w:w="1134" w:type="dxa"/>
            <w:tcBorders>
              <w:left w:val="nil"/>
              <w:bottom w:val="nil"/>
              <w:right w:val="nil"/>
            </w:tcBorders>
            <w:vAlign w:val="center"/>
          </w:tcPr>
          <w:p w14:paraId="08DADB31" w14:textId="2A35134D" w:rsidR="00C87FA1" w:rsidRPr="00C87FA1" w:rsidRDefault="00C87FA1" w:rsidP="00C87FA1">
            <w:pPr>
              <w:spacing w:after="0" w:line="240" w:lineRule="auto"/>
              <w:jc w:val="right"/>
              <w:rPr>
                <w:sz w:val="18"/>
                <w:szCs w:val="18"/>
                <w:lang w:eastAsia="sk-SK"/>
              </w:rPr>
            </w:pPr>
            <w:r w:rsidRPr="00C87FA1">
              <w:rPr>
                <w:sz w:val="18"/>
                <w:szCs w:val="18"/>
                <w:lang w:eastAsia="sk-SK"/>
              </w:rPr>
              <w:t>48 684</w:t>
            </w:r>
          </w:p>
        </w:tc>
        <w:tc>
          <w:tcPr>
            <w:tcW w:w="1276" w:type="dxa"/>
            <w:tcBorders>
              <w:left w:val="nil"/>
              <w:bottom w:val="nil"/>
              <w:right w:val="nil"/>
            </w:tcBorders>
            <w:vAlign w:val="center"/>
          </w:tcPr>
          <w:p w14:paraId="4F17A178" w14:textId="51324318" w:rsidR="00C87FA1" w:rsidRPr="00C87FA1" w:rsidRDefault="00C87FA1" w:rsidP="00C87FA1">
            <w:pPr>
              <w:spacing w:after="0" w:line="240" w:lineRule="auto"/>
              <w:jc w:val="right"/>
              <w:rPr>
                <w:sz w:val="18"/>
                <w:szCs w:val="18"/>
                <w:lang w:eastAsia="sk-SK"/>
              </w:rPr>
            </w:pPr>
            <w:r w:rsidRPr="00C87FA1">
              <w:rPr>
                <w:sz w:val="18"/>
                <w:szCs w:val="18"/>
                <w:lang w:eastAsia="sk-SK"/>
              </w:rPr>
              <w:t>41 098</w:t>
            </w:r>
          </w:p>
        </w:tc>
        <w:tc>
          <w:tcPr>
            <w:tcW w:w="1276" w:type="dxa"/>
            <w:tcBorders>
              <w:left w:val="nil"/>
              <w:bottom w:val="nil"/>
              <w:right w:val="nil"/>
            </w:tcBorders>
            <w:shd w:val="clear" w:color="auto" w:fill="BFBFBF" w:themeFill="background1" w:themeFillShade="BF"/>
            <w:vAlign w:val="center"/>
          </w:tcPr>
          <w:p w14:paraId="589A5B0C" w14:textId="0266C106" w:rsidR="00C87FA1" w:rsidRPr="00C87FA1" w:rsidRDefault="00743A54" w:rsidP="00C87FA1">
            <w:pPr>
              <w:spacing w:after="0" w:line="240" w:lineRule="auto"/>
              <w:jc w:val="right"/>
              <w:rPr>
                <w:sz w:val="18"/>
                <w:szCs w:val="18"/>
                <w:lang w:eastAsia="sk-SK"/>
              </w:rPr>
            </w:pPr>
            <w:r>
              <w:rPr>
                <w:sz w:val="18"/>
                <w:szCs w:val="18"/>
                <w:lang w:eastAsia="sk-SK"/>
              </w:rPr>
              <w:t>40 081</w:t>
            </w:r>
          </w:p>
        </w:tc>
        <w:tc>
          <w:tcPr>
            <w:tcW w:w="1275" w:type="dxa"/>
            <w:tcBorders>
              <w:left w:val="nil"/>
              <w:bottom w:val="nil"/>
              <w:right w:val="nil"/>
            </w:tcBorders>
            <w:vAlign w:val="center"/>
          </w:tcPr>
          <w:p w14:paraId="34A3CF20" w14:textId="4437E4DA" w:rsidR="00C87FA1" w:rsidRPr="00C87FA1" w:rsidRDefault="00743A54" w:rsidP="00C87FA1">
            <w:pPr>
              <w:spacing w:after="0" w:line="240" w:lineRule="auto"/>
              <w:jc w:val="right"/>
              <w:rPr>
                <w:color w:val="000000"/>
                <w:sz w:val="18"/>
                <w:szCs w:val="18"/>
                <w:lang w:eastAsia="sk-SK"/>
              </w:rPr>
            </w:pPr>
            <w:r>
              <w:rPr>
                <w:color w:val="000000"/>
                <w:sz w:val="18"/>
                <w:szCs w:val="18"/>
                <w:lang w:eastAsia="sk-SK"/>
              </w:rPr>
              <w:t>-1 017</w:t>
            </w:r>
          </w:p>
        </w:tc>
      </w:tr>
      <w:tr w:rsidR="00C87FA1" w:rsidRPr="00C87FA1" w14:paraId="34BF11A4" w14:textId="77777777" w:rsidTr="00CB3C46">
        <w:trPr>
          <w:trHeight w:val="300"/>
        </w:trPr>
        <w:tc>
          <w:tcPr>
            <w:tcW w:w="3932" w:type="dxa"/>
            <w:tcBorders>
              <w:top w:val="nil"/>
              <w:left w:val="nil"/>
              <w:bottom w:val="nil"/>
              <w:right w:val="nil"/>
            </w:tcBorders>
            <w:vAlign w:val="center"/>
            <w:hideMark/>
          </w:tcPr>
          <w:p w14:paraId="425C9716" w14:textId="77777777" w:rsidR="00C87FA1" w:rsidRPr="00C87FA1" w:rsidRDefault="00C87FA1" w:rsidP="00C87FA1">
            <w:pPr>
              <w:spacing w:after="0" w:line="240" w:lineRule="auto"/>
              <w:rPr>
                <w:color w:val="000000"/>
                <w:sz w:val="18"/>
                <w:szCs w:val="18"/>
                <w:lang w:eastAsia="sk-SK"/>
              </w:rPr>
            </w:pPr>
            <w:r w:rsidRPr="00C87FA1">
              <w:rPr>
                <w:color w:val="000000"/>
                <w:sz w:val="18"/>
                <w:szCs w:val="18"/>
                <w:lang w:eastAsia="sk-SK"/>
              </w:rPr>
              <w:t>Vyššie územné celky a ich účtovné jednotky</w:t>
            </w:r>
          </w:p>
        </w:tc>
        <w:tc>
          <w:tcPr>
            <w:tcW w:w="179" w:type="dxa"/>
            <w:tcBorders>
              <w:top w:val="nil"/>
              <w:left w:val="nil"/>
              <w:bottom w:val="nil"/>
              <w:right w:val="nil"/>
            </w:tcBorders>
            <w:vAlign w:val="center"/>
          </w:tcPr>
          <w:p w14:paraId="751D03C0" w14:textId="77777777" w:rsidR="00C87FA1" w:rsidRPr="00C87FA1" w:rsidRDefault="00C87FA1" w:rsidP="00C87FA1">
            <w:pPr>
              <w:spacing w:after="0" w:line="240" w:lineRule="auto"/>
              <w:jc w:val="right"/>
              <w:rPr>
                <w:color w:val="000000"/>
                <w:sz w:val="18"/>
                <w:szCs w:val="18"/>
                <w:lang w:eastAsia="sk-SK"/>
              </w:rPr>
            </w:pPr>
          </w:p>
        </w:tc>
        <w:tc>
          <w:tcPr>
            <w:tcW w:w="1134" w:type="dxa"/>
            <w:tcBorders>
              <w:top w:val="nil"/>
              <w:left w:val="nil"/>
              <w:bottom w:val="nil"/>
              <w:right w:val="nil"/>
            </w:tcBorders>
            <w:vAlign w:val="center"/>
          </w:tcPr>
          <w:p w14:paraId="7525D801" w14:textId="3A683F73" w:rsidR="00C87FA1" w:rsidRPr="00C87FA1" w:rsidRDefault="00C87FA1" w:rsidP="00C87FA1">
            <w:pPr>
              <w:spacing w:after="0" w:line="240" w:lineRule="auto"/>
              <w:jc w:val="right"/>
              <w:rPr>
                <w:sz w:val="18"/>
                <w:szCs w:val="18"/>
                <w:lang w:eastAsia="sk-SK"/>
              </w:rPr>
            </w:pPr>
            <w:r w:rsidRPr="00C87FA1">
              <w:rPr>
                <w:sz w:val="18"/>
                <w:szCs w:val="18"/>
                <w:lang w:eastAsia="sk-SK"/>
              </w:rPr>
              <w:t>6 893</w:t>
            </w:r>
          </w:p>
        </w:tc>
        <w:tc>
          <w:tcPr>
            <w:tcW w:w="1276" w:type="dxa"/>
            <w:tcBorders>
              <w:top w:val="nil"/>
              <w:left w:val="nil"/>
              <w:bottom w:val="nil"/>
              <w:right w:val="nil"/>
            </w:tcBorders>
            <w:vAlign w:val="center"/>
          </w:tcPr>
          <w:p w14:paraId="47DC96EC" w14:textId="4C56ECC7" w:rsidR="00C87FA1" w:rsidRPr="00C87FA1" w:rsidRDefault="00C87FA1" w:rsidP="00C87FA1">
            <w:pPr>
              <w:spacing w:after="0" w:line="240" w:lineRule="auto"/>
              <w:jc w:val="right"/>
              <w:rPr>
                <w:sz w:val="18"/>
                <w:szCs w:val="18"/>
                <w:lang w:eastAsia="sk-SK"/>
              </w:rPr>
            </w:pPr>
            <w:r w:rsidRPr="00C87FA1">
              <w:rPr>
                <w:sz w:val="18"/>
                <w:szCs w:val="18"/>
                <w:lang w:eastAsia="sk-SK"/>
              </w:rPr>
              <w:t>7 295</w:t>
            </w:r>
          </w:p>
        </w:tc>
        <w:tc>
          <w:tcPr>
            <w:tcW w:w="1276" w:type="dxa"/>
            <w:tcBorders>
              <w:top w:val="nil"/>
              <w:left w:val="nil"/>
              <w:bottom w:val="nil"/>
              <w:right w:val="nil"/>
            </w:tcBorders>
            <w:shd w:val="clear" w:color="auto" w:fill="BFBFBF" w:themeFill="background1" w:themeFillShade="BF"/>
            <w:vAlign w:val="center"/>
          </w:tcPr>
          <w:p w14:paraId="7496BF9C" w14:textId="2C917355" w:rsidR="00C87FA1" w:rsidRPr="00C87FA1" w:rsidRDefault="00743A54" w:rsidP="00C87FA1">
            <w:pPr>
              <w:spacing w:after="0" w:line="240" w:lineRule="auto"/>
              <w:jc w:val="right"/>
              <w:rPr>
                <w:sz w:val="18"/>
                <w:szCs w:val="18"/>
                <w:lang w:eastAsia="sk-SK"/>
              </w:rPr>
            </w:pPr>
            <w:r>
              <w:rPr>
                <w:sz w:val="18"/>
                <w:szCs w:val="18"/>
                <w:lang w:eastAsia="sk-SK"/>
              </w:rPr>
              <w:t>6 936</w:t>
            </w:r>
          </w:p>
        </w:tc>
        <w:tc>
          <w:tcPr>
            <w:tcW w:w="1275" w:type="dxa"/>
            <w:tcBorders>
              <w:top w:val="nil"/>
              <w:left w:val="nil"/>
              <w:bottom w:val="nil"/>
              <w:right w:val="nil"/>
            </w:tcBorders>
            <w:vAlign w:val="center"/>
          </w:tcPr>
          <w:p w14:paraId="5641C8BE" w14:textId="080FCA5E" w:rsidR="00C87FA1" w:rsidRPr="00C87FA1" w:rsidRDefault="00743A54" w:rsidP="00C87FA1">
            <w:pPr>
              <w:spacing w:after="0" w:line="240" w:lineRule="auto"/>
              <w:jc w:val="right"/>
              <w:rPr>
                <w:color w:val="000000"/>
                <w:sz w:val="18"/>
                <w:szCs w:val="18"/>
                <w:lang w:eastAsia="sk-SK"/>
              </w:rPr>
            </w:pPr>
            <w:r>
              <w:rPr>
                <w:color w:val="000000"/>
                <w:sz w:val="18"/>
                <w:szCs w:val="18"/>
                <w:lang w:eastAsia="sk-SK"/>
              </w:rPr>
              <w:t>-359</w:t>
            </w:r>
          </w:p>
        </w:tc>
      </w:tr>
      <w:tr w:rsidR="00C87FA1" w:rsidRPr="00C87FA1" w14:paraId="13224D29" w14:textId="77777777" w:rsidTr="00CB3C46">
        <w:trPr>
          <w:trHeight w:val="255"/>
        </w:trPr>
        <w:tc>
          <w:tcPr>
            <w:tcW w:w="3932" w:type="dxa"/>
            <w:tcBorders>
              <w:top w:val="single" w:sz="4" w:space="0" w:color="auto"/>
              <w:left w:val="nil"/>
              <w:bottom w:val="single" w:sz="4" w:space="0" w:color="auto"/>
              <w:right w:val="nil"/>
            </w:tcBorders>
            <w:shd w:val="clear" w:color="000000" w:fill="BFBFBF"/>
            <w:noWrap/>
            <w:vAlign w:val="center"/>
            <w:hideMark/>
          </w:tcPr>
          <w:p w14:paraId="21149AA5" w14:textId="77777777" w:rsidR="00C87FA1" w:rsidRPr="00C87FA1" w:rsidRDefault="00C87FA1" w:rsidP="00C87FA1">
            <w:pPr>
              <w:spacing w:after="0" w:line="240" w:lineRule="auto"/>
              <w:rPr>
                <w:b/>
                <w:bCs/>
                <w:color w:val="000000"/>
                <w:sz w:val="18"/>
                <w:szCs w:val="18"/>
                <w:lang w:eastAsia="sk-SK"/>
              </w:rPr>
            </w:pPr>
            <w:r w:rsidRPr="00C87FA1">
              <w:rPr>
                <w:b/>
                <w:bCs/>
                <w:color w:val="000000"/>
                <w:sz w:val="18"/>
                <w:szCs w:val="18"/>
                <w:lang w:eastAsia="sk-SK"/>
              </w:rPr>
              <w:t>Spolu</w:t>
            </w:r>
          </w:p>
        </w:tc>
        <w:tc>
          <w:tcPr>
            <w:tcW w:w="179" w:type="dxa"/>
            <w:tcBorders>
              <w:top w:val="single" w:sz="4" w:space="0" w:color="auto"/>
              <w:left w:val="nil"/>
              <w:bottom w:val="single" w:sz="4" w:space="0" w:color="auto"/>
              <w:right w:val="nil"/>
            </w:tcBorders>
            <w:shd w:val="clear" w:color="000000" w:fill="BFBFBF"/>
            <w:noWrap/>
            <w:vAlign w:val="center"/>
          </w:tcPr>
          <w:p w14:paraId="2E7D6C28" w14:textId="77777777" w:rsidR="00C87FA1" w:rsidRPr="00C87FA1" w:rsidRDefault="00C87FA1" w:rsidP="00C87FA1">
            <w:pPr>
              <w:spacing w:after="0" w:line="240" w:lineRule="auto"/>
              <w:jc w:val="right"/>
              <w:rPr>
                <w:b/>
                <w:bCs/>
                <w:color w:val="000000"/>
                <w:sz w:val="18"/>
                <w:szCs w:val="18"/>
                <w:lang w:eastAsia="sk-SK"/>
              </w:rPr>
            </w:pPr>
          </w:p>
        </w:tc>
        <w:tc>
          <w:tcPr>
            <w:tcW w:w="1134" w:type="dxa"/>
            <w:tcBorders>
              <w:top w:val="single" w:sz="4" w:space="0" w:color="auto"/>
              <w:left w:val="nil"/>
              <w:bottom w:val="single" w:sz="4" w:space="0" w:color="auto"/>
              <w:right w:val="nil"/>
            </w:tcBorders>
            <w:shd w:val="clear" w:color="000000" w:fill="BFBFBF"/>
            <w:noWrap/>
            <w:vAlign w:val="center"/>
          </w:tcPr>
          <w:p w14:paraId="1CAB078F" w14:textId="00170C35" w:rsidR="00C87FA1" w:rsidRPr="00C87FA1" w:rsidRDefault="00C87FA1" w:rsidP="00C87FA1">
            <w:pPr>
              <w:spacing w:after="0" w:line="240" w:lineRule="auto"/>
              <w:jc w:val="right"/>
              <w:rPr>
                <w:b/>
                <w:bCs/>
                <w:sz w:val="18"/>
                <w:szCs w:val="18"/>
                <w:lang w:eastAsia="sk-SK"/>
              </w:rPr>
            </w:pPr>
            <w:r w:rsidRPr="00C87FA1">
              <w:rPr>
                <w:b/>
                <w:bCs/>
                <w:sz w:val="18"/>
                <w:szCs w:val="18"/>
                <w:lang w:eastAsia="sk-SK"/>
              </w:rPr>
              <w:t>9 285 535</w:t>
            </w:r>
          </w:p>
        </w:tc>
        <w:tc>
          <w:tcPr>
            <w:tcW w:w="1276" w:type="dxa"/>
            <w:tcBorders>
              <w:top w:val="single" w:sz="4" w:space="0" w:color="auto"/>
              <w:left w:val="nil"/>
              <w:bottom w:val="single" w:sz="4" w:space="0" w:color="auto"/>
              <w:right w:val="nil"/>
            </w:tcBorders>
            <w:shd w:val="clear" w:color="000000" w:fill="BFBFBF"/>
            <w:noWrap/>
            <w:vAlign w:val="center"/>
          </w:tcPr>
          <w:p w14:paraId="684DC84C" w14:textId="0F3C06A7" w:rsidR="00C87FA1" w:rsidRPr="00C87FA1" w:rsidRDefault="00C87FA1" w:rsidP="00C87FA1">
            <w:pPr>
              <w:spacing w:after="0" w:line="240" w:lineRule="auto"/>
              <w:jc w:val="right"/>
              <w:rPr>
                <w:b/>
                <w:bCs/>
                <w:sz w:val="18"/>
                <w:szCs w:val="18"/>
                <w:lang w:eastAsia="sk-SK"/>
              </w:rPr>
            </w:pPr>
            <w:r w:rsidRPr="00C87FA1">
              <w:rPr>
                <w:b/>
                <w:bCs/>
                <w:sz w:val="18"/>
                <w:szCs w:val="18"/>
                <w:lang w:eastAsia="sk-SK"/>
              </w:rPr>
              <w:t>9 466 166</w:t>
            </w:r>
          </w:p>
        </w:tc>
        <w:tc>
          <w:tcPr>
            <w:tcW w:w="1276" w:type="dxa"/>
            <w:tcBorders>
              <w:top w:val="single" w:sz="4" w:space="0" w:color="auto"/>
              <w:left w:val="nil"/>
              <w:bottom w:val="single" w:sz="4" w:space="0" w:color="auto"/>
              <w:right w:val="nil"/>
            </w:tcBorders>
            <w:shd w:val="clear" w:color="auto" w:fill="BFBFBF" w:themeFill="background1" w:themeFillShade="BF"/>
            <w:noWrap/>
            <w:vAlign w:val="center"/>
          </w:tcPr>
          <w:p w14:paraId="0B09F32A" w14:textId="4E4CEA06" w:rsidR="00C87FA1" w:rsidRPr="00C87FA1" w:rsidRDefault="00483AAE" w:rsidP="00C87FA1">
            <w:pPr>
              <w:spacing w:after="0" w:line="240" w:lineRule="auto"/>
              <w:jc w:val="right"/>
              <w:rPr>
                <w:b/>
                <w:bCs/>
                <w:sz w:val="18"/>
                <w:szCs w:val="18"/>
                <w:lang w:eastAsia="sk-SK"/>
              </w:rPr>
            </w:pPr>
            <w:r>
              <w:rPr>
                <w:b/>
                <w:bCs/>
                <w:sz w:val="18"/>
                <w:szCs w:val="18"/>
                <w:lang w:eastAsia="sk-SK"/>
              </w:rPr>
              <w:t>9 963 577</w:t>
            </w:r>
          </w:p>
        </w:tc>
        <w:tc>
          <w:tcPr>
            <w:tcW w:w="1275" w:type="dxa"/>
            <w:tcBorders>
              <w:top w:val="single" w:sz="4" w:space="0" w:color="auto"/>
              <w:left w:val="nil"/>
              <w:bottom w:val="single" w:sz="4" w:space="0" w:color="auto"/>
              <w:right w:val="nil"/>
            </w:tcBorders>
            <w:shd w:val="clear" w:color="000000" w:fill="BFBFBF"/>
            <w:noWrap/>
            <w:vAlign w:val="center"/>
          </w:tcPr>
          <w:p w14:paraId="17C246C9" w14:textId="3418238C" w:rsidR="00C87FA1" w:rsidRPr="00C87FA1" w:rsidRDefault="00743A54" w:rsidP="00C87FA1">
            <w:pPr>
              <w:spacing w:after="0" w:line="240" w:lineRule="auto"/>
              <w:jc w:val="right"/>
              <w:rPr>
                <w:b/>
                <w:bCs/>
                <w:color w:val="000000"/>
                <w:sz w:val="18"/>
                <w:szCs w:val="18"/>
                <w:lang w:eastAsia="sk-SK"/>
              </w:rPr>
            </w:pPr>
            <w:r>
              <w:rPr>
                <w:b/>
                <w:bCs/>
                <w:color w:val="000000"/>
                <w:sz w:val="18"/>
                <w:szCs w:val="18"/>
                <w:lang w:eastAsia="sk-SK"/>
              </w:rPr>
              <w:t>497 411</w:t>
            </w:r>
          </w:p>
        </w:tc>
      </w:tr>
    </w:tbl>
    <w:p w14:paraId="1ECC3CBE" w14:textId="77777777" w:rsidR="009B0DE7" w:rsidRPr="00C87FA1" w:rsidRDefault="009B0DE7" w:rsidP="009B0DE7">
      <w:pPr>
        <w:spacing w:after="120" w:line="336" w:lineRule="auto"/>
        <w:jc w:val="right"/>
        <w:rPr>
          <w:sz w:val="18"/>
          <w:szCs w:val="18"/>
        </w:rPr>
      </w:pPr>
      <w:r w:rsidRPr="00C87FA1">
        <w:rPr>
          <w:sz w:val="18"/>
          <w:szCs w:val="18"/>
        </w:rPr>
        <w:t>Zdroj: Účtovné závierky subjektov a databáza MF SR</w:t>
      </w:r>
    </w:p>
    <w:p w14:paraId="38006EF1" w14:textId="1BFD7773" w:rsidR="009B0DE7" w:rsidRPr="001D77FC" w:rsidRDefault="009B0DE7" w:rsidP="005471F3">
      <w:pPr>
        <w:spacing w:after="120" w:line="240" w:lineRule="auto"/>
        <w:jc w:val="both"/>
        <w:rPr>
          <w:highlight w:val="yellow"/>
        </w:rPr>
      </w:pPr>
      <w:r w:rsidRPr="005471F3">
        <w:t xml:space="preserve">Z podmienených aktív vykazuje najvyššiu hodnotu štátny podnik </w:t>
      </w:r>
      <w:r w:rsidRPr="0024252C">
        <w:rPr>
          <w:u w:val="single"/>
        </w:rPr>
        <w:t>Lesy SR, š. p.</w:t>
      </w:r>
      <w:r w:rsidRPr="005471F3">
        <w:t xml:space="preserve"> z dôvodu ocenenia lesných porastov, ktoré podnik obhospodaruje na pozemkoch vo vlastníctve štátu, ktoré boli k 1.1.2010 jednotne ocenené podľa vyhlášky MS SR č. 492/2004 Z. z. o stanovení všeobecnej hodnoty podniku. Hodnota lesných porastov bola od 1.1.2010 evidovaná na podsúvahovom účte, pričom každoročne je táto hodnota aktualizovaná spolu so spresňovaním hodnoty lesných pozemkov vo vlastníctve štátu. Medziročne bola podsúvahová hodnota lesných porastov nižšia o</w:t>
      </w:r>
      <w:r w:rsidR="007A37EA">
        <w:t> 73 679</w:t>
      </w:r>
      <w:r w:rsidRPr="005471F3">
        <w:t xml:space="preserve"> tis. eur. Hlavným dôvodom  a podkladom na zníženie hodnoty porastov je obnova programu starostlivosti o les po spracovaní veternej kalamity na niektorých odštepných závodoch.</w:t>
      </w:r>
    </w:p>
    <w:p w14:paraId="03ACEEAB" w14:textId="2D46668D" w:rsidR="009B0DE7" w:rsidRPr="0024252C" w:rsidRDefault="009B0DE7" w:rsidP="0024252C">
      <w:pPr>
        <w:spacing w:after="120" w:line="240" w:lineRule="auto"/>
        <w:jc w:val="both"/>
      </w:pPr>
      <w:r w:rsidRPr="0024252C">
        <w:rPr>
          <w:u w:val="single"/>
        </w:rPr>
        <w:t>Slovenská konsolidačná, a. s.</w:t>
      </w:r>
      <w:r w:rsidRPr="0024252C">
        <w:t xml:space="preserve"> (</w:t>
      </w:r>
      <w:proofErr w:type="spellStart"/>
      <w:r w:rsidRPr="0024252C">
        <w:t>SKo</w:t>
      </w:r>
      <w:proofErr w:type="spellEnd"/>
      <w:r w:rsidRPr="0024252C">
        <w:t xml:space="preserve">, a. s.), ktorá je zo zákona č. 374/2014 Z. z. o pohľadávkach štátu a o zmene a doplnení niektorých zákonov poverenou osobou pre konsolidáciu pohľadávok verejného sektora vykazuje druhú najväčšiu hodnotu podmienených aktív v hodnote </w:t>
      </w:r>
      <w:r w:rsidR="00B33A2E">
        <w:t>3 624 879</w:t>
      </w:r>
      <w:r w:rsidRPr="0024252C">
        <w:t xml:space="preserve"> tis. eur. Medziročný rast nominálnej hodnoty pohľadávok </w:t>
      </w:r>
      <w:proofErr w:type="spellStart"/>
      <w:r w:rsidRPr="0024252C">
        <w:t>SKo</w:t>
      </w:r>
      <w:proofErr w:type="spellEnd"/>
      <w:r w:rsidRPr="0024252C">
        <w:t xml:space="preserve">, </w:t>
      </w:r>
      <w:proofErr w:type="spellStart"/>
      <w:r w:rsidRPr="0024252C">
        <w:t>a.s</w:t>
      </w:r>
      <w:proofErr w:type="spellEnd"/>
      <w:r w:rsidRPr="0024252C">
        <w:t xml:space="preserve">. je výsledkom novoprijatých pohľadávok na vymáhanie a vymožením resp. odpísaním nedobytných pohľadávok. Časť nominálnej hodnoty pohľadávok </w:t>
      </w:r>
      <w:proofErr w:type="spellStart"/>
      <w:r w:rsidRPr="0024252C">
        <w:t>SKo</w:t>
      </w:r>
      <w:proofErr w:type="spellEnd"/>
      <w:r w:rsidRPr="0024252C">
        <w:t xml:space="preserve">, </w:t>
      </w:r>
      <w:proofErr w:type="spellStart"/>
      <w:r w:rsidRPr="0024252C">
        <w:t>a.s</w:t>
      </w:r>
      <w:proofErr w:type="spellEnd"/>
      <w:r w:rsidRPr="0024252C">
        <w:t>. je pre účely čistého bohatstva eliminovaná, nakoľko je predmetom účtovnej konsolidácie vo verejnej správy, čo zabezpečuje vykázanie pohľadávok len jednou hodnotou.</w:t>
      </w:r>
    </w:p>
    <w:p w14:paraId="4826CC88" w14:textId="33A8D34A" w:rsidR="009B0DE7" w:rsidRPr="00A7323A" w:rsidRDefault="009B0DE7" w:rsidP="00A7323A">
      <w:pPr>
        <w:spacing w:after="120" w:line="240" w:lineRule="auto"/>
        <w:jc w:val="both"/>
        <w:rPr>
          <w:szCs w:val="22"/>
        </w:rPr>
      </w:pPr>
      <w:r w:rsidRPr="00A7323A">
        <w:rPr>
          <w:b/>
        </w:rPr>
        <w:t xml:space="preserve">Zo súdnych sporov a iných právnych úkonov </w:t>
      </w:r>
      <w:r w:rsidRPr="00A7323A">
        <w:t xml:space="preserve">boli významné </w:t>
      </w:r>
      <w:r w:rsidR="00B33A2E" w:rsidRPr="00A7323A">
        <w:t xml:space="preserve">súdne </w:t>
      </w:r>
      <w:r w:rsidRPr="00A7323A">
        <w:t>konania</w:t>
      </w:r>
      <w:r w:rsidR="00B33A2E" w:rsidRPr="00A7323A">
        <w:t xml:space="preserve">, ktorých účastníkom je </w:t>
      </w:r>
      <w:r w:rsidRPr="00A7323A">
        <w:rPr>
          <w:u w:val="single"/>
        </w:rPr>
        <w:t>Vodohospodársk</w:t>
      </w:r>
      <w:r w:rsidR="00B33A2E" w:rsidRPr="00A7323A">
        <w:rPr>
          <w:u w:val="single"/>
        </w:rPr>
        <w:t>a</w:t>
      </w:r>
      <w:r w:rsidRPr="00A7323A">
        <w:rPr>
          <w:u w:val="single"/>
        </w:rPr>
        <w:t xml:space="preserve"> výstavb</w:t>
      </w:r>
      <w:r w:rsidR="00B33A2E" w:rsidRPr="00A7323A">
        <w:rPr>
          <w:u w:val="single"/>
        </w:rPr>
        <w:t>a</w:t>
      </w:r>
      <w:r w:rsidRPr="00A7323A">
        <w:rPr>
          <w:u w:val="single"/>
        </w:rPr>
        <w:t>, š. p</w:t>
      </w:r>
      <w:r w:rsidRPr="00A7323A">
        <w:t xml:space="preserve">. voči Slovenským elektrárňam, a. s. o bezdôvodné obohatenie. </w:t>
      </w:r>
      <w:r w:rsidRPr="00A7323A">
        <w:rPr>
          <w:szCs w:val="22"/>
        </w:rPr>
        <w:t xml:space="preserve">Spor sa týka platieb, ktoré platila Vodohospodárska výstavba, š. p. elektrárňam od roku 2006 na základe zmlúv na užívanie Vodnej elektrárne Gabčíkovo, ktoré sú podľa štátneho podniku neplatné. </w:t>
      </w:r>
    </w:p>
    <w:p w14:paraId="2E360DF7" w14:textId="1755CB5C" w:rsidR="001A2E34" w:rsidRDefault="00F77F59" w:rsidP="002C784D">
      <w:pPr>
        <w:spacing w:after="120" w:line="240" w:lineRule="auto"/>
        <w:jc w:val="both"/>
      </w:pPr>
      <w:r w:rsidRPr="002C784D">
        <w:t>Medziročná zmena u </w:t>
      </w:r>
      <w:r w:rsidRPr="002C784D">
        <w:rPr>
          <w:u w:val="single"/>
        </w:rPr>
        <w:t>Ministerstva financií SR</w:t>
      </w:r>
      <w:r w:rsidRPr="002C784D">
        <w:t xml:space="preserve"> znamená zníženie podmienených pasív o 380 928 tis. eur </w:t>
      </w:r>
      <w:r w:rsidR="00F3473C">
        <w:t xml:space="preserve">z dôvodu </w:t>
      </w:r>
      <w:r w:rsidRPr="002C784D">
        <w:t>ukončeni</w:t>
      </w:r>
      <w:r w:rsidR="00CF3FAC" w:rsidRPr="002C784D">
        <w:t>e viacerých konkurzných konaní.</w:t>
      </w:r>
    </w:p>
    <w:p w14:paraId="51674BC8" w14:textId="77777777" w:rsidR="001A2E34" w:rsidRDefault="001A2E34">
      <w:r>
        <w:br w:type="page"/>
      </w:r>
    </w:p>
    <w:tbl>
      <w:tblPr>
        <w:tblW w:w="9358" w:type="dxa"/>
        <w:tblCellMar>
          <w:left w:w="70" w:type="dxa"/>
          <w:right w:w="70" w:type="dxa"/>
        </w:tblCellMar>
        <w:tblLook w:val="04A0" w:firstRow="1" w:lastRow="0" w:firstColumn="1" w:lastColumn="0" w:noHBand="0" w:noVBand="1"/>
      </w:tblPr>
      <w:tblGrid>
        <w:gridCol w:w="4536"/>
        <w:gridCol w:w="950"/>
        <w:gridCol w:w="1318"/>
        <w:gridCol w:w="1276"/>
        <w:gridCol w:w="1278"/>
      </w:tblGrid>
      <w:tr w:rsidR="00F87EF6" w:rsidRPr="00F03FCE" w14:paraId="223F937D" w14:textId="77777777" w:rsidTr="00FA497B">
        <w:trPr>
          <w:trHeight w:val="311"/>
        </w:trPr>
        <w:tc>
          <w:tcPr>
            <w:tcW w:w="9358" w:type="dxa"/>
            <w:gridSpan w:val="5"/>
            <w:tcBorders>
              <w:top w:val="nil"/>
              <w:left w:val="nil"/>
              <w:bottom w:val="nil"/>
              <w:right w:val="nil"/>
            </w:tcBorders>
            <w:shd w:val="clear" w:color="000000" w:fill="000000"/>
            <w:noWrap/>
            <w:vAlign w:val="center"/>
            <w:hideMark/>
          </w:tcPr>
          <w:p w14:paraId="6B9DDD4C" w14:textId="0A1AB13F" w:rsidR="00F87EF6" w:rsidRPr="00F87EF6" w:rsidRDefault="00C43BB4" w:rsidP="00F87EF6">
            <w:pPr>
              <w:spacing w:after="0" w:line="240" w:lineRule="auto"/>
              <w:rPr>
                <w:b/>
                <w:bCs/>
                <w:color w:val="FFFFFF"/>
                <w:sz w:val="18"/>
                <w:szCs w:val="18"/>
                <w:lang w:eastAsia="sk-SK"/>
              </w:rPr>
            </w:pPr>
            <w:r>
              <w:rPr>
                <w:b/>
                <w:bCs/>
                <w:color w:val="FFFFFF"/>
                <w:sz w:val="18"/>
                <w:szCs w:val="18"/>
                <w:lang w:eastAsia="sk-SK"/>
              </w:rPr>
              <w:lastRenderedPageBreak/>
              <w:t xml:space="preserve">Tab. 25 - </w:t>
            </w:r>
            <w:r w:rsidR="00F87EF6" w:rsidRPr="00F87EF6">
              <w:rPr>
                <w:b/>
                <w:bCs/>
                <w:color w:val="FFFFFF"/>
                <w:sz w:val="18"/>
                <w:szCs w:val="18"/>
                <w:lang w:eastAsia="sk-SK"/>
              </w:rPr>
              <w:t> </w:t>
            </w:r>
            <w:r w:rsidR="00F87EF6" w:rsidRPr="00F03FCE">
              <w:rPr>
                <w:b/>
                <w:bCs/>
                <w:color w:val="FFFFFF"/>
                <w:sz w:val="18"/>
                <w:szCs w:val="18"/>
                <w:lang w:eastAsia="sk-SK"/>
              </w:rPr>
              <w:t>Prehľad najväčších podmienených aktív  (v tis. eur)</w:t>
            </w:r>
          </w:p>
        </w:tc>
      </w:tr>
      <w:tr w:rsidR="00F87EF6" w:rsidRPr="00F03FCE" w14:paraId="67E2DA7C" w14:textId="77777777" w:rsidTr="00007DA1">
        <w:trPr>
          <w:trHeight w:val="519"/>
        </w:trPr>
        <w:tc>
          <w:tcPr>
            <w:tcW w:w="4536" w:type="dxa"/>
            <w:tcBorders>
              <w:top w:val="single" w:sz="4" w:space="0" w:color="auto"/>
              <w:left w:val="nil"/>
              <w:bottom w:val="single" w:sz="8" w:space="0" w:color="auto"/>
              <w:right w:val="nil"/>
            </w:tcBorders>
            <w:shd w:val="clear" w:color="000000" w:fill="BFBFBF"/>
            <w:vAlign w:val="bottom"/>
            <w:hideMark/>
          </w:tcPr>
          <w:p w14:paraId="7C09E505" w14:textId="25043C2D" w:rsidR="00F87EF6" w:rsidRPr="00F87EF6" w:rsidRDefault="00F87EF6" w:rsidP="00F87EF6">
            <w:pPr>
              <w:spacing w:after="0" w:line="240" w:lineRule="auto"/>
              <w:jc w:val="center"/>
              <w:rPr>
                <w:b/>
                <w:bCs/>
                <w:sz w:val="18"/>
                <w:szCs w:val="18"/>
                <w:lang w:eastAsia="sk-SK"/>
              </w:rPr>
            </w:pPr>
          </w:p>
        </w:tc>
        <w:tc>
          <w:tcPr>
            <w:tcW w:w="950" w:type="dxa"/>
            <w:tcBorders>
              <w:top w:val="single" w:sz="4" w:space="0" w:color="auto"/>
              <w:left w:val="nil"/>
              <w:bottom w:val="single" w:sz="8" w:space="0" w:color="auto"/>
              <w:right w:val="nil"/>
            </w:tcBorders>
            <w:shd w:val="clear" w:color="000000" w:fill="BFBFBF"/>
            <w:vAlign w:val="bottom"/>
            <w:hideMark/>
          </w:tcPr>
          <w:p w14:paraId="0362A106" w14:textId="77777777" w:rsidR="00F87EF6" w:rsidRPr="00F87EF6" w:rsidRDefault="00F87EF6" w:rsidP="00F87EF6">
            <w:pPr>
              <w:spacing w:after="0" w:line="240" w:lineRule="auto"/>
              <w:jc w:val="right"/>
              <w:rPr>
                <w:b/>
                <w:bCs/>
                <w:sz w:val="18"/>
                <w:szCs w:val="18"/>
                <w:lang w:eastAsia="sk-SK"/>
              </w:rPr>
            </w:pPr>
            <w:r w:rsidRPr="00F87EF6">
              <w:rPr>
                <w:b/>
                <w:bCs/>
                <w:sz w:val="18"/>
                <w:szCs w:val="18"/>
                <w:lang w:eastAsia="sk-SK"/>
              </w:rPr>
              <w:t>31.12.2018</w:t>
            </w:r>
          </w:p>
        </w:tc>
        <w:tc>
          <w:tcPr>
            <w:tcW w:w="1318" w:type="dxa"/>
            <w:tcBorders>
              <w:top w:val="single" w:sz="4" w:space="0" w:color="auto"/>
              <w:left w:val="nil"/>
              <w:bottom w:val="single" w:sz="8" w:space="0" w:color="auto"/>
              <w:right w:val="nil"/>
            </w:tcBorders>
            <w:shd w:val="clear" w:color="000000" w:fill="BFBFBF"/>
            <w:vAlign w:val="bottom"/>
            <w:hideMark/>
          </w:tcPr>
          <w:p w14:paraId="79C809FD" w14:textId="77777777" w:rsidR="00F87EF6" w:rsidRPr="00F87EF6" w:rsidRDefault="00F87EF6" w:rsidP="00F87EF6">
            <w:pPr>
              <w:spacing w:after="0" w:line="240" w:lineRule="auto"/>
              <w:jc w:val="right"/>
              <w:rPr>
                <w:b/>
                <w:bCs/>
                <w:sz w:val="18"/>
                <w:szCs w:val="18"/>
                <w:lang w:eastAsia="sk-SK"/>
              </w:rPr>
            </w:pPr>
            <w:r w:rsidRPr="00F87EF6">
              <w:rPr>
                <w:b/>
                <w:bCs/>
                <w:sz w:val="18"/>
                <w:szCs w:val="18"/>
                <w:lang w:eastAsia="sk-SK"/>
              </w:rPr>
              <w:t>31.12.2019</w:t>
            </w:r>
          </w:p>
        </w:tc>
        <w:tc>
          <w:tcPr>
            <w:tcW w:w="1276" w:type="dxa"/>
            <w:tcBorders>
              <w:top w:val="single" w:sz="4" w:space="0" w:color="auto"/>
              <w:left w:val="nil"/>
              <w:bottom w:val="single" w:sz="8" w:space="0" w:color="auto"/>
              <w:right w:val="nil"/>
            </w:tcBorders>
            <w:shd w:val="clear" w:color="000000" w:fill="BFBFBF"/>
            <w:vAlign w:val="bottom"/>
            <w:hideMark/>
          </w:tcPr>
          <w:p w14:paraId="0A343290" w14:textId="77777777" w:rsidR="00F87EF6" w:rsidRPr="00F87EF6" w:rsidRDefault="00F87EF6" w:rsidP="00F87EF6">
            <w:pPr>
              <w:spacing w:after="0" w:line="240" w:lineRule="auto"/>
              <w:jc w:val="right"/>
              <w:rPr>
                <w:b/>
                <w:bCs/>
                <w:sz w:val="18"/>
                <w:szCs w:val="18"/>
                <w:lang w:eastAsia="sk-SK"/>
              </w:rPr>
            </w:pPr>
            <w:r w:rsidRPr="00F87EF6">
              <w:rPr>
                <w:b/>
                <w:bCs/>
                <w:sz w:val="18"/>
                <w:szCs w:val="18"/>
                <w:lang w:eastAsia="sk-SK"/>
              </w:rPr>
              <w:t>31.12.2020</w:t>
            </w:r>
          </w:p>
        </w:tc>
        <w:tc>
          <w:tcPr>
            <w:tcW w:w="1278" w:type="dxa"/>
            <w:tcBorders>
              <w:top w:val="single" w:sz="4" w:space="0" w:color="auto"/>
              <w:left w:val="nil"/>
              <w:bottom w:val="single" w:sz="8" w:space="0" w:color="auto"/>
              <w:right w:val="nil"/>
            </w:tcBorders>
            <w:shd w:val="clear" w:color="000000" w:fill="BFBFBF"/>
            <w:vAlign w:val="bottom"/>
            <w:hideMark/>
          </w:tcPr>
          <w:p w14:paraId="0F847756" w14:textId="77777777" w:rsidR="00F87EF6" w:rsidRPr="00F87EF6" w:rsidRDefault="00F87EF6" w:rsidP="00F87EF6">
            <w:pPr>
              <w:spacing w:after="0" w:line="240" w:lineRule="auto"/>
              <w:jc w:val="right"/>
              <w:rPr>
                <w:b/>
                <w:bCs/>
                <w:sz w:val="18"/>
                <w:szCs w:val="18"/>
                <w:lang w:eastAsia="sk-SK"/>
              </w:rPr>
            </w:pPr>
            <w:r w:rsidRPr="00F87EF6">
              <w:rPr>
                <w:b/>
                <w:bCs/>
                <w:sz w:val="18"/>
                <w:szCs w:val="18"/>
                <w:lang w:eastAsia="sk-SK"/>
              </w:rPr>
              <w:t>Δ2020-2019</w:t>
            </w:r>
          </w:p>
        </w:tc>
      </w:tr>
      <w:tr w:rsidR="00F87EF6" w:rsidRPr="00F03FCE" w14:paraId="006D31A8" w14:textId="77777777" w:rsidTr="00007DA1">
        <w:trPr>
          <w:trHeight w:val="264"/>
        </w:trPr>
        <w:tc>
          <w:tcPr>
            <w:tcW w:w="4536" w:type="dxa"/>
            <w:tcBorders>
              <w:top w:val="nil"/>
              <w:left w:val="nil"/>
              <w:bottom w:val="nil"/>
              <w:right w:val="nil"/>
            </w:tcBorders>
            <w:shd w:val="clear" w:color="auto" w:fill="auto"/>
            <w:vAlign w:val="center"/>
            <w:hideMark/>
          </w:tcPr>
          <w:p w14:paraId="04E4A263" w14:textId="3BFBB6CA" w:rsidR="00F87EF6" w:rsidRPr="00F87EF6" w:rsidRDefault="00F87EF6" w:rsidP="00F87EF6">
            <w:pPr>
              <w:spacing w:after="0" w:line="240" w:lineRule="auto"/>
              <w:rPr>
                <w:b/>
                <w:bCs/>
                <w:color w:val="000000"/>
                <w:sz w:val="18"/>
                <w:szCs w:val="18"/>
                <w:lang w:eastAsia="sk-SK"/>
              </w:rPr>
            </w:pPr>
            <w:r w:rsidRPr="00F87EF6">
              <w:rPr>
                <w:b/>
                <w:bCs/>
                <w:color w:val="000000"/>
                <w:sz w:val="18"/>
                <w:szCs w:val="18"/>
                <w:lang w:eastAsia="sk-SK"/>
              </w:rPr>
              <w:t>Súdne spory a</w:t>
            </w:r>
            <w:r w:rsidR="0049389E">
              <w:rPr>
                <w:b/>
                <w:bCs/>
                <w:color w:val="000000"/>
                <w:sz w:val="18"/>
                <w:szCs w:val="18"/>
                <w:lang w:eastAsia="sk-SK"/>
              </w:rPr>
              <w:t xml:space="preserve"> exekučné </w:t>
            </w:r>
            <w:r w:rsidRPr="00F87EF6">
              <w:rPr>
                <w:b/>
                <w:bCs/>
                <w:color w:val="000000"/>
                <w:sz w:val="18"/>
                <w:szCs w:val="18"/>
                <w:lang w:eastAsia="sk-SK"/>
              </w:rPr>
              <w:t>konania</w:t>
            </w:r>
          </w:p>
        </w:tc>
        <w:tc>
          <w:tcPr>
            <w:tcW w:w="950" w:type="dxa"/>
            <w:tcBorders>
              <w:top w:val="nil"/>
              <w:left w:val="nil"/>
              <w:bottom w:val="nil"/>
              <w:right w:val="nil"/>
            </w:tcBorders>
            <w:shd w:val="clear" w:color="auto" w:fill="auto"/>
            <w:vAlign w:val="center"/>
            <w:hideMark/>
          </w:tcPr>
          <w:p w14:paraId="0DFBBBEC" w14:textId="77777777" w:rsidR="00F87EF6" w:rsidRPr="00F87EF6" w:rsidRDefault="00F87EF6" w:rsidP="00F87EF6">
            <w:pPr>
              <w:spacing w:after="0" w:line="240" w:lineRule="auto"/>
              <w:jc w:val="right"/>
              <w:rPr>
                <w:b/>
                <w:bCs/>
                <w:color w:val="000000"/>
                <w:sz w:val="18"/>
                <w:szCs w:val="18"/>
                <w:lang w:eastAsia="sk-SK"/>
              </w:rPr>
            </w:pPr>
            <w:r w:rsidRPr="00F87EF6">
              <w:rPr>
                <w:b/>
                <w:bCs/>
                <w:color w:val="000000"/>
                <w:sz w:val="18"/>
                <w:szCs w:val="18"/>
                <w:lang w:eastAsia="sk-SK"/>
              </w:rPr>
              <w:t>829 466</w:t>
            </w:r>
          </w:p>
        </w:tc>
        <w:tc>
          <w:tcPr>
            <w:tcW w:w="1318" w:type="dxa"/>
            <w:tcBorders>
              <w:top w:val="nil"/>
              <w:left w:val="nil"/>
              <w:bottom w:val="nil"/>
              <w:right w:val="nil"/>
            </w:tcBorders>
            <w:shd w:val="clear" w:color="auto" w:fill="auto"/>
            <w:vAlign w:val="center"/>
            <w:hideMark/>
          </w:tcPr>
          <w:p w14:paraId="0D64FC18" w14:textId="77777777" w:rsidR="00F87EF6" w:rsidRPr="00F87EF6" w:rsidRDefault="00F87EF6" w:rsidP="00F87EF6">
            <w:pPr>
              <w:spacing w:after="0" w:line="240" w:lineRule="auto"/>
              <w:jc w:val="right"/>
              <w:rPr>
                <w:b/>
                <w:bCs/>
                <w:color w:val="000000"/>
                <w:sz w:val="18"/>
                <w:szCs w:val="18"/>
                <w:lang w:eastAsia="sk-SK"/>
              </w:rPr>
            </w:pPr>
            <w:r w:rsidRPr="00F87EF6">
              <w:rPr>
                <w:b/>
                <w:bCs/>
                <w:color w:val="000000"/>
                <w:sz w:val="18"/>
                <w:szCs w:val="18"/>
                <w:lang w:eastAsia="sk-SK"/>
              </w:rPr>
              <w:t>839 548</w:t>
            </w:r>
          </w:p>
        </w:tc>
        <w:tc>
          <w:tcPr>
            <w:tcW w:w="1276" w:type="dxa"/>
            <w:tcBorders>
              <w:top w:val="nil"/>
              <w:left w:val="nil"/>
              <w:bottom w:val="nil"/>
              <w:right w:val="nil"/>
            </w:tcBorders>
            <w:shd w:val="clear" w:color="auto" w:fill="auto"/>
            <w:vAlign w:val="center"/>
            <w:hideMark/>
          </w:tcPr>
          <w:p w14:paraId="7627D066" w14:textId="77777777" w:rsidR="00F87EF6" w:rsidRPr="00F87EF6" w:rsidRDefault="00F87EF6" w:rsidP="00F87EF6">
            <w:pPr>
              <w:spacing w:after="0" w:line="240" w:lineRule="auto"/>
              <w:jc w:val="right"/>
              <w:rPr>
                <w:b/>
                <w:bCs/>
                <w:color w:val="000000"/>
                <w:sz w:val="18"/>
                <w:szCs w:val="18"/>
                <w:lang w:eastAsia="sk-SK"/>
              </w:rPr>
            </w:pPr>
            <w:r w:rsidRPr="00F87EF6">
              <w:rPr>
                <w:b/>
                <w:bCs/>
                <w:color w:val="000000"/>
                <w:sz w:val="18"/>
                <w:szCs w:val="18"/>
                <w:lang w:eastAsia="sk-SK"/>
              </w:rPr>
              <w:t>442 422</w:t>
            </w:r>
          </w:p>
        </w:tc>
        <w:tc>
          <w:tcPr>
            <w:tcW w:w="1278" w:type="dxa"/>
            <w:tcBorders>
              <w:top w:val="nil"/>
              <w:left w:val="nil"/>
              <w:bottom w:val="nil"/>
              <w:right w:val="nil"/>
            </w:tcBorders>
            <w:shd w:val="clear" w:color="auto" w:fill="auto"/>
            <w:vAlign w:val="center"/>
            <w:hideMark/>
          </w:tcPr>
          <w:p w14:paraId="7072D548" w14:textId="77777777" w:rsidR="00F87EF6" w:rsidRPr="00F87EF6" w:rsidRDefault="00F87EF6" w:rsidP="00F87EF6">
            <w:pPr>
              <w:spacing w:after="0" w:line="240" w:lineRule="auto"/>
              <w:jc w:val="right"/>
              <w:rPr>
                <w:b/>
                <w:bCs/>
                <w:color w:val="000000"/>
                <w:sz w:val="18"/>
                <w:szCs w:val="18"/>
                <w:lang w:eastAsia="sk-SK"/>
              </w:rPr>
            </w:pPr>
            <w:r w:rsidRPr="00F87EF6">
              <w:rPr>
                <w:b/>
                <w:bCs/>
                <w:color w:val="000000"/>
                <w:sz w:val="18"/>
                <w:szCs w:val="18"/>
                <w:lang w:eastAsia="sk-SK"/>
              </w:rPr>
              <w:t>-397 126</w:t>
            </w:r>
          </w:p>
        </w:tc>
      </w:tr>
      <w:tr w:rsidR="00F87EF6" w:rsidRPr="00F03FCE" w14:paraId="16412C7A" w14:textId="77777777" w:rsidTr="00007DA1">
        <w:trPr>
          <w:trHeight w:val="264"/>
        </w:trPr>
        <w:tc>
          <w:tcPr>
            <w:tcW w:w="4536" w:type="dxa"/>
            <w:tcBorders>
              <w:top w:val="nil"/>
              <w:left w:val="nil"/>
              <w:bottom w:val="nil"/>
              <w:right w:val="nil"/>
            </w:tcBorders>
            <w:shd w:val="clear" w:color="auto" w:fill="auto"/>
            <w:vAlign w:val="center"/>
            <w:hideMark/>
          </w:tcPr>
          <w:p w14:paraId="7816AF4D" w14:textId="77777777" w:rsidR="00F87EF6" w:rsidRPr="00F87EF6" w:rsidRDefault="00F87EF6" w:rsidP="00F87EF6">
            <w:pPr>
              <w:spacing w:after="0" w:line="240" w:lineRule="auto"/>
              <w:ind w:firstLineChars="100" w:firstLine="180"/>
              <w:rPr>
                <w:color w:val="000000"/>
                <w:sz w:val="18"/>
                <w:szCs w:val="18"/>
                <w:lang w:eastAsia="sk-SK"/>
              </w:rPr>
            </w:pPr>
            <w:r w:rsidRPr="00F87EF6">
              <w:rPr>
                <w:color w:val="000000"/>
                <w:sz w:val="18"/>
                <w:szCs w:val="18"/>
                <w:lang w:eastAsia="sk-SK"/>
              </w:rPr>
              <w:t xml:space="preserve">Vodohospodárska výstavba, š. p. </w:t>
            </w:r>
          </w:p>
        </w:tc>
        <w:tc>
          <w:tcPr>
            <w:tcW w:w="950" w:type="dxa"/>
            <w:tcBorders>
              <w:top w:val="nil"/>
              <w:left w:val="nil"/>
              <w:bottom w:val="nil"/>
              <w:right w:val="nil"/>
            </w:tcBorders>
            <w:shd w:val="clear" w:color="auto" w:fill="auto"/>
            <w:vAlign w:val="center"/>
            <w:hideMark/>
          </w:tcPr>
          <w:p w14:paraId="3253BADC"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407 787</w:t>
            </w:r>
          </w:p>
        </w:tc>
        <w:tc>
          <w:tcPr>
            <w:tcW w:w="1318" w:type="dxa"/>
            <w:tcBorders>
              <w:top w:val="nil"/>
              <w:left w:val="nil"/>
              <w:bottom w:val="nil"/>
              <w:right w:val="nil"/>
            </w:tcBorders>
            <w:shd w:val="clear" w:color="auto" w:fill="auto"/>
            <w:vAlign w:val="center"/>
            <w:hideMark/>
          </w:tcPr>
          <w:p w14:paraId="51346017"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407 873</w:t>
            </w:r>
          </w:p>
        </w:tc>
        <w:tc>
          <w:tcPr>
            <w:tcW w:w="1276" w:type="dxa"/>
            <w:tcBorders>
              <w:top w:val="nil"/>
              <w:left w:val="nil"/>
              <w:bottom w:val="nil"/>
              <w:right w:val="nil"/>
            </w:tcBorders>
            <w:shd w:val="clear" w:color="auto" w:fill="auto"/>
            <w:vAlign w:val="center"/>
            <w:hideMark/>
          </w:tcPr>
          <w:p w14:paraId="615727D9"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408 419</w:t>
            </w:r>
          </w:p>
        </w:tc>
        <w:tc>
          <w:tcPr>
            <w:tcW w:w="1278" w:type="dxa"/>
            <w:tcBorders>
              <w:top w:val="nil"/>
              <w:left w:val="nil"/>
              <w:bottom w:val="nil"/>
              <w:right w:val="nil"/>
            </w:tcBorders>
            <w:shd w:val="clear" w:color="auto" w:fill="auto"/>
            <w:vAlign w:val="center"/>
            <w:hideMark/>
          </w:tcPr>
          <w:p w14:paraId="67A09356"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546</w:t>
            </w:r>
          </w:p>
        </w:tc>
      </w:tr>
      <w:tr w:rsidR="00F87EF6" w:rsidRPr="00F03FCE" w14:paraId="05CC0543" w14:textId="77777777" w:rsidTr="00007DA1">
        <w:trPr>
          <w:trHeight w:val="264"/>
        </w:trPr>
        <w:tc>
          <w:tcPr>
            <w:tcW w:w="4536" w:type="dxa"/>
            <w:tcBorders>
              <w:top w:val="nil"/>
              <w:left w:val="nil"/>
              <w:bottom w:val="nil"/>
              <w:right w:val="nil"/>
            </w:tcBorders>
            <w:shd w:val="clear" w:color="auto" w:fill="auto"/>
            <w:vAlign w:val="center"/>
            <w:hideMark/>
          </w:tcPr>
          <w:p w14:paraId="5D53FCD1" w14:textId="77777777" w:rsidR="00F87EF6" w:rsidRPr="00F87EF6" w:rsidRDefault="00F87EF6" w:rsidP="00F87EF6">
            <w:pPr>
              <w:spacing w:after="0" w:line="240" w:lineRule="auto"/>
              <w:rPr>
                <w:color w:val="000000"/>
                <w:sz w:val="18"/>
                <w:szCs w:val="18"/>
                <w:lang w:eastAsia="sk-SK"/>
              </w:rPr>
            </w:pPr>
            <w:r w:rsidRPr="00F87EF6">
              <w:rPr>
                <w:color w:val="000000"/>
                <w:sz w:val="18"/>
                <w:szCs w:val="18"/>
                <w:lang w:eastAsia="sk-SK"/>
              </w:rPr>
              <w:t xml:space="preserve">    MH Manažment, a.s.</w:t>
            </w:r>
          </w:p>
        </w:tc>
        <w:tc>
          <w:tcPr>
            <w:tcW w:w="950" w:type="dxa"/>
            <w:tcBorders>
              <w:top w:val="nil"/>
              <w:left w:val="nil"/>
              <w:bottom w:val="nil"/>
              <w:right w:val="nil"/>
            </w:tcBorders>
            <w:shd w:val="clear" w:color="auto" w:fill="auto"/>
            <w:vAlign w:val="center"/>
            <w:hideMark/>
          </w:tcPr>
          <w:p w14:paraId="54556EB8"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31 805</w:t>
            </w:r>
          </w:p>
        </w:tc>
        <w:tc>
          <w:tcPr>
            <w:tcW w:w="1318" w:type="dxa"/>
            <w:tcBorders>
              <w:top w:val="nil"/>
              <w:left w:val="nil"/>
              <w:bottom w:val="nil"/>
              <w:right w:val="nil"/>
            </w:tcBorders>
            <w:shd w:val="clear" w:color="auto" w:fill="auto"/>
            <w:vAlign w:val="center"/>
            <w:hideMark/>
          </w:tcPr>
          <w:p w14:paraId="6C85702B"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41 686</w:t>
            </w:r>
          </w:p>
        </w:tc>
        <w:tc>
          <w:tcPr>
            <w:tcW w:w="1276" w:type="dxa"/>
            <w:tcBorders>
              <w:top w:val="nil"/>
              <w:left w:val="nil"/>
              <w:bottom w:val="nil"/>
              <w:right w:val="nil"/>
            </w:tcBorders>
            <w:shd w:val="clear" w:color="auto" w:fill="auto"/>
            <w:vAlign w:val="center"/>
            <w:hideMark/>
          </w:tcPr>
          <w:p w14:paraId="562D0DF7"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26 550</w:t>
            </w:r>
          </w:p>
        </w:tc>
        <w:tc>
          <w:tcPr>
            <w:tcW w:w="1278" w:type="dxa"/>
            <w:tcBorders>
              <w:top w:val="nil"/>
              <w:left w:val="nil"/>
              <w:bottom w:val="nil"/>
              <w:right w:val="nil"/>
            </w:tcBorders>
            <w:shd w:val="clear" w:color="auto" w:fill="auto"/>
            <w:vAlign w:val="center"/>
            <w:hideMark/>
          </w:tcPr>
          <w:p w14:paraId="197DAFC0"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-15 136</w:t>
            </w:r>
          </w:p>
        </w:tc>
      </w:tr>
      <w:tr w:rsidR="00F87EF6" w:rsidRPr="00F03FCE" w14:paraId="4A4E1619" w14:textId="77777777" w:rsidTr="00007DA1">
        <w:trPr>
          <w:trHeight w:val="264"/>
        </w:trPr>
        <w:tc>
          <w:tcPr>
            <w:tcW w:w="4536" w:type="dxa"/>
            <w:tcBorders>
              <w:top w:val="nil"/>
              <w:left w:val="nil"/>
              <w:bottom w:val="nil"/>
              <w:right w:val="nil"/>
            </w:tcBorders>
            <w:shd w:val="clear" w:color="auto" w:fill="auto"/>
            <w:vAlign w:val="center"/>
            <w:hideMark/>
          </w:tcPr>
          <w:p w14:paraId="7EF28AC4" w14:textId="77777777" w:rsidR="00F87EF6" w:rsidRPr="00F87EF6" w:rsidRDefault="00F87EF6" w:rsidP="00F87EF6">
            <w:pPr>
              <w:spacing w:after="0" w:line="240" w:lineRule="auto"/>
              <w:ind w:firstLineChars="100" w:firstLine="180"/>
              <w:rPr>
                <w:color w:val="000000"/>
                <w:sz w:val="18"/>
                <w:szCs w:val="18"/>
                <w:lang w:eastAsia="sk-SK"/>
              </w:rPr>
            </w:pPr>
            <w:r w:rsidRPr="00F87EF6">
              <w:rPr>
                <w:color w:val="000000"/>
                <w:sz w:val="18"/>
                <w:szCs w:val="18"/>
                <w:lang w:eastAsia="sk-SK"/>
              </w:rPr>
              <w:t>Ministerstvo financií SR</w:t>
            </w:r>
          </w:p>
        </w:tc>
        <w:tc>
          <w:tcPr>
            <w:tcW w:w="950" w:type="dxa"/>
            <w:tcBorders>
              <w:top w:val="nil"/>
              <w:left w:val="nil"/>
              <w:bottom w:val="nil"/>
              <w:right w:val="nil"/>
            </w:tcBorders>
            <w:shd w:val="clear" w:color="auto" w:fill="auto"/>
            <w:vAlign w:val="center"/>
            <w:hideMark/>
          </w:tcPr>
          <w:p w14:paraId="75CBA5DF"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380 928</w:t>
            </w:r>
          </w:p>
        </w:tc>
        <w:tc>
          <w:tcPr>
            <w:tcW w:w="1318" w:type="dxa"/>
            <w:tcBorders>
              <w:top w:val="nil"/>
              <w:left w:val="nil"/>
              <w:bottom w:val="nil"/>
              <w:right w:val="nil"/>
            </w:tcBorders>
            <w:shd w:val="clear" w:color="auto" w:fill="auto"/>
            <w:vAlign w:val="center"/>
            <w:hideMark/>
          </w:tcPr>
          <w:p w14:paraId="20A762BC"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380 928</w:t>
            </w:r>
          </w:p>
        </w:tc>
        <w:tc>
          <w:tcPr>
            <w:tcW w:w="1276" w:type="dxa"/>
            <w:tcBorders>
              <w:top w:val="nil"/>
              <w:left w:val="nil"/>
              <w:bottom w:val="nil"/>
              <w:right w:val="nil"/>
            </w:tcBorders>
            <w:shd w:val="clear" w:color="auto" w:fill="auto"/>
            <w:vAlign w:val="center"/>
            <w:hideMark/>
          </w:tcPr>
          <w:p w14:paraId="5083908D"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3 910</w:t>
            </w:r>
          </w:p>
        </w:tc>
        <w:tc>
          <w:tcPr>
            <w:tcW w:w="1278" w:type="dxa"/>
            <w:tcBorders>
              <w:top w:val="nil"/>
              <w:left w:val="nil"/>
              <w:bottom w:val="nil"/>
              <w:right w:val="nil"/>
            </w:tcBorders>
            <w:shd w:val="clear" w:color="auto" w:fill="auto"/>
            <w:vAlign w:val="center"/>
            <w:hideMark/>
          </w:tcPr>
          <w:p w14:paraId="624D4B49"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-377 018</w:t>
            </w:r>
          </w:p>
        </w:tc>
      </w:tr>
      <w:tr w:rsidR="00F87EF6" w:rsidRPr="00F03FCE" w14:paraId="37E994C6" w14:textId="77777777" w:rsidTr="00007DA1">
        <w:trPr>
          <w:trHeight w:val="264"/>
        </w:trPr>
        <w:tc>
          <w:tcPr>
            <w:tcW w:w="4536" w:type="dxa"/>
            <w:tcBorders>
              <w:top w:val="nil"/>
              <w:left w:val="nil"/>
              <w:bottom w:val="nil"/>
              <w:right w:val="nil"/>
            </w:tcBorders>
            <w:shd w:val="clear" w:color="auto" w:fill="auto"/>
            <w:vAlign w:val="center"/>
            <w:hideMark/>
          </w:tcPr>
          <w:p w14:paraId="30B28A1C" w14:textId="77777777" w:rsidR="00F87EF6" w:rsidRPr="00F87EF6" w:rsidRDefault="00F87EF6" w:rsidP="00F87EF6">
            <w:pPr>
              <w:spacing w:after="0" w:line="240" w:lineRule="auto"/>
              <w:ind w:firstLineChars="100" w:firstLine="180"/>
              <w:rPr>
                <w:color w:val="000000"/>
                <w:sz w:val="18"/>
                <w:szCs w:val="18"/>
                <w:lang w:eastAsia="sk-SK"/>
              </w:rPr>
            </w:pPr>
            <w:r w:rsidRPr="00F87EF6">
              <w:rPr>
                <w:color w:val="000000"/>
                <w:sz w:val="18"/>
                <w:szCs w:val="18"/>
                <w:lang w:eastAsia="sk-SK"/>
              </w:rPr>
              <w:t>Ministerstvo vnútra SR</w:t>
            </w:r>
          </w:p>
        </w:tc>
        <w:tc>
          <w:tcPr>
            <w:tcW w:w="950" w:type="dxa"/>
            <w:tcBorders>
              <w:top w:val="nil"/>
              <w:left w:val="nil"/>
              <w:bottom w:val="nil"/>
              <w:right w:val="nil"/>
            </w:tcBorders>
            <w:shd w:val="clear" w:color="auto" w:fill="auto"/>
            <w:vAlign w:val="center"/>
            <w:hideMark/>
          </w:tcPr>
          <w:p w14:paraId="78848CDD"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4 897</w:t>
            </w:r>
          </w:p>
        </w:tc>
        <w:tc>
          <w:tcPr>
            <w:tcW w:w="1318" w:type="dxa"/>
            <w:tcBorders>
              <w:top w:val="nil"/>
              <w:left w:val="nil"/>
              <w:bottom w:val="nil"/>
              <w:right w:val="nil"/>
            </w:tcBorders>
            <w:shd w:val="clear" w:color="auto" w:fill="auto"/>
            <w:vAlign w:val="center"/>
            <w:hideMark/>
          </w:tcPr>
          <w:p w14:paraId="101CFB8A"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5 019</w:t>
            </w:r>
          </w:p>
        </w:tc>
        <w:tc>
          <w:tcPr>
            <w:tcW w:w="1276" w:type="dxa"/>
            <w:tcBorders>
              <w:top w:val="nil"/>
              <w:left w:val="nil"/>
              <w:bottom w:val="nil"/>
              <w:right w:val="nil"/>
            </w:tcBorders>
            <w:shd w:val="clear" w:color="auto" w:fill="auto"/>
            <w:vAlign w:val="center"/>
            <w:hideMark/>
          </w:tcPr>
          <w:p w14:paraId="42EA9D59"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3 543</w:t>
            </w:r>
          </w:p>
        </w:tc>
        <w:tc>
          <w:tcPr>
            <w:tcW w:w="1278" w:type="dxa"/>
            <w:tcBorders>
              <w:top w:val="nil"/>
              <w:left w:val="nil"/>
              <w:bottom w:val="nil"/>
              <w:right w:val="nil"/>
            </w:tcBorders>
            <w:shd w:val="clear" w:color="auto" w:fill="auto"/>
            <w:vAlign w:val="center"/>
            <w:hideMark/>
          </w:tcPr>
          <w:p w14:paraId="3DA32C5C"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-1 476</w:t>
            </w:r>
          </w:p>
        </w:tc>
      </w:tr>
      <w:tr w:rsidR="00F87EF6" w:rsidRPr="00F03FCE" w14:paraId="58331968" w14:textId="77777777" w:rsidTr="00007DA1">
        <w:trPr>
          <w:trHeight w:val="264"/>
        </w:trPr>
        <w:tc>
          <w:tcPr>
            <w:tcW w:w="4536" w:type="dxa"/>
            <w:tcBorders>
              <w:top w:val="nil"/>
              <w:left w:val="nil"/>
              <w:bottom w:val="nil"/>
              <w:right w:val="nil"/>
            </w:tcBorders>
            <w:shd w:val="clear" w:color="auto" w:fill="auto"/>
            <w:vAlign w:val="center"/>
            <w:hideMark/>
          </w:tcPr>
          <w:p w14:paraId="16FD311F" w14:textId="77777777" w:rsidR="00F87EF6" w:rsidRPr="00F87EF6" w:rsidRDefault="00F87EF6" w:rsidP="00F87EF6">
            <w:pPr>
              <w:spacing w:after="0" w:line="240" w:lineRule="auto"/>
              <w:ind w:firstLineChars="100" w:firstLine="180"/>
              <w:rPr>
                <w:color w:val="000000"/>
                <w:sz w:val="18"/>
                <w:szCs w:val="18"/>
                <w:lang w:eastAsia="sk-SK"/>
              </w:rPr>
            </w:pPr>
            <w:r w:rsidRPr="00F87EF6">
              <w:rPr>
                <w:color w:val="000000"/>
                <w:sz w:val="18"/>
                <w:szCs w:val="18"/>
                <w:lang w:eastAsia="sk-SK"/>
              </w:rPr>
              <w:t>Finančné riaditeľstvo SR</w:t>
            </w:r>
          </w:p>
        </w:tc>
        <w:tc>
          <w:tcPr>
            <w:tcW w:w="950" w:type="dxa"/>
            <w:tcBorders>
              <w:top w:val="nil"/>
              <w:left w:val="nil"/>
              <w:bottom w:val="nil"/>
              <w:right w:val="nil"/>
            </w:tcBorders>
            <w:shd w:val="clear" w:color="auto" w:fill="auto"/>
            <w:vAlign w:val="center"/>
            <w:hideMark/>
          </w:tcPr>
          <w:p w14:paraId="0CA6D386"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4 049</w:t>
            </w:r>
          </w:p>
        </w:tc>
        <w:tc>
          <w:tcPr>
            <w:tcW w:w="1318" w:type="dxa"/>
            <w:tcBorders>
              <w:top w:val="nil"/>
              <w:left w:val="nil"/>
              <w:bottom w:val="nil"/>
              <w:right w:val="nil"/>
            </w:tcBorders>
            <w:shd w:val="clear" w:color="auto" w:fill="auto"/>
            <w:vAlign w:val="center"/>
            <w:hideMark/>
          </w:tcPr>
          <w:p w14:paraId="770D81BC"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4 042</w:t>
            </w:r>
          </w:p>
        </w:tc>
        <w:tc>
          <w:tcPr>
            <w:tcW w:w="1276" w:type="dxa"/>
            <w:tcBorders>
              <w:top w:val="nil"/>
              <w:left w:val="nil"/>
              <w:bottom w:val="nil"/>
              <w:right w:val="nil"/>
            </w:tcBorders>
            <w:shd w:val="clear" w:color="auto" w:fill="auto"/>
            <w:vAlign w:val="center"/>
            <w:hideMark/>
          </w:tcPr>
          <w:p w14:paraId="5C370321"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0</w:t>
            </w:r>
          </w:p>
        </w:tc>
        <w:tc>
          <w:tcPr>
            <w:tcW w:w="1278" w:type="dxa"/>
            <w:tcBorders>
              <w:top w:val="nil"/>
              <w:left w:val="nil"/>
              <w:bottom w:val="nil"/>
              <w:right w:val="nil"/>
            </w:tcBorders>
            <w:shd w:val="clear" w:color="auto" w:fill="auto"/>
            <w:vAlign w:val="center"/>
            <w:hideMark/>
          </w:tcPr>
          <w:p w14:paraId="457FF050"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-4 042</w:t>
            </w:r>
          </w:p>
        </w:tc>
      </w:tr>
      <w:tr w:rsidR="00F87EF6" w:rsidRPr="00F03FCE" w14:paraId="33E0DF5D" w14:textId="77777777" w:rsidTr="00007DA1">
        <w:trPr>
          <w:trHeight w:val="264"/>
        </w:trPr>
        <w:tc>
          <w:tcPr>
            <w:tcW w:w="4536" w:type="dxa"/>
            <w:tcBorders>
              <w:top w:val="nil"/>
              <w:left w:val="nil"/>
              <w:bottom w:val="nil"/>
              <w:right w:val="nil"/>
            </w:tcBorders>
            <w:shd w:val="clear" w:color="auto" w:fill="auto"/>
            <w:vAlign w:val="center"/>
            <w:hideMark/>
          </w:tcPr>
          <w:p w14:paraId="3B629DA6" w14:textId="67F82E24" w:rsidR="00F87EF6" w:rsidRPr="00F87EF6" w:rsidRDefault="00F87EF6" w:rsidP="00F87EF6">
            <w:pPr>
              <w:spacing w:after="0" w:line="240" w:lineRule="auto"/>
              <w:rPr>
                <w:b/>
                <w:bCs/>
                <w:color w:val="000000"/>
                <w:sz w:val="18"/>
                <w:szCs w:val="18"/>
                <w:lang w:eastAsia="sk-SK"/>
              </w:rPr>
            </w:pPr>
            <w:r w:rsidRPr="00F87EF6">
              <w:rPr>
                <w:b/>
                <w:bCs/>
                <w:color w:val="000000"/>
                <w:sz w:val="18"/>
                <w:szCs w:val="18"/>
                <w:lang w:eastAsia="sk-SK"/>
              </w:rPr>
              <w:t>Iné (štátne podniky)</w:t>
            </w:r>
          </w:p>
        </w:tc>
        <w:tc>
          <w:tcPr>
            <w:tcW w:w="950" w:type="dxa"/>
            <w:tcBorders>
              <w:top w:val="nil"/>
              <w:left w:val="nil"/>
              <w:bottom w:val="nil"/>
              <w:right w:val="nil"/>
            </w:tcBorders>
            <w:shd w:val="clear" w:color="auto" w:fill="auto"/>
            <w:vAlign w:val="center"/>
            <w:hideMark/>
          </w:tcPr>
          <w:p w14:paraId="1F973833" w14:textId="77777777" w:rsidR="00F87EF6" w:rsidRPr="00F87EF6" w:rsidRDefault="00F87EF6" w:rsidP="00F87EF6">
            <w:pPr>
              <w:spacing w:after="0" w:line="240" w:lineRule="auto"/>
              <w:jc w:val="right"/>
              <w:rPr>
                <w:b/>
                <w:bCs/>
                <w:color w:val="000000"/>
                <w:sz w:val="18"/>
                <w:szCs w:val="18"/>
                <w:lang w:eastAsia="sk-SK"/>
              </w:rPr>
            </w:pPr>
            <w:r w:rsidRPr="00F87EF6">
              <w:rPr>
                <w:b/>
                <w:bCs/>
                <w:color w:val="000000"/>
                <w:sz w:val="18"/>
                <w:szCs w:val="18"/>
                <w:lang w:eastAsia="sk-SK"/>
              </w:rPr>
              <w:t>8 049 333</w:t>
            </w:r>
          </w:p>
        </w:tc>
        <w:tc>
          <w:tcPr>
            <w:tcW w:w="1318" w:type="dxa"/>
            <w:tcBorders>
              <w:top w:val="nil"/>
              <w:left w:val="nil"/>
              <w:bottom w:val="nil"/>
              <w:right w:val="nil"/>
            </w:tcBorders>
            <w:shd w:val="clear" w:color="auto" w:fill="auto"/>
            <w:vAlign w:val="center"/>
            <w:hideMark/>
          </w:tcPr>
          <w:p w14:paraId="0753AE6F" w14:textId="77777777" w:rsidR="00F87EF6" w:rsidRPr="00F87EF6" w:rsidRDefault="00F87EF6" w:rsidP="00F87EF6">
            <w:pPr>
              <w:spacing w:after="0" w:line="240" w:lineRule="auto"/>
              <w:jc w:val="right"/>
              <w:rPr>
                <w:b/>
                <w:bCs/>
                <w:color w:val="000000"/>
                <w:sz w:val="18"/>
                <w:szCs w:val="18"/>
                <w:lang w:eastAsia="sk-SK"/>
              </w:rPr>
            </w:pPr>
            <w:r w:rsidRPr="00F87EF6">
              <w:rPr>
                <w:b/>
                <w:bCs/>
                <w:color w:val="000000"/>
                <w:sz w:val="18"/>
                <w:szCs w:val="18"/>
                <w:lang w:eastAsia="sk-SK"/>
              </w:rPr>
              <w:t>8 520 184</w:t>
            </w:r>
          </w:p>
        </w:tc>
        <w:tc>
          <w:tcPr>
            <w:tcW w:w="1276" w:type="dxa"/>
            <w:tcBorders>
              <w:top w:val="nil"/>
              <w:left w:val="nil"/>
              <w:bottom w:val="nil"/>
              <w:right w:val="nil"/>
            </w:tcBorders>
            <w:shd w:val="clear" w:color="auto" w:fill="auto"/>
            <w:vAlign w:val="center"/>
            <w:hideMark/>
          </w:tcPr>
          <w:p w14:paraId="30578AC1" w14:textId="77777777" w:rsidR="00F87EF6" w:rsidRPr="00F87EF6" w:rsidRDefault="00F87EF6" w:rsidP="00F87EF6">
            <w:pPr>
              <w:spacing w:after="0" w:line="240" w:lineRule="auto"/>
              <w:jc w:val="right"/>
              <w:rPr>
                <w:b/>
                <w:bCs/>
                <w:color w:val="000000"/>
                <w:sz w:val="18"/>
                <w:szCs w:val="18"/>
                <w:lang w:eastAsia="sk-SK"/>
              </w:rPr>
            </w:pPr>
            <w:r w:rsidRPr="00F87EF6">
              <w:rPr>
                <w:b/>
                <w:bCs/>
                <w:color w:val="000000"/>
                <w:sz w:val="18"/>
                <w:szCs w:val="18"/>
                <w:lang w:eastAsia="sk-SK"/>
              </w:rPr>
              <w:t>8 849 304</w:t>
            </w:r>
          </w:p>
        </w:tc>
        <w:tc>
          <w:tcPr>
            <w:tcW w:w="1278" w:type="dxa"/>
            <w:tcBorders>
              <w:top w:val="nil"/>
              <w:left w:val="nil"/>
              <w:bottom w:val="nil"/>
              <w:right w:val="nil"/>
            </w:tcBorders>
            <w:shd w:val="clear" w:color="auto" w:fill="auto"/>
            <w:vAlign w:val="center"/>
            <w:hideMark/>
          </w:tcPr>
          <w:p w14:paraId="2972CAF5" w14:textId="77777777" w:rsidR="00F87EF6" w:rsidRPr="00F87EF6" w:rsidRDefault="00F87EF6" w:rsidP="00F87EF6">
            <w:pPr>
              <w:spacing w:after="0" w:line="240" w:lineRule="auto"/>
              <w:jc w:val="right"/>
              <w:rPr>
                <w:b/>
                <w:bCs/>
                <w:color w:val="000000"/>
                <w:sz w:val="18"/>
                <w:szCs w:val="18"/>
                <w:lang w:eastAsia="sk-SK"/>
              </w:rPr>
            </w:pPr>
            <w:r w:rsidRPr="00F87EF6">
              <w:rPr>
                <w:b/>
                <w:bCs/>
                <w:color w:val="000000"/>
                <w:sz w:val="18"/>
                <w:szCs w:val="18"/>
                <w:lang w:eastAsia="sk-SK"/>
              </w:rPr>
              <w:t>329 120</w:t>
            </w:r>
          </w:p>
        </w:tc>
      </w:tr>
      <w:tr w:rsidR="00F87EF6" w:rsidRPr="00F03FCE" w14:paraId="4E692131" w14:textId="77777777" w:rsidTr="00007DA1">
        <w:trPr>
          <w:trHeight w:val="264"/>
        </w:trPr>
        <w:tc>
          <w:tcPr>
            <w:tcW w:w="4536" w:type="dxa"/>
            <w:tcBorders>
              <w:top w:val="nil"/>
              <w:left w:val="nil"/>
              <w:bottom w:val="nil"/>
              <w:right w:val="nil"/>
            </w:tcBorders>
            <w:shd w:val="clear" w:color="auto" w:fill="auto"/>
            <w:vAlign w:val="center"/>
            <w:hideMark/>
          </w:tcPr>
          <w:p w14:paraId="54E5BBC4" w14:textId="77777777" w:rsidR="00F87EF6" w:rsidRPr="00F87EF6" w:rsidRDefault="00F87EF6" w:rsidP="00F87EF6">
            <w:pPr>
              <w:spacing w:after="0" w:line="240" w:lineRule="auto"/>
              <w:ind w:firstLineChars="100" w:firstLine="180"/>
              <w:rPr>
                <w:color w:val="000000"/>
                <w:sz w:val="18"/>
                <w:szCs w:val="18"/>
                <w:lang w:eastAsia="sk-SK"/>
              </w:rPr>
            </w:pPr>
            <w:r w:rsidRPr="00F87EF6">
              <w:rPr>
                <w:color w:val="000000"/>
                <w:sz w:val="18"/>
                <w:szCs w:val="18"/>
                <w:lang w:eastAsia="sk-SK"/>
              </w:rPr>
              <w:t xml:space="preserve">Lesy SR, </w:t>
            </w:r>
            <w:proofErr w:type="spellStart"/>
            <w:r w:rsidRPr="00F87EF6">
              <w:rPr>
                <w:color w:val="000000"/>
                <w:sz w:val="18"/>
                <w:szCs w:val="18"/>
                <w:lang w:eastAsia="sk-SK"/>
              </w:rPr>
              <w:t>š.p</w:t>
            </w:r>
            <w:proofErr w:type="spellEnd"/>
            <w:r w:rsidRPr="00F87EF6">
              <w:rPr>
                <w:color w:val="000000"/>
                <w:sz w:val="18"/>
                <w:szCs w:val="18"/>
                <w:lang w:eastAsia="sk-SK"/>
              </w:rPr>
              <w:t>.</w:t>
            </w:r>
          </w:p>
        </w:tc>
        <w:tc>
          <w:tcPr>
            <w:tcW w:w="950" w:type="dxa"/>
            <w:tcBorders>
              <w:top w:val="nil"/>
              <w:left w:val="nil"/>
              <w:bottom w:val="nil"/>
              <w:right w:val="nil"/>
            </w:tcBorders>
            <w:shd w:val="clear" w:color="auto" w:fill="auto"/>
            <w:vAlign w:val="center"/>
            <w:hideMark/>
          </w:tcPr>
          <w:p w14:paraId="05D1451A"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4 196 397</w:t>
            </w:r>
          </w:p>
        </w:tc>
        <w:tc>
          <w:tcPr>
            <w:tcW w:w="1318" w:type="dxa"/>
            <w:tcBorders>
              <w:top w:val="nil"/>
              <w:left w:val="nil"/>
              <w:bottom w:val="nil"/>
              <w:right w:val="nil"/>
            </w:tcBorders>
            <w:shd w:val="clear" w:color="auto" w:fill="auto"/>
            <w:vAlign w:val="center"/>
            <w:hideMark/>
          </w:tcPr>
          <w:p w14:paraId="4854BD1A"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4 090 807</w:t>
            </w:r>
          </w:p>
        </w:tc>
        <w:tc>
          <w:tcPr>
            <w:tcW w:w="1276" w:type="dxa"/>
            <w:tcBorders>
              <w:top w:val="nil"/>
              <w:left w:val="nil"/>
              <w:bottom w:val="nil"/>
              <w:right w:val="nil"/>
            </w:tcBorders>
            <w:shd w:val="clear" w:color="auto" w:fill="auto"/>
            <w:vAlign w:val="center"/>
            <w:hideMark/>
          </w:tcPr>
          <w:p w14:paraId="75E7734C"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4 017 128</w:t>
            </w:r>
          </w:p>
        </w:tc>
        <w:tc>
          <w:tcPr>
            <w:tcW w:w="1278" w:type="dxa"/>
            <w:tcBorders>
              <w:top w:val="nil"/>
              <w:left w:val="nil"/>
              <w:bottom w:val="nil"/>
              <w:right w:val="nil"/>
            </w:tcBorders>
            <w:shd w:val="clear" w:color="auto" w:fill="auto"/>
            <w:vAlign w:val="center"/>
            <w:hideMark/>
          </w:tcPr>
          <w:p w14:paraId="4B3F172E"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-73 679</w:t>
            </w:r>
          </w:p>
        </w:tc>
      </w:tr>
      <w:tr w:rsidR="00F87EF6" w:rsidRPr="00F03FCE" w14:paraId="69771904" w14:textId="77777777" w:rsidTr="00007DA1">
        <w:trPr>
          <w:trHeight w:val="264"/>
        </w:trPr>
        <w:tc>
          <w:tcPr>
            <w:tcW w:w="4536" w:type="dxa"/>
            <w:tcBorders>
              <w:top w:val="nil"/>
              <w:left w:val="nil"/>
              <w:bottom w:val="nil"/>
              <w:right w:val="nil"/>
            </w:tcBorders>
            <w:shd w:val="clear" w:color="auto" w:fill="auto"/>
            <w:noWrap/>
            <w:vAlign w:val="center"/>
            <w:hideMark/>
          </w:tcPr>
          <w:p w14:paraId="322B3AB4" w14:textId="77777777" w:rsidR="00F87EF6" w:rsidRPr="00F87EF6" w:rsidRDefault="00F87EF6" w:rsidP="00F87EF6">
            <w:pPr>
              <w:spacing w:after="0" w:line="240" w:lineRule="auto"/>
              <w:rPr>
                <w:color w:val="000000"/>
                <w:sz w:val="18"/>
                <w:szCs w:val="18"/>
                <w:lang w:eastAsia="sk-SK"/>
              </w:rPr>
            </w:pPr>
            <w:r w:rsidRPr="00F87EF6">
              <w:rPr>
                <w:color w:val="000000"/>
                <w:sz w:val="18"/>
                <w:szCs w:val="18"/>
                <w:lang w:eastAsia="sk-SK"/>
              </w:rPr>
              <w:t xml:space="preserve">   Pohľadávky v správe </w:t>
            </w:r>
            <w:proofErr w:type="spellStart"/>
            <w:r w:rsidRPr="00F87EF6">
              <w:rPr>
                <w:color w:val="000000"/>
                <w:sz w:val="18"/>
                <w:szCs w:val="18"/>
                <w:lang w:eastAsia="sk-SK"/>
              </w:rPr>
              <w:t>SKo</w:t>
            </w:r>
            <w:proofErr w:type="spellEnd"/>
            <w:r w:rsidRPr="00F87EF6">
              <w:rPr>
                <w:color w:val="000000"/>
                <w:sz w:val="18"/>
                <w:szCs w:val="18"/>
                <w:lang w:eastAsia="sk-SK"/>
              </w:rPr>
              <w:t xml:space="preserve">, </w:t>
            </w:r>
            <w:proofErr w:type="spellStart"/>
            <w:r w:rsidRPr="00F87EF6">
              <w:rPr>
                <w:color w:val="000000"/>
                <w:sz w:val="18"/>
                <w:szCs w:val="18"/>
                <w:lang w:eastAsia="sk-SK"/>
              </w:rPr>
              <w:t>a.s</w:t>
            </w:r>
            <w:proofErr w:type="spellEnd"/>
            <w:r w:rsidRPr="00F87EF6">
              <w:rPr>
                <w:color w:val="000000"/>
                <w:sz w:val="18"/>
                <w:szCs w:val="18"/>
                <w:lang w:eastAsia="sk-SK"/>
              </w:rPr>
              <w:t>.</w:t>
            </w:r>
          </w:p>
        </w:tc>
        <w:tc>
          <w:tcPr>
            <w:tcW w:w="950" w:type="dxa"/>
            <w:tcBorders>
              <w:top w:val="nil"/>
              <w:left w:val="nil"/>
              <w:bottom w:val="nil"/>
              <w:right w:val="nil"/>
            </w:tcBorders>
            <w:shd w:val="clear" w:color="auto" w:fill="auto"/>
            <w:vAlign w:val="center"/>
            <w:hideMark/>
          </w:tcPr>
          <w:p w14:paraId="75CFD809"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3 274 989</w:t>
            </w:r>
          </w:p>
        </w:tc>
        <w:tc>
          <w:tcPr>
            <w:tcW w:w="1318" w:type="dxa"/>
            <w:tcBorders>
              <w:top w:val="nil"/>
              <w:left w:val="nil"/>
              <w:bottom w:val="nil"/>
              <w:right w:val="nil"/>
            </w:tcBorders>
            <w:shd w:val="clear" w:color="auto" w:fill="auto"/>
            <w:vAlign w:val="center"/>
            <w:hideMark/>
          </w:tcPr>
          <w:p w14:paraId="419FB573"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3 420 121</w:t>
            </w:r>
          </w:p>
        </w:tc>
        <w:tc>
          <w:tcPr>
            <w:tcW w:w="1276" w:type="dxa"/>
            <w:tcBorders>
              <w:top w:val="nil"/>
              <w:left w:val="nil"/>
              <w:bottom w:val="nil"/>
              <w:right w:val="nil"/>
            </w:tcBorders>
            <w:shd w:val="clear" w:color="auto" w:fill="auto"/>
            <w:vAlign w:val="center"/>
            <w:hideMark/>
          </w:tcPr>
          <w:p w14:paraId="2700D113"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3 624 879</w:t>
            </w:r>
          </w:p>
        </w:tc>
        <w:tc>
          <w:tcPr>
            <w:tcW w:w="1278" w:type="dxa"/>
            <w:tcBorders>
              <w:top w:val="nil"/>
              <w:left w:val="nil"/>
              <w:bottom w:val="nil"/>
              <w:right w:val="nil"/>
            </w:tcBorders>
            <w:shd w:val="clear" w:color="auto" w:fill="auto"/>
            <w:vAlign w:val="center"/>
            <w:hideMark/>
          </w:tcPr>
          <w:p w14:paraId="656186A3"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204 758</w:t>
            </w:r>
          </w:p>
        </w:tc>
      </w:tr>
      <w:tr w:rsidR="00F87EF6" w:rsidRPr="00F03FCE" w14:paraId="38BB9463" w14:textId="77777777" w:rsidTr="00007DA1">
        <w:trPr>
          <w:trHeight w:val="264"/>
        </w:trPr>
        <w:tc>
          <w:tcPr>
            <w:tcW w:w="4536" w:type="dxa"/>
            <w:tcBorders>
              <w:top w:val="nil"/>
              <w:left w:val="nil"/>
              <w:bottom w:val="nil"/>
              <w:right w:val="nil"/>
            </w:tcBorders>
            <w:shd w:val="clear" w:color="auto" w:fill="auto"/>
            <w:vAlign w:val="center"/>
            <w:hideMark/>
          </w:tcPr>
          <w:p w14:paraId="1907ADAF" w14:textId="77777777" w:rsidR="00F87EF6" w:rsidRPr="00F87EF6" w:rsidRDefault="00F87EF6" w:rsidP="00F87EF6">
            <w:pPr>
              <w:spacing w:after="0" w:line="240" w:lineRule="auto"/>
              <w:ind w:firstLineChars="100" w:firstLine="180"/>
              <w:rPr>
                <w:color w:val="000000"/>
                <w:sz w:val="18"/>
                <w:szCs w:val="18"/>
                <w:lang w:eastAsia="sk-SK"/>
              </w:rPr>
            </w:pPr>
            <w:r w:rsidRPr="00F87EF6">
              <w:rPr>
                <w:color w:val="000000"/>
                <w:sz w:val="18"/>
                <w:szCs w:val="18"/>
                <w:lang w:eastAsia="sk-SK"/>
              </w:rPr>
              <w:t>Exportno-importná banka</w:t>
            </w:r>
          </w:p>
        </w:tc>
        <w:tc>
          <w:tcPr>
            <w:tcW w:w="950" w:type="dxa"/>
            <w:tcBorders>
              <w:top w:val="nil"/>
              <w:left w:val="nil"/>
              <w:bottom w:val="nil"/>
              <w:right w:val="nil"/>
            </w:tcBorders>
            <w:shd w:val="clear" w:color="auto" w:fill="auto"/>
            <w:vAlign w:val="center"/>
            <w:hideMark/>
          </w:tcPr>
          <w:p w14:paraId="26935634"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87 000</w:t>
            </w:r>
          </w:p>
        </w:tc>
        <w:tc>
          <w:tcPr>
            <w:tcW w:w="1318" w:type="dxa"/>
            <w:tcBorders>
              <w:top w:val="nil"/>
              <w:left w:val="nil"/>
              <w:bottom w:val="nil"/>
              <w:right w:val="nil"/>
            </w:tcBorders>
            <w:shd w:val="clear" w:color="auto" w:fill="auto"/>
            <w:vAlign w:val="center"/>
            <w:hideMark/>
          </w:tcPr>
          <w:p w14:paraId="7D5ED23E"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276 900</w:t>
            </w:r>
          </w:p>
        </w:tc>
        <w:tc>
          <w:tcPr>
            <w:tcW w:w="1276" w:type="dxa"/>
            <w:tcBorders>
              <w:top w:val="nil"/>
              <w:left w:val="nil"/>
              <w:bottom w:val="nil"/>
              <w:right w:val="nil"/>
            </w:tcBorders>
            <w:shd w:val="clear" w:color="auto" w:fill="auto"/>
            <w:vAlign w:val="center"/>
            <w:hideMark/>
          </w:tcPr>
          <w:p w14:paraId="39B48E0F"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373 493</w:t>
            </w:r>
          </w:p>
        </w:tc>
        <w:tc>
          <w:tcPr>
            <w:tcW w:w="1278" w:type="dxa"/>
            <w:tcBorders>
              <w:top w:val="nil"/>
              <w:left w:val="nil"/>
              <w:bottom w:val="nil"/>
              <w:right w:val="nil"/>
            </w:tcBorders>
            <w:shd w:val="clear" w:color="auto" w:fill="auto"/>
            <w:vAlign w:val="center"/>
            <w:hideMark/>
          </w:tcPr>
          <w:p w14:paraId="5EBAA0E7"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96 593</w:t>
            </w:r>
          </w:p>
        </w:tc>
      </w:tr>
      <w:tr w:rsidR="00F87EF6" w:rsidRPr="00F03FCE" w14:paraId="45A106EF" w14:textId="77777777" w:rsidTr="00007DA1">
        <w:trPr>
          <w:trHeight w:val="276"/>
        </w:trPr>
        <w:tc>
          <w:tcPr>
            <w:tcW w:w="4536" w:type="dxa"/>
            <w:tcBorders>
              <w:top w:val="nil"/>
              <w:left w:val="nil"/>
              <w:bottom w:val="nil"/>
              <w:right w:val="nil"/>
            </w:tcBorders>
            <w:shd w:val="clear" w:color="auto" w:fill="auto"/>
            <w:vAlign w:val="center"/>
            <w:hideMark/>
          </w:tcPr>
          <w:p w14:paraId="0F3864F9" w14:textId="77777777" w:rsidR="00F87EF6" w:rsidRPr="00F87EF6" w:rsidRDefault="00F87EF6" w:rsidP="00F87EF6">
            <w:pPr>
              <w:spacing w:after="0" w:line="240" w:lineRule="auto"/>
              <w:ind w:firstLineChars="100" w:firstLine="180"/>
              <w:rPr>
                <w:color w:val="000000"/>
                <w:sz w:val="18"/>
                <w:szCs w:val="18"/>
                <w:lang w:eastAsia="sk-SK"/>
              </w:rPr>
            </w:pPr>
            <w:proofErr w:type="spellStart"/>
            <w:r w:rsidRPr="00F87EF6">
              <w:rPr>
                <w:color w:val="000000"/>
                <w:sz w:val="18"/>
                <w:szCs w:val="18"/>
                <w:lang w:eastAsia="sk-SK"/>
              </w:rPr>
              <w:t>Debitum</w:t>
            </w:r>
            <w:proofErr w:type="spellEnd"/>
            <w:r w:rsidRPr="00F87EF6">
              <w:rPr>
                <w:color w:val="000000"/>
                <w:sz w:val="18"/>
                <w:szCs w:val="18"/>
                <w:lang w:eastAsia="sk-SK"/>
              </w:rPr>
              <w:t xml:space="preserve">, </w:t>
            </w:r>
            <w:proofErr w:type="spellStart"/>
            <w:r w:rsidRPr="00F87EF6">
              <w:rPr>
                <w:color w:val="000000"/>
                <w:sz w:val="18"/>
                <w:szCs w:val="18"/>
                <w:lang w:eastAsia="sk-SK"/>
              </w:rPr>
              <w:t>a.s</w:t>
            </w:r>
            <w:proofErr w:type="spellEnd"/>
            <w:r w:rsidRPr="00F87EF6">
              <w:rPr>
                <w:color w:val="000000"/>
                <w:sz w:val="18"/>
                <w:szCs w:val="18"/>
                <w:lang w:eastAsia="sk-SK"/>
              </w:rPr>
              <w:t>.</w:t>
            </w:r>
          </w:p>
        </w:tc>
        <w:tc>
          <w:tcPr>
            <w:tcW w:w="950" w:type="dxa"/>
            <w:tcBorders>
              <w:top w:val="nil"/>
              <w:left w:val="nil"/>
              <w:bottom w:val="nil"/>
              <w:right w:val="nil"/>
            </w:tcBorders>
            <w:shd w:val="clear" w:color="auto" w:fill="auto"/>
            <w:vAlign w:val="center"/>
            <w:hideMark/>
          </w:tcPr>
          <w:p w14:paraId="18E2A944"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198 278</w:t>
            </w:r>
          </w:p>
        </w:tc>
        <w:tc>
          <w:tcPr>
            <w:tcW w:w="1318" w:type="dxa"/>
            <w:tcBorders>
              <w:top w:val="nil"/>
              <w:left w:val="nil"/>
              <w:bottom w:val="nil"/>
              <w:right w:val="nil"/>
            </w:tcBorders>
            <w:shd w:val="clear" w:color="auto" w:fill="auto"/>
            <w:vAlign w:val="center"/>
            <w:hideMark/>
          </w:tcPr>
          <w:p w14:paraId="4A84667A"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200 642</w:t>
            </w:r>
          </w:p>
        </w:tc>
        <w:tc>
          <w:tcPr>
            <w:tcW w:w="1276" w:type="dxa"/>
            <w:tcBorders>
              <w:top w:val="nil"/>
              <w:left w:val="nil"/>
              <w:bottom w:val="nil"/>
              <w:right w:val="nil"/>
            </w:tcBorders>
            <w:shd w:val="clear" w:color="auto" w:fill="auto"/>
            <w:vAlign w:val="center"/>
            <w:hideMark/>
          </w:tcPr>
          <w:p w14:paraId="545C3451"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323 820</w:t>
            </w:r>
          </w:p>
        </w:tc>
        <w:tc>
          <w:tcPr>
            <w:tcW w:w="1278" w:type="dxa"/>
            <w:tcBorders>
              <w:top w:val="nil"/>
              <w:left w:val="nil"/>
              <w:bottom w:val="nil"/>
              <w:right w:val="nil"/>
            </w:tcBorders>
            <w:shd w:val="clear" w:color="auto" w:fill="auto"/>
            <w:vAlign w:val="center"/>
            <w:hideMark/>
          </w:tcPr>
          <w:p w14:paraId="704FEF6C"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123 178</w:t>
            </w:r>
          </w:p>
        </w:tc>
      </w:tr>
      <w:tr w:rsidR="00F87EF6" w:rsidRPr="00F03FCE" w14:paraId="7AA73821" w14:textId="77777777" w:rsidTr="00007DA1">
        <w:trPr>
          <w:trHeight w:val="276"/>
        </w:trPr>
        <w:tc>
          <w:tcPr>
            <w:tcW w:w="4536" w:type="dxa"/>
            <w:tcBorders>
              <w:top w:val="nil"/>
              <w:left w:val="nil"/>
              <w:bottom w:val="nil"/>
              <w:right w:val="nil"/>
            </w:tcBorders>
            <w:shd w:val="clear" w:color="auto" w:fill="auto"/>
            <w:vAlign w:val="center"/>
            <w:hideMark/>
          </w:tcPr>
          <w:p w14:paraId="4D93CCAD" w14:textId="77777777" w:rsidR="00F87EF6" w:rsidRPr="00F87EF6" w:rsidRDefault="00F87EF6" w:rsidP="00F87EF6">
            <w:pPr>
              <w:spacing w:after="0" w:line="240" w:lineRule="auto"/>
              <w:ind w:firstLineChars="100" w:firstLine="180"/>
              <w:rPr>
                <w:color w:val="000000"/>
                <w:sz w:val="18"/>
                <w:szCs w:val="18"/>
                <w:lang w:eastAsia="sk-SK"/>
              </w:rPr>
            </w:pPr>
            <w:r w:rsidRPr="00F87EF6">
              <w:rPr>
                <w:color w:val="000000"/>
                <w:sz w:val="18"/>
                <w:szCs w:val="18"/>
                <w:lang w:eastAsia="sk-SK"/>
              </w:rPr>
              <w:t>Slovenský plynárenský priemysel</w:t>
            </w:r>
          </w:p>
        </w:tc>
        <w:tc>
          <w:tcPr>
            <w:tcW w:w="950" w:type="dxa"/>
            <w:tcBorders>
              <w:top w:val="nil"/>
              <w:left w:val="nil"/>
              <w:bottom w:val="nil"/>
              <w:right w:val="nil"/>
            </w:tcBorders>
            <w:shd w:val="clear" w:color="auto" w:fill="auto"/>
            <w:vAlign w:val="center"/>
            <w:hideMark/>
          </w:tcPr>
          <w:p w14:paraId="72B2FDD7"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90 194</w:t>
            </w:r>
          </w:p>
        </w:tc>
        <w:tc>
          <w:tcPr>
            <w:tcW w:w="1318" w:type="dxa"/>
            <w:tcBorders>
              <w:top w:val="nil"/>
              <w:left w:val="nil"/>
              <w:bottom w:val="nil"/>
              <w:right w:val="nil"/>
            </w:tcBorders>
            <w:shd w:val="clear" w:color="auto" w:fill="auto"/>
            <w:vAlign w:val="center"/>
            <w:hideMark/>
          </w:tcPr>
          <w:p w14:paraId="57C1267A"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140 162</w:t>
            </w:r>
          </w:p>
        </w:tc>
        <w:tc>
          <w:tcPr>
            <w:tcW w:w="1276" w:type="dxa"/>
            <w:tcBorders>
              <w:top w:val="nil"/>
              <w:left w:val="nil"/>
              <w:bottom w:val="nil"/>
              <w:right w:val="nil"/>
            </w:tcBorders>
            <w:shd w:val="clear" w:color="auto" w:fill="auto"/>
            <w:vAlign w:val="center"/>
            <w:hideMark/>
          </w:tcPr>
          <w:p w14:paraId="27EDFC73"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224 093</w:t>
            </w:r>
          </w:p>
        </w:tc>
        <w:tc>
          <w:tcPr>
            <w:tcW w:w="1278" w:type="dxa"/>
            <w:tcBorders>
              <w:top w:val="nil"/>
              <w:left w:val="nil"/>
              <w:bottom w:val="nil"/>
              <w:right w:val="nil"/>
            </w:tcBorders>
            <w:shd w:val="clear" w:color="auto" w:fill="auto"/>
            <w:vAlign w:val="center"/>
            <w:hideMark/>
          </w:tcPr>
          <w:p w14:paraId="6FFA915B"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83 931</w:t>
            </w:r>
          </w:p>
        </w:tc>
      </w:tr>
      <w:tr w:rsidR="00F87EF6" w:rsidRPr="00F03FCE" w14:paraId="4852C918" w14:textId="77777777" w:rsidTr="00007DA1">
        <w:trPr>
          <w:trHeight w:val="383"/>
        </w:trPr>
        <w:tc>
          <w:tcPr>
            <w:tcW w:w="4536" w:type="dxa"/>
            <w:tcBorders>
              <w:top w:val="nil"/>
              <w:left w:val="nil"/>
              <w:bottom w:val="nil"/>
              <w:right w:val="nil"/>
            </w:tcBorders>
            <w:shd w:val="clear" w:color="auto" w:fill="auto"/>
            <w:vAlign w:val="center"/>
            <w:hideMark/>
          </w:tcPr>
          <w:p w14:paraId="7C2155BA" w14:textId="77777777" w:rsidR="00F87EF6" w:rsidRPr="00F87EF6" w:rsidRDefault="00F87EF6" w:rsidP="009E2B02">
            <w:pPr>
              <w:spacing w:after="0" w:line="240" w:lineRule="auto"/>
              <w:ind w:left="209"/>
              <w:rPr>
                <w:color w:val="000000"/>
                <w:sz w:val="18"/>
                <w:szCs w:val="18"/>
                <w:lang w:eastAsia="sk-SK"/>
              </w:rPr>
            </w:pPr>
            <w:r w:rsidRPr="00F87EF6">
              <w:rPr>
                <w:color w:val="000000"/>
                <w:sz w:val="18"/>
                <w:szCs w:val="18"/>
                <w:lang w:eastAsia="sk-SK"/>
              </w:rPr>
              <w:t>Slovenská elektrizačná prenosová sústava, a.s.</w:t>
            </w:r>
          </w:p>
        </w:tc>
        <w:tc>
          <w:tcPr>
            <w:tcW w:w="950" w:type="dxa"/>
            <w:tcBorders>
              <w:top w:val="nil"/>
              <w:left w:val="nil"/>
              <w:bottom w:val="nil"/>
              <w:right w:val="nil"/>
            </w:tcBorders>
            <w:shd w:val="clear" w:color="auto" w:fill="auto"/>
            <w:vAlign w:val="center"/>
            <w:hideMark/>
          </w:tcPr>
          <w:p w14:paraId="05AB8D75"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115 475</w:t>
            </w:r>
          </w:p>
        </w:tc>
        <w:tc>
          <w:tcPr>
            <w:tcW w:w="1318" w:type="dxa"/>
            <w:tcBorders>
              <w:top w:val="nil"/>
              <w:left w:val="nil"/>
              <w:bottom w:val="nil"/>
              <w:right w:val="nil"/>
            </w:tcBorders>
            <w:shd w:val="clear" w:color="auto" w:fill="auto"/>
            <w:vAlign w:val="center"/>
            <w:hideMark/>
          </w:tcPr>
          <w:p w14:paraId="215E7F8C"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122 835</w:t>
            </w:r>
          </w:p>
        </w:tc>
        <w:tc>
          <w:tcPr>
            <w:tcW w:w="1276" w:type="dxa"/>
            <w:tcBorders>
              <w:top w:val="nil"/>
              <w:left w:val="nil"/>
              <w:bottom w:val="nil"/>
              <w:right w:val="nil"/>
            </w:tcBorders>
            <w:shd w:val="clear" w:color="auto" w:fill="auto"/>
            <w:vAlign w:val="center"/>
            <w:hideMark/>
          </w:tcPr>
          <w:p w14:paraId="414FE09F"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136 493</w:t>
            </w:r>
          </w:p>
        </w:tc>
        <w:tc>
          <w:tcPr>
            <w:tcW w:w="1278" w:type="dxa"/>
            <w:tcBorders>
              <w:top w:val="nil"/>
              <w:left w:val="nil"/>
              <w:bottom w:val="nil"/>
              <w:right w:val="nil"/>
            </w:tcBorders>
            <w:shd w:val="clear" w:color="auto" w:fill="auto"/>
            <w:vAlign w:val="center"/>
            <w:hideMark/>
          </w:tcPr>
          <w:p w14:paraId="30690788"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13 658</w:t>
            </w:r>
          </w:p>
        </w:tc>
      </w:tr>
      <w:tr w:rsidR="00F87EF6" w:rsidRPr="00F03FCE" w14:paraId="2EBB8CA7" w14:textId="77777777" w:rsidTr="00007DA1">
        <w:trPr>
          <w:trHeight w:val="276"/>
        </w:trPr>
        <w:tc>
          <w:tcPr>
            <w:tcW w:w="4536" w:type="dxa"/>
            <w:tcBorders>
              <w:top w:val="nil"/>
              <w:left w:val="nil"/>
              <w:bottom w:val="nil"/>
              <w:right w:val="nil"/>
            </w:tcBorders>
            <w:shd w:val="clear" w:color="auto" w:fill="auto"/>
            <w:vAlign w:val="center"/>
            <w:hideMark/>
          </w:tcPr>
          <w:p w14:paraId="2AF96BA5" w14:textId="77777777" w:rsidR="00F87EF6" w:rsidRPr="00F87EF6" w:rsidRDefault="00F87EF6" w:rsidP="00F87EF6">
            <w:pPr>
              <w:spacing w:after="0" w:line="240" w:lineRule="auto"/>
              <w:ind w:firstLineChars="100" w:firstLine="180"/>
              <w:rPr>
                <w:color w:val="000000"/>
                <w:sz w:val="18"/>
                <w:szCs w:val="18"/>
                <w:lang w:eastAsia="sk-SK"/>
              </w:rPr>
            </w:pPr>
            <w:r w:rsidRPr="00F87EF6">
              <w:rPr>
                <w:color w:val="000000"/>
                <w:sz w:val="18"/>
                <w:szCs w:val="18"/>
                <w:lang w:eastAsia="sk-SK"/>
              </w:rPr>
              <w:t>MH Manažment, a.s.</w:t>
            </w:r>
          </w:p>
        </w:tc>
        <w:tc>
          <w:tcPr>
            <w:tcW w:w="950" w:type="dxa"/>
            <w:tcBorders>
              <w:top w:val="nil"/>
              <w:left w:val="nil"/>
              <w:bottom w:val="nil"/>
              <w:right w:val="nil"/>
            </w:tcBorders>
            <w:shd w:val="clear" w:color="auto" w:fill="auto"/>
            <w:vAlign w:val="center"/>
            <w:hideMark/>
          </w:tcPr>
          <w:p w14:paraId="41ED3A89"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87 000</w:t>
            </w:r>
          </w:p>
        </w:tc>
        <w:tc>
          <w:tcPr>
            <w:tcW w:w="1318" w:type="dxa"/>
            <w:tcBorders>
              <w:top w:val="nil"/>
              <w:left w:val="nil"/>
              <w:bottom w:val="nil"/>
              <w:right w:val="nil"/>
            </w:tcBorders>
            <w:shd w:val="clear" w:color="auto" w:fill="auto"/>
            <w:vAlign w:val="center"/>
            <w:hideMark/>
          </w:tcPr>
          <w:p w14:paraId="44EB7927"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87 983</w:t>
            </w:r>
          </w:p>
        </w:tc>
        <w:tc>
          <w:tcPr>
            <w:tcW w:w="1276" w:type="dxa"/>
            <w:tcBorders>
              <w:top w:val="nil"/>
              <w:left w:val="nil"/>
              <w:bottom w:val="nil"/>
              <w:right w:val="nil"/>
            </w:tcBorders>
            <w:shd w:val="clear" w:color="auto" w:fill="auto"/>
            <w:vAlign w:val="center"/>
            <w:hideMark/>
          </w:tcPr>
          <w:p w14:paraId="1893AFC7"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87 983</w:t>
            </w:r>
          </w:p>
        </w:tc>
        <w:tc>
          <w:tcPr>
            <w:tcW w:w="1278" w:type="dxa"/>
            <w:tcBorders>
              <w:top w:val="nil"/>
              <w:left w:val="nil"/>
              <w:bottom w:val="nil"/>
              <w:right w:val="nil"/>
            </w:tcBorders>
            <w:shd w:val="clear" w:color="auto" w:fill="auto"/>
            <w:vAlign w:val="center"/>
            <w:hideMark/>
          </w:tcPr>
          <w:p w14:paraId="74CB1A44"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0</w:t>
            </w:r>
          </w:p>
        </w:tc>
      </w:tr>
      <w:tr w:rsidR="00F87EF6" w:rsidRPr="00F03FCE" w14:paraId="20D5B353" w14:textId="77777777" w:rsidTr="00007DA1">
        <w:trPr>
          <w:trHeight w:val="288"/>
        </w:trPr>
        <w:tc>
          <w:tcPr>
            <w:tcW w:w="4536" w:type="dxa"/>
            <w:tcBorders>
              <w:top w:val="nil"/>
              <w:left w:val="nil"/>
              <w:bottom w:val="nil"/>
              <w:right w:val="nil"/>
            </w:tcBorders>
            <w:shd w:val="clear" w:color="auto" w:fill="auto"/>
            <w:vAlign w:val="center"/>
            <w:hideMark/>
          </w:tcPr>
          <w:p w14:paraId="6C0FB683" w14:textId="77777777" w:rsidR="00F87EF6" w:rsidRPr="00F87EF6" w:rsidRDefault="00F87EF6" w:rsidP="00F87EF6">
            <w:pPr>
              <w:spacing w:after="0" w:line="240" w:lineRule="auto"/>
              <w:ind w:firstLineChars="100" w:firstLine="180"/>
              <w:rPr>
                <w:color w:val="000000"/>
                <w:sz w:val="18"/>
                <w:szCs w:val="18"/>
                <w:lang w:eastAsia="sk-SK"/>
              </w:rPr>
            </w:pPr>
            <w:r w:rsidRPr="00F87EF6">
              <w:rPr>
                <w:color w:val="000000"/>
                <w:sz w:val="18"/>
                <w:szCs w:val="18"/>
                <w:lang w:eastAsia="sk-SK"/>
              </w:rPr>
              <w:t>Environmentálny fond</w:t>
            </w:r>
          </w:p>
        </w:tc>
        <w:tc>
          <w:tcPr>
            <w:tcW w:w="950" w:type="dxa"/>
            <w:tcBorders>
              <w:top w:val="nil"/>
              <w:left w:val="nil"/>
              <w:bottom w:val="nil"/>
              <w:right w:val="nil"/>
            </w:tcBorders>
            <w:shd w:val="clear" w:color="auto" w:fill="auto"/>
            <w:vAlign w:val="center"/>
            <w:hideMark/>
          </w:tcPr>
          <w:p w14:paraId="055871D8"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0</w:t>
            </w:r>
          </w:p>
        </w:tc>
        <w:tc>
          <w:tcPr>
            <w:tcW w:w="1318" w:type="dxa"/>
            <w:tcBorders>
              <w:top w:val="nil"/>
              <w:left w:val="nil"/>
              <w:bottom w:val="nil"/>
              <w:right w:val="nil"/>
            </w:tcBorders>
            <w:shd w:val="clear" w:color="auto" w:fill="auto"/>
            <w:vAlign w:val="center"/>
            <w:hideMark/>
          </w:tcPr>
          <w:p w14:paraId="2D1429A9"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180 734</w:t>
            </w:r>
          </w:p>
        </w:tc>
        <w:tc>
          <w:tcPr>
            <w:tcW w:w="1276" w:type="dxa"/>
            <w:tcBorders>
              <w:top w:val="nil"/>
              <w:left w:val="nil"/>
              <w:bottom w:val="nil"/>
              <w:right w:val="nil"/>
            </w:tcBorders>
            <w:shd w:val="clear" w:color="auto" w:fill="auto"/>
            <w:vAlign w:val="center"/>
            <w:hideMark/>
          </w:tcPr>
          <w:p w14:paraId="798F0917"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61 415</w:t>
            </w:r>
          </w:p>
        </w:tc>
        <w:tc>
          <w:tcPr>
            <w:tcW w:w="1278" w:type="dxa"/>
            <w:tcBorders>
              <w:top w:val="nil"/>
              <w:left w:val="nil"/>
              <w:bottom w:val="nil"/>
              <w:right w:val="nil"/>
            </w:tcBorders>
            <w:shd w:val="clear" w:color="auto" w:fill="auto"/>
            <w:vAlign w:val="center"/>
            <w:hideMark/>
          </w:tcPr>
          <w:p w14:paraId="7F5CA93E" w14:textId="77777777" w:rsidR="00F87EF6" w:rsidRPr="00F87EF6" w:rsidRDefault="00F87EF6" w:rsidP="00F87EF6">
            <w:pPr>
              <w:spacing w:after="0" w:line="240" w:lineRule="auto"/>
              <w:jc w:val="right"/>
              <w:rPr>
                <w:color w:val="000000"/>
                <w:sz w:val="18"/>
                <w:szCs w:val="18"/>
                <w:lang w:eastAsia="sk-SK"/>
              </w:rPr>
            </w:pPr>
            <w:r w:rsidRPr="00F87EF6">
              <w:rPr>
                <w:color w:val="000000"/>
                <w:sz w:val="18"/>
                <w:szCs w:val="18"/>
                <w:lang w:eastAsia="sk-SK"/>
              </w:rPr>
              <w:t>-119 319</w:t>
            </w:r>
          </w:p>
        </w:tc>
      </w:tr>
      <w:tr w:rsidR="00F87EF6" w:rsidRPr="00F03FCE" w14:paraId="31BA0A13" w14:textId="77777777" w:rsidTr="00007DA1">
        <w:trPr>
          <w:trHeight w:val="288"/>
        </w:trPr>
        <w:tc>
          <w:tcPr>
            <w:tcW w:w="4536" w:type="dxa"/>
            <w:tcBorders>
              <w:top w:val="single" w:sz="8" w:space="0" w:color="auto"/>
              <w:left w:val="nil"/>
              <w:bottom w:val="single" w:sz="8" w:space="0" w:color="auto"/>
              <w:right w:val="nil"/>
            </w:tcBorders>
            <w:shd w:val="clear" w:color="000000" w:fill="BFBFBF"/>
            <w:noWrap/>
            <w:vAlign w:val="center"/>
            <w:hideMark/>
          </w:tcPr>
          <w:p w14:paraId="414D3E1C" w14:textId="77777777" w:rsidR="00F87EF6" w:rsidRPr="00F87EF6" w:rsidRDefault="00F87EF6" w:rsidP="00F87EF6">
            <w:pPr>
              <w:spacing w:after="0" w:line="240" w:lineRule="auto"/>
              <w:rPr>
                <w:b/>
                <w:bCs/>
                <w:color w:val="000000"/>
                <w:sz w:val="18"/>
                <w:szCs w:val="18"/>
                <w:lang w:eastAsia="sk-SK"/>
              </w:rPr>
            </w:pPr>
            <w:r w:rsidRPr="00F87EF6">
              <w:rPr>
                <w:b/>
                <w:bCs/>
                <w:color w:val="000000"/>
                <w:sz w:val="18"/>
                <w:szCs w:val="18"/>
                <w:lang w:eastAsia="sk-SK"/>
              </w:rPr>
              <w:t>Spolu</w:t>
            </w:r>
          </w:p>
        </w:tc>
        <w:tc>
          <w:tcPr>
            <w:tcW w:w="950" w:type="dxa"/>
            <w:tcBorders>
              <w:top w:val="single" w:sz="8" w:space="0" w:color="auto"/>
              <w:left w:val="nil"/>
              <w:bottom w:val="single" w:sz="8" w:space="0" w:color="auto"/>
              <w:right w:val="nil"/>
            </w:tcBorders>
            <w:shd w:val="clear" w:color="000000" w:fill="BFBFBF"/>
            <w:vAlign w:val="center"/>
            <w:hideMark/>
          </w:tcPr>
          <w:p w14:paraId="06866DDC" w14:textId="77777777" w:rsidR="00F87EF6" w:rsidRPr="00F87EF6" w:rsidRDefault="00F87EF6" w:rsidP="00F87EF6">
            <w:pPr>
              <w:spacing w:after="0" w:line="240" w:lineRule="auto"/>
              <w:jc w:val="right"/>
              <w:rPr>
                <w:b/>
                <w:bCs/>
                <w:color w:val="000000"/>
                <w:sz w:val="18"/>
                <w:szCs w:val="18"/>
                <w:lang w:eastAsia="sk-SK"/>
              </w:rPr>
            </w:pPr>
            <w:r w:rsidRPr="00F87EF6">
              <w:rPr>
                <w:b/>
                <w:bCs/>
                <w:color w:val="000000"/>
                <w:sz w:val="18"/>
                <w:szCs w:val="18"/>
                <w:lang w:eastAsia="sk-SK"/>
              </w:rPr>
              <w:t>8 878 799</w:t>
            </w:r>
          </w:p>
        </w:tc>
        <w:tc>
          <w:tcPr>
            <w:tcW w:w="1318" w:type="dxa"/>
            <w:tcBorders>
              <w:top w:val="single" w:sz="8" w:space="0" w:color="auto"/>
              <w:left w:val="nil"/>
              <w:bottom w:val="single" w:sz="8" w:space="0" w:color="auto"/>
              <w:right w:val="nil"/>
            </w:tcBorders>
            <w:shd w:val="clear" w:color="000000" w:fill="BFBFBF"/>
            <w:vAlign w:val="center"/>
            <w:hideMark/>
          </w:tcPr>
          <w:p w14:paraId="6E314D76" w14:textId="77777777" w:rsidR="00F87EF6" w:rsidRPr="00F87EF6" w:rsidRDefault="00F87EF6" w:rsidP="00F87EF6">
            <w:pPr>
              <w:spacing w:after="0" w:line="240" w:lineRule="auto"/>
              <w:jc w:val="right"/>
              <w:rPr>
                <w:b/>
                <w:bCs/>
                <w:color w:val="000000"/>
                <w:sz w:val="18"/>
                <w:szCs w:val="18"/>
                <w:lang w:eastAsia="sk-SK"/>
              </w:rPr>
            </w:pPr>
            <w:r w:rsidRPr="00F87EF6">
              <w:rPr>
                <w:b/>
                <w:bCs/>
                <w:color w:val="000000"/>
                <w:sz w:val="18"/>
                <w:szCs w:val="18"/>
                <w:lang w:eastAsia="sk-SK"/>
              </w:rPr>
              <w:t>9 359 732</w:t>
            </w:r>
          </w:p>
        </w:tc>
        <w:tc>
          <w:tcPr>
            <w:tcW w:w="1276" w:type="dxa"/>
            <w:tcBorders>
              <w:top w:val="single" w:sz="8" w:space="0" w:color="auto"/>
              <w:left w:val="nil"/>
              <w:bottom w:val="single" w:sz="8" w:space="0" w:color="auto"/>
              <w:right w:val="nil"/>
            </w:tcBorders>
            <w:shd w:val="clear" w:color="000000" w:fill="BFBFBF"/>
            <w:vAlign w:val="center"/>
            <w:hideMark/>
          </w:tcPr>
          <w:p w14:paraId="74759F13" w14:textId="77777777" w:rsidR="00F87EF6" w:rsidRPr="00F87EF6" w:rsidRDefault="00F87EF6" w:rsidP="00F87EF6">
            <w:pPr>
              <w:spacing w:after="0" w:line="240" w:lineRule="auto"/>
              <w:jc w:val="right"/>
              <w:rPr>
                <w:b/>
                <w:bCs/>
                <w:color w:val="000000"/>
                <w:sz w:val="18"/>
                <w:szCs w:val="18"/>
                <w:lang w:eastAsia="sk-SK"/>
              </w:rPr>
            </w:pPr>
            <w:r w:rsidRPr="00F87EF6">
              <w:rPr>
                <w:b/>
                <w:bCs/>
                <w:color w:val="000000"/>
                <w:sz w:val="18"/>
                <w:szCs w:val="18"/>
                <w:lang w:eastAsia="sk-SK"/>
              </w:rPr>
              <w:t>9 291 726</w:t>
            </w:r>
          </w:p>
        </w:tc>
        <w:tc>
          <w:tcPr>
            <w:tcW w:w="1278" w:type="dxa"/>
            <w:tcBorders>
              <w:top w:val="single" w:sz="8" w:space="0" w:color="auto"/>
              <w:left w:val="nil"/>
              <w:bottom w:val="single" w:sz="8" w:space="0" w:color="auto"/>
              <w:right w:val="nil"/>
            </w:tcBorders>
            <w:shd w:val="clear" w:color="000000" w:fill="BFBFBF"/>
            <w:vAlign w:val="center"/>
            <w:hideMark/>
          </w:tcPr>
          <w:p w14:paraId="5F649BCE" w14:textId="77777777" w:rsidR="00F87EF6" w:rsidRPr="00F87EF6" w:rsidRDefault="00F87EF6" w:rsidP="00F87EF6">
            <w:pPr>
              <w:spacing w:after="0" w:line="240" w:lineRule="auto"/>
              <w:jc w:val="right"/>
              <w:rPr>
                <w:b/>
                <w:bCs/>
                <w:color w:val="000000"/>
                <w:sz w:val="18"/>
                <w:szCs w:val="18"/>
                <w:lang w:eastAsia="sk-SK"/>
              </w:rPr>
            </w:pPr>
            <w:r w:rsidRPr="00F87EF6">
              <w:rPr>
                <w:b/>
                <w:bCs/>
                <w:color w:val="000000"/>
                <w:sz w:val="18"/>
                <w:szCs w:val="18"/>
                <w:lang w:eastAsia="sk-SK"/>
              </w:rPr>
              <w:t>-68 006</w:t>
            </w:r>
          </w:p>
        </w:tc>
      </w:tr>
    </w:tbl>
    <w:p w14:paraId="6136D2A5" w14:textId="77777777" w:rsidR="00F03FCE" w:rsidRPr="00C87FA1" w:rsidRDefault="00F03FCE" w:rsidP="00F03FCE">
      <w:pPr>
        <w:spacing w:after="120" w:line="336" w:lineRule="auto"/>
        <w:jc w:val="right"/>
        <w:rPr>
          <w:sz w:val="18"/>
          <w:szCs w:val="18"/>
        </w:rPr>
      </w:pPr>
      <w:r w:rsidRPr="00C87FA1">
        <w:rPr>
          <w:sz w:val="18"/>
          <w:szCs w:val="18"/>
        </w:rPr>
        <w:t>Zdroj: Účtovné závierky subjektov a databáza MF SR</w:t>
      </w:r>
    </w:p>
    <w:p w14:paraId="396A6168" w14:textId="25683E56" w:rsidR="009B0DE7" w:rsidRPr="0000319C" w:rsidRDefault="009B0DE7" w:rsidP="0000319C">
      <w:pPr>
        <w:spacing w:after="120" w:line="240" w:lineRule="auto"/>
        <w:jc w:val="both"/>
        <w:rPr>
          <w:szCs w:val="22"/>
        </w:rPr>
      </w:pPr>
      <w:r w:rsidRPr="0000319C">
        <w:rPr>
          <w:b/>
          <w:szCs w:val="22"/>
        </w:rPr>
        <w:t>Z ostatných položiek podmienených aktív</w:t>
      </w:r>
      <w:r w:rsidRPr="0000319C">
        <w:rPr>
          <w:szCs w:val="22"/>
        </w:rPr>
        <w:t xml:space="preserve"> je </w:t>
      </w:r>
      <w:r w:rsidR="0079485D" w:rsidRPr="0000319C">
        <w:rPr>
          <w:szCs w:val="22"/>
        </w:rPr>
        <w:t xml:space="preserve">ďalej </w:t>
      </w:r>
      <w:r w:rsidRPr="0000319C">
        <w:rPr>
          <w:szCs w:val="22"/>
        </w:rPr>
        <w:t xml:space="preserve">významná hodnota zabezpečenia pohľadávok z poskytnutých úverov a poskytnutých záruk </w:t>
      </w:r>
      <w:r w:rsidRPr="0000319C">
        <w:rPr>
          <w:szCs w:val="22"/>
          <w:u w:val="single"/>
        </w:rPr>
        <w:t>Exportno-importnej banky, a.s.</w:t>
      </w:r>
      <w:r w:rsidRPr="0000319C">
        <w:rPr>
          <w:szCs w:val="22"/>
        </w:rPr>
        <w:t xml:space="preserve"> v hodnote </w:t>
      </w:r>
      <w:r w:rsidR="0079485D" w:rsidRPr="0000319C">
        <w:rPr>
          <w:szCs w:val="22"/>
        </w:rPr>
        <w:t>373 493</w:t>
      </w:r>
      <w:r w:rsidRPr="0000319C">
        <w:rPr>
          <w:szCs w:val="22"/>
        </w:rPr>
        <w:t xml:space="preserve"> tis. eur. Prijaté záruky sú napr. na nehnuteľnosti, cenné papiere a ostatné záruky. Na navýšení objemu mal vplyv predovšetkým</w:t>
      </w:r>
      <w:r w:rsidR="00883EF3">
        <w:rPr>
          <w:szCs w:val="22"/>
        </w:rPr>
        <w:t xml:space="preserve"> nárast prijatých záruk od Ministerstva financií SR o 61 160 tis. eur v súvislosti s úvermi poskytovanými v rámci COVID pomoci pre podnikateľov,</w:t>
      </w:r>
      <w:r w:rsidRPr="0000319C">
        <w:rPr>
          <w:szCs w:val="22"/>
        </w:rPr>
        <w:t xml:space="preserve"> nárast zabezpečenia nehnuteľným majetkom približne </w:t>
      </w:r>
      <w:r w:rsidR="00883EF3">
        <w:rPr>
          <w:szCs w:val="22"/>
        </w:rPr>
        <w:t>o 22 949 tis. eur</w:t>
      </w:r>
      <w:r w:rsidRPr="0000319C">
        <w:rPr>
          <w:szCs w:val="22"/>
        </w:rPr>
        <w:t xml:space="preserve"> a nárast prijatých záruk od iných subjektov </w:t>
      </w:r>
      <w:r w:rsidR="00883EF3">
        <w:rPr>
          <w:szCs w:val="22"/>
        </w:rPr>
        <w:t>o 6 230 tis. eur.</w:t>
      </w:r>
      <w:r w:rsidRPr="0000319C">
        <w:rPr>
          <w:szCs w:val="22"/>
        </w:rPr>
        <w:t xml:space="preserve"> </w:t>
      </w:r>
    </w:p>
    <w:p w14:paraId="4127ACEC" w14:textId="7996CB53" w:rsidR="009B0DE7" w:rsidRPr="0079485D" w:rsidRDefault="009B0DE7" w:rsidP="0079485D">
      <w:pPr>
        <w:spacing w:after="120" w:line="240" w:lineRule="auto"/>
        <w:jc w:val="both"/>
        <w:rPr>
          <w:szCs w:val="22"/>
        </w:rPr>
      </w:pPr>
      <w:r w:rsidRPr="0079485D">
        <w:rPr>
          <w:szCs w:val="22"/>
        </w:rPr>
        <w:t xml:space="preserve">Spoločnosť </w:t>
      </w:r>
      <w:proofErr w:type="spellStart"/>
      <w:r w:rsidRPr="0079485D">
        <w:rPr>
          <w:szCs w:val="22"/>
          <w:u w:val="single"/>
        </w:rPr>
        <w:t>Debitum</w:t>
      </w:r>
      <w:proofErr w:type="spellEnd"/>
      <w:r w:rsidRPr="0079485D">
        <w:rPr>
          <w:szCs w:val="22"/>
          <w:u w:val="single"/>
        </w:rPr>
        <w:t>, a. s.</w:t>
      </w:r>
      <w:r w:rsidRPr="0079485D">
        <w:rPr>
          <w:szCs w:val="22"/>
        </w:rPr>
        <w:t xml:space="preserve">, vykazuje na </w:t>
      </w:r>
      <w:proofErr w:type="spellStart"/>
      <w:r w:rsidRPr="0079485D">
        <w:rPr>
          <w:szCs w:val="22"/>
        </w:rPr>
        <w:t>podsúvahe</w:t>
      </w:r>
      <w:proofErr w:type="spellEnd"/>
      <w:r w:rsidRPr="0079485D">
        <w:rPr>
          <w:szCs w:val="22"/>
        </w:rPr>
        <w:t xml:space="preserve"> pohľadávky na poistnom zo Sociálnej poisťovne. Nominálna hodnota týchto pohľadávok je pre účely čistého bohatstva eliminovaná, pretože ide o pohľadávky voči zdravotnícky</w:t>
      </w:r>
      <w:r w:rsidR="00CD6B5B">
        <w:rPr>
          <w:szCs w:val="22"/>
        </w:rPr>
        <w:t>m</w:t>
      </w:r>
      <w:r w:rsidRPr="0079485D">
        <w:rPr>
          <w:szCs w:val="22"/>
        </w:rPr>
        <w:t xml:space="preserve"> zariadeniam (zväčša subjektom verejnej správy), ktoré zároveň vykazujú záväzky voči spoločnosti a k ich odpusteniu môže dôjsť až po splnení určitých podmienok</w:t>
      </w:r>
      <w:r w:rsidRPr="0079485D">
        <w:rPr>
          <w:rStyle w:val="Odkaznapoznmkupodiarou"/>
        </w:rPr>
        <w:footnoteReference w:id="47"/>
      </w:r>
      <w:r w:rsidRPr="0079485D">
        <w:rPr>
          <w:szCs w:val="22"/>
        </w:rPr>
        <w:t xml:space="preserve">. </w:t>
      </w:r>
    </w:p>
    <w:p w14:paraId="140D42DF" w14:textId="77777777" w:rsidR="00472CC4" w:rsidRPr="00472CC4" w:rsidRDefault="00472CC4" w:rsidP="00472CC4">
      <w:pPr>
        <w:spacing w:after="120" w:line="240" w:lineRule="auto"/>
        <w:jc w:val="both"/>
        <w:rPr>
          <w:szCs w:val="22"/>
        </w:rPr>
      </w:pPr>
      <w:r w:rsidRPr="00472CC4">
        <w:rPr>
          <w:szCs w:val="22"/>
          <w:u w:val="single"/>
        </w:rPr>
        <w:t>Slovenský plynárenský priemysel, a. s. (SPP, a. s.)</w:t>
      </w:r>
      <w:r w:rsidRPr="00472CC4">
        <w:rPr>
          <w:szCs w:val="22"/>
        </w:rPr>
        <w:t xml:space="preserve"> vykazuje poskytnuté záruky, ktoré vystavili materské spoločnosti zákazníkov. SPP, a.s. si tak v prípade neplnenia povinností zo strany zákazníkov môže uplatňovať plnenie u ich materských spoločností.</w:t>
      </w:r>
    </w:p>
    <w:p w14:paraId="5BCB2D8A" w14:textId="10435DA1" w:rsidR="00472CC4" w:rsidRPr="00472CC4" w:rsidRDefault="00472CC4" w:rsidP="00472CC4">
      <w:pPr>
        <w:spacing w:after="120" w:line="240" w:lineRule="auto"/>
        <w:jc w:val="both"/>
        <w:rPr>
          <w:szCs w:val="22"/>
        </w:rPr>
      </w:pPr>
      <w:r w:rsidRPr="00472CC4">
        <w:rPr>
          <w:szCs w:val="22"/>
          <w:u w:val="single"/>
        </w:rPr>
        <w:t>Skupina Slovenskej elektrizačnej prenosovej sústavy, a. s. (SEPS, a. s.)</w:t>
      </w:r>
      <w:r w:rsidRPr="00472CC4">
        <w:rPr>
          <w:szCs w:val="22"/>
        </w:rPr>
        <w:t xml:space="preserve"> vykázala v konsolidovanej účtovnej závierke ako podmienené aktíva sumu prijatých bankových záruk vo výške </w:t>
      </w:r>
      <w:r w:rsidR="009E2B02">
        <w:rPr>
          <w:szCs w:val="22"/>
        </w:rPr>
        <w:t>136 493</w:t>
      </w:r>
      <w:r w:rsidRPr="00472CC4">
        <w:rPr>
          <w:szCs w:val="22"/>
        </w:rPr>
        <w:t> tis. eur. Bankové záruky sú uzatvárané v prospech skupiny SEPS, a. s. účastníkmi krátkodobého trhu s elektrickou energiou, ktoré chránia skupinu pred ich prípadnou platobnou neschopnosťou.</w:t>
      </w:r>
    </w:p>
    <w:p w14:paraId="68CA9FAB" w14:textId="77777777" w:rsidR="00C11442" w:rsidRPr="00C11442" w:rsidRDefault="00C11442" w:rsidP="00C11442">
      <w:pPr>
        <w:spacing w:after="120" w:line="240" w:lineRule="auto"/>
        <w:jc w:val="both"/>
        <w:rPr>
          <w:szCs w:val="22"/>
        </w:rPr>
      </w:pPr>
      <w:r w:rsidRPr="00C11442">
        <w:rPr>
          <w:szCs w:val="22"/>
          <w:u w:val="single"/>
        </w:rPr>
        <w:t>MH Manažment, a.s.</w:t>
      </w:r>
      <w:r w:rsidRPr="00C11442">
        <w:rPr>
          <w:szCs w:val="22"/>
        </w:rPr>
        <w:t xml:space="preserve"> vykazuje podmienené aktívum zo zmluvy o predaji štátneho podielu v Slovak Telekom, a.s. Platba vo výške 87 983 tis. eur je uložená a viazaná na účte, pričom vyplatenie týchto prostriedkov závisí od ukončenia Sporu vo veci hlasových služieb a Sporu s Európskou komisiou. </w:t>
      </w:r>
    </w:p>
    <w:p w14:paraId="2A21A0EB" w14:textId="77777777" w:rsidR="009B0DE7" w:rsidRPr="00C11442" w:rsidRDefault="009B0DE7" w:rsidP="00C11442">
      <w:pPr>
        <w:spacing w:after="120" w:line="240" w:lineRule="auto"/>
        <w:jc w:val="both"/>
        <w:rPr>
          <w:szCs w:val="22"/>
        </w:rPr>
      </w:pPr>
      <w:r w:rsidRPr="00C11442">
        <w:rPr>
          <w:szCs w:val="22"/>
          <w:u w:val="single"/>
        </w:rPr>
        <w:t>Environmentálny fond</w:t>
      </w:r>
      <w:r w:rsidRPr="00C11442">
        <w:rPr>
          <w:szCs w:val="22"/>
        </w:rPr>
        <w:t xml:space="preserve"> eviduje potenciálne plnenie zo záložných zmlúv uzavretých bývalým Recyklačným fondom, ktorého činnosť prešla na Environmentálny fond v decembri 2017. Recyklačný fond poskytoval subjektom dotácie napríklad na separáciu odpadov (plastov, železa a podobne) na viacročné obdobie a v prípade, že subjekt nesplnil podmienky pre dotáciu, bol povinný vrátiť dotáciu aj so zmluvnou pokutou. Vo výške dotácie a možnej pokuty boli uzatvárané záložné zmluvy a ručiteľské vyhlásenia.</w:t>
      </w:r>
    </w:p>
    <w:p w14:paraId="25274C91" w14:textId="77777777" w:rsidR="001A5C4F" w:rsidRDefault="009B0DE7" w:rsidP="001A5C4F">
      <w:pPr>
        <w:spacing w:after="120" w:line="240" w:lineRule="auto"/>
        <w:jc w:val="both"/>
        <w:rPr>
          <w:szCs w:val="22"/>
        </w:rPr>
      </w:pPr>
      <w:r w:rsidRPr="001A5C4F">
        <w:rPr>
          <w:szCs w:val="22"/>
        </w:rPr>
        <w:t>Pre koncept čistého bohatstva musia byť celkové podmienené aktíva verejného sektora upravené o nasledovné položky. Časť vyčíslenej spornej sumy, o ktorú sa súdi Vodohospodárska výstavba, š. p. so Slovenskými elektrárňami, a.s., bola od celkových podmienených aktív odpočítaná (</w:t>
      </w:r>
      <w:r w:rsidR="001A5C4F">
        <w:rPr>
          <w:szCs w:val="22"/>
        </w:rPr>
        <w:t>138 862</w:t>
      </w:r>
      <w:r w:rsidRPr="001A5C4F">
        <w:rPr>
          <w:szCs w:val="22"/>
        </w:rPr>
        <w:t xml:space="preserve"> tis. eur). Táto </w:t>
      </w:r>
      <w:r w:rsidRPr="001A5C4F">
        <w:rPr>
          <w:szCs w:val="22"/>
        </w:rPr>
        <w:lastRenderedPageBreak/>
        <w:t>časť zodpovedá 34 % vlastníckemu podielu štátu v SE, a.s. Z pohľadu verejného sektora ide o vzájomnú konsolidáciu. Odpočítané boli tiež prijaté záruky EXIM Banky (</w:t>
      </w:r>
      <w:r w:rsidR="001A5C4F">
        <w:rPr>
          <w:szCs w:val="22"/>
        </w:rPr>
        <w:t>373 493</w:t>
      </w:r>
      <w:r w:rsidRPr="001A5C4F">
        <w:rPr>
          <w:szCs w:val="22"/>
        </w:rPr>
        <w:t xml:space="preserve"> tis. eur), SEPS, a. s. (</w:t>
      </w:r>
      <w:r w:rsidR="001A5C4F">
        <w:rPr>
          <w:szCs w:val="22"/>
        </w:rPr>
        <w:t>136 493</w:t>
      </w:r>
      <w:r w:rsidRPr="001A5C4F">
        <w:rPr>
          <w:szCs w:val="22"/>
        </w:rPr>
        <w:t xml:space="preserve"> tis. eur) a SPP, a.s. (</w:t>
      </w:r>
      <w:r w:rsidR="001A5C4F">
        <w:rPr>
          <w:szCs w:val="22"/>
        </w:rPr>
        <w:t>217 093</w:t>
      </w:r>
      <w:r w:rsidRPr="001A5C4F">
        <w:rPr>
          <w:szCs w:val="22"/>
        </w:rPr>
        <w:t xml:space="preserve"> tis. eur).V týchto prípadoch, ak by boli záruky realizované, vlastné imanie a čisté bohatstvo by nevzrástlo, pretože príjmy z realizovaných záruk by len nahradili existujúce bilančné aktíva (úvery u EXIM Banky a obchodné pohľadávky u SEPS, a. s. a SPP, a. s.). Tieto podmienené aktíva teda nepredstavujú potenciálny zdroj zvýšenia vlas</w:t>
      </w:r>
      <w:r w:rsidR="001A5C4F">
        <w:rPr>
          <w:szCs w:val="22"/>
        </w:rPr>
        <w:t>tného imania verejného sektora.</w:t>
      </w:r>
    </w:p>
    <w:p w14:paraId="3D6E8F26" w14:textId="0FABEC6C" w:rsidR="001A5C4F" w:rsidRDefault="009B0DE7" w:rsidP="001A5C4F">
      <w:pPr>
        <w:spacing w:after="120" w:line="240" w:lineRule="auto"/>
        <w:jc w:val="both"/>
        <w:rPr>
          <w:szCs w:val="22"/>
        </w:rPr>
      </w:pPr>
      <w:r w:rsidRPr="001A5C4F">
        <w:rPr>
          <w:szCs w:val="22"/>
        </w:rPr>
        <w:t xml:space="preserve">Pri pohľadávkach v správe </w:t>
      </w:r>
      <w:proofErr w:type="spellStart"/>
      <w:r w:rsidRPr="001A5C4F">
        <w:rPr>
          <w:szCs w:val="22"/>
        </w:rPr>
        <w:t>SKo</w:t>
      </w:r>
      <w:proofErr w:type="spellEnd"/>
      <w:r w:rsidRPr="001A5C4F">
        <w:rPr>
          <w:szCs w:val="22"/>
        </w:rPr>
        <w:t xml:space="preserve">, </w:t>
      </w:r>
      <w:proofErr w:type="spellStart"/>
      <w:r w:rsidRPr="001A5C4F">
        <w:rPr>
          <w:szCs w:val="22"/>
        </w:rPr>
        <w:t>a.s</w:t>
      </w:r>
      <w:proofErr w:type="spellEnd"/>
      <w:r w:rsidRPr="001A5C4F">
        <w:rPr>
          <w:szCs w:val="22"/>
        </w:rPr>
        <w:t>. bola upravená výška menovitej hodnoty o pohľadávky, ktoré boli predmetom konsolidačných úprav v rámci ústrednej správy (</w:t>
      </w:r>
      <w:r w:rsidR="001A5C4F">
        <w:rPr>
          <w:szCs w:val="22"/>
        </w:rPr>
        <w:t>2 824 271</w:t>
      </w:r>
      <w:r w:rsidR="002C6AEF" w:rsidRPr="001A5C4F">
        <w:rPr>
          <w:szCs w:val="22"/>
        </w:rPr>
        <w:t> </w:t>
      </w:r>
      <w:r w:rsidRPr="001A5C4F">
        <w:rPr>
          <w:szCs w:val="22"/>
        </w:rPr>
        <w:t>tis.</w:t>
      </w:r>
      <w:r w:rsidR="002C6AEF" w:rsidRPr="001A5C4F">
        <w:rPr>
          <w:szCs w:val="22"/>
        </w:rPr>
        <w:t> </w:t>
      </w:r>
      <w:r w:rsidRPr="001A5C4F">
        <w:rPr>
          <w:szCs w:val="22"/>
        </w:rPr>
        <w:t xml:space="preserve">eur). Prevod splatných pohľadávok, ktoré odovzdávajú resp. odpredávajú organizácie ústrednej správy Slovenskej konsolidačnej, a.s. sa eliminuje a k pohľadávkam sa tvorí opravná položka. Akt prevodu pohľadávok znamená dôvod na zníženie ich účtovnej hodnoty, čo má negatívny vplyv na vlastné imanie a tým aj čisté bohatstvo. Zároveň tieto precenené pohľadávky nemôžu byť v pôvodnej hodnote na strane podmienených aktív. Ďalšou úpravou pre výpočet čistého bohatstva je eliminácia podsúvahovej hodnoty pohľadávok spoločnosti </w:t>
      </w:r>
      <w:proofErr w:type="spellStart"/>
      <w:r w:rsidRPr="001A5C4F">
        <w:rPr>
          <w:szCs w:val="22"/>
        </w:rPr>
        <w:t>Debitum</w:t>
      </w:r>
      <w:proofErr w:type="spellEnd"/>
      <w:r w:rsidRPr="001A5C4F">
        <w:rPr>
          <w:szCs w:val="22"/>
        </w:rPr>
        <w:t>, a</w:t>
      </w:r>
      <w:r w:rsidR="001A5C4F">
        <w:rPr>
          <w:szCs w:val="22"/>
        </w:rPr>
        <w:t xml:space="preserve">. s. vo výške 323 820 tis. eur a záruky NDF </w:t>
      </w:r>
      <w:r w:rsidR="00D8222C">
        <w:rPr>
          <w:szCs w:val="22"/>
        </w:rPr>
        <w:t xml:space="preserve">vo výške 143 393 tis. eur </w:t>
      </w:r>
      <w:r w:rsidR="001A5C4F">
        <w:rPr>
          <w:szCs w:val="22"/>
        </w:rPr>
        <w:t>za poskytované úvery komerčných bánk v rámci COVID pomoci.</w:t>
      </w:r>
    </w:p>
    <w:p w14:paraId="3D312428" w14:textId="3D635985" w:rsidR="009B0DE7" w:rsidRPr="001A5C4F" w:rsidRDefault="009B0DE7" w:rsidP="001A5C4F">
      <w:pPr>
        <w:spacing w:after="120" w:line="240" w:lineRule="auto"/>
        <w:jc w:val="both"/>
        <w:rPr>
          <w:szCs w:val="22"/>
        </w:rPr>
      </w:pPr>
      <w:r w:rsidRPr="001A5C4F">
        <w:rPr>
          <w:b/>
        </w:rPr>
        <w:t xml:space="preserve">Z dôvodu abstrahovania od vzájomných vzťahov v rámci iných aktív (vzájomné súdne spory, vystavené záruky, pohľadávky) je ich hodnota pre účely vyčíslenia čistého bohatstva znížená z hodnoty </w:t>
      </w:r>
      <w:r w:rsidR="00B244A2">
        <w:rPr>
          <w:b/>
        </w:rPr>
        <w:t>9 963 577</w:t>
      </w:r>
      <w:r w:rsidRPr="001A5C4F">
        <w:rPr>
          <w:b/>
        </w:rPr>
        <w:t xml:space="preserve"> tis. eur na hodnotu </w:t>
      </w:r>
      <w:r w:rsidR="00930336" w:rsidRPr="001A5C4F">
        <w:rPr>
          <w:b/>
        </w:rPr>
        <w:t>5</w:t>
      </w:r>
      <w:r w:rsidR="00B244A2">
        <w:rPr>
          <w:b/>
        </w:rPr>
        <w:t> 806 152</w:t>
      </w:r>
      <w:r w:rsidRPr="001A5C4F">
        <w:rPr>
          <w:b/>
        </w:rPr>
        <w:t xml:space="preserve"> tis. eur.</w:t>
      </w:r>
    </w:p>
    <w:p w14:paraId="2144EDCC" w14:textId="77777777" w:rsidR="009B0DE7" w:rsidRPr="001D77FC" w:rsidRDefault="009B0DE7" w:rsidP="009B0DE7">
      <w:pPr>
        <w:spacing w:before="120" w:after="120" w:line="336" w:lineRule="auto"/>
        <w:jc w:val="both"/>
        <w:rPr>
          <w:szCs w:val="22"/>
          <w:highlight w:val="yellow"/>
        </w:rPr>
      </w:pPr>
    </w:p>
    <w:p w14:paraId="06A3F98D" w14:textId="77777777" w:rsidR="007A3FF8" w:rsidRPr="001D77FC" w:rsidRDefault="007A3FF8">
      <w:pPr>
        <w:rPr>
          <w:color w:val="FF0000"/>
          <w:szCs w:val="22"/>
          <w:highlight w:val="yellow"/>
        </w:rPr>
        <w:sectPr w:rsidR="007A3FF8" w:rsidRPr="001D77FC" w:rsidSect="0077135E">
          <w:headerReference w:type="default" r:id="rId29"/>
          <w:footerReference w:type="default" r:id="rId30"/>
          <w:pgSz w:w="11906" w:h="16838" w:code="9"/>
          <w:pgMar w:top="1418" w:right="851" w:bottom="1418" w:left="1134" w:header="709" w:footer="709" w:gutter="567"/>
          <w:pgNumType w:start="1"/>
          <w:cols w:space="708"/>
          <w:docGrid w:linePitch="360"/>
        </w:sectPr>
      </w:pPr>
      <w:bookmarkStart w:id="83" w:name="_Toc370908644"/>
      <w:bookmarkStart w:id="84" w:name="_Toc401920038"/>
      <w:bookmarkEnd w:id="66"/>
      <w:bookmarkEnd w:id="67"/>
      <w:bookmarkEnd w:id="68"/>
      <w:bookmarkEnd w:id="69"/>
      <w:bookmarkEnd w:id="70"/>
      <w:bookmarkEnd w:id="71"/>
    </w:p>
    <w:p w14:paraId="5BA943A1" w14:textId="77777777" w:rsidR="00352012" w:rsidRPr="000F5E53" w:rsidRDefault="00352012" w:rsidP="00220857">
      <w:pPr>
        <w:pStyle w:val="Nadpis1"/>
        <w:numPr>
          <w:ilvl w:val="0"/>
          <w:numId w:val="0"/>
        </w:numPr>
        <w:spacing w:after="0"/>
        <w:ind w:left="714" w:hanging="714"/>
        <w:rPr>
          <w:rFonts w:eastAsia="Times New Roman"/>
          <w:color w:val="0070C0"/>
          <w:sz w:val="22"/>
          <w:szCs w:val="22"/>
        </w:rPr>
      </w:pPr>
      <w:bookmarkStart w:id="85" w:name="_Toc465255058"/>
      <w:bookmarkStart w:id="86" w:name="_Toc495990501"/>
      <w:bookmarkStart w:id="87" w:name="_Toc85718916"/>
      <w:r w:rsidRPr="000F5E53">
        <w:rPr>
          <w:color w:val="0070C0"/>
        </w:rPr>
        <w:lastRenderedPageBreak/>
        <w:t>Zoznam skratiek</w:t>
      </w:r>
      <w:bookmarkEnd w:id="85"/>
      <w:bookmarkEnd w:id="86"/>
      <w:bookmarkEnd w:id="87"/>
      <w:r w:rsidRPr="000F5E53">
        <w:rPr>
          <w:color w:val="0070C0"/>
        </w:rPr>
        <w:t xml:space="preserve"> </w:t>
      </w:r>
      <w:bookmarkEnd w:id="83"/>
      <w:bookmarkEnd w:id="84"/>
    </w:p>
    <w:p w14:paraId="0D66EC0D" w14:textId="0F92F0DA" w:rsidR="007456CD" w:rsidRPr="00F22EF1" w:rsidRDefault="007456CD" w:rsidP="00220857">
      <w:pPr>
        <w:spacing w:after="0" w:line="312" w:lineRule="auto"/>
        <w:jc w:val="both"/>
        <w:rPr>
          <w:szCs w:val="22"/>
        </w:rPr>
      </w:pPr>
      <w:r>
        <w:rPr>
          <w:b/>
          <w:szCs w:val="22"/>
        </w:rPr>
        <w:t>COVID-19 –</w:t>
      </w:r>
      <w:r w:rsidR="00F22EF1">
        <w:rPr>
          <w:b/>
          <w:szCs w:val="22"/>
        </w:rPr>
        <w:t xml:space="preserve"> </w:t>
      </w:r>
      <w:r w:rsidR="00F22EF1">
        <w:rPr>
          <w:szCs w:val="22"/>
        </w:rPr>
        <w:t xml:space="preserve">infekčné ochorenie, vyvolané </w:t>
      </w:r>
      <w:proofErr w:type="spellStart"/>
      <w:r w:rsidR="00F22EF1">
        <w:rPr>
          <w:szCs w:val="22"/>
        </w:rPr>
        <w:t>koronavírusom</w:t>
      </w:r>
      <w:proofErr w:type="spellEnd"/>
      <w:r w:rsidR="00F22EF1">
        <w:rPr>
          <w:szCs w:val="22"/>
        </w:rPr>
        <w:t xml:space="preserve"> SARS-CoV-2.</w:t>
      </w:r>
    </w:p>
    <w:p w14:paraId="606E1045" w14:textId="6E109667" w:rsidR="00352012" w:rsidRPr="00DC25A2" w:rsidRDefault="00352012" w:rsidP="00220857">
      <w:pPr>
        <w:spacing w:after="0" w:line="312" w:lineRule="auto"/>
        <w:jc w:val="both"/>
        <w:rPr>
          <w:szCs w:val="22"/>
        </w:rPr>
      </w:pPr>
      <w:r w:rsidRPr="00DC25A2">
        <w:rPr>
          <w:b/>
          <w:szCs w:val="22"/>
        </w:rPr>
        <w:t>DPH</w:t>
      </w:r>
      <w:r w:rsidRPr="00DC25A2">
        <w:rPr>
          <w:szCs w:val="22"/>
        </w:rPr>
        <w:t xml:space="preserve"> – daň z pridanej hodnoty</w:t>
      </w:r>
    </w:p>
    <w:p w14:paraId="566EF5C7" w14:textId="6EFCDF7C" w:rsidR="00220857" w:rsidRPr="00DC25A2" w:rsidRDefault="00220857" w:rsidP="00220857">
      <w:pPr>
        <w:spacing w:after="0" w:line="312" w:lineRule="auto"/>
        <w:jc w:val="both"/>
        <w:rPr>
          <w:b/>
          <w:szCs w:val="22"/>
        </w:rPr>
      </w:pPr>
      <w:r w:rsidRPr="00DC25A2">
        <w:rPr>
          <w:b/>
          <w:szCs w:val="22"/>
        </w:rPr>
        <w:t xml:space="preserve">DPPO – </w:t>
      </w:r>
      <w:r w:rsidRPr="00DC25A2">
        <w:rPr>
          <w:szCs w:val="22"/>
        </w:rPr>
        <w:t xml:space="preserve">daň z príjmov </w:t>
      </w:r>
      <w:r w:rsidR="00B567AE" w:rsidRPr="00DC25A2">
        <w:rPr>
          <w:szCs w:val="22"/>
        </w:rPr>
        <w:t xml:space="preserve">právnickej </w:t>
      </w:r>
      <w:r w:rsidRPr="00DC25A2">
        <w:rPr>
          <w:szCs w:val="22"/>
        </w:rPr>
        <w:t>os</w:t>
      </w:r>
      <w:r w:rsidR="00B567AE" w:rsidRPr="00DC25A2">
        <w:rPr>
          <w:szCs w:val="22"/>
        </w:rPr>
        <w:t>oby</w:t>
      </w:r>
    </w:p>
    <w:p w14:paraId="6256204E" w14:textId="49919E83" w:rsidR="00220857" w:rsidRPr="00DC25A2" w:rsidRDefault="00220857" w:rsidP="00220857">
      <w:pPr>
        <w:spacing w:after="0" w:line="312" w:lineRule="auto"/>
        <w:jc w:val="both"/>
        <w:rPr>
          <w:b/>
          <w:szCs w:val="22"/>
        </w:rPr>
      </w:pPr>
      <w:r w:rsidRPr="00DC25A2">
        <w:rPr>
          <w:b/>
          <w:szCs w:val="22"/>
        </w:rPr>
        <w:t xml:space="preserve">DPFO - </w:t>
      </w:r>
      <w:r w:rsidRPr="00DC25A2">
        <w:rPr>
          <w:szCs w:val="22"/>
        </w:rPr>
        <w:t>daň z príjmov fyzick</w:t>
      </w:r>
      <w:r w:rsidR="00B567AE" w:rsidRPr="00DC25A2">
        <w:rPr>
          <w:szCs w:val="22"/>
        </w:rPr>
        <w:t>ej</w:t>
      </w:r>
      <w:r w:rsidRPr="00DC25A2">
        <w:rPr>
          <w:szCs w:val="22"/>
        </w:rPr>
        <w:t xml:space="preserve"> os</w:t>
      </w:r>
      <w:r w:rsidR="00B567AE" w:rsidRPr="00DC25A2">
        <w:rPr>
          <w:szCs w:val="22"/>
        </w:rPr>
        <w:t>o</w:t>
      </w:r>
      <w:r w:rsidRPr="00DC25A2">
        <w:rPr>
          <w:szCs w:val="22"/>
        </w:rPr>
        <w:t>b</w:t>
      </w:r>
      <w:r w:rsidR="00B567AE" w:rsidRPr="00DC25A2">
        <w:rPr>
          <w:szCs w:val="22"/>
        </w:rPr>
        <w:t>y</w:t>
      </w:r>
    </w:p>
    <w:p w14:paraId="797323AB" w14:textId="1D22465A" w:rsidR="00352012" w:rsidRPr="00DC25A2" w:rsidRDefault="00352012" w:rsidP="00220857">
      <w:pPr>
        <w:spacing w:after="0" w:line="312" w:lineRule="auto"/>
        <w:jc w:val="both"/>
        <w:rPr>
          <w:szCs w:val="22"/>
        </w:rPr>
      </w:pPr>
      <w:r w:rsidRPr="00DC25A2">
        <w:rPr>
          <w:b/>
          <w:szCs w:val="22"/>
        </w:rPr>
        <w:t>EFSF</w:t>
      </w:r>
      <w:r w:rsidRPr="00DC25A2">
        <w:rPr>
          <w:szCs w:val="22"/>
        </w:rPr>
        <w:t xml:space="preserve"> – Európsky nástroj finančnej stability </w:t>
      </w:r>
    </w:p>
    <w:p w14:paraId="0A8CE864" w14:textId="1664E59C" w:rsidR="00786FDD" w:rsidRPr="00DC25A2" w:rsidRDefault="00786FDD" w:rsidP="00220857">
      <w:pPr>
        <w:spacing w:after="0" w:line="312" w:lineRule="auto"/>
        <w:jc w:val="both"/>
        <w:rPr>
          <w:szCs w:val="22"/>
        </w:rPr>
      </w:pPr>
      <w:r w:rsidRPr="00DC25A2">
        <w:rPr>
          <w:b/>
          <w:szCs w:val="22"/>
        </w:rPr>
        <w:t xml:space="preserve">EK – </w:t>
      </w:r>
      <w:r w:rsidRPr="00DC25A2">
        <w:rPr>
          <w:szCs w:val="22"/>
        </w:rPr>
        <w:t>Európska komisia</w:t>
      </w:r>
    </w:p>
    <w:p w14:paraId="512C59F2" w14:textId="77777777" w:rsidR="00352012" w:rsidRPr="00DC25A2" w:rsidRDefault="00352012" w:rsidP="00220857">
      <w:pPr>
        <w:spacing w:after="0" w:line="312" w:lineRule="auto"/>
        <w:jc w:val="both"/>
        <w:rPr>
          <w:szCs w:val="22"/>
        </w:rPr>
      </w:pPr>
      <w:r w:rsidRPr="00DC25A2">
        <w:rPr>
          <w:b/>
          <w:szCs w:val="22"/>
        </w:rPr>
        <w:t>ESM</w:t>
      </w:r>
      <w:r w:rsidRPr="00DC25A2">
        <w:rPr>
          <w:szCs w:val="22"/>
        </w:rPr>
        <w:t xml:space="preserve"> – Európsky mechanizmus pre stabilitu</w:t>
      </w:r>
      <w:r w:rsidRPr="00DC25A2">
        <w:rPr>
          <w:b/>
          <w:szCs w:val="22"/>
        </w:rPr>
        <w:t xml:space="preserve"> </w:t>
      </w:r>
    </w:p>
    <w:p w14:paraId="2D837873" w14:textId="7D2BD1F1" w:rsidR="00352012" w:rsidRPr="00DC25A2" w:rsidRDefault="000C2F69" w:rsidP="00220857">
      <w:pPr>
        <w:spacing w:after="0" w:line="312" w:lineRule="auto"/>
        <w:jc w:val="both"/>
        <w:rPr>
          <w:szCs w:val="22"/>
        </w:rPr>
      </w:pPr>
      <w:r w:rsidRPr="00DC25A2">
        <w:rPr>
          <w:b/>
          <w:szCs w:val="22"/>
        </w:rPr>
        <w:t>ESA2010</w:t>
      </w:r>
      <w:r w:rsidR="00352012" w:rsidRPr="00DC25A2">
        <w:rPr>
          <w:szCs w:val="22"/>
        </w:rPr>
        <w:t xml:space="preserve"> - Európsky systém národných a regionálnych účtov 2010</w:t>
      </w:r>
    </w:p>
    <w:p w14:paraId="6C1CBF77" w14:textId="70CCCB4F" w:rsidR="00C76D8F" w:rsidRPr="00DC25A2" w:rsidRDefault="00C76D8F" w:rsidP="00220857">
      <w:pPr>
        <w:spacing w:after="0" w:line="312" w:lineRule="auto"/>
        <w:jc w:val="both"/>
        <w:rPr>
          <w:b/>
          <w:szCs w:val="22"/>
        </w:rPr>
      </w:pPr>
      <w:r w:rsidRPr="00DC25A2">
        <w:rPr>
          <w:b/>
          <w:szCs w:val="22"/>
        </w:rPr>
        <w:t xml:space="preserve">EŠIF </w:t>
      </w:r>
      <w:r w:rsidR="00C43846" w:rsidRPr="00DC25A2">
        <w:rPr>
          <w:b/>
          <w:szCs w:val="22"/>
        </w:rPr>
        <w:t>–</w:t>
      </w:r>
      <w:r w:rsidRPr="00DC25A2">
        <w:rPr>
          <w:b/>
          <w:szCs w:val="22"/>
        </w:rPr>
        <w:t xml:space="preserve"> </w:t>
      </w:r>
      <w:r w:rsidR="00C43846" w:rsidRPr="00DC25A2">
        <w:rPr>
          <w:szCs w:val="22"/>
        </w:rPr>
        <w:t>Európske</w:t>
      </w:r>
      <w:r w:rsidR="00135B55" w:rsidRPr="00DC25A2">
        <w:rPr>
          <w:szCs w:val="22"/>
        </w:rPr>
        <w:t xml:space="preserve"> štrukturálne a investičné fondy</w:t>
      </w:r>
    </w:p>
    <w:p w14:paraId="27B09DF5" w14:textId="77777777" w:rsidR="00352012" w:rsidRPr="00DC25A2" w:rsidRDefault="00352012" w:rsidP="00220857">
      <w:pPr>
        <w:spacing w:after="0" w:line="312" w:lineRule="auto"/>
        <w:jc w:val="both"/>
        <w:rPr>
          <w:szCs w:val="22"/>
        </w:rPr>
      </w:pPr>
      <w:r w:rsidRPr="00DC25A2">
        <w:rPr>
          <w:b/>
          <w:szCs w:val="22"/>
        </w:rPr>
        <w:t>EUROSTAT</w:t>
      </w:r>
      <w:r w:rsidRPr="00DC25A2">
        <w:rPr>
          <w:szCs w:val="22"/>
        </w:rPr>
        <w:t xml:space="preserve"> – Štatistický úrad Európskeho spoločenstva </w:t>
      </w:r>
    </w:p>
    <w:p w14:paraId="37C957BB" w14:textId="7483BE21" w:rsidR="00786FDD" w:rsidRPr="00DC25A2" w:rsidRDefault="00786FDD" w:rsidP="00220857">
      <w:pPr>
        <w:spacing w:after="0" w:line="312" w:lineRule="auto"/>
        <w:jc w:val="both"/>
        <w:rPr>
          <w:szCs w:val="22"/>
        </w:rPr>
      </w:pPr>
      <w:r w:rsidRPr="00DC25A2">
        <w:rPr>
          <w:b/>
          <w:szCs w:val="22"/>
        </w:rPr>
        <w:t xml:space="preserve">EÚ – </w:t>
      </w:r>
      <w:r w:rsidRPr="00DC25A2">
        <w:rPr>
          <w:szCs w:val="22"/>
        </w:rPr>
        <w:t>Európska únia</w:t>
      </w:r>
    </w:p>
    <w:p w14:paraId="3DA8931A" w14:textId="77777777" w:rsidR="00352012" w:rsidRPr="00DC25A2" w:rsidRDefault="00352012" w:rsidP="00220857">
      <w:pPr>
        <w:spacing w:after="0" w:line="312" w:lineRule="auto"/>
        <w:jc w:val="both"/>
        <w:rPr>
          <w:szCs w:val="22"/>
        </w:rPr>
      </w:pPr>
      <w:r w:rsidRPr="00DC25A2">
        <w:rPr>
          <w:b/>
          <w:szCs w:val="22"/>
        </w:rPr>
        <w:t>FNM SR</w:t>
      </w:r>
      <w:r w:rsidRPr="00DC25A2">
        <w:rPr>
          <w:szCs w:val="22"/>
        </w:rPr>
        <w:t xml:space="preserve"> – Fond národného majetku Slovenskej republiky</w:t>
      </w:r>
    </w:p>
    <w:p w14:paraId="072010C9" w14:textId="77777777" w:rsidR="00352012" w:rsidRPr="00DC25A2" w:rsidRDefault="00352012" w:rsidP="00220857">
      <w:pPr>
        <w:spacing w:after="0" w:line="312" w:lineRule="auto"/>
        <w:jc w:val="both"/>
        <w:rPr>
          <w:szCs w:val="22"/>
        </w:rPr>
      </w:pPr>
      <w:r w:rsidRPr="00DC25A2">
        <w:rPr>
          <w:b/>
          <w:szCs w:val="22"/>
        </w:rPr>
        <w:t>GNI</w:t>
      </w:r>
      <w:r w:rsidRPr="00DC25A2">
        <w:rPr>
          <w:szCs w:val="22"/>
        </w:rPr>
        <w:t xml:space="preserve"> – Hrubý národný príjem</w:t>
      </w:r>
    </w:p>
    <w:p w14:paraId="7430954E" w14:textId="77777777" w:rsidR="00352012" w:rsidRPr="00DC25A2" w:rsidRDefault="00352012" w:rsidP="00220857">
      <w:pPr>
        <w:spacing w:after="0" w:line="312" w:lineRule="auto"/>
        <w:jc w:val="both"/>
        <w:rPr>
          <w:szCs w:val="22"/>
        </w:rPr>
      </w:pPr>
      <w:r w:rsidRPr="00DC25A2">
        <w:rPr>
          <w:b/>
          <w:szCs w:val="22"/>
        </w:rPr>
        <w:t>HDP</w:t>
      </w:r>
      <w:r w:rsidRPr="00DC25A2">
        <w:rPr>
          <w:szCs w:val="22"/>
        </w:rPr>
        <w:t xml:space="preserve"> – hrubý domáci produkt</w:t>
      </w:r>
    </w:p>
    <w:p w14:paraId="06DCCA93" w14:textId="77777777" w:rsidR="00352012" w:rsidRPr="00DC25A2" w:rsidRDefault="00352012" w:rsidP="00220857">
      <w:pPr>
        <w:spacing w:after="0" w:line="312" w:lineRule="auto"/>
        <w:rPr>
          <w:szCs w:val="22"/>
        </w:rPr>
      </w:pPr>
      <w:r w:rsidRPr="00DC25A2">
        <w:rPr>
          <w:b/>
          <w:szCs w:val="22"/>
        </w:rPr>
        <w:t>IPSAS</w:t>
      </w:r>
      <w:r w:rsidRPr="00DC25A2">
        <w:rPr>
          <w:szCs w:val="22"/>
        </w:rPr>
        <w:t xml:space="preserve"> - Medzinárodné účtovné štandardy pre verejný sektor</w:t>
      </w:r>
    </w:p>
    <w:p w14:paraId="5F5418FB" w14:textId="77777777" w:rsidR="00352012" w:rsidRPr="00DC25A2" w:rsidRDefault="00352012" w:rsidP="00220857">
      <w:pPr>
        <w:spacing w:after="0" w:line="312" w:lineRule="auto"/>
        <w:jc w:val="both"/>
        <w:rPr>
          <w:szCs w:val="22"/>
        </w:rPr>
      </w:pPr>
      <w:r w:rsidRPr="00DC25A2">
        <w:rPr>
          <w:b/>
          <w:szCs w:val="22"/>
        </w:rPr>
        <w:t>KÚZ</w:t>
      </w:r>
      <w:r w:rsidRPr="00DC25A2">
        <w:rPr>
          <w:szCs w:val="22"/>
        </w:rPr>
        <w:t xml:space="preserve"> – konsolidovaná účtovná závierka</w:t>
      </w:r>
    </w:p>
    <w:p w14:paraId="384F3C23" w14:textId="77777777" w:rsidR="00352012" w:rsidRPr="00DC25A2" w:rsidRDefault="00352012" w:rsidP="00220857">
      <w:pPr>
        <w:spacing w:after="0" w:line="312" w:lineRule="auto"/>
        <w:jc w:val="both"/>
        <w:rPr>
          <w:szCs w:val="22"/>
        </w:rPr>
      </w:pPr>
      <w:r w:rsidRPr="00DC25A2">
        <w:rPr>
          <w:b/>
          <w:szCs w:val="22"/>
        </w:rPr>
        <w:t>MF</w:t>
      </w:r>
      <w:r w:rsidRPr="00DC25A2">
        <w:rPr>
          <w:szCs w:val="22"/>
        </w:rPr>
        <w:t> </w:t>
      </w:r>
      <w:r w:rsidRPr="00DC25A2">
        <w:rPr>
          <w:b/>
          <w:szCs w:val="22"/>
        </w:rPr>
        <w:t>SR</w:t>
      </w:r>
      <w:r w:rsidRPr="00DC25A2">
        <w:rPr>
          <w:szCs w:val="22"/>
        </w:rPr>
        <w:t xml:space="preserve"> – Ministerstvo financií Slovenskej republiky</w:t>
      </w:r>
    </w:p>
    <w:p w14:paraId="52C2D438" w14:textId="77777777" w:rsidR="00352012" w:rsidRPr="00DC25A2" w:rsidRDefault="00352012" w:rsidP="00220857">
      <w:pPr>
        <w:spacing w:after="0" w:line="312" w:lineRule="auto"/>
        <w:jc w:val="both"/>
        <w:rPr>
          <w:szCs w:val="22"/>
        </w:rPr>
      </w:pPr>
      <w:r w:rsidRPr="00DC25A2">
        <w:rPr>
          <w:b/>
          <w:szCs w:val="22"/>
        </w:rPr>
        <w:t>MMF</w:t>
      </w:r>
      <w:r w:rsidRPr="00DC25A2">
        <w:rPr>
          <w:szCs w:val="22"/>
        </w:rPr>
        <w:t xml:space="preserve"> – Medzinárodný menový fond</w:t>
      </w:r>
    </w:p>
    <w:p w14:paraId="17544974" w14:textId="3D9A6BEF" w:rsidR="00352012" w:rsidRPr="00DC25A2" w:rsidRDefault="00352012" w:rsidP="00220857">
      <w:pPr>
        <w:spacing w:after="0" w:line="312" w:lineRule="auto"/>
        <w:jc w:val="both"/>
        <w:rPr>
          <w:szCs w:val="22"/>
        </w:rPr>
      </w:pPr>
      <w:r w:rsidRPr="00DC25A2">
        <w:rPr>
          <w:b/>
          <w:szCs w:val="22"/>
        </w:rPr>
        <w:t>OECD</w:t>
      </w:r>
      <w:r w:rsidRPr="00DC25A2">
        <w:rPr>
          <w:szCs w:val="22"/>
        </w:rPr>
        <w:t xml:space="preserve"> – Organizácia pre hospodársku spoluprácu a</w:t>
      </w:r>
      <w:r w:rsidR="00C2563F" w:rsidRPr="00DC25A2">
        <w:rPr>
          <w:szCs w:val="22"/>
        </w:rPr>
        <w:t> </w:t>
      </w:r>
      <w:r w:rsidRPr="00DC25A2">
        <w:rPr>
          <w:szCs w:val="22"/>
        </w:rPr>
        <w:t>rozvoj</w:t>
      </w:r>
    </w:p>
    <w:p w14:paraId="71BD9609" w14:textId="2C55128A" w:rsidR="00C2563F" w:rsidRPr="00DC25A2" w:rsidRDefault="00C2563F" w:rsidP="00220857">
      <w:pPr>
        <w:spacing w:after="0" w:line="312" w:lineRule="auto"/>
        <w:jc w:val="both"/>
        <w:rPr>
          <w:szCs w:val="22"/>
        </w:rPr>
      </w:pPr>
      <w:r w:rsidRPr="00DC25A2">
        <w:rPr>
          <w:b/>
          <w:szCs w:val="22"/>
        </w:rPr>
        <w:t>OP</w:t>
      </w:r>
      <w:r w:rsidRPr="00DC25A2">
        <w:rPr>
          <w:szCs w:val="22"/>
        </w:rPr>
        <w:t xml:space="preserve"> – operačný program</w:t>
      </w:r>
    </w:p>
    <w:p w14:paraId="1792AA34" w14:textId="77777777" w:rsidR="00352012" w:rsidRPr="00DC25A2" w:rsidRDefault="00352012" w:rsidP="00220857">
      <w:pPr>
        <w:spacing w:after="0" w:line="312" w:lineRule="auto"/>
        <w:jc w:val="both"/>
        <w:rPr>
          <w:szCs w:val="22"/>
        </w:rPr>
      </w:pPr>
      <w:r w:rsidRPr="00DC25A2">
        <w:rPr>
          <w:b/>
          <w:szCs w:val="22"/>
        </w:rPr>
        <w:t>OS</w:t>
      </w:r>
      <w:r w:rsidRPr="00DC25A2">
        <w:rPr>
          <w:szCs w:val="22"/>
        </w:rPr>
        <w:t xml:space="preserve"> – obchodné spoločnosti</w:t>
      </w:r>
    </w:p>
    <w:p w14:paraId="7098562B" w14:textId="77777777" w:rsidR="00352012" w:rsidRPr="00DC25A2" w:rsidRDefault="00352012" w:rsidP="00220857">
      <w:pPr>
        <w:spacing w:after="0" w:line="312" w:lineRule="auto"/>
        <w:jc w:val="both"/>
        <w:rPr>
          <w:szCs w:val="22"/>
        </w:rPr>
      </w:pPr>
      <w:r w:rsidRPr="00DC25A2">
        <w:rPr>
          <w:b/>
          <w:szCs w:val="22"/>
        </w:rPr>
        <w:t>OSN</w:t>
      </w:r>
      <w:r w:rsidRPr="00DC25A2">
        <w:rPr>
          <w:szCs w:val="22"/>
        </w:rPr>
        <w:t xml:space="preserve"> – Organizácia spojených národov</w:t>
      </w:r>
    </w:p>
    <w:p w14:paraId="1F2EA230" w14:textId="77777777" w:rsidR="00352012" w:rsidRPr="00DC25A2" w:rsidRDefault="00352012" w:rsidP="00220857">
      <w:pPr>
        <w:spacing w:after="0" w:line="312" w:lineRule="auto"/>
        <w:jc w:val="both"/>
        <w:rPr>
          <w:szCs w:val="22"/>
        </w:rPr>
      </w:pPr>
      <w:r w:rsidRPr="00DC25A2">
        <w:rPr>
          <w:b/>
          <w:szCs w:val="22"/>
        </w:rPr>
        <w:t xml:space="preserve">PPP </w:t>
      </w:r>
      <w:r w:rsidRPr="00DC25A2">
        <w:rPr>
          <w:szCs w:val="22"/>
        </w:rPr>
        <w:t>– projekt verejno-súkromného partnerstva</w:t>
      </w:r>
    </w:p>
    <w:p w14:paraId="5B10DAEF" w14:textId="77777777" w:rsidR="00352012" w:rsidRPr="00DC25A2" w:rsidRDefault="00352012" w:rsidP="00220857">
      <w:pPr>
        <w:spacing w:after="0" w:line="312" w:lineRule="auto"/>
        <w:jc w:val="both"/>
        <w:rPr>
          <w:szCs w:val="22"/>
        </w:rPr>
      </w:pPr>
      <w:r w:rsidRPr="00DC25A2">
        <w:rPr>
          <w:b/>
          <w:szCs w:val="22"/>
        </w:rPr>
        <w:t>PO</w:t>
      </w:r>
      <w:r w:rsidRPr="00DC25A2">
        <w:rPr>
          <w:szCs w:val="22"/>
        </w:rPr>
        <w:t xml:space="preserve"> – príspevkové organizácie</w:t>
      </w:r>
    </w:p>
    <w:p w14:paraId="30ABF850" w14:textId="77777777" w:rsidR="00352012" w:rsidRPr="00DC25A2" w:rsidRDefault="00352012" w:rsidP="00220857">
      <w:pPr>
        <w:spacing w:after="0" w:line="312" w:lineRule="auto"/>
        <w:jc w:val="both"/>
        <w:rPr>
          <w:szCs w:val="22"/>
        </w:rPr>
      </w:pPr>
      <w:r w:rsidRPr="00DC25A2">
        <w:rPr>
          <w:b/>
          <w:szCs w:val="22"/>
        </w:rPr>
        <w:t>RO</w:t>
      </w:r>
      <w:r w:rsidRPr="00DC25A2">
        <w:rPr>
          <w:szCs w:val="22"/>
        </w:rPr>
        <w:t xml:space="preserve"> – rozpočtové organizácie</w:t>
      </w:r>
    </w:p>
    <w:p w14:paraId="5061E7B5" w14:textId="77777777" w:rsidR="00BF11BC" w:rsidRPr="00DC25A2" w:rsidRDefault="00BF11BC" w:rsidP="00220857">
      <w:pPr>
        <w:spacing w:after="0" w:line="312" w:lineRule="auto"/>
        <w:jc w:val="both"/>
        <w:rPr>
          <w:b/>
          <w:szCs w:val="22"/>
        </w:rPr>
      </w:pPr>
      <w:r w:rsidRPr="00DC25A2">
        <w:rPr>
          <w:b/>
          <w:szCs w:val="22"/>
        </w:rPr>
        <w:t>SDR</w:t>
      </w:r>
      <w:r w:rsidR="009F6BD6" w:rsidRPr="00DC25A2">
        <w:rPr>
          <w:b/>
          <w:szCs w:val="22"/>
        </w:rPr>
        <w:t xml:space="preserve"> – </w:t>
      </w:r>
      <w:r w:rsidR="009F6BD6" w:rsidRPr="00DC25A2">
        <w:rPr>
          <w:szCs w:val="22"/>
        </w:rPr>
        <w:t>špeciálne práva čerpania</w:t>
      </w:r>
      <w:r w:rsidR="005E7ABD" w:rsidRPr="00DC25A2">
        <w:rPr>
          <w:szCs w:val="22"/>
        </w:rPr>
        <w:t>, jednotná menová a účtovná jednotka používaná v rámci Medzinárodného menového fondu</w:t>
      </w:r>
    </w:p>
    <w:p w14:paraId="5702F201" w14:textId="77777777" w:rsidR="00352012" w:rsidRPr="00DC25A2" w:rsidRDefault="00352012" w:rsidP="00220857">
      <w:pPr>
        <w:spacing w:after="0" w:line="312" w:lineRule="auto"/>
        <w:jc w:val="both"/>
        <w:rPr>
          <w:szCs w:val="22"/>
        </w:rPr>
      </w:pPr>
      <w:r w:rsidRPr="00DC25A2">
        <w:rPr>
          <w:b/>
          <w:szCs w:val="22"/>
        </w:rPr>
        <w:t>SVS</w:t>
      </w:r>
      <w:r w:rsidRPr="00DC25A2">
        <w:rPr>
          <w:szCs w:val="22"/>
        </w:rPr>
        <w:t xml:space="preserve"> – Súhrnná výročná správa SR</w:t>
      </w:r>
    </w:p>
    <w:p w14:paraId="270AF5BE" w14:textId="77777777" w:rsidR="00352012" w:rsidRPr="00DC25A2" w:rsidRDefault="00352012" w:rsidP="00220857">
      <w:pPr>
        <w:spacing w:after="0" w:line="312" w:lineRule="auto"/>
        <w:jc w:val="both"/>
        <w:rPr>
          <w:szCs w:val="22"/>
        </w:rPr>
      </w:pPr>
      <w:r w:rsidRPr="00DC25A2">
        <w:rPr>
          <w:b/>
          <w:szCs w:val="22"/>
        </w:rPr>
        <w:t>SZČO</w:t>
      </w:r>
      <w:r w:rsidRPr="00DC25A2">
        <w:rPr>
          <w:szCs w:val="22"/>
        </w:rPr>
        <w:t xml:space="preserve"> – samostatne zárobkovo činná osoba</w:t>
      </w:r>
    </w:p>
    <w:p w14:paraId="6A824AA5" w14:textId="77777777" w:rsidR="00352012" w:rsidRPr="00DC25A2" w:rsidRDefault="00352012" w:rsidP="00220857">
      <w:pPr>
        <w:spacing w:after="0" w:line="312" w:lineRule="auto"/>
        <w:jc w:val="both"/>
        <w:rPr>
          <w:szCs w:val="22"/>
        </w:rPr>
      </w:pPr>
      <w:r w:rsidRPr="00DC25A2">
        <w:rPr>
          <w:b/>
          <w:szCs w:val="22"/>
        </w:rPr>
        <w:t>ŠÚ</w:t>
      </w:r>
      <w:r w:rsidRPr="00DC25A2">
        <w:rPr>
          <w:szCs w:val="22"/>
        </w:rPr>
        <w:t> </w:t>
      </w:r>
      <w:r w:rsidRPr="00DC25A2">
        <w:rPr>
          <w:b/>
          <w:szCs w:val="22"/>
        </w:rPr>
        <w:t>SR</w:t>
      </w:r>
      <w:r w:rsidRPr="00DC25A2">
        <w:rPr>
          <w:szCs w:val="22"/>
        </w:rPr>
        <w:t xml:space="preserve"> – Štatistický úrad Slovenskej republiky</w:t>
      </w:r>
    </w:p>
    <w:p w14:paraId="237686DE" w14:textId="77777777" w:rsidR="00352012" w:rsidRPr="00DC25A2" w:rsidRDefault="00352012" w:rsidP="00220857">
      <w:pPr>
        <w:spacing w:after="0" w:line="312" w:lineRule="auto"/>
        <w:jc w:val="both"/>
        <w:rPr>
          <w:szCs w:val="22"/>
        </w:rPr>
      </w:pPr>
      <w:r w:rsidRPr="00DC25A2">
        <w:rPr>
          <w:b/>
          <w:szCs w:val="22"/>
        </w:rPr>
        <w:t xml:space="preserve">ŠZÚ </w:t>
      </w:r>
      <w:r w:rsidRPr="00DC25A2">
        <w:rPr>
          <w:szCs w:val="22"/>
        </w:rPr>
        <w:t>– Štátny záverečný účet SR</w:t>
      </w:r>
    </w:p>
    <w:p w14:paraId="1520ADD8" w14:textId="77777777" w:rsidR="00352012" w:rsidRPr="00DC25A2" w:rsidRDefault="00352012" w:rsidP="00220857">
      <w:pPr>
        <w:spacing w:after="0" w:line="312" w:lineRule="auto"/>
        <w:jc w:val="both"/>
        <w:rPr>
          <w:szCs w:val="22"/>
        </w:rPr>
      </w:pPr>
      <w:r w:rsidRPr="00DC25A2">
        <w:rPr>
          <w:b/>
          <w:szCs w:val="22"/>
        </w:rPr>
        <w:t xml:space="preserve">ÚJ </w:t>
      </w:r>
      <w:r w:rsidRPr="00DC25A2">
        <w:rPr>
          <w:szCs w:val="22"/>
        </w:rPr>
        <w:t>– účtovná jednotka</w:t>
      </w:r>
    </w:p>
    <w:p w14:paraId="21B9FDFA" w14:textId="77777777" w:rsidR="00352012" w:rsidRPr="00DC25A2" w:rsidRDefault="00352012" w:rsidP="00220857">
      <w:pPr>
        <w:spacing w:after="0" w:line="312" w:lineRule="auto"/>
        <w:jc w:val="both"/>
        <w:rPr>
          <w:szCs w:val="22"/>
        </w:rPr>
      </w:pPr>
      <w:r w:rsidRPr="00DC25A2">
        <w:rPr>
          <w:b/>
          <w:szCs w:val="22"/>
        </w:rPr>
        <w:t>VÚC</w:t>
      </w:r>
      <w:r w:rsidRPr="00DC25A2">
        <w:rPr>
          <w:szCs w:val="22"/>
        </w:rPr>
        <w:t xml:space="preserve"> – vyššie územné celky</w:t>
      </w:r>
    </w:p>
    <w:p w14:paraId="775136BC" w14:textId="77777777" w:rsidR="00352012" w:rsidRPr="00DC25A2" w:rsidRDefault="00352012" w:rsidP="00220857">
      <w:pPr>
        <w:spacing w:after="0" w:line="312" w:lineRule="auto"/>
        <w:jc w:val="both"/>
        <w:rPr>
          <w:szCs w:val="22"/>
        </w:rPr>
      </w:pPr>
      <w:r w:rsidRPr="00DC25A2">
        <w:rPr>
          <w:b/>
          <w:szCs w:val="22"/>
        </w:rPr>
        <w:t>ústavný zákon o rozpočtovej zodpovednosti</w:t>
      </w:r>
      <w:r w:rsidRPr="00DC25A2">
        <w:rPr>
          <w:szCs w:val="22"/>
        </w:rPr>
        <w:t xml:space="preserve"> </w:t>
      </w:r>
      <w:r w:rsidRPr="00DC25A2">
        <w:rPr>
          <w:b/>
          <w:szCs w:val="22"/>
        </w:rPr>
        <w:t>-</w:t>
      </w:r>
      <w:r w:rsidRPr="00DC25A2">
        <w:rPr>
          <w:szCs w:val="22"/>
        </w:rPr>
        <w:t xml:space="preserve"> ústavný zákon č. 493/2011 Z. z. o rozpočtovej zodpovednosti</w:t>
      </w:r>
    </w:p>
    <w:p w14:paraId="01ADBF1D" w14:textId="64B827CB" w:rsidR="00352012" w:rsidRPr="00DC25A2" w:rsidRDefault="00352012" w:rsidP="00220857">
      <w:pPr>
        <w:spacing w:after="0" w:line="312" w:lineRule="auto"/>
        <w:jc w:val="both"/>
        <w:rPr>
          <w:szCs w:val="22"/>
        </w:rPr>
      </w:pPr>
      <w:r w:rsidRPr="00DC25A2">
        <w:rPr>
          <w:b/>
          <w:szCs w:val="22"/>
        </w:rPr>
        <w:t>zákon o rozpočtových pravidlách verejnej správy (rozpočtové pravidlá</w:t>
      </w:r>
      <w:r w:rsidRPr="00DC25A2">
        <w:rPr>
          <w:szCs w:val="22"/>
        </w:rPr>
        <w:t xml:space="preserve">) </w:t>
      </w:r>
      <w:r w:rsidRPr="00DC25A2">
        <w:rPr>
          <w:b/>
          <w:szCs w:val="22"/>
        </w:rPr>
        <w:t>-</w:t>
      </w:r>
      <w:r w:rsidR="00E17549" w:rsidRPr="00DC25A2">
        <w:rPr>
          <w:szCs w:val="22"/>
        </w:rPr>
        <w:t xml:space="preserve"> zákon č. </w:t>
      </w:r>
      <w:r w:rsidRPr="00DC25A2">
        <w:rPr>
          <w:szCs w:val="22"/>
        </w:rPr>
        <w:t>523/2004 Z. z. o rozpočtový</w:t>
      </w:r>
      <w:r w:rsidR="00E17549" w:rsidRPr="00DC25A2">
        <w:rPr>
          <w:szCs w:val="22"/>
        </w:rPr>
        <w:t xml:space="preserve">ch pravidlách verejnej správy a o </w:t>
      </w:r>
      <w:r w:rsidRPr="00DC25A2">
        <w:rPr>
          <w:szCs w:val="22"/>
        </w:rPr>
        <w:t>zmene a</w:t>
      </w:r>
      <w:r w:rsidR="00E17549" w:rsidRPr="00DC25A2">
        <w:rPr>
          <w:szCs w:val="22"/>
        </w:rPr>
        <w:t xml:space="preserve"> </w:t>
      </w:r>
      <w:r w:rsidRPr="00DC25A2">
        <w:rPr>
          <w:szCs w:val="22"/>
        </w:rPr>
        <w:t>doplnení niektorých zákonov v znení neskorších predpisov</w:t>
      </w:r>
    </w:p>
    <w:p w14:paraId="018975E9" w14:textId="77777777" w:rsidR="00352012" w:rsidRPr="00DC25A2" w:rsidRDefault="00352012" w:rsidP="00220857">
      <w:pPr>
        <w:spacing w:after="0" w:line="312" w:lineRule="auto"/>
        <w:jc w:val="both"/>
        <w:rPr>
          <w:szCs w:val="22"/>
        </w:rPr>
      </w:pPr>
      <w:r w:rsidRPr="00DC25A2">
        <w:rPr>
          <w:b/>
          <w:szCs w:val="22"/>
        </w:rPr>
        <w:t>zákon o účtovníctve</w:t>
      </w:r>
      <w:r w:rsidRPr="00DC25A2">
        <w:rPr>
          <w:szCs w:val="22"/>
        </w:rPr>
        <w:t xml:space="preserve"> </w:t>
      </w:r>
      <w:r w:rsidRPr="00DC25A2">
        <w:rPr>
          <w:b/>
          <w:szCs w:val="22"/>
        </w:rPr>
        <w:t>-</w:t>
      </w:r>
      <w:r w:rsidRPr="00DC25A2">
        <w:rPr>
          <w:szCs w:val="22"/>
        </w:rPr>
        <w:t xml:space="preserve"> Zákon č. 431/2002 Z. z. o účtovníctve v znení neskorších predpisov</w:t>
      </w:r>
    </w:p>
    <w:p w14:paraId="117D0BDF" w14:textId="77777777" w:rsidR="00352012" w:rsidRPr="00DC25A2" w:rsidRDefault="00352012" w:rsidP="00220857">
      <w:pPr>
        <w:spacing w:after="0" w:line="312" w:lineRule="auto"/>
        <w:jc w:val="both"/>
        <w:rPr>
          <w:bCs/>
          <w:szCs w:val="22"/>
        </w:rPr>
      </w:pPr>
      <w:r w:rsidRPr="00DC25A2">
        <w:rPr>
          <w:b/>
          <w:szCs w:val="22"/>
        </w:rPr>
        <w:t xml:space="preserve">zákon </w:t>
      </w:r>
      <w:r w:rsidRPr="00DC25A2">
        <w:rPr>
          <w:b/>
          <w:bCs/>
          <w:szCs w:val="22"/>
        </w:rPr>
        <w:t>o organizácii vlády a ústrednej štátnej správy</w:t>
      </w:r>
      <w:r w:rsidRPr="00DC25A2">
        <w:rPr>
          <w:bCs/>
          <w:szCs w:val="22"/>
        </w:rPr>
        <w:t xml:space="preserve"> - </w:t>
      </w:r>
      <w:r w:rsidRPr="00DC25A2">
        <w:rPr>
          <w:szCs w:val="22"/>
        </w:rPr>
        <w:t xml:space="preserve">zákon č. </w:t>
      </w:r>
      <w:r w:rsidRPr="00DC25A2">
        <w:rPr>
          <w:bCs/>
          <w:szCs w:val="22"/>
        </w:rPr>
        <w:t>575/2001 Z. z. o organizácii činnosti vlády a organizácii ústrednej štátnej správy v znení neskorších predpisov</w:t>
      </w:r>
    </w:p>
    <w:p w14:paraId="053D122C" w14:textId="77777777" w:rsidR="00352012" w:rsidRPr="00DC25A2" w:rsidRDefault="00352012" w:rsidP="00220857">
      <w:pPr>
        <w:spacing w:after="0" w:line="312" w:lineRule="auto"/>
        <w:jc w:val="both"/>
        <w:rPr>
          <w:bCs/>
          <w:szCs w:val="22"/>
        </w:rPr>
      </w:pPr>
      <w:r w:rsidRPr="00DC25A2">
        <w:rPr>
          <w:b/>
          <w:szCs w:val="22"/>
        </w:rPr>
        <w:t xml:space="preserve">zákon </w:t>
      </w:r>
      <w:r w:rsidRPr="00DC25A2">
        <w:rPr>
          <w:b/>
          <w:bCs/>
          <w:szCs w:val="22"/>
        </w:rPr>
        <w:t>o obecnom zriadení</w:t>
      </w:r>
      <w:r w:rsidRPr="00DC25A2">
        <w:rPr>
          <w:bCs/>
          <w:szCs w:val="22"/>
        </w:rPr>
        <w:t xml:space="preserve"> </w:t>
      </w:r>
      <w:r w:rsidRPr="00DC25A2">
        <w:rPr>
          <w:b/>
          <w:bCs/>
          <w:szCs w:val="22"/>
        </w:rPr>
        <w:t>-</w:t>
      </w:r>
      <w:r w:rsidRPr="00DC25A2">
        <w:rPr>
          <w:bCs/>
          <w:szCs w:val="22"/>
        </w:rPr>
        <w:t xml:space="preserve"> </w:t>
      </w:r>
      <w:r w:rsidRPr="00DC25A2">
        <w:rPr>
          <w:szCs w:val="22"/>
        </w:rPr>
        <w:t xml:space="preserve">zákon </w:t>
      </w:r>
      <w:r w:rsidRPr="00DC25A2">
        <w:rPr>
          <w:bCs/>
          <w:szCs w:val="22"/>
        </w:rPr>
        <w:t>Slovenskej národnej rady č. 369/</w:t>
      </w:r>
      <w:r w:rsidRPr="00DC25A2">
        <w:rPr>
          <w:szCs w:val="22"/>
        </w:rPr>
        <w:t xml:space="preserve">1990 Zb. </w:t>
      </w:r>
      <w:r w:rsidRPr="00DC25A2">
        <w:rPr>
          <w:bCs/>
          <w:szCs w:val="22"/>
        </w:rPr>
        <w:t>o obecnom zriadení v znení neskorších predpisov</w:t>
      </w:r>
    </w:p>
    <w:p w14:paraId="12EED020" w14:textId="0B9568A2" w:rsidR="00352012" w:rsidRPr="00DC25A2" w:rsidRDefault="00352012" w:rsidP="00220857">
      <w:pPr>
        <w:spacing w:after="0" w:line="312" w:lineRule="auto"/>
        <w:jc w:val="both"/>
        <w:rPr>
          <w:bCs/>
          <w:szCs w:val="22"/>
        </w:rPr>
      </w:pPr>
      <w:r w:rsidRPr="00DC25A2">
        <w:rPr>
          <w:b/>
          <w:bCs/>
          <w:szCs w:val="22"/>
        </w:rPr>
        <w:t>zákon o samosprávnych krajoch</w:t>
      </w:r>
      <w:r w:rsidRPr="00DC25A2">
        <w:rPr>
          <w:bCs/>
          <w:szCs w:val="22"/>
        </w:rPr>
        <w:t xml:space="preserve"> </w:t>
      </w:r>
      <w:r w:rsidRPr="00DC25A2">
        <w:rPr>
          <w:b/>
          <w:bCs/>
          <w:szCs w:val="22"/>
        </w:rPr>
        <w:t>-</w:t>
      </w:r>
      <w:r w:rsidR="00E17549" w:rsidRPr="00DC25A2">
        <w:rPr>
          <w:bCs/>
          <w:szCs w:val="22"/>
        </w:rPr>
        <w:t xml:space="preserve"> zákon č. </w:t>
      </w:r>
      <w:r w:rsidRPr="00DC25A2">
        <w:rPr>
          <w:bCs/>
          <w:szCs w:val="22"/>
        </w:rPr>
        <w:t>302/2001 Z. z. o samospráve vyšších územných celkov v znení neskorších predpisov</w:t>
      </w:r>
    </w:p>
    <w:p w14:paraId="6EB312C0" w14:textId="724AC73A" w:rsidR="00352012" w:rsidRPr="00DC25A2" w:rsidRDefault="00352012" w:rsidP="00220857">
      <w:pPr>
        <w:spacing w:after="0" w:line="312" w:lineRule="auto"/>
        <w:jc w:val="both"/>
        <w:rPr>
          <w:bCs/>
          <w:szCs w:val="22"/>
        </w:rPr>
      </w:pPr>
      <w:r w:rsidRPr="00DC25A2">
        <w:rPr>
          <w:b/>
          <w:szCs w:val="22"/>
        </w:rPr>
        <w:t>zákon o Sociálnej poisťovni</w:t>
      </w:r>
      <w:r w:rsidRPr="00DC25A2">
        <w:rPr>
          <w:szCs w:val="22"/>
        </w:rPr>
        <w:t xml:space="preserve"> </w:t>
      </w:r>
      <w:r w:rsidRPr="00DC25A2">
        <w:rPr>
          <w:bCs/>
          <w:szCs w:val="22"/>
        </w:rPr>
        <w:t xml:space="preserve">– </w:t>
      </w:r>
      <w:r w:rsidRPr="00DC25A2">
        <w:rPr>
          <w:szCs w:val="22"/>
        </w:rPr>
        <w:t>zákon č.</w:t>
      </w:r>
      <w:r w:rsidR="00E17549" w:rsidRPr="00DC25A2">
        <w:rPr>
          <w:szCs w:val="22"/>
        </w:rPr>
        <w:t> </w:t>
      </w:r>
      <w:r w:rsidRPr="00DC25A2">
        <w:rPr>
          <w:szCs w:val="22"/>
        </w:rPr>
        <w:t xml:space="preserve">274/1994 Z. z. o Sociálnej poisťovni </w:t>
      </w:r>
      <w:r w:rsidRPr="00DC25A2">
        <w:rPr>
          <w:bCs/>
          <w:szCs w:val="22"/>
        </w:rPr>
        <w:t>v znení neskorších predpisov</w:t>
      </w:r>
    </w:p>
    <w:p w14:paraId="66E34BCF" w14:textId="7B92CC91" w:rsidR="00352012" w:rsidRPr="00DC25A2" w:rsidRDefault="00352012" w:rsidP="00220857">
      <w:pPr>
        <w:spacing w:after="0" w:line="312" w:lineRule="auto"/>
        <w:jc w:val="both"/>
        <w:rPr>
          <w:bCs/>
          <w:szCs w:val="22"/>
        </w:rPr>
      </w:pPr>
      <w:r w:rsidRPr="00DC25A2">
        <w:rPr>
          <w:b/>
          <w:szCs w:val="22"/>
        </w:rPr>
        <w:t xml:space="preserve">zákon </w:t>
      </w:r>
      <w:r w:rsidRPr="00DC25A2">
        <w:rPr>
          <w:b/>
          <w:bCs/>
          <w:szCs w:val="22"/>
        </w:rPr>
        <w:t>o zdravotných poisťovniach</w:t>
      </w:r>
      <w:r w:rsidRPr="00DC25A2">
        <w:rPr>
          <w:bCs/>
          <w:szCs w:val="22"/>
        </w:rPr>
        <w:t xml:space="preserve"> </w:t>
      </w:r>
      <w:r w:rsidRPr="00DC25A2">
        <w:rPr>
          <w:b/>
          <w:bCs/>
          <w:szCs w:val="22"/>
        </w:rPr>
        <w:t>-</w:t>
      </w:r>
      <w:r w:rsidRPr="00DC25A2">
        <w:rPr>
          <w:bCs/>
          <w:szCs w:val="22"/>
        </w:rPr>
        <w:t xml:space="preserve"> </w:t>
      </w:r>
      <w:r w:rsidRPr="00DC25A2">
        <w:rPr>
          <w:szCs w:val="22"/>
        </w:rPr>
        <w:t>zákon č.</w:t>
      </w:r>
      <w:r w:rsidR="00E17549" w:rsidRPr="00DC25A2">
        <w:rPr>
          <w:szCs w:val="22"/>
        </w:rPr>
        <w:t> </w:t>
      </w:r>
      <w:r w:rsidRPr="00DC25A2">
        <w:rPr>
          <w:bCs/>
          <w:szCs w:val="22"/>
        </w:rPr>
        <w:t>581/</w:t>
      </w:r>
      <w:r w:rsidRPr="00DC25A2">
        <w:rPr>
          <w:szCs w:val="22"/>
        </w:rPr>
        <w:t xml:space="preserve">2004 Z. z. </w:t>
      </w:r>
      <w:r w:rsidRPr="00DC25A2">
        <w:rPr>
          <w:bCs/>
          <w:szCs w:val="22"/>
        </w:rPr>
        <w:t>o zdravotných poisťovniach, dohľade nad</w:t>
      </w:r>
      <w:r w:rsidR="00E17549" w:rsidRPr="00DC25A2">
        <w:rPr>
          <w:bCs/>
          <w:szCs w:val="22"/>
        </w:rPr>
        <w:t xml:space="preserve"> zdravotnou starostlivosťou a o </w:t>
      </w:r>
      <w:r w:rsidRPr="00DC25A2">
        <w:rPr>
          <w:bCs/>
          <w:szCs w:val="22"/>
        </w:rPr>
        <w:t>zmene a doplnení niektorých zákonov v znení neskorších predpisov</w:t>
      </w:r>
    </w:p>
    <w:p w14:paraId="0EB2B4D6" w14:textId="7BA095D3" w:rsidR="007A3FF8" w:rsidRPr="001D77FC" w:rsidRDefault="00352012" w:rsidP="00220857">
      <w:pPr>
        <w:spacing w:after="0" w:line="312" w:lineRule="auto"/>
        <w:jc w:val="both"/>
        <w:rPr>
          <w:szCs w:val="22"/>
          <w:highlight w:val="yellow"/>
        </w:rPr>
      </w:pPr>
      <w:r w:rsidRPr="00DC25A2">
        <w:rPr>
          <w:b/>
          <w:bCs/>
          <w:szCs w:val="22"/>
        </w:rPr>
        <w:t>zákon o audítoroch -</w:t>
      </w:r>
      <w:r w:rsidRPr="00DC25A2">
        <w:rPr>
          <w:bCs/>
          <w:szCs w:val="22"/>
        </w:rPr>
        <w:t xml:space="preserve"> </w:t>
      </w:r>
      <w:r w:rsidRPr="00DC25A2">
        <w:rPr>
          <w:szCs w:val="22"/>
        </w:rPr>
        <w:t xml:space="preserve">zákon č. 540/2007 Z. z. </w:t>
      </w:r>
      <w:r w:rsidR="00E17549" w:rsidRPr="00DC25A2">
        <w:rPr>
          <w:bCs/>
          <w:szCs w:val="22"/>
        </w:rPr>
        <w:t>o </w:t>
      </w:r>
      <w:r w:rsidRPr="00DC25A2">
        <w:rPr>
          <w:bCs/>
          <w:szCs w:val="22"/>
        </w:rPr>
        <w:t>audítoroch, audite a dohľade nad výkonom auditu a o zmene a doplnení zákona č.431/2002 Z. z. o účtovníctve v znení neskorších predpisov</w:t>
      </w:r>
      <w:r w:rsidR="007A3FF8" w:rsidRPr="001D77FC">
        <w:rPr>
          <w:szCs w:val="22"/>
          <w:highlight w:val="yellow"/>
        </w:rPr>
        <w:br w:type="page"/>
      </w:r>
    </w:p>
    <w:p w14:paraId="78D02086" w14:textId="77777777" w:rsidR="007A3FF8" w:rsidRPr="001D77FC" w:rsidRDefault="007A3FF8" w:rsidP="007A3FF8">
      <w:pPr>
        <w:rPr>
          <w:rFonts w:eastAsiaTheme="majorEastAsia"/>
          <w:b/>
          <w:bCs/>
          <w:sz w:val="26"/>
          <w:szCs w:val="22"/>
          <w:highlight w:val="yellow"/>
        </w:rPr>
        <w:sectPr w:rsidR="007A3FF8" w:rsidRPr="001D77FC" w:rsidSect="0077135E">
          <w:pgSz w:w="11906" w:h="16838" w:code="9"/>
          <w:pgMar w:top="1418" w:right="851" w:bottom="1418" w:left="1134" w:header="709" w:footer="709" w:gutter="567"/>
          <w:cols w:num="2" w:space="708"/>
          <w:docGrid w:linePitch="360"/>
        </w:sectPr>
      </w:pPr>
    </w:p>
    <w:p w14:paraId="637CAA04" w14:textId="77777777" w:rsidR="007A3FF8" w:rsidRPr="000F5E53" w:rsidRDefault="007A3FF8" w:rsidP="007A3FF8">
      <w:pPr>
        <w:pStyle w:val="Nadpis1"/>
        <w:numPr>
          <w:ilvl w:val="0"/>
          <w:numId w:val="0"/>
        </w:numPr>
        <w:rPr>
          <w:color w:val="0070C0"/>
        </w:rPr>
      </w:pPr>
      <w:bookmarkStart w:id="88" w:name="_Toc370908645"/>
      <w:bookmarkStart w:id="89" w:name="_Toc401920039"/>
      <w:bookmarkStart w:id="90" w:name="_Toc465255059"/>
      <w:bookmarkStart w:id="91" w:name="_Toc495990502"/>
      <w:bookmarkStart w:id="92" w:name="_Toc85718917"/>
      <w:r w:rsidRPr="000F5E53">
        <w:rPr>
          <w:color w:val="0070C0"/>
        </w:rPr>
        <w:lastRenderedPageBreak/>
        <w:t>Slovník odborných pojmov</w:t>
      </w:r>
      <w:bookmarkEnd w:id="88"/>
      <w:bookmarkEnd w:id="89"/>
      <w:bookmarkEnd w:id="90"/>
      <w:bookmarkEnd w:id="91"/>
      <w:bookmarkEnd w:id="92"/>
    </w:p>
    <w:p w14:paraId="409346AD" w14:textId="77777777" w:rsidR="007A3FF8" w:rsidRPr="000F5E53" w:rsidRDefault="007A3FF8" w:rsidP="00182A70">
      <w:pPr>
        <w:pStyle w:val="Nadpis1"/>
        <w:numPr>
          <w:ilvl w:val="0"/>
          <w:numId w:val="50"/>
        </w:numPr>
        <w:rPr>
          <w:color w:val="0070C0"/>
        </w:rPr>
        <w:sectPr w:rsidR="007A3FF8" w:rsidRPr="000F5E53" w:rsidSect="0077135E">
          <w:pgSz w:w="11906" w:h="16838" w:code="9"/>
          <w:pgMar w:top="1418" w:right="851" w:bottom="1418" w:left="1134" w:header="709" w:footer="709" w:gutter="567"/>
          <w:cols w:num="2" w:space="708"/>
          <w:docGrid w:linePitch="360"/>
        </w:sectPr>
      </w:pP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BA2E69" w:rsidRPr="00AB05A1" w14:paraId="6186BA65" w14:textId="77777777" w:rsidTr="00B206B3">
        <w:trPr>
          <w:trHeight w:val="156"/>
        </w:trPr>
        <w:tc>
          <w:tcPr>
            <w:tcW w:w="9214" w:type="dxa"/>
            <w:shd w:val="clear" w:color="auto" w:fill="BFBFBF" w:themeFill="background1" w:themeFillShade="BF"/>
            <w:vAlign w:val="center"/>
          </w:tcPr>
          <w:p w14:paraId="6D0B31E9" w14:textId="56E395C6" w:rsidR="007A3FF8" w:rsidRPr="00AB05A1" w:rsidRDefault="007A3FF8" w:rsidP="007410DD">
            <w:pPr>
              <w:rPr>
                <w:b/>
                <w:sz w:val="22"/>
                <w:szCs w:val="22"/>
              </w:rPr>
            </w:pPr>
            <w:r w:rsidRPr="00AB05A1">
              <w:rPr>
                <w:b/>
                <w:sz w:val="22"/>
                <w:szCs w:val="22"/>
              </w:rPr>
              <w:t xml:space="preserve">1. kapitola: Hospodárenie verejnej správy v metodike </w:t>
            </w:r>
            <w:r w:rsidR="000C2F69" w:rsidRPr="00AB05A1">
              <w:rPr>
                <w:b/>
                <w:sz w:val="22"/>
                <w:szCs w:val="22"/>
              </w:rPr>
              <w:t>ESA2010</w:t>
            </w:r>
            <w:r w:rsidRPr="00AB05A1">
              <w:rPr>
                <w:b/>
                <w:sz w:val="22"/>
                <w:szCs w:val="22"/>
              </w:rPr>
              <w:t xml:space="preserve"> </w:t>
            </w:r>
          </w:p>
        </w:tc>
      </w:tr>
      <w:tr w:rsidR="00BA2E69" w:rsidRPr="00AB05A1" w14:paraId="6B9A0B67" w14:textId="77777777" w:rsidTr="00B206B3">
        <w:trPr>
          <w:trHeight w:val="156"/>
        </w:trPr>
        <w:tc>
          <w:tcPr>
            <w:tcW w:w="9214" w:type="dxa"/>
            <w:vAlign w:val="center"/>
          </w:tcPr>
          <w:p w14:paraId="08A98D2F" w14:textId="4DD13A63" w:rsidR="007A3FF8" w:rsidRPr="00AB05A1" w:rsidRDefault="007A3FF8" w:rsidP="007410DD">
            <w:pPr>
              <w:autoSpaceDE w:val="0"/>
              <w:autoSpaceDN w:val="0"/>
              <w:adjustRightInd w:val="0"/>
              <w:spacing w:before="240" w:after="120"/>
              <w:jc w:val="both"/>
              <w:rPr>
                <w:sz w:val="22"/>
                <w:szCs w:val="22"/>
              </w:rPr>
            </w:pPr>
            <w:r w:rsidRPr="00AB05A1">
              <w:rPr>
                <w:b/>
                <w:sz w:val="22"/>
                <w:szCs w:val="22"/>
              </w:rPr>
              <w:t>Súhrnná výročná správa SR</w:t>
            </w:r>
            <w:r w:rsidRPr="00AB05A1">
              <w:rPr>
                <w:sz w:val="22"/>
                <w:szCs w:val="22"/>
              </w:rPr>
              <w:t xml:space="preserve"> </w:t>
            </w:r>
            <w:r w:rsidR="00D7068F" w:rsidRPr="00AB05A1">
              <w:rPr>
                <w:b/>
                <w:sz w:val="22"/>
                <w:szCs w:val="22"/>
              </w:rPr>
              <w:t>–</w:t>
            </w:r>
            <w:r w:rsidR="00D7068F" w:rsidRPr="00AB05A1">
              <w:rPr>
                <w:sz w:val="22"/>
                <w:szCs w:val="22"/>
              </w:rPr>
              <w:t xml:space="preserve"> </w:t>
            </w:r>
            <w:r w:rsidRPr="00AB05A1">
              <w:rPr>
                <w:sz w:val="22"/>
                <w:szCs w:val="22"/>
              </w:rPr>
              <w:t>súhrnný dokument, ktorý obsahuje údaje o príjmoch, výdavkoch a výsledku rozpočtového hospodárenia verejnej správy a o stave dlhu verejnej správy k 31. decembru rozpočtového roka v jednotnej metodike platnej pre Európsku úniu vykázané Európskej komisii do 1. októbra bežného roka, súhrnnú účtovnú závierku verejnej správy Slovenskej republiky, údaje ustanovené osobitným predpisom, ktorým je ústavný zákon o rozpočtovej zodpovednosti a ďalšie údaje o hospodárení Slovenskej republiky (§ 29a zákona o rozpočtových pravidlách verejnej správy)</w:t>
            </w:r>
            <w:r w:rsidR="00F74144" w:rsidRPr="00AB05A1">
              <w:rPr>
                <w:sz w:val="22"/>
                <w:szCs w:val="22"/>
              </w:rPr>
              <w:t>.</w:t>
            </w:r>
          </w:p>
        </w:tc>
      </w:tr>
      <w:tr w:rsidR="00BA2E69" w:rsidRPr="00AB05A1" w14:paraId="1791A0AF" w14:textId="77777777" w:rsidTr="00B206B3">
        <w:trPr>
          <w:trHeight w:val="156"/>
        </w:trPr>
        <w:tc>
          <w:tcPr>
            <w:tcW w:w="9214" w:type="dxa"/>
            <w:vAlign w:val="center"/>
          </w:tcPr>
          <w:p w14:paraId="0FB46BA0" w14:textId="7B3F7DFD" w:rsidR="007A3FF8" w:rsidRPr="00AB05A1" w:rsidRDefault="007A3FF8" w:rsidP="007410DD">
            <w:pPr>
              <w:spacing w:after="120"/>
              <w:jc w:val="both"/>
              <w:rPr>
                <w:sz w:val="22"/>
                <w:szCs w:val="22"/>
              </w:rPr>
            </w:pPr>
            <w:r w:rsidRPr="00AB05A1">
              <w:rPr>
                <w:b/>
                <w:sz w:val="22"/>
                <w:szCs w:val="22"/>
              </w:rPr>
              <w:t>Štátny záverečný účet SR</w:t>
            </w:r>
            <w:r w:rsidRPr="00AB05A1">
              <w:rPr>
                <w:sz w:val="22"/>
                <w:szCs w:val="22"/>
              </w:rPr>
              <w:t xml:space="preserve"> </w:t>
            </w:r>
            <w:r w:rsidR="00D7068F" w:rsidRPr="00AB05A1">
              <w:rPr>
                <w:b/>
                <w:sz w:val="22"/>
                <w:szCs w:val="22"/>
              </w:rPr>
              <w:t>–</w:t>
            </w:r>
            <w:r w:rsidR="00D7068F" w:rsidRPr="00AB05A1">
              <w:rPr>
                <w:sz w:val="22"/>
                <w:szCs w:val="22"/>
              </w:rPr>
              <w:t xml:space="preserve"> </w:t>
            </w:r>
            <w:r w:rsidRPr="00AB05A1">
              <w:rPr>
                <w:sz w:val="22"/>
                <w:szCs w:val="22"/>
              </w:rPr>
              <w:t>správa o rozpočtovom hospodárení Slovenskej republiky, ktorá obsahuje výsledky rozpočtového hospodárenia verejnej správy za príslušný rozpočtový rok v jednotnej metodike platnej pre Európsku úniu vykázané Európskej komisii do 1. apríla bežného roka, vyhodnotenie zamerania a opatrení rozpočtovej politiky, údaje o príjmoch, výdavkoch a výsledku rozpočtového hospodárenia štátneho rozpočtu a ďalšie údaje o plnení rozpočtu verejnej správy. (§ 29 zákona o rozpočtových pravidlách verejnej správy)</w:t>
            </w:r>
            <w:r w:rsidR="00F74144" w:rsidRPr="00AB05A1">
              <w:rPr>
                <w:sz w:val="22"/>
                <w:szCs w:val="22"/>
              </w:rPr>
              <w:t>.</w:t>
            </w:r>
          </w:p>
        </w:tc>
      </w:tr>
      <w:tr w:rsidR="00BA2E69" w:rsidRPr="00AB05A1" w14:paraId="26867E7D" w14:textId="77777777" w:rsidTr="00B206B3">
        <w:trPr>
          <w:trHeight w:val="156"/>
        </w:trPr>
        <w:tc>
          <w:tcPr>
            <w:tcW w:w="9214" w:type="dxa"/>
          </w:tcPr>
          <w:p w14:paraId="48CE1EF5" w14:textId="0A8502DA" w:rsidR="007A3FF8" w:rsidRPr="00AB05A1" w:rsidRDefault="000C2F69" w:rsidP="007410DD">
            <w:pPr>
              <w:spacing w:after="120"/>
              <w:jc w:val="both"/>
              <w:rPr>
                <w:sz w:val="22"/>
                <w:szCs w:val="22"/>
              </w:rPr>
            </w:pPr>
            <w:r w:rsidRPr="00AB05A1">
              <w:rPr>
                <w:b/>
                <w:sz w:val="22"/>
                <w:szCs w:val="22"/>
              </w:rPr>
              <w:t>ESA2010</w:t>
            </w:r>
            <w:r w:rsidR="007A3FF8" w:rsidRPr="00AB05A1">
              <w:rPr>
                <w:b/>
                <w:sz w:val="22"/>
                <w:szCs w:val="22"/>
              </w:rPr>
              <w:t xml:space="preserve"> </w:t>
            </w:r>
            <w:r w:rsidR="00D7068F" w:rsidRPr="00AB05A1">
              <w:rPr>
                <w:b/>
                <w:sz w:val="22"/>
                <w:szCs w:val="22"/>
              </w:rPr>
              <w:t>–</w:t>
            </w:r>
            <w:r w:rsidR="00D7068F" w:rsidRPr="00AB05A1">
              <w:rPr>
                <w:sz w:val="22"/>
                <w:szCs w:val="22"/>
              </w:rPr>
              <w:t xml:space="preserve"> </w:t>
            </w:r>
            <w:r w:rsidR="007A3FF8" w:rsidRPr="00AB05A1">
              <w:rPr>
                <w:sz w:val="22"/>
                <w:szCs w:val="22"/>
              </w:rPr>
              <w:t xml:space="preserve">Európsky systém národných a regionálnych účtov 2010 je medzinárodne kompatibilný rámec pre systematické a podrobné opísanie národnej ekonomiky, jeho súčastí a jeho vzťahov s ostatnými národnými ekonomikami. Je založený na Systéme národných účtov 2008 (SNÚ 2008). SNÚ bol vypracovaný v súčinnosti štatistických orgánov OSN, EÚ, OECD, MMF a Svetovej banky a predstavuje celosvetový štandard v oblasti uplatňovania národných účtov. </w:t>
            </w:r>
            <w:r w:rsidRPr="00AB05A1">
              <w:rPr>
                <w:sz w:val="22"/>
                <w:szCs w:val="22"/>
              </w:rPr>
              <w:t>ESA2010</w:t>
            </w:r>
            <w:r w:rsidR="007A3FF8" w:rsidRPr="00AB05A1">
              <w:rPr>
                <w:sz w:val="22"/>
                <w:szCs w:val="22"/>
              </w:rPr>
              <w:t xml:space="preserve"> sa zaviedla Nariadením Rady (ES) 549/2013 z 21. mája 2013 o Európskom systéme národných a regionálnych účtov v spoločenstve a reálne sa začala uplatňovať od septembra 2014. </w:t>
            </w:r>
            <w:r w:rsidRPr="00AB05A1">
              <w:rPr>
                <w:sz w:val="22"/>
                <w:szCs w:val="22"/>
              </w:rPr>
              <w:t>ESA2010</w:t>
            </w:r>
            <w:r w:rsidR="007A3FF8" w:rsidRPr="00AB05A1">
              <w:rPr>
                <w:sz w:val="22"/>
                <w:szCs w:val="22"/>
              </w:rPr>
              <w:t xml:space="preserve"> je revíziou ESA 95. Nové štandardy priniesli v oblasti verejných financií zmeny dôležité pre vykazovanie salda a dlhu verejnej správy. Popis implementácie metodiky </w:t>
            </w:r>
            <w:r w:rsidRPr="00AB05A1">
              <w:rPr>
                <w:sz w:val="22"/>
                <w:szCs w:val="22"/>
              </w:rPr>
              <w:t>ESA2010</w:t>
            </w:r>
            <w:r w:rsidR="007A3FF8" w:rsidRPr="00AB05A1">
              <w:rPr>
                <w:sz w:val="22"/>
                <w:szCs w:val="22"/>
              </w:rPr>
              <w:t xml:space="preserve"> a najvýznamnejších metodologických zmien je uvedený v kapitole 1.5. v Súhrnnej výročnej správe SR za rok 2013.</w:t>
            </w:r>
          </w:p>
        </w:tc>
      </w:tr>
      <w:tr w:rsidR="00BA2E69" w:rsidRPr="00AB05A1" w14:paraId="2E5B8551" w14:textId="77777777" w:rsidTr="00B206B3">
        <w:trPr>
          <w:trHeight w:val="156"/>
        </w:trPr>
        <w:tc>
          <w:tcPr>
            <w:tcW w:w="9214" w:type="dxa"/>
          </w:tcPr>
          <w:p w14:paraId="10AF40F4" w14:textId="508BA8F2" w:rsidR="007A3FF8" w:rsidRPr="00AB05A1" w:rsidRDefault="007A3FF8" w:rsidP="007410DD">
            <w:pPr>
              <w:spacing w:after="120"/>
              <w:jc w:val="both"/>
              <w:rPr>
                <w:sz w:val="22"/>
                <w:szCs w:val="22"/>
              </w:rPr>
            </w:pPr>
            <w:r w:rsidRPr="00AB05A1">
              <w:rPr>
                <w:b/>
                <w:sz w:val="22"/>
                <w:szCs w:val="22"/>
              </w:rPr>
              <w:t>Aprílová notifikácia</w:t>
            </w:r>
            <w:r w:rsidRPr="00AB05A1">
              <w:rPr>
                <w:sz w:val="22"/>
                <w:szCs w:val="22"/>
              </w:rPr>
              <w:t xml:space="preserve"> – Podľa nariadenia Komisie 479/2009 členské štáty vykazujú Komisii (</w:t>
            </w:r>
            <w:proofErr w:type="spellStart"/>
            <w:r w:rsidRPr="00AB05A1">
              <w:rPr>
                <w:sz w:val="22"/>
                <w:szCs w:val="22"/>
              </w:rPr>
              <w:t>Eurostatu</w:t>
            </w:r>
            <w:proofErr w:type="spellEnd"/>
            <w:r w:rsidRPr="00AB05A1">
              <w:rPr>
                <w:sz w:val="22"/>
                <w:szCs w:val="22"/>
              </w:rPr>
              <w:t xml:space="preserve">) plánované a aktuálne schodky a dlh sektora verejnej správy dvakrát ročne, prvý krát do 1. apríla bežného roka (roka n) a druhý krát do 1. októbra roka n. Zároveň členské štáty oznámia </w:t>
            </w:r>
            <w:proofErr w:type="spellStart"/>
            <w:r w:rsidRPr="00AB05A1">
              <w:rPr>
                <w:sz w:val="22"/>
                <w:szCs w:val="22"/>
              </w:rPr>
              <w:t>Eurostatu</w:t>
            </w:r>
            <w:proofErr w:type="spellEnd"/>
            <w:r w:rsidRPr="00AB05A1">
              <w:rPr>
                <w:sz w:val="22"/>
                <w:szCs w:val="22"/>
              </w:rPr>
              <w:t xml:space="preserve">, ktoré vnútroštátne orgány sú zodpovedné za vykazovanie postupu pri nadmernom schodku. Do 1. apríla roka n členské štáty oznámia </w:t>
            </w:r>
            <w:proofErr w:type="spellStart"/>
            <w:r w:rsidRPr="00AB05A1">
              <w:rPr>
                <w:sz w:val="22"/>
                <w:szCs w:val="22"/>
              </w:rPr>
              <w:t>Eurostatu</w:t>
            </w:r>
            <w:proofErr w:type="spellEnd"/>
            <w:r w:rsidRPr="00AB05A1">
              <w:rPr>
                <w:sz w:val="22"/>
                <w:szCs w:val="22"/>
              </w:rPr>
              <w:t xml:space="preserve"> plánovaný sch</w:t>
            </w:r>
            <w:r w:rsidR="00DA1AAF" w:rsidRPr="00AB05A1">
              <w:rPr>
                <w:sz w:val="22"/>
                <w:szCs w:val="22"/>
              </w:rPr>
              <w:t>odok verejnej správy za rok n a </w:t>
            </w:r>
            <w:r w:rsidRPr="00AB05A1">
              <w:rPr>
                <w:sz w:val="22"/>
                <w:szCs w:val="22"/>
              </w:rPr>
              <w:t>aktualizovaný odhad ich skutočného schodku verejných financií za rok n – 1 a ich skutočné schodky verejných financií za roky n – 2, n – 3 a n – 4.</w:t>
            </w:r>
          </w:p>
        </w:tc>
      </w:tr>
      <w:tr w:rsidR="00BA2E69" w:rsidRPr="00AB05A1" w14:paraId="59020CAE" w14:textId="77777777" w:rsidTr="00B206B3">
        <w:trPr>
          <w:trHeight w:val="156"/>
        </w:trPr>
        <w:tc>
          <w:tcPr>
            <w:tcW w:w="9214" w:type="dxa"/>
          </w:tcPr>
          <w:p w14:paraId="08164281" w14:textId="1DC94E4B" w:rsidR="007A3FF8" w:rsidRPr="00AB05A1" w:rsidRDefault="007A3FF8" w:rsidP="007410DD">
            <w:pPr>
              <w:spacing w:after="120"/>
              <w:jc w:val="both"/>
              <w:rPr>
                <w:sz w:val="22"/>
                <w:szCs w:val="22"/>
              </w:rPr>
            </w:pPr>
            <w:r w:rsidRPr="00AB05A1">
              <w:rPr>
                <w:b/>
                <w:sz w:val="22"/>
                <w:szCs w:val="22"/>
              </w:rPr>
              <w:t xml:space="preserve">Októbrová notifikácia – </w:t>
            </w:r>
            <w:r w:rsidRPr="00AB05A1">
              <w:rPr>
                <w:sz w:val="22"/>
                <w:szCs w:val="22"/>
              </w:rPr>
              <w:t>aktualizácia aprílovej notifikácie, ktorá je nutná vzhľadom na to, že viacero údajov za verejnú správu je dostupných až po termíne aprílovej notifikácie (tie sú nahradené odhadmi). Ani októbrovú notifikáciu však nemožno považovať z</w:t>
            </w:r>
            <w:r w:rsidR="00DA1AAF" w:rsidRPr="00AB05A1">
              <w:rPr>
                <w:sz w:val="22"/>
                <w:szCs w:val="22"/>
              </w:rPr>
              <w:t>a zdroj definitívnych údajov za </w:t>
            </w:r>
            <w:r w:rsidRPr="00AB05A1">
              <w:rPr>
                <w:sz w:val="22"/>
                <w:szCs w:val="22"/>
              </w:rPr>
              <w:t>verejnú správu, pretože akruálne výnosy niektorých daňových príjmov (DPPO a DPFO) sú známe za rok n – 1 až na začiatku n + 1. Aj po tomto termíne sú v príp</w:t>
            </w:r>
            <w:r w:rsidR="00DA1AAF" w:rsidRPr="00AB05A1">
              <w:rPr>
                <w:sz w:val="22"/>
                <w:szCs w:val="22"/>
              </w:rPr>
              <w:t>ade údajov za verejnú správu (a </w:t>
            </w:r>
            <w:r w:rsidRPr="00AB05A1">
              <w:rPr>
                <w:sz w:val="22"/>
                <w:szCs w:val="22"/>
              </w:rPr>
              <w:t>národné účty vo všeobecnosti) pomerne časté revízie údajov za minulé roky. Revízie sa robia jednak kvôli úpravám či spresneným interpretáciám samotnej metodiky ESA a tiež kvôli tomu, že samotné krajiny (národné štatistické úrady) môžu v minulých údajoch odhaliť nezrovnalosti, ktoré v rámci revízií napravia.</w:t>
            </w:r>
          </w:p>
        </w:tc>
      </w:tr>
      <w:tr w:rsidR="00BA2E69" w:rsidRPr="00AB05A1" w14:paraId="1800B319" w14:textId="77777777" w:rsidTr="00B206B3">
        <w:trPr>
          <w:trHeight w:val="156"/>
        </w:trPr>
        <w:tc>
          <w:tcPr>
            <w:tcW w:w="9214" w:type="dxa"/>
          </w:tcPr>
          <w:p w14:paraId="3EAD436E" w14:textId="28E31724" w:rsidR="007A3FF8" w:rsidRPr="00AB05A1" w:rsidRDefault="007A3FF8" w:rsidP="007410DD">
            <w:pPr>
              <w:spacing w:after="120"/>
              <w:jc w:val="both"/>
              <w:rPr>
                <w:sz w:val="22"/>
                <w:szCs w:val="22"/>
              </w:rPr>
            </w:pPr>
            <w:r w:rsidRPr="00AB05A1">
              <w:rPr>
                <w:b/>
                <w:sz w:val="22"/>
                <w:szCs w:val="22"/>
              </w:rPr>
              <w:t xml:space="preserve">Verejná správa </w:t>
            </w:r>
            <w:r w:rsidR="00D7068F" w:rsidRPr="00AB05A1">
              <w:rPr>
                <w:b/>
                <w:sz w:val="22"/>
                <w:szCs w:val="22"/>
              </w:rPr>
              <w:t>–</w:t>
            </w:r>
            <w:r w:rsidR="00D7068F" w:rsidRPr="00AB05A1">
              <w:rPr>
                <w:sz w:val="22"/>
                <w:szCs w:val="22"/>
              </w:rPr>
              <w:t xml:space="preserve"> </w:t>
            </w:r>
            <w:r w:rsidRPr="00AB05A1">
              <w:rPr>
                <w:sz w:val="22"/>
                <w:szCs w:val="22"/>
              </w:rPr>
              <w:t>koncept, ktorý definujú národné účty (</w:t>
            </w:r>
            <w:r w:rsidR="000C2F69" w:rsidRPr="00AB05A1">
              <w:rPr>
                <w:sz w:val="22"/>
                <w:szCs w:val="22"/>
              </w:rPr>
              <w:t>ESA2010</w:t>
            </w:r>
            <w:r w:rsidRPr="00AB05A1">
              <w:rPr>
                <w:sz w:val="22"/>
                <w:szCs w:val="22"/>
              </w:rPr>
              <w:t>). Národné účty členia národné hospodárstvo (S.1) na päť inštitucionálnych sektorov: nefinančné korporácie (S.11), finančné korporácie (S.12), verejná správa (S.13), domácnosti (S.14) a neziskové inštitúcie slúžiace domácnostiam (S.15). Inštitucionálny sektor tvorí zoskupenie inštitucionálnych jednotiek, ktoré majú podobný charakter a ekonomické správanie (odvetvie produkčnej činnosti). Inštitucionálna jednotka je ekonomická jednotka oprávnená vlastniť výrobky a aktíva, prijímajúca záväzky a zaoberajúca sa ekonomickou činnosťou a transakciami s inými jednotkami vo vlastnom mene. Sektor verejnej správy tvoria inštitucionálne jednotky (subjekty) patriace do verejnej správy.</w:t>
            </w:r>
          </w:p>
        </w:tc>
      </w:tr>
      <w:tr w:rsidR="00BA2E69" w:rsidRPr="00AB05A1" w14:paraId="4AFD51A5" w14:textId="77777777" w:rsidTr="00B206B3">
        <w:trPr>
          <w:trHeight w:val="156"/>
        </w:trPr>
        <w:tc>
          <w:tcPr>
            <w:tcW w:w="9214" w:type="dxa"/>
          </w:tcPr>
          <w:p w14:paraId="6DE37B47" w14:textId="39D5FF4B" w:rsidR="007A3FF8" w:rsidRPr="00AB05A1" w:rsidRDefault="007A3FF8" w:rsidP="007410DD">
            <w:pPr>
              <w:spacing w:after="120"/>
              <w:jc w:val="both"/>
              <w:rPr>
                <w:sz w:val="22"/>
                <w:szCs w:val="22"/>
              </w:rPr>
            </w:pPr>
            <w:r w:rsidRPr="00AB05A1">
              <w:rPr>
                <w:b/>
                <w:sz w:val="22"/>
                <w:szCs w:val="22"/>
              </w:rPr>
              <w:t>Verejné financie –</w:t>
            </w:r>
            <w:r w:rsidRPr="00AB05A1">
              <w:rPr>
                <w:sz w:val="22"/>
                <w:szCs w:val="22"/>
              </w:rPr>
              <w:t xml:space="preserve"> alebo financie verejného sektora, je všeobecne zaužívaný výraz v ekonómii označujúci súhrn rozpočtov subjektov pod verejnou kontrolou alebo patriacich do verejného sektora. Verejný sektor môže byť definovaný rôzne v závislosti od cieľov analýzy a kritérií zaradenia subjektov </w:t>
            </w:r>
            <w:r w:rsidRPr="00AB05A1">
              <w:rPr>
                <w:sz w:val="22"/>
                <w:szCs w:val="22"/>
              </w:rPr>
              <w:lastRenderedPageBreak/>
              <w:t xml:space="preserve">do verejného sektora. Ak nie je uvedené inak, verejné financie sa v krajinách EÚ najčastejšie hodnotia na základe údajov národných účtov v metodike </w:t>
            </w:r>
            <w:r w:rsidR="000C2F69" w:rsidRPr="00AB05A1">
              <w:rPr>
                <w:sz w:val="22"/>
                <w:szCs w:val="22"/>
              </w:rPr>
              <w:t>ESA2010</w:t>
            </w:r>
            <w:r w:rsidRPr="00AB05A1">
              <w:rPr>
                <w:sz w:val="22"/>
                <w:szCs w:val="22"/>
              </w:rPr>
              <w:t>, ktorá definuje subjekt verejnej správy. V tejto publikácii sú použité tri koncepty hodnotenia verejných financií, ktoré sa od seba líšia rôznym pokrytím subjektov: verejná správa (</w:t>
            </w:r>
            <w:r w:rsidR="000C2F69" w:rsidRPr="00AB05A1">
              <w:rPr>
                <w:sz w:val="22"/>
                <w:szCs w:val="22"/>
              </w:rPr>
              <w:t>ESA2010</w:t>
            </w:r>
            <w:r w:rsidRPr="00AB05A1">
              <w:rPr>
                <w:sz w:val="22"/>
                <w:szCs w:val="22"/>
              </w:rPr>
              <w:t>), súhrnný celok verejnej správy a verejný sektor.</w:t>
            </w:r>
          </w:p>
        </w:tc>
      </w:tr>
      <w:tr w:rsidR="00BA2E69" w:rsidRPr="00AB05A1" w14:paraId="6A973221" w14:textId="77777777" w:rsidTr="00B206B3">
        <w:trPr>
          <w:trHeight w:val="156"/>
        </w:trPr>
        <w:tc>
          <w:tcPr>
            <w:tcW w:w="9214" w:type="dxa"/>
          </w:tcPr>
          <w:p w14:paraId="733214B5" w14:textId="428905C2" w:rsidR="007A3FF8" w:rsidRPr="00AB05A1" w:rsidRDefault="007A3FF8" w:rsidP="007410DD">
            <w:pPr>
              <w:autoSpaceDE w:val="0"/>
              <w:autoSpaceDN w:val="0"/>
              <w:adjustRightInd w:val="0"/>
              <w:jc w:val="both"/>
              <w:rPr>
                <w:sz w:val="22"/>
                <w:szCs w:val="22"/>
              </w:rPr>
            </w:pPr>
            <w:r w:rsidRPr="00AB05A1">
              <w:rPr>
                <w:b/>
                <w:sz w:val="22"/>
                <w:szCs w:val="22"/>
              </w:rPr>
              <w:lastRenderedPageBreak/>
              <w:t>Subjekty verejnej správy SR</w:t>
            </w:r>
            <w:r w:rsidRPr="00AB05A1">
              <w:rPr>
                <w:sz w:val="22"/>
                <w:szCs w:val="22"/>
              </w:rPr>
              <w:t xml:space="preserve"> </w:t>
            </w:r>
            <w:r w:rsidR="00D7068F" w:rsidRPr="00AB05A1">
              <w:rPr>
                <w:b/>
                <w:sz w:val="22"/>
                <w:szCs w:val="22"/>
              </w:rPr>
              <w:t>–</w:t>
            </w:r>
            <w:r w:rsidR="00D7068F" w:rsidRPr="00AB05A1">
              <w:rPr>
                <w:sz w:val="22"/>
                <w:szCs w:val="22"/>
              </w:rPr>
              <w:t xml:space="preserve"> </w:t>
            </w:r>
            <w:r w:rsidRPr="00AB05A1">
              <w:rPr>
                <w:sz w:val="22"/>
                <w:szCs w:val="22"/>
              </w:rPr>
              <w:t>právnické osoby zapísané v registri organizácií vedenom Štatistickým úradom Slovenskej republiky, ktoré sú zaradené v súlade s metodiko</w:t>
            </w:r>
            <w:r w:rsidR="00E44CC8" w:rsidRPr="00AB05A1">
              <w:rPr>
                <w:sz w:val="22"/>
                <w:szCs w:val="22"/>
              </w:rPr>
              <w:t xml:space="preserve">u ESA v ústrednej správe, </w:t>
            </w:r>
            <w:r w:rsidR="00FF02C0" w:rsidRPr="00AB05A1">
              <w:rPr>
                <w:sz w:val="22"/>
                <w:szCs w:val="22"/>
              </w:rPr>
              <w:t>územnej</w:t>
            </w:r>
            <w:r w:rsidRPr="00AB05A1">
              <w:rPr>
                <w:sz w:val="22"/>
                <w:szCs w:val="22"/>
              </w:rPr>
              <w:t xml:space="preserve"> samospráve a vo fondoch sociálneho a zdravotnéh</w:t>
            </w:r>
            <w:r w:rsidR="00403232" w:rsidRPr="00AB05A1">
              <w:rPr>
                <w:sz w:val="22"/>
                <w:szCs w:val="22"/>
              </w:rPr>
              <w:t>o poistenia. (§ 3 ods. 1 zákona</w:t>
            </w:r>
            <w:r w:rsidR="00403232" w:rsidRPr="00AB05A1">
              <w:rPr>
                <w:sz w:val="22"/>
                <w:szCs w:val="22"/>
              </w:rPr>
              <w:br/>
            </w:r>
            <w:r w:rsidRPr="00AB05A1">
              <w:rPr>
                <w:sz w:val="22"/>
                <w:szCs w:val="22"/>
              </w:rPr>
              <w:t>o rozpočtových pravidlách verejnej správy)</w:t>
            </w:r>
          </w:p>
          <w:p w14:paraId="635167ED" w14:textId="77777777" w:rsidR="007A3FF8" w:rsidRPr="00AB05A1" w:rsidRDefault="007A3FF8" w:rsidP="007410DD">
            <w:pPr>
              <w:numPr>
                <w:ilvl w:val="0"/>
                <w:numId w:val="10"/>
              </w:numPr>
              <w:autoSpaceDE w:val="0"/>
              <w:autoSpaceDN w:val="0"/>
              <w:adjustRightInd w:val="0"/>
              <w:jc w:val="both"/>
              <w:rPr>
                <w:sz w:val="22"/>
                <w:szCs w:val="22"/>
              </w:rPr>
            </w:pPr>
            <w:r w:rsidRPr="00AB05A1">
              <w:rPr>
                <w:sz w:val="22"/>
                <w:szCs w:val="22"/>
              </w:rPr>
              <w:t xml:space="preserve">Ústrednú správu tvoria ministerstvá a ostatné ústredné orgány štátnej správy. Ich počet, organizáciu a pôsobnosť ustanovuje zákon </w:t>
            </w:r>
            <w:r w:rsidRPr="00AB05A1">
              <w:rPr>
                <w:bCs/>
                <w:sz w:val="22"/>
                <w:szCs w:val="22"/>
              </w:rPr>
              <w:t>o organizácii vlády a ústrednej štátnej správy. V ústrednej správe sú zaradené aj ďalšie subjekty (</w:t>
            </w:r>
            <w:r w:rsidRPr="00AB05A1">
              <w:rPr>
                <w:sz w:val="22"/>
                <w:szCs w:val="22"/>
              </w:rPr>
              <w:t>vysoké školy, Rozhlas a televízia Slovenska, Fond národného majetku Slovenskej republiky, Slovenský pozemkový fond, štátne fondy, Slovenská konsolidačná, a.s., Úrad pre dohľad nad výkonom auditu, Slovenské národné stredisko pre ľudské práva, Ústav pamäti národa, Úrad pre dohľad nad zdravotnou starostlivosťou, Kancelária rady pre rozpočtovú zodpovednosť, Tlačová agentúra SR, Audiovizuálny fond), ktoré hospodária s väčším či menším objemom verejných prostriedkov a ktorých pôsobnosť upravujú osobitné právne predpisy.</w:t>
            </w:r>
          </w:p>
          <w:p w14:paraId="450CD8D2" w14:textId="53116F5A" w:rsidR="007A3FF8" w:rsidRPr="00AB05A1" w:rsidRDefault="00FF02C0" w:rsidP="007410DD">
            <w:pPr>
              <w:numPr>
                <w:ilvl w:val="0"/>
                <w:numId w:val="10"/>
              </w:numPr>
              <w:autoSpaceDE w:val="0"/>
              <w:autoSpaceDN w:val="0"/>
              <w:adjustRightInd w:val="0"/>
              <w:jc w:val="both"/>
              <w:rPr>
                <w:sz w:val="22"/>
                <w:szCs w:val="22"/>
              </w:rPr>
            </w:pPr>
            <w:r w:rsidRPr="00AB05A1">
              <w:rPr>
                <w:bCs/>
                <w:sz w:val="22"/>
                <w:szCs w:val="22"/>
              </w:rPr>
              <w:t>Územnú</w:t>
            </w:r>
            <w:r w:rsidR="007A3FF8" w:rsidRPr="00AB05A1">
              <w:rPr>
                <w:bCs/>
                <w:sz w:val="22"/>
                <w:szCs w:val="22"/>
              </w:rPr>
              <w:t xml:space="preserve"> samosprávu predstavujú obce a vyššie územné celky – samosprávne kraje</w:t>
            </w:r>
            <w:r w:rsidR="00E77626" w:rsidRPr="00AB05A1">
              <w:rPr>
                <w:bCs/>
                <w:sz w:val="22"/>
                <w:szCs w:val="22"/>
              </w:rPr>
              <w:t xml:space="preserve"> a ďalšie subjekty </w:t>
            </w:r>
            <w:r w:rsidR="008A3C36" w:rsidRPr="00AB05A1">
              <w:rPr>
                <w:bCs/>
                <w:sz w:val="22"/>
                <w:szCs w:val="22"/>
              </w:rPr>
              <w:t>územnej</w:t>
            </w:r>
            <w:r w:rsidR="00E77626" w:rsidRPr="00AB05A1">
              <w:rPr>
                <w:bCs/>
                <w:sz w:val="22"/>
                <w:szCs w:val="22"/>
              </w:rPr>
              <w:t xml:space="preserve"> samosprávy</w:t>
            </w:r>
            <w:r w:rsidR="007A3FF8" w:rsidRPr="00AB05A1">
              <w:rPr>
                <w:bCs/>
                <w:sz w:val="22"/>
                <w:szCs w:val="22"/>
              </w:rPr>
              <w:t>. Obec</w:t>
            </w:r>
            <w:r w:rsidR="007A3FF8" w:rsidRPr="00AB05A1">
              <w:rPr>
                <w:i/>
                <w:sz w:val="22"/>
                <w:szCs w:val="22"/>
              </w:rPr>
              <w:t xml:space="preserve"> </w:t>
            </w:r>
            <w:r w:rsidR="007A3FF8" w:rsidRPr="00AB05A1">
              <w:rPr>
                <w:sz w:val="22"/>
                <w:szCs w:val="22"/>
              </w:rPr>
              <w:t>je samostatným územným samosprávnym a správnym celkom Slovenskej republiky, združuje osoby, ktoré majú na jej území trvalý pobyt, samostatn</w:t>
            </w:r>
            <w:r w:rsidR="00E44CC8" w:rsidRPr="00AB05A1">
              <w:rPr>
                <w:sz w:val="22"/>
                <w:szCs w:val="22"/>
              </w:rPr>
              <w:t xml:space="preserve">e hospodári s vlastným majetkom </w:t>
            </w:r>
            <w:r w:rsidR="007A3FF8" w:rsidRPr="00AB05A1">
              <w:rPr>
                <w:sz w:val="22"/>
                <w:szCs w:val="22"/>
              </w:rPr>
              <w:t>a s vlastnými príjmami a jej základnou úlohou pri výk</w:t>
            </w:r>
            <w:r w:rsidR="00E44CC8" w:rsidRPr="00AB05A1">
              <w:rPr>
                <w:sz w:val="22"/>
                <w:szCs w:val="22"/>
              </w:rPr>
              <w:t xml:space="preserve">one samosprávy je starostlivosť </w:t>
            </w:r>
            <w:r w:rsidR="007A3FF8" w:rsidRPr="00AB05A1">
              <w:rPr>
                <w:sz w:val="22"/>
                <w:szCs w:val="22"/>
              </w:rPr>
              <w:t>o všestranný rozvoj jej úze</w:t>
            </w:r>
            <w:r w:rsidR="00802017" w:rsidRPr="00AB05A1">
              <w:rPr>
                <w:sz w:val="22"/>
                <w:szCs w:val="22"/>
              </w:rPr>
              <w:t>mia a o potreby jej obyvateľov.</w:t>
            </w:r>
            <w:r w:rsidR="00802017" w:rsidRPr="00AB05A1">
              <w:rPr>
                <w:sz w:val="22"/>
                <w:szCs w:val="22"/>
              </w:rPr>
              <w:br/>
            </w:r>
            <w:r w:rsidR="007A3FF8" w:rsidRPr="00AB05A1">
              <w:rPr>
                <w:sz w:val="22"/>
                <w:szCs w:val="22"/>
              </w:rPr>
              <w:t>V Slovenskej republike je zriadených osem samosprávnych krajov, ktoré sú právnickými osobami samostatne hospodáriacimi s vlastným majetkom a s vlastnými príjma</w:t>
            </w:r>
            <w:r w:rsidR="00BB3660" w:rsidRPr="00AB05A1">
              <w:rPr>
                <w:sz w:val="22"/>
                <w:szCs w:val="22"/>
              </w:rPr>
              <w:t>mi; zabezpečujú a chránia práva</w:t>
            </w:r>
            <w:r w:rsidR="00E44CC8" w:rsidRPr="00AB05A1">
              <w:rPr>
                <w:sz w:val="22"/>
                <w:szCs w:val="22"/>
              </w:rPr>
              <w:t xml:space="preserve"> </w:t>
            </w:r>
            <w:r w:rsidR="007A3FF8" w:rsidRPr="00AB05A1">
              <w:rPr>
                <w:sz w:val="22"/>
                <w:szCs w:val="22"/>
              </w:rPr>
              <w:t xml:space="preserve">a záujmy svojich obyvateľov. Základnou legislatívou, ktorá upravuje pôsobnosť samospráv je zákon </w:t>
            </w:r>
            <w:r w:rsidR="007A3FF8" w:rsidRPr="00AB05A1">
              <w:rPr>
                <w:bCs/>
                <w:sz w:val="22"/>
                <w:szCs w:val="22"/>
              </w:rPr>
              <w:t>o obecnom zriadení a zákon o samosprávnych krajoch.</w:t>
            </w:r>
          </w:p>
          <w:p w14:paraId="18E6D572" w14:textId="1B59262E" w:rsidR="007A3FF8" w:rsidRPr="00AB05A1" w:rsidRDefault="007A3FF8" w:rsidP="007410DD">
            <w:pPr>
              <w:numPr>
                <w:ilvl w:val="0"/>
                <w:numId w:val="10"/>
              </w:numPr>
              <w:autoSpaceDE w:val="0"/>
              <w:autoSpaceDN w:val="0"/>
              <w:adjustRightInd w:val="0"/>
              <w:spacing w:after="120"/>
              <w:ind w:left="714" w:hanging="357"/>
              <w:jc w:val="both"/>
              <w:rPr>
                <w:sz w:val="22"/>
                <w:szCs w:val="22"/>
              </w:rPr>
            </w:pPr>
            <w:r w:rsidRPr="00AB05A1">
              <w:rPr>
                <w:sz w:val="22"/>
                <w:szCs w:val="22"/>
              </w:rPr>
              <w:t xml:space="preserve">Fondy sociálneho </w:t>
            </w:r>
            <w:r w:rsidR="009A11E7" w:rsidRPr="00AB05A1">
              <w:rPr>
                <w:sz w:val="22"/>
                <w:szCs w:val="22"/>
              </w:rPr>
              <w:t>zabezpečenia</w:t>
            </w:r>
            <w:r w:rsidR="00897788" w:rsidRPr="00AB05A1">
              <w:rPr>
                <w:sz w:val="22"/>
                <w:szCs w:val="22"/>
              </w:rPr>
              <w:t xml:space="preserve"> tvoria</w:t>
            </w:r>
            <w:r w:rsidRPr="00AB05A1">
              <w:rPr>
                <w:sz w:val="22"/>
                <w:szCs w:val="22"/>
              </w:rPr>
              <w:t xml:space="preserve"> Sociálna poisťovňa zriadená zákonom o Sociálnej poisťovni a zdravotné poisťovne (v súčasnosti tri, z toho jedna štátna a dve súkromné), ktorých pôsobnosť ustanovuje zákon </w:t>
            </w:r>
            <w:r w:rsidRPr="00AB05A1">
              <w:rPr>
                <w:bCs/>
                <w:sz w:val="22"/>
                <w:szCs w:val="22"/>
              </w:rPr>
              <w:t>o zdravotných poisťovniach.</w:t>
            </w:r>
          </w:p>
        </w:tc>
      </w:tr>
      <w:tr w:rsidR="00BA2E69" w:rsidRPr="00AB05A1" w14:paraId="37CF44DD" w14:textId="77777777" w:rsidTr="00B206B3">
        <w:trPr>
          <w:trHeight w:val="156"/>
        </w:trPr>
        <w:tc>
          <w:tcPr>
            <w:tcW w:w="9214" w:type="dxa"/>
          </w:tcPr>
          <w:p w14:paraId="456B1346" w14:textId="4B3B55A6" w:rsidR="007A3FF8" w:rsidRPr="00AB05A1" w:rsidRDefault="007A3FF8" w:rsidP="007410DD">
            <w:pPr>
              <w:spacing w:after="120"/>
              <w:jc w:val="both"/>
              <w:rPr>
                <w:sz w:val="22"/>
                <w:szCs w:val="22"/>
              </w:rPr>
            </w:pPr>
            <w:r w:rsidRPr="00AB05A1">
              <w:rPr>
                <w:b/>
                <w:sz w:val="22"/>
                <w:szCs w:val="22"/>
              </w:rPr>
              <w:t>Rozpočet verejnej správy</w:t>
            </w:r>
            <w:r w:rsidRPr="00AB05A1">
              <w:rPr>
                <w:sz w:val="22"/>
                <w:szCs w:val="22"/>
              </w:rPr>
              <w:t xml:space="preserve"> </w:t>
            </w:r>
            <w:r w:rsidR="00D7068F" w:rsidRPr="00AB05A1">
              <w:rPr>
                <w:b/>
                <w:sz w:val="22"/>
                <w:szCs w:val="22"/>
              </w:rPr>
              <w:t>–</w:t>
            </w:r>
            <w:r w:rsidR="00D7068F" w:rsidRPr="00AB05A1">
              <w:rPr>
                <w:sz w:val="22"/>
                <w:szCs w:val="22"/>
              </w:rPr>
              <w:t xml:space="preserve"> </w:t>
            </w:r>
            <w:r w:rsidRPr="00AB05A1">
              <w:rPr>
                <w:sz w:val="22"/>
                <w:szCs w:val="22"/>
              </w:rPr>
              <w:t>strednodobý ekonomický nástroj finančnej politiky štátu. Zostavuje sa každoročne na tri rozpočtové roky. Rozpočtový rok je zhodný s kalendárnym rokom. Rozpočet verejnej správy tvoria štátny rozpočet na príslušný rozpočtový rok a nasledujúce dva roky a súhrn rozpočtov ostatných subjektov verejnej správy vrátane príjmov a výdavkov súvisiacich s</w:t>
            </w:r>
            <w:r w:rsidR="00DA1AAF" w:rsidRPr="00AB05A1">
              <w:rPr>
                <w:sz w:val="22"/>
                <w:szCs w:val="22"/>
              </w:rPr>
              <w:t> </w:t>
            </w:r>
            <w:r w:rsidRPr="00AB05A1">
              <w:rPr>
                <w:sz w:val="22"/>
                <w:szCs w:val="22"/>
              </w:rPr>
              <w:t>vykonávaním verejného zdravotného poistenia v súlade s jednotnou metodikou platnou pre Európsku úniu na príslušný rozpočtový rok a nasledujúce dva roky (§ 4 ods. 1 zákona o rozpočtových pravidlách verejnej správy).</w:t>
            </w:r>
          </w:p>
        </w:tc>
      </w:tr>
      <w:tr w:rsidR="00BA2E69" w:rsidRPr="00AB05A1" w14:paraId="5F34C86D" w14:textId="77777777" w:rsidTr="00B206B3">
        <w:trPr>
          <w:trHeight w:val="156"/>
        </w:trPr>
        <w:tc>
          <w:tcPr>
            <w:tcW w:w="9214" w:type="dxa"/>
          </w:tcPr>
          <w:p w14:paraId="2591A35C" w14:textId="77777777" w:rsidR="007A3FF8" w:rsidRPr="00AB05A1" w:rsidRDefault="007A3FF8" w:rsidP="007410DD">
            <w:pPr>
              <w:spacing w:after="120"/>
              <w:jc w:val="both"/>
              <w:rPr>
                <w:sz w:val="22"/>
                <w:szCs w:val="22"/>
              </w:rPr>
            </w:pPr>
            <w:r w:rsidRPr="00AB05A1">
              <w:rPr>
                <w:b/>
                <w:sz w:val="22"/>
                <w:szCs w:val="22"/>
              </w:rPr>
              <w:t>Štátny rozpočet</w:t>
            </w:r>
            <w:r w:rsidRPr="00AB05A1">
              <w:rPr>
                <w:sz w:val="22"/>
                <w:szCs w:val="22"/>
              </w:rPr>
              <w:t xml:space="preserve"> </w:t>
            </w:r>
            <w:r w:rsidR="00D7068F" w:rsidRPr="00AB05A1">
              <w:rPr>
                <w:b/>
                <w:sz w:val="22"/>
                <w:szCs w:val="22"/>
              </w:rPr>
              <w:t>–</w:t>
            </w:r>
            <w:r w:rsidR="00D7068F" w:rsidRPr="00AB05A1">
              <w:rPr>
                <w:sz w:val="22"/>
                <w:szCs w:val="22"/>
              </w:rPr>
              <w:t xml:space="preserve"> </w:t>
            </w:r>
            <w:r w:rsidRPr="00AB05A1">
              <w:rPr>
                <w:sz w:val="22"/>
                <w:szCs w:val="22"/>
              </w:rPr>
              <w:t>základná súčasť rozpočtu verejnej správy, ktorou sa zabezpečuje financovanie hlavných funkcií štátu v príslušnom rozpočtovom roku. Štátny rozpočet na príslušný rozpočtový rok obsahuje rozpočtované príjmy, rozpočtované výdavky a finančné operácie so štátnymi finančnými aktívami a iné operácie, ktoré ovplyvňujú stav štátnych finančných aktív alebo štátnych finančných pasív (§ 6 ods. 1 zákona o rozpočtových pravidlách verejnej správy).</w:t>
            </w:r>
          </w:p>
        </w:tc>
      </w:tr>
      <w:tr w:rsidR="00BA2E69" w:rsidRPr="00AB05A1" w14:paraId="3CFDF081" w14:textId="77777777" w:rsidTr="00B206B3">
        <w:trPr>
          <w:trHeight w:val="156"/>
        </w:trPr>
        <w:tc>
          <w:tcPr>
            <w:tcW w:w="9214" w:type="dxa"/>
            <w:vAlign w:val="center"/>
          </w:tcPr>
          <w:p w14:paraId="06F9ECCC" w14:textId="6EE730C4" w:rsidR="007A3FF8" w:rsidRPr="00AB05A1" w:rsidRDefault="001C3DA8" w:rsidP="007410DD">
            <w:pPr>
              <w:spacing w:after="120"/>
              <w:jc w:val="both"/>
              <w:rPr>
                <w:sz w:val="22"/>
                <w:szCs w:val="22"/>
              </w:rPr>
            </w:pPr>
            <w:r>
              <w:rPr>
                <w:sz w:val="22"/>
                <w:lang w:eastAsia="en-US"/>
              </w:rPr>
              <w:br w:type="page"/>
            </w:r>
            <w:r w:rsidR="007A3FF8" w:rsidRPr="00AB05A1">
              <w:rPr>
                <w:sz w:val="22"/>
                <w:szCs w:val="22"/>
              </w:rPr>
              <w:br w:type="page"/>
            </w:r>
            <w:proofErr w:type="spellStart"/>
            <w:r w:rsidR="007A3FF8" w:rsidRPr="00AB05A1">
              <w:rPr>
                <w:b/>
                <w:sz w:val="22"/>
                <w:szCs w:val="22"/>
              </w:rPr>
              <w:t>Superdividenda</w:t>
            </w:r>
            <w:proofErr w:type="spellEnd"/>
            <w:r w:rsidR="007A3FF8" w:rsidRPr="00AB05A1">
              <w:rPr>
                <w:b/>
                <w:sz w:val="22"/>
                <w:szCs w:val="22"/>
              </w:rPr>
              <w:t xml:space="preserve"> </w:t>
            </w:r>
            <w:r w:rsidR="007A3FF8" w:rsidRPr="00AB05A1">
              <w:rPr>
                <w:sz w:val="22"/>
                <w:szCs w:val="22"/>
              </w:rPr>
              <w:t>– metodika ESA, na rozdiel od podnikového účtovníctva, rozoznáva dividendy a </w:t>
            </w:r>
            <w:proofErr w:type="spellStart"/>
            <w:r w:rsidR="007A3FF8" w:rsidRPr="00AB05A1">
              <w:rPr>
                <w:sz w:val="22"/>
                <w:szCs w:val="22"/>
              </w:rPr>
              <w:t>superdividendy</w:t>
            </w:r>
            <w:proofErr w:type="spellEnd"/>
            <w:r w:rsidR="007A3FF8" w:rsidRPr="00AB05A1">
              <w:rPr>
                <w:sz w:val="22"/>
                <w:szCs w:val="22"/>
              </w:rPr>
              <w:t xml:space="preserve">. </w:t>
            </w:r>
            <w:proofErr w:type="spellStart"/>
            <w:r w:rsidR="007A3FF8" w:rsidRPr="00AB05A1">
              <w:rPr>
                <w:sz w:val="22"/>
                <w:szCs w:val="22"/>
              </w:rPr>
              <w:t>Superdividendy</w:t>
            </w:r>
            <w:proofErr w:type="spellEnd"/>
            <w:r w:rsidR="007A3FF8" w:rsidRPr="00AB05A1">
              <w:rPr>
                <w:sz w:val="22"/>
                <w:szCs w:val="22"/>
              </w:rPr>
              <w:t xml:space="preserve"> sú dividendy, ktoré sú vysoké z pohľadu poslednej (nedávnej) výšky úrovne dividend a ziskov. Logika členenia je tá, že pokiaľ dividendy rozdeľujú príjem z majetku, </w:t>
            </w:r>
            <w:proofErr w:type="spellStart"/>
            <w:r w:rsidR="007A3FF8" w:rsidRPr="00AB05A1">
              <w:rPr>
                <w:sz w:val="22"/>
                <w:szCs w:val="22"/>
              </w:rPr>
              <w:t>superdividendy</w:t>
            </w:r>
            <w:proofErr w:type="spellEnd"/>
            <w:r w:rsidR="007A3FF8" w:rsidRPr="00AB05A1">
              <w:rPr>
                <w:sz w:val="22"/>
                <w:szCs w:val="22"/>
              </w:rPr>
              <w:t xml:space="preserve"> rozdeľujú čisté bohatstvo podniku, keď znižujú vlastné zdroje podniku (vlastné imanie), predstavujú teda výber kapitálu (</w:t>
            </w:r>
            <w:proofErr w:type="spellStart"/>
            <w:r w:rsidR="007A3FF8" w:rsidRPr="00AB05A1">
              <w:rPr>
                <w:sz w:val="22"/>
                <w:szCs w:val="22"/>
              </w:rPr>
              <w:t>capital</w:t>
            </w:r>
            <w:proofErr w:type="spellEnd"/>
            <w:r w:rsidR="007A3FF8" w:rsidRPr="00AB05A1">
              <w:rPr>
                <w:sz w:val="22"/>
                <w:szCs w:val="22"/>
              </w:rPr>
              <w:t xml:space="preserve"> </w:t>
            </w:r>
            <w:proofErr w:type="spellStart"/>
            <w:r w:rsidR="007A3FF8" w:rsidRPr="00AB05A1">
              <w:rPr>
                <w:sz w:val="22"/>
                <w:szCs w:val="22"/>
              </w:rPr>
              <w:t>withdrawal</w:t>
            </w:r>
            <w:proofErr w:type="spellEnd"/>
            <w:r w:rsidR="007A3FF8" w:rsidRPr="00AB05A1">
              <w:rPr>
                <w:sz w:val="22"/>
                <w:szCs w:val="22"/>
              </w:rPr>
              <w:t>). Inak povedané, dividendy prináležia bežnému zisku (</w:t>
            </w:r>
            <w:proofErr w:type="spellStart"/>
            <w:r w:rsidR="007A3FF8" w:rsidRPr="00AB05A1">
              <w:rPr>
                <w:sz w:val="22"/>
                <w:szCs w:val="22"/>
              </w:rPr>
              <w:t>operating</w:t>
            </w:r>
            <w:proofErr w:type="spellEnd"/>
            <w:r w:rsidR="007A3FF8" w:rsidRPr="00AB05A1">
              <w:rPr>
                <w:sz w:val="22"/>
                <w:szCs w:val="22"/>
              </w:rPr>
              <w:t xml:space="preserve"> profit), ktorý pochádza zo štandardných hlavných činností podniku (</w:t>
            </w:r>
            <w:proofErr w:type="spellStart"/>
            <w:r w:rsidR="007A3FF8" w:rsidRPr="00AB05A1">
              <w:rPr>
                <w:sz w:val="22"/>
                <w:szCs w:val="22"/>
              </w:rPr>
              <w:t>core</w:t>
            </w:r>
            <w:proofErr w:type="spellEnd"/>
            <w:r w:rsidR="007A3FF8" w:rsidRPr="00AB05A1">
              <w:rPr>
                <w:sz w:val="22"/>
                <w:szCs w:val="22"/>
              </w:rPr>
              <w:t xml:space="preserve"> business </w:t>
            </w:r>
            <w:proofErr w:type="spellStart"/>
            <w:r w:rsidR="007A3FF8" w:rsidRPr="00AB05A1">
              <w:rPr>
                <w:sz w:val="22"/>
                <w:szCs w:val="22"/>
              </w:rPr>
              <w:t>operations</w:t>
            </w:r>
            <w:proofErr w:type="spellEnd"/>
            <w:r w:rsidR="007A3FF8" w:rsidRPr="00AB05A1">
              <w:rPr>
                <w:sz w:val="22"/>
                <w:szCs w:val="22"/>
              </w:rPr>
              <w:t>) a </w:t>
            </w:r>
            <w:proofErr w:type="spellStart"/>
            <w:r w:rsidR="007A3FF8" w:rsidRPr="00AB05A1">
              <w:rPr>
                <w:sz w:val="22"/>
                <w:szCs w:val="22"/>
              </w:rPr>
              <w:t>superdividendy</w:t>
            </w:r>
            <w:proofErr w:type="spellEnd"/>
            <w:r w:rsidR="007A3FF8" w:rsidRPr="00AB05A1">
              <w:rPr>
                <w:sz w:val="22"/>
                <w:szCs w:val="22"/>
              </w:rPr>
              <w:t xml:space="preserve"> prináleži</w:t>
            </w:r>
            <w:r w:rsidR="00DA1AAF" w:rsidRPr="00AB05A1">
              <w:rPr>
                <w:sz w:val="22"/>
                <w:szCs w:val="22"/>
              </w:rPr>
              <w:t>a iným (špeciálnym) výnosom. Na </w:t>
            </w:r>
            <w:r w:rsidR="007A3FF8" w:rsidRPr="00AB05A1">
              <w:rPr>
                <w:sz w:val="22"/>
                <w:szCs w:val="22"/>
              </w:rPr>
              <w:t xml:space="preserve">určenie výšky </w:t>
            </w:r>
            <w:proofErr w:type="spellStart"/>
            <w:r w:rsidR="007A3FF8" w:rsidRPr="00AB05A1">
              <w:rPr>
                <w:sz w:val="22"/>
                <w:szCs w:val="22"/>
              </w:rPr>
              <w:t>superdividend</w:t>
            </w:r>
            <w:proofErr w:type="spellEnd"/>
            <w:r w:rsidR="007A3FF8" w:rsidRPr="00AB05A1">
              <w:rPr>
                <w:sz w:val="22"/>
                <w:szCs w:val="22"/>
              </w:rPr>
              <w:t xml:space="preserve"> sa používa tzv. </w:t>
            </w:r>
            <w:proofErr w:type="spellStart"/>
            <w:r w:rsidR="007A3FF8" w:rsidRPr="00AB05A1">
              <w:rPr>
                <w:sz w:val="22"/>
                <w:szCs w:val="22"/>
              </w:rPr>
              <w:t>superdividendový</w:t>
            </w:r>
            <w:proofErr w:type="spellEnd"/>
            <w:r w:rsidR="007A3FF8" w:rsidRPr="00AB05A1">
              <w:rPr>
                <w:sz w:val="22"/>
                <w:szCs w:val="22"/>
              </w:rPr>
              <w:t xml:space="preserve"> test.</w:t>
            </w:r>
          </w:p>
        </w:tc>
      </w:tr>
    </w:tbl>
    <w:p w14:paraId="00C909C3" w14:textId="77777777" w:rsidR="001C3DA8" w:rsidRDefault="001C3DA8">
      <w:r>
        <w:br w:type="page"/>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BA2E69" w:rsidRPr="00AB05A1" w14:paraId="26A33A94" w14:textId="77777777" w:rsidTr="00B206B3">
        <w:trPr>
          <w:trHeight w:val="156"/>
        </w:trPr>
        <w:tc>
          <w:tcPr>
            <w:tcW w:w="9214" w:type="dxa"/>
            <w:shd w:val="clear" w:color="auto" w:fill="BFBFBF" w:themeFill="background1" w:themeFillShade="BF"/>
            <w:vAlign w:val="center"/>
          </w:tcPr>
          <w:p w14:paraId="750046A6" w14:textId="49DEBB6C" w:rsidR="007A3FF8" w:rsidRPr="00AB05A1" w:rsidRDefault="007A3FF8" w:rsidP="007410DD">
            <w:pPr>
              <w:spacing w:before="200"/>
              <w:ind w:left="1134" w:hanging="1134"/>
              <w:rPr>
                <w:b/>
                <w:sz w:val="22"/>
                <w:szCs w:val="22"/>
              </w:rPr>
            </w:pPr>
            <w:r w:rsidRPr="00AB05A1">
              <w:rPr>
                <w:b/>
                <w:sz w:val="22"/>
                <w:szCs w:val="22"/>
              </w:rPr>
              <w:lastRenderedPageBreak/>
              <w:t xml:space="preserve">2. kapitola: Hospodárenie verejnej správy - požiadavky ústavného zákona o rozpočtovej zodpovednosti </w:t>
            </w:r>
          </w:p>
        </w:tc>
      </w:tr>
      <w:tr w:rsidR="00BA2E69" w:rsidRPr="00AB05A1" w14:paraId="44DA03E6" w14:textId="77777777" w:rsidTr="00B206B3">
        <w:trPr>
          <w:trHeight w:val="156"/>
        </w:trPr>
        <w:tc>
          <w:tcPr>
            <w:tcW w:w="9214" w:type="dxa"/>
          </w:tcPr>
          <w:p w14:paraId="26365D8B" w14:textId="43908666" w:rsidR="004F05BD" w:rsidRPr="00AB05A1" w:rsidRDefault="004F05BD" w:rsidP="007410DD">
            <w:pPr>
              <w:spacing w:before="240" w:after="120"/>
              <w:jc w:val="both"/>
              <w:rPr>
                <w:sz w:val="22"/>
                <w:szCs w:val="22"/>
              </w:rPr>
            </w:pPr>
            <w:proofErr w:type="spellStart"/>
            <w:r w:rsidRPr="00AB05A1">
              <w:rPr>
                <w:b/>
                <w:sz w:val="22"/>
                <w:szCs w:val="22"/>
              </w:rPr>
              <w:t>Benchmarková</w:t>
            </w:r>
            <w:proofErr w:type="spellEnd"/>
            <w:r w:rsidRPr="00AB05A1">
              <w:rPr>
                <w:b/>
                <w:sz w:val="22"/>
                <w:szCs w:val="22"/>
              </w:rPr>
              <w:t xml:space="preserve"> revízia – </w:t>
            </w:r>
            <w:r w:rsidRPr="00AB05A1">
              <w:rPr>
                <w:sz w:val="22"/>
                <w:szCs w:val="22"/>
              </w:rPr>
              <w:t xml:space="preserve">pravidelná revízia štatistických údajov zo strany členských štátov EÚ na základe legislatívy Európskeho štatistického úradu, manuálu pre deficit a dlh verejnej správy a príručky pre aplikáciu revízie. Za revíziu sa považuje každá zmena štatistickej hodnoty ukazovateľov uložených v príslušných databázach a verejne publikovaných štatistických údajov. Dôvodom revízií, najmä </w:t>
            </w:r>
            <w:proofErr w:type="spellStart"/>
            <w:r w:rsidRPr="00AB05A1">
              <w:rPr>
                <w:sz w:val="22"/>
                <w:szCs w:val="22"/>
              </w:rPr>
              <w:t>benchmarkových</w:t>
            </w:r>
            <w:proofErr w:type="spellEnd"/>
            <w:r w:rsidRPr="00AB05A1">
              <w:rPr>
                <w:sz w:val="22"/>
                <w:szCs w:val="22"/>
              </w:rPr>
              <w:t xml:space="preserve"> (porovnávajúcich) sú napr. zmeny v legislatíve, úpravy metodických definícií a postupov na základe nových poznatkov a analýz, implementácia nových štatisticko-matematických metód. V rámci </w:t>
            </w:r>
            <w:proofErr w:type="spellStart"/>
            <w:r w:rsidRPr="00AB05A1">
              <w:rPr>
                <w:sz w:val="22"/>
                <w:szCs w:val="22"/>
              </w:rPr>
              <w:t>benchmarkovej</w:t>
            </w:r>
            <w:proofErr w:type="spellEnd"/>
            <w:r w:rsidRPr="00AB05A1">
              <w:rPr>
                <w:sz w:val="22"/>
                <w:szCs w:val="22"/>
              </w:rPr>
              <w:t xml:space="preserve"> revízie sa vykonáva aj tzv. rutinná revízia, ktorá spočíva najmä v oprave údajov na základe lepšej dostupnosti údajov, oprave vzorcov, revízii číselníkov a klasifikácií.</w:t>
            </w:r>
          </w:p>
          <w:p w14:paraId="5F0B055F" w14:textId="2AE7CDAB" w:rsidR="007A3FF8" w:rsidRPr="00AB05A1" w:rsidRDefault="007A3FF8" w:rsidP="007410DD">
            <w:pPr>
              <w:spacing w:before="240" w:after="120"/>
              <w:jc w:val="both"/>
              <w:rPr>
                <w:sz w:val="22"/>
                <w:szCs w:val="22"/>
              </w:rPr>
            </w:pPr>
            <w:r w:rsidRPr="00AB05A1">
              <w:rPr>
                <w:b/>
                <w:sz w:val="22"/>
                <w:szCs w:val="22"/>
              </w:rPr>
              <w:t xml:space="preserve">Bilancia rozpočtu verejnej správy </w:t>
            </w:r>
            <w:r w:rsidRPr="00AB05A1">
              <w:rPr>
                <w:sz w:val="22"/>
                <w:szCs w:val="22"/>
              </w:rPr>
              <w:t xml:space="preserve">– alebo bilancia príjmov a výdavkov rozpočtu verejnej správy poskytuje analytický pohľad na vývoj hlavných príjmových a výdavkových položiek verejnej správy ako celku za daný rok. Bilancia je konsolidovaná, teda sú vylúčené transakcie medzi jednotlivými subjektmi verejnej správy. Štruktúra prezentovanej bilancie v tomto dokumente pozostáva z kombinácie klasifikácie kódov </w:t>
            </w:r>
            <w:r w:rsidR="000C2F69" w:rsidRPr="00AB05A1">
              <w:rPr>
                <w:sz w:val="22"/>
                <w:szCs w:val="22"/>
              </w:rPr>
              <w:t>ESA2010</w:t>
            </w:r>
            <w:r w:rsidRPr="00AB05A1">
              <w:rPr>
                <w:sz w:val="22"/>
                <w:szCs w:val="22"/>
              </w:rPr>
              <w:t xml:space="preserve"> a rozpočtovej klasifikácie.</w:t>
            </w:r>
          </w:p>
        </w:tc>
      </w:tr>
      <w:tr w:rsidR="00BA2E69" w:rsidRPr="00AB05A1" w14:paraId="41AA3CE1" w14:textId="77777777" w:rsidTr="00B206B3">
        <w:trPr>
          <w:trHeight w:val="156"/>
        </w:trPr>
        <w:tc>
          <w:tcPr>
            <w:tcW w:w="9214" w:type="dxa"/>
          </w:tcPr>
          <w:p w14:paraId="7AD46817" w14:textId="77777777" w:rsidR="007A3FF8" w:rsidRPr="00AB05A1" w:rsidRDefault="007A3FF8" w:rsidP="007410DD">
            <w:pPr>
              <w:spacing w:after="120"/>
              <w:jc w:val="both"/>
              <w:rPr>
                <w:sz w:val="22"/>
                <w:szCs w:val="22"/>
              </w:rPr>
            </w:pPr>
            <w:r w:rsidRPr="00AB05A1">
              <w:rPr>
                <w:b/>
                <w:sz w:val="22"/>
                <w:szCs w:val="22"/>
              </w:rPr>
              <w:t>Saldo rozpočtu verejnej správy</w:t>
            </w:r>
            <w:r w:rsidRPr="00AB05A1">
              <w:rPr>
                <w:sz w:val="22"/>
                <w:szCs w:val="22"/>
              </w:rPr>
              <w:t xml:space="preserve"> – môže mať charakter schodku alebo prebytku. Schodok je záporný rozdiel medzi celkovými príjmami a celkovými výdavkami verejnej správy. Prebytok je kladný rozdiel medzi celkovými príjmami a celkovými výdavkami verejnej správy. V metodike národných účtov sa saldo verejnej správy nazýva „čisté pôžičky poskytnuté/prijaté“. Ich výška predstavuje sumu, ktorú verejná správa môže poskytnúť alebo prijať ako pôžičku na financovanie svojich nefinančných operácií.</w:t>
            </w:r>
          </w:p>
        </w:tc>
      </w:tr>
      <w:tr w:rsidR="00BA2E69" w:rsidRPr="00AB05A1" w14:paraId="67F5AC80" w14:textId="77777777" w:rsidTr="00B206B3">
        <w:trPr>
          <w:trHeight w:val="156"/>
        </w:trPr>
        <w:tc>
          <w:tcPr>
            <w:tcW w:w="9214" w:type="dxa"/>
          </w:tcPr>
          <w:p w14:paraId="3AEE6DC3" w14:textId="77777777" w:rsidR="007A3FF8" w:rsidRPr="00AB05A1" w:rsidRDefault="007A3FF8" w:rsidP="007410DD">
            <w:pPr>
              <w:spacing w:after="120"/>
              <w:jc w:val="both"/>
              <w:rPr>
                <w:sz w:val="22"/>
                <w:szCs w:val="22"/>
              </w:rPr>
            </w:pPr>
            <w:r w:rsidRPr="00AB05A1">
              <w:rPr>
                <w:b/>
                <w:sz w:val="22"/>
                <w:szCs w:val="22"/>
              </w:rPr>
              <w:t>Štrukturálne saldo</w:t>
            </w:r>
            <w:r w:rsidRPr="00AB05A1">
              <w:rPr>
                <w:sz w:val="22"/>
                <w:szCs w:val="22"/>
              </w:rPr>
              <w:t xml:space="preserve"> </w:t>
            </w:r>
            <w:r w:rsidR="00D7068F" w:rsidRPr="00AB05A1">
              <w:rPr>
                <w:b/>
                <w:sz w:val="22"/>
                <w:szCs w:val="22"/>
              </w:rPr>
              <w:t>–</w:t>
            </w:r>
            <w:r w:rsidR="00D7068F" w:rsidRPr="00AB05A1">
              <w:rPr>
                <w:sz w:val="22"/>
                <w:szCs w:val="22"/>
              </w:rPr>
              <w:t xml:space="preserve"> </w:t>
            </w:r>
            <w:r w:rsidRPr="00AB05A1">
              <w:rPr>
                <w:sz w:val="22"/>
                <w:szCs w:val="22"/>
              </w:rPr>
              <w:t>saldo rozpočtu verejnej správy upravené o vplyv hospodárskeho cyklu a jednorazové a dočasné vplyvy. Referenčná hodnota medziročnej zmeny štrukturálneho salda sa používa na hodnotenie charakteru fiškálnej politiky, či je expanzívna (medziročné zvyšovanie / znižovanie štrukturálneho schodku / prebytku) alebo reštriktívna (medziročné znižovanie / zvyšovanie štrukturálneho schodku / prebytku).</w:t>
            </w:r>
          </w:p>
        </w:tc>
      </w:tr>
      <w:tr w:rsidR="00BA2E69" w:rsidRPr="00AB05A1" w14:paraId="0F505B4B" w14:textId="77777777" w:rsidTr="00B206B3">
        <w:trPr>
          <w:trHeight w:val="156"/>
        </w:trPr>
        <w:tc>
          <w:tcPr>
            <w:tcW w:w="9214" w:type="dxa"/>
          </w:tcPr>
          <w:p w14:paraId="56E7A276" w14:textId="77777777" w:rsidR="007A3FF8" w:rsidRPr="00AB05A1" w:rsidRDefault="007A3FF8" w:rsidP="007410DD">
            <w:pPr>
              <w:spacing w:after="120"/>
              <w:jc w:val="both"/>
              <w:rPr>
                <w:sz w:val="22"/>
                <w:szCs w:val="22"/>
              </w:rPr>
            </w:pPr>
            <w:r w:rsidRPr="00AB05A1">
              <w:rPr>
                <w:b/>
                <w:sz w:val="22"/>
                <w:szCs w:val="22"/>
              </w:rPr>
              <w:t>Jednorazové vplyvy</w:t>
            </w:r>
            <w:r w:rsidRPr="00AB05A1">
              <w:rPr>
                <w:sz w:val="22"/>
                <w:szCs w:val="22"/>
              </w:rPr>
              <w:t xml:space="preserve"> </w:t>
            </w:r>
            <w:r w:rsidR="00D7068F" w:rsidRPr="00AB05A1">
              <w:rPr>
                <w:b/>
                <w:sz w:val="22"/>
                <w:szCs w:val="22"/>
              </w:rPr>
              <w:t>–</w:t>
            </w:r>
            <w:r w:rsidR="00D7068F" w:rsidRPr="00AB05A1">
              <w:rPr>
                <w:sz w:val="22"/>
                <w:szCs w:val="22"/>
              </w:rPr>
              <w:t xml:space="preserve"> </w:t>
            </w:r>
            <w:r w:rsidRPr="00AB05A1">
              <w:rPr>
                <w:sz w:val="22"/>
                <w:szCs w:val="22"/>
              </w:rPr>
              <w:t>všeobecne definované ako príjem alebo výdavok, ktorý nemá trvalý alebo opakujúci sa charakter a má časovo obmedzený vplyv na saldo verejnej správy. Úprava salda verejnej správy o takéto vplyvy umožňuje analyticky vhodnejšie posúdenie jeho vývoja v čase.</w:t>
            </w:r>
          </w:p>
        </w:tc>
      </w:tr>
      <w:tr w:rsidR="00BA2E69" w:rsidRPr="00AB05A1" w14:paraId="3DA1BAD0" w14:textId="77777777" w:rsidTr="00B206B3">
        <w:trPr>
          <w:trHeight w:val="156"/>
        </w:trPr>
        <w:tc>
          <w:tcPr>
            <w:tcW w:w="9214" w:type="dxa"/>
          </w:tcPr>
          <w:p w14:paraId="18CAF83B" w14:textId="60F44EC0" w:rsidR="007A3FF8" w:rsidRPr="00AB05A1" w:rsidRDefault="007A3FF8" w:rsidP="007410DD">
            <w:pPr>
              <w:spacing w:after="120"/>
              <w:jc w:val="both"/>
              <w:rPr>
                <w:sz w:val="22"/>
                <w:szCs w:val="22"/>
              </w:rPr>
            </w:pPr>
            <w:r w:rsidRPr="00AB05A1">
              <w:rPr>
                <w:b/>
                <w:sz w:val="22"/>
                <w:szCs w:val="22"/>
              </w:rPr>
              <w:t xml:space="preserve">Dlh verejnej správy hrubý </w:t>
            </w:r>
            <w:r w:rsidRPr="00AB05A1">
              <w:rPr>
                <w:sz w:val="22"/>
                <w:szCs w:val="22"/>
              </w:rPr>
              <w:t>– alebo hrubý maastrichtský dlh verejnej správy, predstavuje konsolidovaný súčet všetkých záväzkov sektora verejnej správy v nominálnej (menovitej) hodnote, ktoré vznikli na základe prijatých vkladov, emitovaných cenných papierov (bez akcií) a prijatých pôžičiek (bez záväzkov z nesplatených úrokov). Súčasťou prijatých pôžičiek sú aj imputované pôžičky, ktoré sa rovnajú hodnote majetku nadobudnutého prostredníctvom finančného lízingu. Dlh je konsolidovaný, teda sú vylúčené všetky záväzky a recipročné pohľadávky jednotiek patriacich do</w:t>
            </w:r>
            <w:r w:rsidR="00DA1AAF" w:rsidRPr="00AB05A1">
              <w:rPr>
                <w:sz w:val="22"/>
                <w:szCs w:val="22"/>
              </w:rPr>
              <w:t> </w:t>
            </w:r>
            <w:r w:rsidRPr="00AB05A1">
              <w:rPr>
                <w:sz w:val="22"/>
                <w:szCs w:val="22"/>
              </w:rPr>
              <w:t>sektora VS. (Príručka vládneho deficitu a dlhu, vydanie 201</w:t>
            </w:r>
            <w:r w:rsidR="002E6C6F" w:rsidRPr="00AB05A1">
              <w:rPr>
                <w:sz w:val="22"/>
                <w:szCs w:val="22"/>
              </w:rPr>
              <w:t>9</w:t>
            </w:r>
            <w:r w:rsidRPr="00AB05A1">
              <w:rPr>
                <w:sz w:val="22"/>
                <w:szCs w:val="22"/>
              </w:rPr>
              <w:t>)</w:t>
            </w:r>
          </w:p>
        </w:tc>
      </w:tr>
      <w:tr w:rsidR="00BA2E69" w:rsidRPr="00AB05A1" w14:paraId="11986DF1" w14:textId="77777777" w:rsidTr="00B206B3">
        <w:trPr>
          <w:trHeight w:val="156"/>
        </w:trPr>
        <w:tc>
          <w:tcPr>
            <w:tcW w:w="9214" w:type="dxa"/>
          </w:tcPr>
          <w:p w14:paraId="00888D11" w14:textId="77777777" w:rsidR="007A3FF8" w:rsidRPr="00AB05A1" w:rsidRDefault="007A3FF8" w:rsidP="007410DD">
            <w:pPr>
              <w:spacing w:after="120"/>
              <w:jc w:val="both"/>
              <w:rPr>
                <w:sz w:val="22"/>
                <w:szCs w:val="22"/>
              </w:rPr>
            </w:pPr>
            <w:r w:rsidRPr="00AB05A1">
              <w:rPr>
                <w:b/>
                <w:sz w:val="22"/>
                <w:szCs w:val="22"/>
              </w:rPr>
              <w:t xml:space="preserve">Dlh verejnej správy čistý </w:t>
            </w:r>
            <w:r w:rsidR="00D7068F" w:rsidRPr="00AB05A1">
              <w:rPr>
                <w:b/>
                <w:sz w:val="22"/>
                <w:szCs w:val="22"/>
              </w:rPr>
              <w:t>–</w:t>
            </w:r>
            <w:r w:rsidR="00D7068F" w:rsidRPr="00AB05A1">
              <w:rPr>
                <w:sz w:val="22"/>
                <w:szCs w:val="22"/>
              </w:rPr>
              <w:t xml:space="preserve"> </w:t>
            </w:r>
            <w:r w:rsidRPr="00AB05A1">
              <w:rPr>
                <w:sz w:val="22"/>
                <w:szCs w:val="22"/>
              </w:rPr>
              <w:t>alebo čistý maastrichtský dlh verejnej správy, predstavuje rozdiel medzi hrubým maastrichtským dlhom a súčtom zlata a SDR, hotovosti, cenných papierov v trhovej hodnote (okrem akcií) a kótovaných akcií v trhovej hodnote. Čistý dlh vyjadruje schopnosť verejnej správy splatiť svoj maastrichtský dlh na základe speňaženia svojich najlikvidnejších finančných aktív. (</w:t>
            </w:r>
            <w:proofErr w:type="spellStart"/>
            <w:r w:rsidRPr="00AB05A1">
              <w:rPr>
                <w:sz w:val="22"/>
                <w:szCs w:val="22"/>
              </w:rPr>
              <w:t>Code</w:t>
            </w:r>
            <w:proofErr w:type="spellEnd"/>
            <w:r w:rsidRPr="00AB05A1">
              <w:rPr>
                <w:sz w:val="22"/>
                <w:szCs w:val="22"/>
              </w:rPr>
              <w:t xml:space="preserve"> of </w:t>
            </w:r>
            <w:proofErr w:type="spellStart"/>
            <w:r w:rsidRPr="00AB05A1">
              <w:rPr>
                <w:sz w:val="22"/>
                <w:szCs w:val="22"/>
              </w:rPr>
              <w:t>Conduct</w:t>
            </w:r>
            <w:proofErr w:type="spellEnd"/>
            <w:r w:rsidRPr="00AB05A1">
              <w:rPr>
                <w:sz w:val="22"/>
                <w:szCs w:val="22"/>
              </w:rPr>
              <w:t xml:space="preserve"> - </w:t>
            </w:r>
            <w:proofErr w:type="spellStart"/>
            <w:r w:rsidRPr="00AB05A1">
              <w:rPr>
                <w:sz w:val="22"/>
                <w:szCs w:val="22"/>
              </w:rPr>
              <w:t>Specifications</w:t>
            </w:r>
            <w:proofErr w:type="spellEnd"/>
            <w:r w:rsidRPr="00AB05A1">
              <w:rPr>
                <w:sz w:val="22"/>
                <w:szCs w:val="22"/>
              </w:rPr>
              <w:t xml:space="preserve"> on </w:t>
            </w:r>
            <w:proofErr w:type="spellStart"/>
            <w:r w:rsidRPr="00AB05A1">
              <w:rPr>
                <w:sz w:val="22"/>
                <w:szCs w:val="22"/>
              </w:rPr>
              <w:t>the</w:t>
            </w:r>
            <w:proofErr w:type="spellEnd"/>
            <w:r w:rsidRPr="00AB05A1">
              <w:rPr>
                <w:sz w:val="22"/>
                <w:szCs w:val="22"/>
              </w:rPr>
              <w:t xml:space="preserve"> </w:t>
            </w:r>
            <w:proofErr w:type="spellStart"/>
            <w:r w:rsidRPr="00AB05A1">
              <w:rPr>
                <w:sz w:val="22"/>
                <w:szCs w:val="22"/>
              </w:rPr>
              <w:t>implementation</w:t>
            </w:r>
            <w:proofErr w:type="spellEnd"/>
            <w:r w:rsidRPr="00AB05A1">
              <w:rPr>
                <w:sz w:val="22"/>
                <w:szCs w:val="22"/>
              </w:rPr>
              <w:t xml:space="preserve"> of </w:t>
            </w:r>
            <w:proofErr w:type="spellStart"/>
            <w:r w:rsidRPr="00AB05A1">
              <w:rPr>
                <w:sz w:val="22"/>
                <w:szCs w:val="22"/>
              </w:rPr>
              <w:t>the</w:t>
            </w:r>
            <w:proofErr w:type="spellEnd"/>
            <w:r w:rsidRPr="00AB05A1">
              <w:rPr>
                <w:sz w:val="22"/>
                <w:szCs w:val="22"/>
              </w:rPr>
              <w:t xml:space="preserve"> Stability and </w:t>
            </w:r>
            <w:proofErr w:type="spellStart"/>
            <w:r w:rsidRPr="00AB05A1">
              <w:rPr>
                <w:sz w:val="22"/>
                <w:szCs w:val="22"/>
              </w:rPr>
              <w:t>Growth</w:t>
            </w:r>
            <w:proofErr w:type="spellEnd"/>
            <w:r w:rsidRPr="00AB05A1">
              <w:rPr>
                <w:sz w:val="22"/>
                <w:szCs w:val="22"/>
              </w:rPr>
              <w:t xml:space="preserve"> </w:t>
            </w:r>
            <w:proofErr w:type="spellStart"/>
            <w:r w:rsidRPr="00AB05A1">
              <w:rPr>
                <w:sz w:val="22"/>
                <w:szCs w:val="22"/>
              </w:rPr>
              <w:t>Pact</w:t>
            </w:r>
            <w:proofErr w:type="spellEnd"/>
            <w:r w:rsidRPr="00AB05A1">
              <w:rPr>
                <w:sz w:val="22"/>
                <w:szCs w:val="22"/>
              </w:rPr>
              <w:t xml:space="preserve"> and </w:t>
            </w:r>
            <w:proofErr w:type="spellStart"/>
            <w:r w:rsidRPr="00AB05A1">
              <w:rPr>
                <w:sz w:val="22"/>
                <w:szCs w:val="22"/>
              </w:rPr>
              <w:t>Guidelines</w:t>
            </w:r>
            <w:proofErr w:type="spellEnd"/>
            <w:r w:rsidRPr="00AB05A1">
              <w:rPr>
                <w:sz w:val="22"/>
                <w:szCs w:val="22"/>
              </w:rPr>
              <w:t xml:space="preserve"> on </w:t>
            </w:r>
            <w:proofErr w:type="spellStart"/>
            <w:r w:rsidRPr="00AB05A1">
              <w:rPr>
                <w:sz w:val="22"/>
                <w:szCs w:val="22"/>
              </w:rPr>
              <w:t>the</w:t>
            </w:r>
            <w:proofErr w:type="spellEnd"/>
            <w:r w:rsidRPr="00AB05A1">
              <w:rPr>
                <w:sz w:val="22"/>
                <w:szCs w:val="22"/>
              </w:rPr>
              <w:t xml:space="preserve"> </w:t>
            </w:r>
            <w:proofErr w:type="spellStart"/>
            <w:r w:rsidRPr="00AB05A1">
              <w:rPr>
                <w:sz w:val="22"/>
                <w:szCs w:val="22"/>
              </w:rPr>
              <w:t>format</w:t>
            </w:r>
            <w:proofErr w:type="spellEnd"/>
            <w:r w:rsidRPr="00AB05A1">
              <w:rPr>
                <w:sz w:val="22"/>
                <w:szCs w:val="22"/>
              </w:rPr>
              <w:t xml:space="preserve"> and </w:t>
            </w:r>
            <w:proofErr w:type="spellStart"/>
            <w:r w:rsidRPr="00AB05A1">
              <w:rPr>
                <w:sz w:val="22"/>
                <w:szCs w:val="22"/>
              </w:rPr>
              <w:t>content</w:t>
            </w:r>
            <w:proofErr w:type="spellEnd"/>
            <w:r w:rsidRPr="00AB05A1">
              <w:rPr>
                <w:sz w:val="22"/>
                <w:szCs w:val="22"/>
              </w:rPr>
              <w:t xml:space="preserve"> of Stability and </w:t>
            </w:r>
            <w:proofErr w:type="spellStart"/>
            <w:r w:rsidRPr="00AB05A1">
              <w:rPr>
                <w:sz w:val="22"/>
                <w:szCs w:val="22"/>
              </w:rPr>
              <w:t>Convergence</w:t>
            </w:r>
            <w:proofErr w:type="spellEnd"/>
            <w:r w:rsidRPr="00AB05A1">
              <w:rPr>
                <w:sz w:val="22"/>
                <w:szCs w:val="22"/>
              </w:rPr>
              <w:t xml:space="preserve"> </w:t>
            </w:r>
            <w:proofErr w:type="spellStart"/>
            <w:r w:rsidRPr="00AB05A1">
              <w:rPr>
                <w:sz w:val="22"/>
                <w:szCs w:val="22"/>
              </w:rPr>
              <w:t>Programmes</w:t>
            </w:r>
            <w:proofErr w:type="spellEnd"/>
            <w:r w:rsidRPr="00AB05A1">
              <w:rPr>
                <w:sz w:val="22"/>
                <w:szCs w:val="22"/>
              </w:rPr>
              <w:t>)</w:t>
            </w:r>
          </w:p>
        </w:tc>
      </w:tr>
      <w:tr w:rsidR="00BA2E69" w:rsidRPr="00AB05A1" w14:paraId="65E27821" w14:textId="77777777" w:rsidTr="00B206B3">
        <w:trPr>
          <w:trHeight w:val="156"/>
        </w:trPr>
        <w:tc>
          <w:tcPr>
            <w:tcW w:w="9214" w:type="dxa"/>
          </w:tcPr>
          <w:p w14:paraId="1FBE62D6" w14:textId="77777777" w:rsidR="007A3FF8" w:rsidRPr="00AB05A1" w:rsidRDefault="007A3FF8" w:rsidP="007410DD">
            <w:pPr>
              <w:spacing w:after="120"/>
              <w:jc w:val="both"/>
              <w:rPr>
                <w:sz w:val="22"/>
                <w:szCs w:val="22"/>
              </w:rPr>
            </w:pPr>
            <w:r w:rsidRPr="00AB05A1">
              <w:rPr>
                <w:b/>
                <w:sz w:val="22"/>
                <w:szCs w:val="22"/>
              </w:rPr>
              <w:t xml:space="preserve">Európske fiškálne pravidlá – </w:t>
            </w:r>
            <w:r w:rsidRPr="00AB05A1">
              <w:rPr>
                <w:sz w:val="22"/>
                <w:szCs w:val="22"/>
              </w:rPr>
              <w:t xml:space="preserve">vznikli z potreby dodržiavania fiškálnej disciplíny v rámci Hospodárskej a menovej únie (eurozóny) kvôli zachovaniu stability spoločnej meny euro. Predstavujú súbor pravidiel numerických, procesných ale aj pravidiel transparentnosti o zverejňovaní údajov o hospodárení štátu. Pravidlá sú zakotvené v právnych predpisoch EÚ (Zmluva o fungovaní Európskej únie, nariadenia, smernica) ale ich súčasťou je aj medzinárodná zmluva. Predchodcom fiškálnych pravidiel EÚ boli tzv. maastrichtské kritériá, ktoré stanovili podmienky pre členstvo v eurozóne v podobe referenčnej hodnoty pre deficit (3 % HDP) a dlh verejnej správy (60 % HDP). Kvôli potrebe </w:t>
            </w:r>
            <w:r w:rsidRPr="00AB05A1">
              <w:rPr>
                <w:sz w:val="22"/>
                <w:szCs w:val="22"/>
              </w:rPr>
              <w:lastRenderedPageBreak/>
              <w:t xml:space="preserve">udržiavať fiškálnu disciplínu aj po vstupe do eurozóny bol v roku 1997 schválený Pakt stability a rastu (Stability and </w:t>
            </w:r>
            <w:proofErr w:type="spellStart"/>
            <w:r w:rsidRPr="00AB05A1">
              <w:rPr>
                <w:sz w:val="22"/>
                <w:szCs w:val="22"/>
              </w:rPr>
              <w:t>Growth</w:t>
            </w:r>
            <w:proofErr w:type="spellEnd"/>
            <w:r w:rsidRPr="00AB05A1">
              <w:rPr>
                <w:sz w:val="22"/>
                <w:szCs w:val="22"/>
              </w:rPr>
              <w:t xml:space="preserve"> </w:t>
            </w:r>
            <w:proofErr w:type="spellStart"/>
            <w:r w:rsidRPr="00AB05A1">
              <w:rPr>
                <w:sz w:val="22"/>
                <w:szCs w:val="22"/>
              </w:rPr>
              <w:t>Pact</w:t>
            </w:r>
            <w:proofErr w:type="spellEnd"/>
            <w:r w:rsidRPr="00AB05A1">
              <w:rPr>
                <w:sz w:val="22"/>
                <w:szCs w:val="22"/>
              </w:rPr>
              <w:t xml:space="preserve"> – SGP), ktorý obsahuje aj sankcie, ak deficit krajiny prekročí 3% HDP. V dôsledku ekonomickej a finančnej krízy bol SGP v roku 2011 druhý krát revidovaný (prvý krát v roku 2005) a boli prijaté ďalšie štyri nariadenia s cieľom sprísnenia pravidiel fiškálneho dohľadu a rozšírenia dohľadu aj na makroekonomickú oblasť. Tzv. </w:t>
            </w:r>
            <w:proofErr w:type="spellStart"/>
            <w:r w:rsidRPr="00AB05A1">
              <w:rPr>
                <w:sz w:val="22"/>
                <w:szCs w:val="22"/>
              </w:rPr>
              <w:t>Six-pack</w:t>
            </w:r>
            <w:proofErr w:type="spellEnd"/>
            <w:r w:rsidRPr="00AB05A1">
              <w:rPr>
                <w:sz w:val="22"/>
                <w:szCs w:val="22"/>
              </w:rPr>
              <w:t xml:space="preserve"> priniesol predovšetkým sprísnenie sankcií, keď krajina môže byť penalizovaná za nedodržiavanie fiškálnych pravidiel až do výšky 0,5 % HDP, väčšiu orientáciu na pravidlo verejného dlhu (jeho nedodržiavanie bolo dovtedy prakticky ignorované) a povinnosť konsolidovať verejný rozpočet aj po znížení deficitu pod 3 % HDP tempom znižovania štrukturálneho salda minimálne o 0,5% HDP až po dosiahnutie strednodobého cieľa (</w:t>
            </w:r>
            <w:proofErr w:type="spellStart"/>
            <w:r w:rsidRPr="00AB05A1">
              <w:rPr>
                <w:sz w:val="22"/>
                <w:szCs w:val="22"/>
              </w:rPr>
              <w:t>medium</w:t>
            </w:r>
            <w:proofErr w:type="spellEnd"/>
            <w:r w:rsidRPr="00AB05A1">
              <w:rPr>
                <w:sz w:val="22"/>
                <w:szCs w:val="22"/>
              </w:rPr>
              <w:t xml:space="preserve">-term </w:t>
            </w:r>
            <w:proofErr w:type="spellStart"/>
            <w:r w:rsidRPr="00AB05A1">
              <w:rPr>
                <w:sz w:val="22"/>
                <w:szCs w:val="22"/>
              </w:rPr>
              <w:t>objective</w:t>
            </w:r>
            <w:proofErr w:type="spellEnd"/>
            <w:r w:rsidRPr="00AB05A1">
              <w:rPr>
                <w:sz w:val="22"/>
                <w:szCs w:val="22"/>
              </w:rPr>
              <w:t xml:space="preserve"> – MTO). Medzinárodná zmluva, ktorá bola podpísaná 25 členskými krajinami Európskej únii (všetky s výnimkou Česka a Veľkej Británie) v roku 2012, stanovila povinnosť zaviesť pravidlo o vyrovnanom štrukturálnom salde verejnej správy do národnej legislatívy (tzv. </w:t>
            </w:r>
            <w:proofErr w:type="spellStart"/>
            <w:r w:rsidRPr="00AB05A1">
              <w:rPr>
                <w:sz w:val="22"/>
                <w:szCs w:val="22"/>
              </w:rPr>
              <w:t>Fiscal</w:t>
            </w:r>
            <w:proofErr w:type="spellEnd"/>
            <w:r w:rsidRPr="00AB05A1">
              <w:rPr>
                <w:sz w:val="22"/>
                <w:szCs w:val="22"/>
              </w:rPr>
              <w:t xml:space="preserve"> </w:t>
            </w:r>
            <w:proofErr w:type="spellStart"/>
            <w:r w:rsidRPr="00AB05A1">
              <w:rPr>
                <w:sz w:val="22"/>
                <w:szCs w:val="22"/>
              </w:rPr>
              <w:t>compact</w:t>
            </w:r>
            <w:proofErr w:type="spellEnd"/>
            <w:r w:rsidRPr="00AB05A1">
              <w:rPr>
                <w:sz w:val="22"/>
                <w:szCs w:val="22"/>
              </w:rPr>
              <w:t xml:space="preserve">). Naposledy v roku 2013 boli schválené dve nariadenia, ktoré ďalej sprísňujú a prehlbujú fiškálny dohľad v krajinách eurozóny (tzv. </w:t>
            </w:r>
            <w:proofErr w:type="spellStart"/>
            <w:r w:rsidRPr="00AB05A1">
              <w:rPr>
                <w:sz w:val="22"/>
                <w:szCs w:val="22"/>
              </w:rPr>
              <w:t>Two-pack</w:t>
            </w:r>
            <w:proofErr w:type="spellEnd"/>
            <w:r w:rsidRPr="00AB05A1">
              <w:rPr>
                <w:sz w:val="22"/>
                <w:szCs w:val="22"/>
              </w:rPr>
              <w:t>). Podľa nich musia krajiny eurozóny napríklad každoročne do 15. októbra predkladať Európskej komisii na posúdenie návrh rozpočtového plánu na nasledujúci rok.</w:t>
            </w:r>
          </w:p>
        </w:tc>
      </w:tr>
      <w:tr w:rsidR="00BA2E69" w:rsidRPr="00AB05A1" w14:paraId="521A3086" w14:textId="77777777" w:rsidTr="00B206B3">
        <w:trPr>
          <w:trHeight w:val="156"/>
        </w:trPr>
        <w:tc>
          <w:tcPr>
            <w:tcW w:w="9214" w:type="dxa"/>
          </w:tcPr>
          <w:p w14:paraId="3C277E04" w14:textId="446ADA87" w:rsidR="007A3FF8" w:rsidRPr="00AB05A1" w:rsidRDefault="007A3FF8" w:rsidP="007410DD">
            <w:pPr>
              <w:spacing w:after="120"/>
              <w:jc w:val="both"/>
              <w:rPr>
                <w:sz w:val="22"/>
                <w:szCs w:val="22"/>
              </w:rPr>
            </w:pPr>
            <w:r w:rsidRPr="00AB05A1">
              <w:rPr>
                <w:b/>
                <w:sz w:val="22"/>
                <w:szCs w:val="22"/>
              </w:rPr>
              <w:lastRenderedPageBreak/>
              <w:t xml:space="preserve">Stratégia riadenia štátneho dlhu – </w:t>
            </w:r>
            <w:r w:rsidRPr="00AB05A1">
              <w:rPr>
                <w:sz w:val="22"/>
                <w:szCs w:val="22"/>
              </w:rPr>
              <w:t>ďalej len stratégia, je strategický dokument, ktorý stanovuje základné rámce a smerovanie politiky riadenia štátneho dlhu. Stratégia formuluje vrcholové kvantitatívne ukazovatele a parametre štátneho dlhu a stanovuje tiež ciele, ktoré by mali prispieť ku</w:t>
            </w:r>
            <w:r w:rsidR="00DA1AAF" w:rsidRPr="00AB05A1">
              <w:rPr>
                <w:sz w:val="22"/>
                <w:szCs w:val="22"/>
              </w:rPr>
              <w:t> </w:t>
            </w:r>
            <w:r w:rsidRPr="00AB05A1">
              <w:rPr>
                <w:sz w:val="22"/>
                <w:szCs w:val="22"/>
              </w:rPr>
              <w:t>kvalitatívnemu zlepšeniu riadenia dlhu. Dokument ďalej popisuje vývoj a štruktúru štátneho dlhu SR, makroekonomické a fiškálne východiská a riziká dlhového portfólia. Od stratégie sú odvodené jednotlivé predpisy upravujúce pravidlá pre riadenie rizík štátneho dlhu, limity pozícií štátu a systém kontroly. Podľa Ústavného zákona o rozpočtovej zodpovednosti je stratégia súčasťou Rozpočtu verejnej správy SR a vyhodnotenie plnenia cieľov stratégie je súčasťou Súhrnnej výročnej správy SR.</w:t>
            </w:r>
          </w:p>
        </w:tc>
      </w:tr>
      <w:tr w:rsidR="00BA2E69" w:rsidRPr="00AB05A1" w14:paraId="787E828D" w14:textId="77777777" w:rsidTr="00B206B3">
        <w:trPr>
          <w:trHeight w:val="156"/>
        </w:trPr>
        <w:tc>
          <w:tcPr>
            <w:tcW w:w="9214" w:type="dxa"/>
            <w:shd w:val="clear" w:color="auto" w:fill="BFBFBF" w:themeFill="background1" w:themeFillShade="BF"/>
            <w:vAlign w:val="center"/>
          </w:tcPr>
          <w:p w14:paraId="51C4730C" w14:textId="77777777" w:rsidR="007A3FF8" w:rsidRPr="00AB05A1" w:rsidRDefault="007A3FF8" w:rsidP="007410DD">
            <w:pPr>
              <w:spacing w:before="200"/>
              <w:jc w:val="both"/>
              <w:rPr>
                <w:b/>
                <w:sz w:val="22"/>
                <w:szCs w:val="22"/>
              </w:rPr>
            </w:pPr>
            <w:r w:rsidRPr="00AB05A1">
              <w:rPr>
                <w:b/>
                <w:sz w:val="22"/>
                <w:szCs w:val="22"/>
              </w:rPr>
              <w:t xml:space="preserve">3. kapitola: Čisté bohatstvo </w:t>
            </w:r>
          </w:p>
        </w:tc>
      </w:tr>
      <w:tr w:rsidR="00BA2E69" w:rsidRPr="00AB05A1" w14:paraId="06F65F42" w14:textId="77777777" w:rsidTr="00B206B3">
        <w:trPr>
          <w:trHeight w:val="156"/>
        </w:trPr>
        <w:tc>
          <w:tcPr>
            <w:tcW w:w="9214" w:type="dxa"/>
          </w:tcPr>
          <w:p w14:paraId="0663D6AB" w14:textId="1FA7E919" w:rsidR="00BC1C16" w:rsidRPr="00AB05A1" w:rsidRDefault="007A3FF8" w:rsidP="007410DD">
            <w:pPr>
              <w:spacing w:before="120" w:after="120"/>
              <w:jc w:val="both"/>
              <w:rPr>
                <w:sz w:val="22"/>
                <w:szCs w:val="22"/>
              </w:rPr>
            </w:pPr>
            <w:r w:rsidRPr="00AB05A1">
              <w:rPr>
                <w:b/>
                <w:sz w:val="22"/>
                <w:szCs w:val="22"/>
              </w:rPr>
              <w:t xml:space="preserve">Čisté bohatstvo </w:t>
            </w:r>
            <w:r w:rsidR="00D7068F" w:rsidRPr="00AB05A1">
              <w:rPr>
                <w:b/>
                <w:sz w:val="22"/>
                <w:szCs w:val="22"/>
              </w:rPr>
              <w:t>–</w:t>
            </w:r>
            <w:r w:rsidR="00D7068F" w:rsidRPr="00AB05A1">
              <w:rPr>
                <w:sz w:val="22"/>
                <w:szCs w:val="22"/>
              </w:rPr>
              <w:t xml:space="preserve"> </w:t>
            </w:r>
            <w:r w:rsidRPr="00AB05A1">
              <w:rPr>
                <w:sz w:val="22"/>
                <w:szCs w:val="22"/>
              </w:rPr>
              <w:t>súčet vlastného imania subjektov verejnej správy, vlastného imania Národnej banky Slovenska, vlastného imania podnikov</w:t>
            </w:r>
            <w:r w:rsidR="00E44CC8" w:rsidRPr="00AB05A1">
              <w:rPr>
                <w:sz w:val="22"/>
                <w:szCs w:val="22"/>
              </w:rPr>
              <w:t xml:space="preserve"> štátnej správy a podnikov </w:t>
            </w:r>
            <w:r w:rsidR="00836AE0" w:rsidRPr="00AB05A1">
              <w:rPr>
                <w:sz w:val="22"/>
                <w:szCs w:val="22"/>
              </w:rPr>
              <w:t>územnej</w:t>
            </w:r>
            <w:r w:rsidRPr="00AB05A1">
              <w:rPr>
                <w:sz w:val="22"/>
                <w:szCs w:val="22"/>
              </w:rPr>
              <w:t xml:space="preserve"> samosprávy, upravený o implicitné záväzky a podmienené záväzky, iné aktíva a iné pasíva. (Čl. 2 </w:t>
            </w:r>
            <w:r w:rsidR="00C175C4" w:rsidRPr="00AB05A1">
              <w:rPr>
                <w:sz w:val="22"/>
                <w:szCs w:val="22"/>
              </w:rPr>
              <w:t xml:space="preserve">písm. e) </w:t>
            </w:r>
            <w:r w:rsidRPr="00AB05A1">
              <w:rPr>
                <w:sz w:val="22"/>
                <w:szCs w:val="22"/>
              </w:rPr>
              <w:t>ústavného zákona o rozpočtovej zodpovednosti)</w:t>
            </w:r>
          </w:p>
          <w:p w14:paraId="0427D3D6" w14:textId="3F2F0C6D" w:rsidR="007A3FF8" w:rsidRPr="00AB05A1" w:rsidRDefault="007A3FF8" w:rsidP="007410DD">
            <w:pPr>
              <w:spacing w:before="120" w:after="120"/>
              <w:jc w:val="both"/>
              <w:rPr>
                <w:sz w:val="22"/>
                <w:szCs w:val="22"/>
              </w:rPr>
            </w:pPr>
            <w:r w:rsidRPr="00AB05A1">
              <w:rPr>
                <w:b/>
                <w:sz w:val="22"/>
                <w:szCs w:val="22"/>
              </w:rPr>
              <w:t>Vlastné imanie</w:t>
            </w:r>
            <w:r w:rsidRPr="00AB05A1">
              <w:rPr>
                <w:sz w:val="22"/>
                <w:szCs w:val="22"/>
              </w:rPr>
              <w:t xml:space="preserve"> – vlastný zdroj krytia majetku, vyjadruje nárok na majetok podniku po odpočítaní všetkých jeho účtovných dlhov. Vlastné imanie predstavuje v súvahe rozdiel medzi hodnotou majetku (aktív) a hodnotou záväzkov v širšom zmysle. Podľa slovenskej právnej úpravy pre podnikateľov účtujúcich v sústave podvojného účtovníctva vlastné imanie tvorí: základné imanie, kapitálové fondy, fondy zo zisku, oceňovacie rozdiely z precenenia, výsledok hospodárenia minulých rokov a výsledok hospodárenia za účtovné obdobie po zdanení.</w:t>
            </w:r>
          </w:p>
        </w:tc>
      </w:tr>
      <w:tr w:rsidR="00BA2E69" w:rsidRPr="00AB05A1" w14:paraId="0B674DC3" w14:textId="77777777" w:rsidTr="00B206B3">
        <w:trPr>
          <w:trHeight w:val="156"/>
        </w:trPr>
        <w:tc>
          <w:tcPr>
            <w:tcW w:w="9214" w:type="dxa"/>
          </w:tcPr>
          <w:p w14:paraId="34B12864" w14:textId="48331ABF" w:rsidR="007A3FF8" w:rsidRPr="00AB05A1" w:rsidRDefault="007A3FF8" w:rsidP="007410DD">
            <w:pPr>
              <w:spacing w:after="120"/>
              <w:jc w:val="both"/>
              <w:rPr>
                <w:sz w:val="22"/>
                <w:szCs w:val="22"/>
              </w:rPr>
            </w:pPr>
            <w:r w:rsidRPr="00AB05A1">
              <w:rPr>
                <w:b/>
                <w:sz w:val="22"/>
                <w:szCs w:val="22"/>
              </w:rPr>
              <w:t>Verejný sektor –</w:t>
            </w:r>
            <w:r w:rsidRPr="00AB05A1">
              <w:rPr>
                <w:sz w:val="22"/>
                <w:szCs w:val="22"/>
              </w:rPr>
              <w:t xml:space="preserve"> pre potreby súhrnnej správy definovaný ako sektor, za ktorý sa vyčísľuje čisté bohatstvo. Okrem verejnej správy podľa metodiky </w:t>
            </w:r>
            <w:r w:rsidR="000C2F69" w:rsidRPr="00AB05A1">
              <w:rPr>
                <w:sz w:val="22"/>
                <w:szCs w:val="22"/>
              </w:rPr>
              <w:t>ESA2010</w:t>
            </w:r>
            <w:r w:rsidRPr="00AB05A1">
              <w:rPr>
                <w:sz w:val="22"/>
                <w:szCs w:val="22"/>
              </w:rPr>
              <w:t xml:space="preserve"> zahŕňa podniky štátnej správy, podniky </w:t>
            </w:r>
            <w:r w:rsidR="008A3C36" w:rsidRPr="00AB05A1">
              <w:rPr>
                <w:sz w:val="22"/>
                <w:szCs w:val="22"/>
              </w:rPr>
              <w:t>územnej</w:t>
            </w:r>
            <w:r w:rsidRPr="00AB05A1">
              <w:rPr>
                <w:sz w:val="22"/>
                <w:szCs w:val="22"/>
              </w:rPr>
              <w:t xml:space="preserve"> samosprávy a NBS.</w:t>
            </w:r>
          </w:p>
        </w:tc>
      </w:tr>
      <w:tr w:rsidR="00BA2E69" w:rsidRPr="00AB05A1" w14:paraId="5D5BA594" w14:textId="77777777" w:rsidTr="00B206B3">
        <w:trPr>
          <w:trHeight w:val="156"/>
        </w:trPr>
        <w:tc>
          <w:tcPr>
            <w:tcW w:w="9214" w:type="dxa"/>
          </w:tcPr>
          <w:p w14:paraId="151EE59E" w14:textId="73620B3D" w:rsidR="007A3FF8" w:rsidRPr="00AB05A1" w:rsidRDefault="007A3FF8" w:rsidP="007410DD">
            <w:pPr>
              <w:spacing w:after="120"/>
              <w:jc w:val="both"/>
              <w:rPr>
                <w:sz w:val="22"/>
                <w:szCs w:val="22"/>
              </w:rPr>
            </w:pPr>
            <w:r w:rsidRPr="00AB05A1">
              <w:rPr>
                <w:b/>
                <w:sz w:val="22"/>
                <w:szCs w:val="22"/>
              </w:rPr>
              <w:t>Podniky verejnej správy</w:t>
            </w:r>
            <w:r w:rsidRPr="00AB05A1">
              <w:rPr>
                <w:sz w:val="22"/>
                <w:szCs w:val="22"/>
              </w:rPr>
              <w:t xml:space="preserve"> – súhrnné pomenovanie používané v tomto dokumente pre podni</w:t>
            </w:r>
            <w:r w:rsidR="00E44CC8" w:rsidRPr="00AB05A1">
              <w:rPr>
                <w:sz w:val="22"/>
                <w:szCs w:val="22"/>
              </w:rPr>
              <w:t xml:space="preserve">ky štátnej správy a podniky </w:t>
            </w:r>
            <w:r w:rsidR="008A3C36" w:rsidRPr="00AB05A1">
              <w:rPr>
                <w:sz w:val="22"/>
                <w:szCs w:val="22"/>
              </w:rPr>
              <w:t>územnej</w:t>
            </w:r>
            <w:r w:rsidRPr="00AB05A1">
              <w:rPr>
                <w:sz w:val="22"/>
                <w:szCs w:val="22"/>
              </w:rPr>
              <w:t xml:space="preserve"> samosprávy, ktoré sú definované legislatívou. Keďže podniky štátnej správy a samosprávy sú definované pre potreby výpočtu čistého bohatstva, do ktorého vchádzajú len podniky s majetkovou účasťou štátu v minimálnej výške 20 %, tento pojem môže byť použitý aj širšie, teda na všetky podniky bez obmedzenia majetkovej účasti štátu.</w:t>
            </w:r>
          </w:p>
        </w:tc>
      </w:tr>
      <w:tr w:rsidR="00BA2E69" w:rsidRPr="00AB05A1" w14:paraId="3DE33EFE" w14:textId="77777777" w:rsidTr="00B206B3">
        <w:trPr>
          <w:trHeight w:val="156"/>
        </w:trPr>
        <w:tc>
          <w:tcPr>
            <w:tcW w:w="9214" w:type="dxa"/>
          </w:tcPr>
          <w:p w14:paraId="1FEC0E09" w14:textId="5A0CDE4C" w:rsidR="007A3FF8" w:rsidRPr="00AB05A1" w:rsidRDefault="007A3FF8" w:rsidP="007410DD">
            <w:pPr>
              <w:jc w:val="both"/>
              <w:rPr>
                <w:sz w:val="22"/>
                <w:szCs w:val="22"/>
              </w:rPr>
            </w:pPr>
            <w:r w:rsidRPr="00AB05A1">
              <w:rPr>
                <w:b/>
                <w:sz w:val="22"/>
                <w:szCs w:val="22"/>
              </w:rPr>
              <w:t>Podnik štátnej správy</w:t>
            </w:r>
            <w:r w:rsidRPr="00AB05A1">
              <w:rPr>
                <w:sz w:val="22"/>
                <w:szCs w:val="22"/>
              </w:rPr>
              <w:t xml:space="preserve"> </w:t>
            </w:r>
            <w:r w:rsidR="00D7068F" w:rsidRPr="00AB05A1">
              <w:rPr>
                <w:b/>
                <w:sz w:val="22"/>
                <w:szCs w:val="22"/>
              </w:rPr>
              <w:t>–</w:t>
            </w:r>
            <w:r w:rsidR="00D7068F" w:rsidRPr="00AB05A1">
              <w:rPr>
                <w:sz w:val="22"/>
                <w:szCs w:val="22"/>
              </w:rPr>
              <w:t xml:space="preserve"> </w:t>
            </w:r>
            <w:r w:rsidRPr="00AB05A1">
              <w:rPr>
                <w:sz w:val="22"/>
                <w:szCs w:val="22"/>
              </w:rPr>
              <w:t>štátny podnik, obchodná spoločnosť s majetkovou účasťou štátu v</w:t>
            </w:r>
            <w:r w:rsidR="00DA1AAF" w:rsidRPr="00AB05A1">
              <w:rPr>
                <w:sz w:val="22"/>
                <w:szCs w:val="22"/>
              </w:rPr>
              <w:t> </w:t>
            </w:r>
            <w:r w:rsidRPr="00AB05A1">
              <w:rPr>
                <w:sz w:val="22"/>
                <w:szCs w:val="22"/>
              </w:rPr>
              <w:t xml:space="preserve">minimálnej výške 20 % jej základného imania a právnická osoba zriadená zákonom, v ktorej má štát kvalifikovanú účasť; kvalifikovanou účasťou sa na účely tohto zákona rozumie priamy alebo nepriamy podiel predstavujúci aspoň 20 % na základnom imaní právnickej osoby alebo hlasovacích právach v právnickej osobe alebo možnosť uplatňovania vplyvu na riadení právnickej osoby, ktorý je porovnateľný s vplyvom zodpovedajúcim tomuto podielu; nepriamym podielom sa na účely tohto zákona rozumie podiel držaný sprostredkovane prostredníctvom právnických osôb, v ktorých má </w:t>
            </w:r>
            <w:r w:rsidRPr="00AB05A1">
              <w:rPr>
                <w:sz w:val="22"/>
                <w:szCs w:val="22"/>
              </w:rPr>
              <w:lastRenderedPageBreak/>
              <w:t>držiteľ nepriameho podielu kvalifikovanú účasť (Čl. 2</w:t>
            </w:r>
            <w:r w:rsidR="00C175C4" w:rsidRPr="00AB05A1">
              <w:rPr>
                <w:sz w:val="22"/>
                <w:szCs w:val="22"/>
              </w:rPr>
              <w:t xml:space="preserve"> písm. </w:t>
            </w:r>
            <w:r w:rsidRPr="00AB05A1">
              <w:rPr>
                <w:sz w:val="22"/>
                <w:szCs w:val="22"/>
              </w:rPr>
              <w:t>f</w:t>
            </w:r>
            <w:r w:rsidR="00C175C4" w:rsidRPr="00AB05A1">
              <w:rPr>
                <w:sz w:val="22"/>
                <w:szCs w:val="22"/>
              </w:rPr>
              <w:t>)</w:t>
            </w:r>
            <w:r w:rsidRPr="00AB05A1">
              <w:rPr>
                <w:sz w:val="22"/>
                <w:szCs w:val="22"/>
              </w:rPr>
              <w:t xml:space="preserve"> ústavného zákona o rozpočtovej zodpovednosti).</w:t>
            </w:r>
          </w:p>
        </w:tc>
      </w:tr>
      <w:tr w:rsidR="00BA2E69" w:rsidRPr="00AB05A1" w14:paraId="2B04C89F" w14:textId="77777777" w:rsidTr="00B206B3">
        <w:trPr>
          <w:trHeight w:val="156"/>
        </w:trPr>
        <w:tc>
          <w:tcPr>
            <w:tcW w:w="9214" w:type="dxa"/>
          </w:tcPr>
          <w:p w14:paraId="51F47A4D" w14:textId="668CA716" w:rsidR="007A3FF8" w:rsidRPr="00AB05A1" w:rsidRDefault="00E44CC8" w:rsidP="007410DD">
            <w:pPr>
              <w:spacing w:after="120"/>
              <w:jc w:val="both"/>
              <w:rPr>
                <w:sz w:val="22"/>
                <w:szCs w:val="22"/>
              </w:rPr>
            </w:pPr>
            <w:r w:rsidRPr="00AB05A1">
              <w:rPr>
                <w:b/>
                <w:sz w:val="22"/>
                <w:szCs w:val="22"/>
              </w:rPr>
              <w:lastRenderedPageBreak/>
              <w:t xml:space="preserve">Podnik </w:t>
            </w:r>
            <w:r w:rsidR="00836AE0" w:rsidRPr="00AB05A1">
              <w:rPr>
                <w:b/>
                <w:sz w:val="22"/>
                <w:szCs w:val="22"/>
              </w:rPr>
              <w:t>územnej</w:t>
            </w:r>
            <w:r w:rsidR="007A3FF8" w:rsidRPr="00AB05A1">
              <w:rPr>
                <w:b/>
                <w:sz w:val="22"/>
                <w:szCs w:val="22"/>
              </w:rPr>
              <w:t xml:space="preserve"> samosprávy</w:t>
            </w:r>
            <w:r w:rsidR="007A3FF8" w:rsidRPr="00AB05A1">
              <w:rPr>
                <w:sz w:val="22"/>
                <w:szCs w:val="22"/>
              </w:rPr>
              <w:t xml:space="preserve"> </w:t>
            </w:r>
            <w:r w:rsidR="00D7068F" w:rsidRPr="00AB05A1">
              <w:rPr>
                <w:b/>
                <w:sz w:val="22"/>
                <w:szCs w:val="22"/>
              </w:rPr>
              <w:t>–</w:t>
            </w:r>
            <w:r w:rsidR="00D7068F" w:rsidRPr="00AB05A1">
              <w:rPr>
                <w:sz w:val="22"/>
                <w:szCs w:val="22"/>
              </w:rPr>
              <w:t xml:space="preserve"> </w:t>
            </w:r>
            <w:r w:rsidR="007A3FF8" w:rsidRPr="00AB05A1">
              <w:rPr>
                <w:sz w:val="22"/>
                <w:szCs w:val="22"/>
              </w:rPr>
              <w:t>obchodná spol</w:t>
            </w:r>
            <w:r w:rsidRPr="00AB05A1">
              <w:rPr>
                <w:sz w:val="22"/>
                <w:szCs w:val="22"/>
              </w:rPr>
              <w:t xml:space="preserve">očnosť s majetkovou účasťou </w:t>
            </w:r>
            <w:r w:rsidR="008A3C36" w:rsidRPr="00AB05A1">
              <w:rPr>
                <w:sz w:val="22"/>
                <w:szCs w:val="22"/>
              </w:rPr>
              <w:t>územnej</w:t>
            </w:r>
            <w:r w:rsidR="007A3FF8" w:rsidRPr="00AB05A1">
              <w:rPr>
                <w:sz w:val="22"/>
                <w:szCs w:val="22"/>
              </w:rPr>
              <w:t xml:space="preserve"> samosprávy v</w:t>
            </w:r>
            <w:r w:rsidR="00DA1AAF" w:rsidRPr="00AB05A1">
              <w:rPr>
                <w:sz w:val="22"/>
                <w:szCs w:val="22"/>
              </w:rPr>
              <w:t> </w:t>
            </w:r>
            <w:r w:rsidR="007A3FF8" w:rsidRPr="00AB05A1">
              <w:rPr>
                <w:sz w:val="22"/>
                <w:szCs w:val="22"/>
              </w:rPr>
              <w:t>minimálnej výške 20 % jej základného imania (Čl. 2</w:t>
            </w:r>
            <w:r w:rsidR="00C175C4" w:rsidRPr="00AB05A1">
              <w:rPr>
                <w:sz w:val="22"/>
                <w:szCs w:val="22"/>
              </w:rPr>
              <w:t xml:space="preserve"> písm. </w:t>
            </w:r>
            <w:r w:rsidR="007A3FF8" w:rsidRPr="00AB05A1">
              <w:rPr>
                <w:sz w:val="22"/>
                <w:szCs w:val="22"/>
              </w:rPr>
              <w:t>g</w:t>
            </w:r>
            <w:r w:rsidR="00C175C4" w:rsidRPr="00AB05A1">
              <w:rPr>
                <w:sz w:val="22"/>
                <w:szCs w:val="22"/>
              </w:rPr>
              <w:t>)</w:t>
            </w:r>
            <w:r w:rsidR="007A3FF8" w:rsidRPr="00AB05A1">
              <w:rPr>
                <w:sz w:val="22"/>
                <w:szCs w:val="22"/>
              </w:rPr>
              <w:t xml:space="preserve"> ústavného zákona o rozpočtovej zodpovednosti)</w:t>
            </w:r>
          </w:p>
        </w:tc>
      </w:tr>
      <w:tr w:rsidR="00BA2E69" w:rsidRPr="00AB05A1" w14:paraId="6BFBAFBE" w14:textId="77777777" w:rsidTr="00B206B3">
        <w:trPr>
          <w:trHeight w:val="156"/>
        </w:trPr>
        <w:tc>
          <w:tcPr>
            <w:tcW w:w="9214" w:type="dxa"/>
          </w:tcPr>
          <w:p w14:paraId="71913DC5" w14:textId="0BC1EEE1" w:rsidR="007A3FF8" w:rsidRPr="00AB05A1" w:rsidRDefault="007A3FF8" w:rsidP="007410DD">
            <w:pPr>
              <w:spacing w:after="120"/>
              <w:jc w:val="both"/>
              <w:rPr>
                <w:sz w:val="22"/>
                <w:szCs w:val="22"/>
              </w:rPr>
            </w:pPr>
            <w:r w:rsidRPr="00AB05A1">
              <w:rPr>
                <w:b/>
                <w:sz w:val="22"/>
                <w:szCs w:val="22"/>
              </w:rPr>
              <w:t>Implicitné záväzky</w:t>
            </w:r>
            <w:r w:rsidRPr="00AB05A1">
              <w:rPr>
                <w:sz w:val="22"/>
                <w:szCs w:val="22"/>
              </w:rPr>
              <w:t xml:space="preserve"> </w:t>
            </w:r>
            <w:r w:rsidR="00D7068F" w:rsidRPr="00AB05A1">
              <w:rPr>
                <w:b/>
                <w:sz w:val="22"/>
                <w:szCs w:val="22"/>
              </w:rPr>
              <w:t>–</w:t>
            </w:r>
            <w:r w:rsidR="00D7068F" w:rsidRPr="00AB05A1">
              <w:rPr>
                <w:sz w:val="22"/>
                <w:szCs w:val="22"/>
              </w:rPr>
              <w:t xml:space="preserve"> </w:t>
            </w:r>
            <w:r w:rsidRPr="00AB05A1">
              <w:rPr>
                <w:sz w:val="22"/>
                <w:szCs w:val="22"/>
              </w:rPr>
              <w:t>rozdiel medzi očakávanými budúcimi výdavkami subjektov verejnej správy a očakávanými budúcimi príjmami subjektov verejnej správy, ktoré vyplývajú z finančných dôsledkov spôsobených budúcim uplatňovaním práv a povinností ustanovených právnym poriadkom Slovenskej republiky, ak tieto nie sú súčasťou dlhu verejnej správy (Čl. 2</w:t>
            </w:r>
            <w:r w:rsidR="00C175C4" w:rsidRPr="00AB05A1">
              <w:rPr>
                <w:sz w:val="22"/>
                <w:szCs w:val="22"/>
              </w:rPr>
              <w:t xml:space="preserve"> písm. </w:t>
            </w:r>
            <w:r w:rsidRPr="00AB05A1">
              <w:rPr>
                <w:sz w:val="22"/>
                <w:szCs w:val="22"/>
              </w:rPr>
              <w:t>h</w:t>
            </w:r>
            <w:r w:rsidR="00C175C4" w:rsidRPr="00AB05A1">
              <w:rPr>
                <w:sz w:val="22"/>
                <w:szCs w:val="22"/>
              </w:rPr>
              <w:t>)</w:t>
            </w:r>
            <w:r w:rsidRPr="00AB05A1">
              <w:rPr>
                <w:sz w:val="22"/>
                <w:szCs w:val="22"/>
              </w:rPr>
              <w:t xml:space="preserve"> ústavného zákona o rozpočtovej zodpovednosti). Najznámejším príkladom sú starobné dôchodky z priebežného piliera dôchodkového systému.</w:t>
            </w:r>
          </w:p>
        </w:tc>
      </w:tr>
      <w:tr w:rsidR="00BA2E69" w:rsidRPr="00AB05A1" w14:paraId="03B09A39" w14:textId="77777777" w:rsidTr="00B206B3">
        <w:trPr>
          <w:trHeight w:val="156"/>
        </w:trPr>
        <w:tc>
          <w:tcPr>
            <w:tcW w:w="9214" w:type="dxa"/>
          </w:tcPr>
          <w:p w14:paraId="3191EB8F" w14:textId="4BE45986" w:rsidR="007A3FF8" w:rsidRPr="00AB05A1" w:rsidRDefault="007A3FF8" w:rsidP="007410DD">
            <w:pPr>
              <w:jc w:val="both"/>
              <w:rPr>
                <w:sz w:val="22"/>
                <w:szCs w:val="22"/>
              </w:rPr>
            </w:pPr>
            <w:r w:rsidRPr="00AB05A1">
              <w:rPr>
                <w:b/>
                <w:sz w:val="22"/>
                <w:szCs w:val="22"/>
              </w:rPr>
              <w:t xml:space="preserve">Podmienené záväzky </w:t>
            </w:r>
            <w:r w:rsidR="00D7068F" w:rsidRPr="00AB05A1">
              <w:rPr>
                <w:b/>
                <w:sz w:val="22"/>
                <w:szCs w:val="22"/>
              </w:rPr>
              <w:t>–</w:t>
            </w:r>
            <w:r w:rsidR="00D7068F" w:rsidRPr="00AB05A1">
              <w:rPr>
                <w:sz w:val="22"/>
                <w:szCs w:val="22"/>
              </w:rPr>
              <w:t xml:space="preserve"> </w:t>
            </w:r>
            <w:r w:rsidRPr="00AB05A1">
              <w:rPr>
                <w:sz w:val="22"/>
                <w:szCs w:val="22"/>
              </w:rPr>
              <w:t>iné pasíva účtovnej jednotky, ktorá ich vykazuje v poznámkach ako súčasti individuálnej účtovnej závierky (zákon o účtovníctve). Nejde teda o záväzok, ktorý je vykázaný na</w:t>
            </w:r>
            <w:r w:rsidR="00DA1AAF" w:rsidRPr="00AB05A1">
              <w:rPr>
                <w:sz w:val="22"/>
                <w:szCs w:val="22"/>
              </w:rPr>
              <w:t> </w:t>
            </w:r>
            <w:r w:rsidRPr="00AB05A1">
              <w:rPr>
                <w:sz w:val="22"/>
                <w:szCs w:val="22"/>
              </w:rPr>
              <w:t xml:space="preserve">súvahových položkách pasív, pretože nie je splnená podmienka na ich zaúčtovanie - výška záväzku sa nedá spoľahlivo oceniť, obdobie, ku ktorému sa povinnosť viaže nie je určené, úbytok ekonomických úžitkov v budúcnosti nie je istý. Ako iné pasíva sa vykazuje: </w:t>
            </w:r>
          </w:p>
          <w:p w14:paraId="46069734" w14:textId="3E5ABC6E" w:rsidR="007A3FF8" w:rsidRPr="00AB05A1" w:rsidRDefault="007A3FF8" w:rsidP="007410DD">
            <w:pPr>
              <w:pStyle w:val="Odsekzoznamu"/>
              <w:numPr>
                <w:ilvl w:val="0"/>
                <w:numId w:val="11"/>
              </w:numPr>
              <w:jc w:val="both"/>
              <w:rPr>
                <w:rFonts w:cs="Times New Roman"/>
                <w:sz w:val="22"/>
              </w:rPr>
            </w:pPr>
            <w:r w:rsidRPr="00AB05A1">
              <w:rPr>
                <w:rFonts w:cs="Times New Roman"/>
                <w:sz w:val="22"/>
              </w:rPr>
              <w:t>možná povinnosť, ktorá vznikla ako dôsledok minulej udalosti a ktorej existencia závisí od</w:t>
            </w:r>
            <w:r w:rsidR="00DA1AAF" w:rsidRPr="00AB05A1">
              <w:rPr>
                <w:rFonts w:cs="Times New Roman"/>
                <w:sz w:val="22"/>
              </w:rPr>
              <w:t> </w:t>
            </w:r>
            <w:r w:rsidRPr="00AB05A1">
              <w:rPr>
                <w:rFonts w:cs="Times New Roman"/>
                <w:sz w:val="22"/>
              </w:rPr>
              <w:t>toho, či nastane alebo nenastane jedna alebo viac neistých udalostí v budúcnosti, ktorých vznik nezávisí od účtovnej jednotky, alebo</w:t>
            </w:r>
          </w:p>
          <w:p w14:paraId="05E37FF5" w14:textId="77777777" w:rsidR="007A3FF8" w:rsidRPr="00AB05A1" w:rsidRDefault="007A3FF8" w:rsidP="007410DD">
            <w:pPr>
              <w:pStyle w:val="Odsekzoznamu"/>
              <w:numPr>
                <w:ilvl w:val="0"/>
                <w:numId w:val="11"/>
              </w:numPr>
              <w:spacing w:after="120"/>
              <w:ind w:left="714" w:hanging="357"/>
              <w:jc w:val="both"/>
              <w:rPr>
                <w:rFonts w:cs="Times New Roman"/>
                <w:sz w:val="22"/>
              </w:rPr>
            </w:pPr>
            <w:r w:rsidRPr="00AB05A1">
              <w:rPr>
                <w:rFonts w:cs="Times New Roman"/>
                <w:sz w:val="22"/>
              </w:rPr>
              <w:t>povinnosť, ktorá vznikla ako dôsledok minulej udalosti, ale ktorá sa nevykazuje v súvahe, pretože nie je pravdepodobné, že na splnenie tejto povinnosti bude potrebný úbytok ekonomických úžitkov, alebo výška tejto povinnosti sa nedá spoľahlivo oceniť.</w:t>
            </w:r>
          </w:p>
        </w:tc>
      </w:tr>
      <w:tr w:rsidR="00BA2E69" w:rsidRPr="008A615C" w14:paraId="68365978" w14:textId="77777777" w:rsidTr="00B206B3">
        <w:trPr>
          <w:trHeight w:val="156"/>
        </w:trPr>
        <w:tc>
          <w:tcPr>
            <w:tcW w:w="9214" w:type="dxa"/>
            <w:vAlign w:val="center"/>
          </w:tcPr>
          <w:p w14:paraId="36CF689E" w14:textId="77777777" w:rsidR="00B206B3" w:rsidRPr="00AB05A1" w:rsidRDefault="007A3FF8" w:rsidP="007410DD">
            <w:pPr>
              <w:spacing w:after="120"/>
              <w:jc w:val="both"/>
              <w:rPr>
                <w:sz w:val="22"/>
                <w:szCs w:val="22"/>
              </w:rPr>
            </w:pPr>
            <w:r w:rsidRPr="00AB05A1">
              <w:rPr>
                <w:b/>
                <w:sz w:val="22"/>
                <w:szCs w:val="22"/>
              </w:rPr>
              <w:t xml:space="preserve">PPP projekt </w:t>
            </w:r>
            <w:r w:rsidR="00D7068F" w:rsidRPr="00AB05A1">
              <w:rPr>
                <w:b/>
                <w:sz w:val="22"/>
                <w:szCs w:val="22"/>
              </w:rPr>
              <w:t>–</w:t>
            </w:r>
            <w:r w:rsidR="00D7068F" w:rsidRPr="00AB05A1">
              <w:rPr>
                <w:sz w:val="22"/>
                <w:szCs w:val="22"/>
              </w:rPr>
              <w:t xml:space="preserve"> </w:t>
            </w:r>
            <w:r w:rsidRPr="00AB05A1">
              <w:rPr>
                <w:sz w:val="22"/>
                <w:szCs w:val="22"/>
              </w:rPr>
              <w:t xml:space="preserve">forma spolupráce medzi verejným a súkromným sektorom s cieľom financovania výstavby, rekonštrukcie, prevádzky a údržby infraštruktúry a poskytovania verejných služieb prostredníctvom tejto infraštruktúry. V rámci PPP projektov sú subjekty verejného sektora partnerom a zákazníkom súkromného sektora, od ktorého nakupujú služby. Súkromný partner v zásade financuje výstavbu a prevádzkuje dielo a ako protihodnota je mu umožnené poskytovať služby spojené s týmto dielom za platby od jeho používateľov alebo od verejného partnera. Dôležitou charakteristikou PPP je rozdelenie rizík spojených s výstavbou a prevádzkou diela medzi súkromným a verejným partnerom a </w:t>
            </w:r>
            <w:proofErr w:type="spellStart"/>
            <w:r w:rsidRPr="00AB05A1">
              <w:rPr>
                <w:sz w:val="22"/>
                <w:szCs w:val="22"/>
              </w:rPr>
              <w:t>dlhodobosť</w:t>
            </w:r>
            <w:proofErr w:type="spellEnd"/>
            <w:r w:rsidRPr="00AB05A1">
              <w:rPr>
                <w:sz w:val="22"/>
                <w:szCs w:val="22"/>
              </w:rPr>
              <w:t xml:space="preserve"> zmluvných vzťahov medzi súkromným a verejným partnerom.</w:t>
            </w:r>
          </w:p>
          <w:p w14:paraId="446EC2DC" w14:textId="4DED40B3" w:rsidR="007A3FF8" w:rsidRPr="008A615C" w:rsidRDefault="007A3FF8" w:rsidP="007410DD">
            <w:pPr>
              <w:spacing w:after="120"/>
              <w:jc w:val="both"/>
              <w:rPr>
                <w:b/>
                <w:sz w:val="22"/>
                <w:szCs w:val="22"/>
              </w:rPr>
            </w:pPr>
            <w:r w:rsidRPr="00AB05A1">
              <w:rPr>
                <w:b/>
                <w:sz w:val="22"/>
                <w:szCs w:val="22"/>
              </w:rPr>
              <w:t xml:space="preserve">Centrálny konsolidačný systém – </w:t>
            </w:r>
            <w:r w:rsidRPr="00AB05A1">
              <w:rPr>
                <w:sz w:val="22"/>
                <w:szCs w:val="22"/>
              </w:rPr>
              <w:t>systém zberu, spracovania, analyzovania, konsolidovania a prezentovania údajov z účtovníctva od účtovných jednotiek súhrnného celku. Súčasťou Centrálneho konsolidačného systému je spracovanie údajov z finančných výkazov a konsolidačného balíka.</w:t>
            </w:r>
          </w:p>
        </w:tc>
      </w:tr>
    </w:tbl>
    <w:p w14:paraId="081351D9" w14:textId="77777777" w:rsidR="00DD0C52" w:rsidRPr="00D23DE0" w:rsidRDefault="00DD0C52" w:rsidP="002E6C6F">
      <w:pPr>
        <w:rPr>
          <w:rFonts w:eastAsiaTheme="majorEastAsia"/>
          <w:b/>
          <w:bCs/>
          <w:sz w:val="26"/>
          <w:szCs w:val="22"/>
        </w:rPr>
      </w:pPr>
    </w:p>
    <w:sectPr w:rsidR="00DD0C52" w:rsidRPr="00D23DE0" w:rsidSect="0077135E">
      <w:footerReference w:type="default" r:id="rId31"/>
      <w:type w:val="continuous"/>
      <w:pgSz w:w="11906" w:h="16838" w:code="9"/>
      <w:pgMar w:top="1418" w:right="851" w:bottom="1418" w:left="1134" w:header="709" w:footer="38"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2010C" w14:textId="77777777" w:rsidR="00233E82" w:rsidRDefault="00233E82" w:rsidP="007304A5">
      <w:pPr>
        <w:spacing w:after="0" w:line="240" w:lineRule="auto"/>
      </w:pPr>
      <w:r>
        <w:separator/>
      </w:r>
    </w:p>
    <w:p w14:paraId="5CEF163B" w14:textId="77777777" w:rsidR="00233E82" w:rsidRDefault="00233E82"/>
    <w:p w14:paraId="5B34AC6D" w14:textId="77777777" w:rsidR="00233E82" w:rsidRDefault="00233E82" w:rsidP="00F201D1"/>
  </w:endnote>
  <w:endnote w:type="continuationSeparator" w:id="0">
    <w:p w14:paraId="1C5F20FE" w14:textId="77777777" w:rsidR="00233E82" w:rsidRDefault="00233E82" w:rsidP="007304A5">
      <w:pPr>
        <w:spacing w:after="0" w:line="240" w:lineRule="auto"/>
      </w:pPr>
      <w:r>
        <w:continuationSeparator/>
      </w:r>
    </w:p>
    <w:p w14:paraId="08817044" w14:textId="77777777" w:rsidR="00233E82" w:rsidRDefault="00233E82"/>
    <w:p w14:paraId="68BC98D2" w14:textId="77777777" w:rsidR="00233E82" w:rsidRDefault="00233E82" w:rsidP="00F20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Dutch801 SWC">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T* Times New Roman">
    <w:altName w:val="Courier New"/>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Franklin Got Itc TCE">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5C8CD" w14:textId="77777777" w:rsidR="00233E82" w:rsidRDefault="00233E82">
    <w:pPr>
      <w:pStyle w:val="Pta"/>
      <w:jc w:val="center"/>
    </w:pPr>
  </w:p>
  <w:p w14:paraId="6B352315" w14:textId="77777777" w:rsidR="00233E82" w:rsidRDefault="00233E8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D2D7D" w14:textId="1AC7A06E" w:rsidR="00233E82" w:rsidRDefault="00233E82">
    <w:pPr>
      <w:pStyle w:val="Pta"/>
      <w:jc w:val="center"/>
    </w:pPr>
    <w:r>
      <w:fldChar w:fldCharType="begin"/>
    </w:r>
    <w:r>
      <w:instrText>PAGE   \* MERGEFORMAT</w:instrText>
    </w:r>
    <w:r>
      <w:fldChar w:fldCharType="separate"/>
    </w:r>
    <w:r w:rsidR="008940FD">
      <w:rPr>
        <w:noProof/>
      </w:rPr>
      <w:t>19</w:t>
    </w:r>
    <w:r>
      <w:fldChar w:fldCharType="end"/>
    </w:r>
  </w:p>
  <w:p w14:paraId="694715F5" w14:textId="77777777" w:rsidR="00233E82" w:rsidRDefault="00233E8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4F70C" w14:textId="3031E79B" w:rsidR="00233E82" w:rsidRPr="007251D7" w:rsidRDefault="00233E82">
    <w:pPr>
      <w:pStyle w:val="Pta"/>
      <w:jc w:val="center"/>
      <w:rPr>
        <w:sz w:val="20"/>
        <w:szCs w:val="20"/>
      </w:rPr>
    </w:pPr>
    <w:r w:rsidRPr="00C55223">
      <w:rPr>
        <w:szCs w:val="22"/>
      </w:rPr>
      <w:fldChar w:fldCharType="begin"/>
    </w:r>
    <w:r w:rsidRPr="00C55223">
      <w:rPr>
        <w:szCs w:val="22"/>
      </w:rPr>
      <w:instrText>PAGE   \* MERGEFORMAT</w:instrText>
    </w:r>
    <w:r w:rsidRPr="00C55223">
      <w:rPr>
        <w:szCs w:val="22"/>
      </w:rPr>
      <w:fldChar w:fldCharType="separate"/>
    </w:r>
    <w:r w:rsidR="008940FD">
      <w:rPr>
        <w:noProof/>
        <w:szCs w:val="22"/>
      </w:rPr>
      <w:t>74</w:t>
    </w:r>
    <w:r w:rsidRPr="00C55223">
      <w:rPr>
        <w:szCs w:val="22"/>
      </w:rPr>
      <w:fldChar w:fldCharType="end"/>
    </w:r>
  </w:p>
  <w:p w14:paraId="6FB65834" w14:textId="77777777" w:rsidR="00233E82" w:rsidRDefault="00233E82">
    <w:pPr>
      <w:pStyle w:val="Pta"/>
    </w:pPr>
  </w:p>
  <w:p w14:paraId="4162C2B8" w14:textId="77777777" w:rsidR="00233E82" w:rsidRDefault="00233E82"/>
  <w:p w14:paraId="04D4E231" w14:textId="77777777" w:rsidR="00233E82" w:rsidRDefault="00233E82" w:rsidP="00F201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D62EF" w14:textId="77777777" w:rsidR="00233E82" w:rsidRDefault="00233E82" w:rsidP="007304A5">
      <w:pPr>
        <w:spacing w:after="0" w:line="240" w:lineRule="auto"/>
      </w:pPr>
      <w:r>
        <w:separator/>
      </w:r>
    </w:p>
  </w:footnote>
  <w:footnote w:type="continuationSeparator" w:id="0">
    <w:p w14:paraId="71012A06" w14:textId="77777777" w:rsidR="00233E82" w:rsidRDefault="00233E82" w:rsidP="007304A5">
      <w:pPr>
        <w:spacing w:after="0" w:line="240" w:lineRule="auto"/>
      </w:pPr>
      <w:r>
        <w:continuationSeparator/>
      </w:r>
    </w:p>
    <w:p w14:paraId="54B60A4C" w14:textId="77777777" w:rsidR="00233E82" w:rsidRDefault="00233E82"/>
    <w:p w14:paraId="66B5ED3C" w14:textId="77777777" w:rsidR="00233E82" w:rsidRDefault="00233E82" w:rsidP="00F201D1"/>
  </w:footnote>
  <w:footnote w:id="1">
    <w:p w14:paraId="6C967725" w14:textId="704C8774" w:rsidR="00233E82" w:rsidRPr="00B83219" w:rsidRDefault="00233E82">
      <w:pPr>
        <w:pStyle w:val="Textpoznmkypodiarou"/>
        <w:rPr>
          <w:sz w:val="16"/>
          <w:szCs w:val="16"/>
        </w:rPr>
      </w:pPr>
      <w:r w:rsidRPr="00B83219">
        <w:rPr>
          <w:rStyle w:val="Odkaznapoznmkupodiarou"/>
          <w:sz w:val="16"/>
          <w:szCs w:val="16"/>
        </w:rPr>
        <w:footnoteRef/>
      </w:r>
      <w:r w:rsidRPr="00B83219">
        <w:rPr>
          <w:sz w:val="16"/>
          <w:szCs w:val="16"/>
        </w:rPr>
        <w:t xml:space="preserve"> https://www.mfsr.sk/sk/financie/institut-financnej-politiky/strategicke-materialy/fiskalny-kompakt/fiskalny-kompakt.html</w:t>
      </w:r>
    </w:p>
  </w:footnote>
  <w:footnote w:id="2">
    <w:p w14:paraId="108BFDD5" w14:textId="77777777" w:rsidR="00233E82" w:rsidRPr="00EB384D" w:rsidRDefault="00233E82" w:rsidP="008D4F5F">
      <w:pPr>
        <w:pStyle w:val="Textpoznmkypodiarou"/>
        <w:jc w:val="both"/>
        <w:rPr>
          <w:sz w:val="16"/>
          <w:szCs w:val="16"/>
        </w:rPr>
      </w:pPr>
      <w:r>
        <w:rPr>
          <w:rStyle w:val="Odkaznapoznmkupodiarou"/>
        </w:rPr>
        <w:footnoteRef/>
      </w:r>
      <w:r>
        <w:t xml:space="preserve"> </w:t>
      </w:r>
      <w:r w:rsidRPr="00EB384D">
        <w:rPr>
          <w:sz w:val="16"/>
          <w:szCs w:val="16"/>
        </w:rPr>
        <w:t>Nariaden</w:t>
      </w:r>
      <w:r>
        <w:rPr>
          <w:sz w:val="16"/>
          <w:szCs w:val="16"/>
        </w:rPr>
        <w:t>ie</w:t>
      </w:r>
      <w:r w:rsidRPr="00EB384D">
        <w:rPr>
          <w:sz w:val="16"/>
          <w:szCs w:val="16"/>
        </w:rPr>
        <w:t xml:space="preserve"> E</w:t>
      </w:r>
      <w:r>
        <w:rPr>
          <w:sz w:val="16"/>
          <w:szCs w:val="16"/>
        </w:rPr>
        <w:t>urópskeho parlamentu</w:t>
      </w:r>
      <w:r w:rsidRPr="00EB384D">
        <w:rPr>
          <w:sz w:val="16"/>
          <w:szCs w:val="16"/>
        </w:rPr>
        <w:t xml:space="preserve"> a Rady (EÚ) č. 549/2013 z 21. mája 2013 o európskom systéme národných a regionálnych účtov </w:t>
      </w:r>
    </w:p>
    <w:p w14:paraId="08DC9525" w14:textId="65958D3F" w:rsidR="00233E82" w:rsidRDefault="00233E82" w:rsidP="008D4F5F">
      <w:pPr>
        <w:pStyle w:val="Textpoznmkypodiarou"/>
        <w:jc w:val="both"/>
      </w:pPr>
      <w:r w:rsidRPr="00EB384D">
        <w:rPr>
          <w:sz w:val="16"/>
          <w:szCs w:val="16"/>
        </w:rPr>
        <w:t xml:space="preserve">   </w:t>
      </w:r>
      <w:r>
        <w:rPr>
          <w:sz w:val="16"/>
          <w:szCs w:val="16"/>
        </w:rPr>
        <w:t>v Európskej únii (Ú. v. v platnom znení EÚ L 174, 26. 06. 2013).</w:t>
      </w:r>
    </w:p>
  </w:footnote>
  <w:footnote w:id="3">
    <w:p w14:paraId="399B5BDE" w14:textId="77777777" w:rsidR="00233E82" w:rsidRPr="005B47B1" w:rsidRDefault="00233E82" w:rsidP="00DC1800">
      <w:pPr>
        <w:widowControl w:val="0"/>
        <w:spacing w:after="0" w:line="240" w:lineRule="auto"/>
        <w:jc w:val="both"/>
        <w:rPr>
          <w:sz w:val="16"/>
          <w:szCs w:val="16"/>
        </w:rPr>
      </w:pPr>
      <w:r w:rsidRPr="005B47B1">
        <w:rPr>
          <w:rStyle w:val="Odkaznapoznmkupodiarou"/>
          <w:sz w:val="16"/>
          <w:szCs w:val="16"/>
        </w:rPr>
        <w:footnoteRef/>
      </w:r>
      <w:r w:rsidRPr="005B47B1">
        <w:rPr>
          <w:sz w:val="16"/>
          <w:szCs w:val="16"/>
        </w:rPr>
        <w:t xml:space="preserve"> </w:t>
      </w:r>
      <w:r w:rsidRPr="005B47B1">
        <w:rPr>
          <w:b/>
          <w:i/>
          <w:sz w:val="16"/>
          <w:szCs w:val="16"/>
        </w:rPr>
        <w:t xml:space="preserve">Aktualizácie </w:t>
      </w:r>
      <w:r w:rsidRPr="005B47B1">
        <w:rPr>
          <w:sz w:val="16"/>
          <w:szCs w:val="16"/>
        </w:rPr>
        <w:t>spresňujú už vyčíslené hodnoty príjmov, výdavkov alebo pohľadávok a záväzkov na základe údajov, ktoré v čase jarnej notifikácie objektívne nemohli byť k dispozícii. Ide napríklad o daňové priznania, výsledok zúčtovania sociálnych a zdravotných odvodov. V roku 2020 situáciu s ,,akruálnym“ zaznamenaním daní a odvodov komplikoval aj odklad ich platenia z dôvodu pandémie COVID-19.</w:t>
      </w:r>
    </w:p>
    <w:p w14:paraId="18201D75" w14:textId="77777777" w:rsidR="00233E82" w:rsidRPr="005B47B1" w:rsidRDefault="00233E82" w:rsidP="00DC1800">
      <w:pPr>
        <w:widowControl w:val="0"/>
        <w:spacing w:after="0" w:line="240" w:lineRule="auto"/>
        <w:jc w:val="both"/>
        <w:rPr>
          <w:sz w:val="16"/>
          <w:szCs w:val="16"/>
          <w:u w:val="single"/>
        </w:rPr>
      </w:pPr>
      <w:proofErr w:type="spellStart"/>
      <w:r w:rsidRPr="005B47B1">
        <w:rPr>
          <w:b/>
          <w:i/>
          <w:sz w:val="16"/>
          <w:szCs w:val="16"/>
        </w:rPr>
        <w:t>Imputácie</w:t>
      </w:r>
      <w:proofErr w:type="spellEnd"/>
      <w:r w:rsidRPr="005B47B1">
        <w:rPr>
          <w:b/>
          <w:i/>
          <w:sz w:val="16"/>
          <w:szCs w:val="16"/>
        </w:rPr>
        <w:t xml:space="preserve"> </w:t>
      </w:r>
      <w:r w:rsidRPr="005B47B1">
        <w:rPr>
          <w:sz w:val="16"/>
          <w:szCs w:val="16"/>
        </w:rPr>
        <w:t xml:space="preserve">predstavujú takisto </w:t>
      </w:r>
      <w:proofErr w:type="spellStart"/>
      <w:r w:rsidRPr="005B47B1">
        <w:rPr>
          <w:sz w:val="16"/>
          <w:szCs w:val="16"/>
        </w:rPr>
        <w:t>akrualizáciu</w:t>
      </w:r>
      <w:proofErr w:type="spellEnd"/>
      <w:r w:rsidRPr="005B47B1">
        <w:rPr>
          <w:sz w:val="16"/>
          <w:szCs w:val="16"/>
        </w:rPr>
        <w:t xml:space="preserve"> údajov o hodnoty, ktoré ešte neboli predmetom štatistického vykazovania. Napríklad nový záväzok, nová pohľadávka, o ktorých sa podľa národnej metodiky neúčtuje ale podľa metodiky ESA2010 je nutné ich zohľadniť do obdobia, s ktorým časovo a vecne súvisia. </w:t>
      </w:r>
      <w:r w:rsidRPr="005B47B1">
        <w:rPr>
          <w:sz w:val="16"/>
          <w:szCs w:val="16"/>
          <w:u w:val="single"/>
        </w:rPr>
        <w:t xml:space="preserve"> </w:t>
      </w:r>
    </w:p>
    <w:p w14:paraId="2316C1C3" w14:textId="77777777" w:rsidR="00233E82" w:rsidRDefault="00233E82" w:rsidP="00DC1800">
      <w:pPr>
        <w:pStyle w:val="Textpoznmkypodiarou"/>
      </w:pPr>
    </w:p>
  </w:footnote>
  <w:footnote w:id="4">
    <w:p w14:paraId="3B14086B" w14:textId="77777777" w:rsidR="00233E82" w:rsidRPr="008E5BF0" w:rsidRDefault="00233E82" w:rsidP="00DC1800">
      <w:pPr>
        <w:pStyle w:val="Odsekzoznamu"/>
        <w:ind w:left="0"/>
        <w:jc w:val="both"/>
        <w:rPr>
          <w:sz w:val="18"/>
          <w:szCs w:val="18"/>
        </w:rPr>
      </w:pPr>
      <w:r w:rsidRPr="005B47B1">
        <w:rPr>
          <w:rStyle w:val="Odkaznapoznmkupodiarou"/>
          <w:sz w:val="16"/>
          <w:szCs w:val="16"/>
        </w:rPr>
        <w:footnoteRef/>
      </w:r>
      <w:r w:rsidRPr="005B47B1">
        <w:rPr>
          <w:sz w:val="16"/>
          <w:szCs w:val="16"/>
        </w:rPr>
        <w:t xml:space="preserve"> Keďže poskytnuté úvery v roku 2020 mali 12 mesiacov odklad splátok, bolo nutné mieru zlyhania úverov odhadnúť. P</w:t>
      </w:r>
      <w:r w:rsidRPr="005B47B1">
        <w:rPr>
          <w:rFonts w:cs="Times New Roman"/>
          <w:sz w:val="16"/>
          <w:szCs w:val="16"/>
        </w:rPr>
        <w:t xml:space="preserve">re odhad zlyhania úverov sa vychádzalo z údajov NBS o percente zlyhaných úverov firiem a živnostníkov za roky 2007-2021, pričom sa brala do úvahy priemerná hodnota zlyhaných úverov za roky 2010-2014, keďže v tomto období sa naplno prejavili dôsledky finančnej krízy 2008-2009. COVID pandémia je obdobná výnimočná udalosť akou bola ekonomická kríza, preto sa do odhadu brali roky 2010-2014. Priemerné percento zlyhania predstavuje približne 8,27 %. </w:t>
      </w:r>
    </w:p>
  </w:footnote>
  <w:footnote w:id="5">
    <w:p w14:paraId="119B679C" w14:textId="77777777" w:rsidR="00233E82" w:rsidRPr="005B47B1" w:rsidRDefault="00233E82" w:rsidP="00563559">
      <w:pPr>
        <w:pStyle w:val="Textpoznmkypodiarou"/>
        <w:jc w:val="both"/>
        <w:rPr>
          <w:sz w:val="16"/>
          <w:szCs w:val="16"/>
        </w:rPr>
      </w:pPr>
      <w:r w:rsidRPr="005B47B1">
        <w:rPr>
          <w:rStyle w:val="Odkaznapoznmkupodiarou"/>
          <w:sz w:val="16"/>
          <w:szCs w:val="16"/>
        </w:rPr>
        <w:footnoteRef/>
      </w:r>
      <w:r w:rsidRPr="005B47B1">
        <w:rPr>
          <w:sz w:val="16"/>
          <w:szCs w:val="16"/>
        </w:rPr>
        <w:t xml:space="preserve"> Vplyv EU tokov na ESA schodok musí byť neutrálny, preto vplyv na schodok verejnej správy majú len prípadné hotovostné korekcie a vplyv </w:t>
      </w:r>
      <w:proofErr w:type="spellStart"/>
      <w:r w:rsidRPr="005B47B1">
        <w:rPr>
          <w:sz w:val="16"/>
          <w:szCs w:val="16"/>
        </w:rPr>
        <w:t>akrualizácie</w:t>
      </w:r>
      <w:proofErr w:type="spellEnd"/>
      <w:r w:rsidRPr="005B47B1">
        <w:rPr>
          <w:sz w:val="16"/>
          <w:szCs w:val="16"/>
        </w:rPr>
        <w:t xml:space="preserve"> korekcií. Hotovostné EU príjmy a výdavky sa neutralizujú zaznamenaním vyrovnávajúcej položky EU tokov na schodok, ktorá predstavuje rozdiel medzi hotovostnými príjmami a výdavkami zo zdroja EU.</w:t>
      </w:r>
    </w:p>
  </w:footnote>
  <w:footnote w:id="6">
    <w:p w14:paraId="11E28B24" w14:textId="77777777" w:rsidR="00233E82" w:rsidRPr="00A67B28" w:rsidRDefault="00233E82" w:rsidP="00563559">
      <w:pPr>
        <w:pStyle w:val="Textpoznmkypodiarou"/>
        <w:rPr>
          <w:sz w:val="16"/>
          <w:szCs w:val="16"/>
        </w:rPr>
      </w:pPr>
      <w:r>
        <w:rPr>
          <w:rStyle w:val="Odkaznapoznmkupodiarou"/>
        </w:rPr>
        <w:footnoteRef/>
      </w:r>
      <w:r>
        <w:t xml:space="preserve"> </w:t>
      </w:r>
      <w:r w:rsidRPr="00A67B28">
        <w:rPr>
          <w:color w:val="181818"/>
          <w:sz w:val="16"/>
          <w:szCs w:val="16"/>
        </w:rPr>
        <w:t>Zákon</w:t>
      </w:r>
      <w:r>
        <w:rPr>
          <w:color w:val="181818"/>
          <w:sz w:val="16"/>
          <w:szCs w:val="16"/>
        </w:rPr>
        <w:t>om č. 384/2011 Z. z.s</w:t>
      </w:r>
      <w:r w:rsidRPr="00A67B28">
        <w:rPr>
          <w:color w:val="181818"/>
          <w:sz w:val="16"/>
          <w:szCs w:val="16"/>
        </w:rPr>
        <w:t>a</w:t>
      </w:r>
      <w:r>
        <w:rPr>
          <w:color w:val="181818"/>
          <w:sz w:val="16"/>
          <w:szCs w:val="16"/>
        </w:rPr>
        <w:t xml:space="preserve"> zaviedol</w:t>
      </w:r>
      <w:r w:rsidRPr="00A67B28">
        <w:rPr>
          <w:color w:val="181818"/>
          <w:sz w:val="16"/>
          <w:szCs w:val="16"/>
        </w:rPr>
        <w:t xml:space="preserve"> osobitný odvod, ktorého cieľom bolo zaviesť odvody pre vybrané finančné inštitúcie a prispieť tak k tomu, aby sa podieľali na nákladoch budúcich finančných kríz v bankovom sektore, k zabezpečeniu spravodlivého rozdelenia záťaže a k predchádzaniu vzniku rozsiahlych výdavkov pre daňové subjekty, vládu a hospodárstvo v prípade riešenia finančných kríz.</w:t>
      </w:r>
      <w:r>
        <w:rPr>
          <w:color w:val="181818"/>
          <w:sz w:val="16"/>
          <w:szCs w:val="16"/>
        </w:rPr>
        <w:t xml:space="preserve"> Predpis bol zrušený predpisom 353/2020 Z. z.</w:t>
      </w:r>
    </w:p>
  </w:footnote>
  <w:footnote w:id="7">
    <w:p w14:paraId="3B0091C9" w14:textId="77777777" w:rsidR="00233E82" w:rsidRPr="005B47B1" w:rsidRDefault="00233E82" w:rsidP="00563559">
      <w:pPr>
        <w:pStyle w:val="Textpoznmkypodiarou"/>
        <w:rPr>
          <w:sz w:val="16"/>
          <w:szCs w:val="16"/>
        </w:rPr>
      </w:pPr>
      <w:r w:rsidRPr="005B47B1">
        <w:rPr>
          <w:rStyle w:val="Odkaznapoznmkupodiarou"/>
          <w:sz w:val="16"/>
          <w:szCs w:val="16"/>
        </w:rPr>
        <w:footnoteRef/>
      </w:r>
      <w:r w:rsidRPr="005B47B1">
        <w:rPr>
          <w:sz w:val="16"/>
          <w:szCs w:val="16"/>
        </w:rPr>
        <w:t xml:space="preserve"> Koncepcia oddlženia zdravotníckych zariadení </w:t>
      </w:r>
      <w:hyperlink r:id="rId1" w:history="1">
        <w:r w:rsidRPr="005B47B1">
          <w:rPr>
            <w:rStyle w:val="Hypertextovprepojenie"/>
            <w:sz w:val="16"/>
            <w:szCs w:val="16"/>
          </w:rPr>
          <w:t>https://rokovania.gov.sk/RVL/Material/22174/2</w:t>
        </w:r>
      </w:hyperlink>
    </w:p>
  </w:footnote>
  <w:footnote w:id="8">
    <w:p w14:paraId="1FE59E38" w14:textId="77777777" w:rsidR="00233E82" w:rsidRPr="00E945F6" w:rsidRDefault="00233E82" w:rsidP="00563559">
      <w:pPr>
        <w:pStyle w:val="Textpoznmkypodiarou"/>
        <w:rPr>
          <w:sz w:val="16"/>
          <w:szCs w:val="16"/>
        </w:rPr>
      </w:pPr>
      <w:r w:rsidRPr="00E945F6">
        <w:rPr>
          <w:rStyle w:val="Odkaznapoznmkupodiarou"/>
          <w:sz w:val="16"/>
          <w:szCs w:val="16"/>
        </w:rPr>
        <w:footnoteRef/>
      </w:r>
      <w:r w:rsidRPr="00E945F6">
        <w:rPr>
          <w:sz w:val="16"/>
          <w:szCs w:val="16"/>
        </w:rPr>
        <w:t xml:space="preserve"> </w:t>
      </w:r>
      <w:hyperlink r:id="rId2" w:history="1">
        <w:r w:rsidRPr="00DA79C0">
          <w:rPr>
            <w:rStyle w:val="Hypertextovprepojenie"/>
            <w:color w:val="0070C0"/>
            <w:sz w:val="16"/>
            <w:szCs w:val="16"/>
          </w:rPr>
          <w:t>https://www.mfsr.sk/sk/financie/statne-vykaznictvo/statny-zaverecny-ucet-sr/</w:t>
        </w:r>
      </w:hyperlink>
      <w:r w:rsidRPr="00E945F6">
        <w:rPr>
          <w:sz w:val="16"/>
          <w:szCs w:val="16"/>
        </w:rPr>
        <w:t xml:space="preserve"> </w:t>
      </w:r>
    </w:p>
  </w:footnote>
  <w:footnote w:id="9">
    <w:p w14:paraId="46F387C9" w14:textId="77777777" w:rsidR="00233E82" w:rsidRPr="00E945F6" w:rsidRDefault="00233E82" w:rsidP="00563559">
      <w:pPr>
        <w:pStyle w:val="Textpoznmkypodiarou"/>
        <w:jc w:val="both"/>
        <w:rPr>
          <w:sz w:val="16"/>
          <w:szCs w:val="16"/>
        </w:rPr>
      </w:pPr>
      <w:r w:rsidRPr="00E945F6">
        <w:rPr>
          <w:rStyle w:val="Odkaznapoznmkupodiarou"/>
          <w:sz w:val="16"/>
          <w:szCs w:val="16"/>
        </w:rPr>
        <w:footnoteRef/>
      </w:r>
      <w:r w:rsidRPr="00E945F6">
        <w:rPr>
          <w:sz w:val="16"/>
          <w:szCs w:val="16"/>
        </w:rPr>
        <w:t xml:space="preserve"> Ostatné subjekty ústrednej správy zahŕňajú: Rozhlas a televíziu Slovenska, Slovenský pozemkový fond, Agentúru pre núdzové zásoby ropy a ropných výrobkov, neziskové organizácie ústrednej správy a ostatné ústredné podniky.</w:t>
      </w:r>
    </w:p>
  </w:footnote>
  <w:footnote w:id="10">
    <w:p w14:paraId="07AD01C4" w14:textId="77777777" w:rsidR="00233E82" w:rsidRDefault="00233E82" w:rsidP="00563559">
      <w:pPr>
        <w:pStyle w:val="Textpoznmkypodiarou"/>
        <w:jc w:val="both"/>
      </w:pPr>
      <w:r>
        <w:rPr>
          <w:rStyle w:val="Odkaznapoznmkupodiarou"/>
        </w:rPr>
        <w:footnoteRef/>
      </w:r>
      <w:r>
        <w:t xml:space="preserve"> </w:t>
      </w:r>
      <w:r w:rsidRPr="006D2C5C">
        <w:rPr>
          <w:sz w:val="16"/>
          <w:szCs w:val="16"/>
        </w:rPr>
        <w:t>Dopravný podnik mesta Žiliny s. r. o., Dopravný podnik Bratislava, a.s., Dopravný podnik mesta Košice, akciová spoločnosť,  Dopravný podnik mesta Prešov, a.s. a</w:t>
      </w:r>
      <w:r>
        <w:rPr>
          <w:sz w:val="16"/>
          <w:szCs w:val="16"/>
        </w:rPr>
        <w:t xml:space="preserve"> od roku 2020 pribudol </w:t>
      </w:r>
      <w:r w:rsidRPr="006D2C5C">
        <w:rPr>
          <w:sz w:val="16"/>
          <w:szCs w:val="16"/>
        </w:rPr>
        <w:t>Dopravný podnik mesta Považská Bystrica s.r.o.</w:t>
      </w:r>
    </w:p>
  </w:footnote>
  <w:footnote w:id="11">
    <w:p w14:paraId="13296438" w14:textId="77777777" w:rsidR="00233E82" w:rsidRPr="00412EB1" w:rsidRDefault="00233E82" w:rsidP="00563559">
      <w:pPr>
        <w:pStyle w:val="Textpoznmkypodiarou"/>
        <w:jc w:val="both"/>
        <w:rPr>
          <w:sz w:val="16"/>
          <w:szCs w:val="16"/>
        </w:rPr>
      </w:pPr>
      <w:r w:rsidRPr="00852C6B">
        <w:rPr>
          <w:rStyle w:val="Odkaznapoznmkupodiarou"/>
          <w:sz w:val="16"/>
          <w:szCs w:val="16"/>
        </w:rPr>
        <w:footnoteRef/>
      </w:r>
      <w:r w:rsidRPr="00852C6B">
        <w:rPr>
          <w:sz w:val="16"/>
          <w:szCs w:val="16"/>
        </w:rPr>
        <w:t xml:space="preserve"> </w:t>
      </w:r>
      <w:r w:rsidRPr="00C74E82">
        <w:rPr>
          <w:sz w:val="16"/>
          <w:szCs w:val="16"/>
        </w:rPr>
        <w:t xml:space="preserve">Starobný dôchodok vypláca Sociálna poisťovňa vopred v pravidelných mesačných termínoch v zmysle zákona č. 461/2003 Z. z. </w:t>
      </w:r>
      <w:r>
        <w:rPr>
          <w:sz w:val="16"/>
          <w:szCs w:val="16"/>
        </w:rPr>
        <w:t xml:space="preserve">o Sociálnom poistení </w:t>
      </w:r>
      <w:r w:rsidRPr="00C74E82">
        <w:rPr>
          <w:sz w:val="16"/>
          <w:szCs w:val="16"/>
        </w:rPr>
        <w:t>v znení neskorších predpisov.</w:t>
      </w:r>
      <w:r>
        <w:rPr>
          <w:sz w:val="16"/>
          <w:szCs w:val="16"/>
        </w:rPr>
        <w:t xml:space="preserve"> V tomto prípade vplyv časovo posunutého výdavku sa týka dôchodkových</w:t>
      </w:r>
      <w:r w:rsidRPr="00C204BE">
        <w:rPr>
          <w:sz w:val="16"/>
          <w:szCs w:val="16"/>
        </w:rPr>
        <w:t xml:space="preserve"> </w:t>
      </w:r>
      <w:r>
        <w:rPr>
          <w:sz w:val="16"/>
          <w:szCs w:val="16"/>
        </w:rPr>
        <w:t>dávok</w:t>
      </w:r>
      <w:r w:rsidRPr="00C204BE">
        <w:rPr>
          <w:sz w:val="16"/>
          <w:szCs w:val="16"/>
        </w:rPr>
        <w:t xml:space="preserve">, ktoré Sociálna </w:t>
      </w:r>
      <w:r w:rsidRPr="00412EB1">
        <w:rPr>
          <w:sz w:val="16"/>
          <w:szCs w:val="16"/>
        </w:rPr>
        <w:t>poisťovňa vypláca v decembri bežného roka, na ktoré vznikol nárok v mesiaci január nasledujúceho roka (t. j. výplatný termín pripadá na sviatok resp. víkend).V súlade s metodikou ESA 2010 sa dôchodkové dávky časovo rozlišujú do obdobia, s ktorým vecne súvisia.</w:t>
      </w:r>
    </w:p>
  </w:footnote>
  <w:footnote w:id="12">
    <w:p w14:paraId="35F66BAC" w14:textId="77777777" w:rsidR="00233E82" w:rsidRPr="00D413B4" w:rsidRDefault="00233E82" w:rsidP="00563559">
      <w:pPr>
        <w:pStyle w:val="Textpoznmkypodiarou"/>
        <w:jc w:val="both"/>
        <w:rPr>
          <w:sz w:val="16"/>
          <w:szCs w:val="16"/>
        </w:rPr>
      </w:pPr>
      <w:r w:rsidRPr="00BE5BC2">
        <w:rPr>
          <w:rStyle w:val="Odkaznapoznmkupodiarou"/>
          <w:sz w:val="18"/>
          <w:szCs w:val="18"/>
        </w:rPr>
        <w:footnoteRef/>
      </w:r>
      <w:r w:rsidRPr="00BE5BC2">
        <w:rPr>
          <w:sz w:val="18"/>
          <w:szCs w:val="18"/>
        </w:rPr>
        <w:t xml:space="preserve"> </w:t>
      </w:r>
      <w:r w:rsidRPr="00D413B4">
        <w:rPr>
          <w:sz w:val="16"/>
          <w:szCs w:val="16"/>
        </w:rPr>
        <w:t>Verejné zdravotné poistenie predstavujú prostriedky z vybraného poistného na poskytovanie verejnej zdravotnej starostlivosti Všeobecnou zdravotnou poisťovňou a súkromnými zdravotnými poisťovňami.</w:t>
      </w:r>
    </w:p>
  </w:footnote>
  <w:footnote w:id="13">
    <w:p w14:paraId="498D6938" w14:textId="77777777" w:rsidR="00233E82" w:rsidRPr="00D413B4" w:rsidRDefault="00233E82" w:rsidP="00563559">
      <w:pPr>
        <w:pStyle w:val="Textpoznmkypodiarou"/>
        <w:jc w:val="both"/>
        <w:rPr>
          <w:sz w:val="16"/>
          <w:szCs w:val="16"/>
        </w:rPr>
      </w:pPr>
      <w:r>
        <w:rPr>
          <w:rStyle w:val="Odkaznapoznmkupodiarou"/>
        </w:rPr>
        <w:footnoteRef/>
      </w:r>
      <w:r>
        <w:t xml:space="preserve"> </w:t>
      </w:r>
      <w:r w:rsidRPr="00D413B4">
        <w:rPr>
          <w:sz w:val="16"/>
          <w:szCs w:val="16"/>
        </w:rPr>
        <w:t>Na základe vecného účelu použitia týchto prostriedkov bola finančná operácia preklasifikovaná na kapitálový transfer.</w:t>
      </w:r>
      <w:r>
        <w:rPr>
          <w:sz w:val="16"/>
          <w:szCs w:val="16"/>
        </w:rPr>
        <w:t xml:space="preserve"> V rámci verejnej správy dochádza k vzájomnej konsolidácii poskytnutého a prijatého transferu medzi subjektmi verejnej správy.</w:t>
      </w:r>
    </w:p>
  </w:footnote>
  <w:footnote w:id="14">
    <w:p w14:paraId="5D194BE9" w14:textId="77777777" w:rsidR="00233E82" w:rsidRPr="000E08CC" w:rsidRDefault="00233E82" w:rsidP="00912710">
      <w:pPr>
        <w:pStyle w:val="Textpoznmkypodiarou"/>
        <w:jc w:val="both"/>
        <w:rPr>
          <w:sz w:val="16"/>
          <w:szCs w:val="16"/>
        </w:rPr>
      </w:pPr>
      <w:r w:rsidRPr="000E08CC">
        <w:rPr>
          <w:rStyle w:val="Odkaznapoznmkupodiarou"/>
          <w:sz w:val="16"/>
          <w:szCs w:val="16"/>
        </w:rPr>
        <w:footnoteRef/>
      </w:r>
      <w:r w:rsidRPr="000E08CC">
        <w:rPr>
          <w:sz w:val="16"/>
          <w:szCs w:val="16"/>
        </w:rPr>
        <w:t xml:space="preserve"> Podľa § 47 k zákona č. 375/2015 Z. z. o zrušení Fondu národného majetku SR a o zmene a doplnení niektorých predpisov</w:t>
      </w:r>
    </w:p>
  </w:footnote>
  <w:footnote w:id="15">
    <w:p w14:paraId="2E8209DB" w14:textId="77777777" w:rsidR="00233E82" w:rsidRDefault="00233E82" w:rsidP="00912710">
      <w:pPr>
        <w:pStyle w:val="Textpoznmkypodiarou"/>
        <w:jc w:val="both"/>
      </w:pPr>
      <w:r w:rsidRPr="000E08CC">
        <w:rPr>
          <w:rStyle w:val="Odkaznapoznmkupodiarou"/>
          <w:sz w:val="16"/>
          <w:szCs w:val="16"/>
        </w:rPr>
        <w:footnoteRef/>
      </w:r>
      <w:r w:rsidRPr="000E08CC">
        <w:rPr>
          <w:sz w:val="16"/>
          <w:szCs w:val="16"/>
        </w:rPr>
        <w:t xml:space="preserve"> Nariadenie Rady (EÚ) 2020/672 z 19. mája 2020 o zriadení európskeho nástroja dočasnej podpory na zmiernenie rizík nezamestnanosti v núdzovej situácii (SURE) v dôsledku výskytu ochorenia COVID-19 (Ú. v. EÚ L 159, 20. 5. 2020)</w:t>
      </w:r>
    </w:p>
  </w:footnote>
  <w:footnote w:id="16">
    <w:p w14:paraId="4DC0D2BA" w14:textId="77777777" w:rsidR="00233E82" w:rsidRPr="00C33BE2" w:rsidRDefault="00233E82" w:rsidP="00912710">
      <w:pPr>
        <w:pStyle w:val="Textpoznmkypodiarou"/>
        <w:rPr>
          <w:sz w:val="18"/>
          <w:szCs w:val="18"/>
        </w:rPr>
      </w:pPr>
      <w:r w:rsidRPr="00C33BE2">
        <w:rPr>
          <w:rStyle w:val="Odkaznapoznmkupodiarou"/>
          <w:sz w:val="18"/>
          <w:szCs w:val="18"/>
        </w:rPr>
        <w:footnoteRef/>
      </w:r>
      <w:r w:rsidRPr="00C33BE2">
        <w:rPr>
          <w:sz w:val="18"/>
          <w:szCs w:val="18"/>
        </w:rPr>
        <w:t xml:space="preserve"> Štátny záverečný účet SR za rok 20</w:t>
      </w:r>
      <w:r>
        <w:rPr>
          <w:sz w:val="18"/>
          <w:szCs w:val="18"/>
        </w:rPr>
        <w:t>20</w:t>
      </w:r>
      <w:r w:rsidRPr="00C33BE2">
        <w:rPr>
          <w:sz w:val="18"/>
          <w:szCs w:val="18"/>
        </w:rPr>
        <w:t xml:space="preserve">, </w:t>
      </w:r>
      <w:hyperlink r:id="rId3" w:history="1">
        <w:r w:rsidRPr="00C33BE2">
          <w:rPr>
            <w:rStyle w:val="Hypertextovprepojenie"/>
            <w:color w:val="0070C0"/>
            <w:sz w:val="18"/>
            <w:szCs w:val="18"/>
          </w:rPr>
          <w:t>www.finance.gov.sk</w:t>
        </w:r>
      </w:hyperlink>
      <w:r w:rsidRPr="00C33BE2">
        <w:rPr>
          <w:sz w:val="18"/>
          <w:szCs w:val="18"/>
        </w:rPr>
        <w:t xml:space="preserve"> </w:t>
      </w:r>
    </w:p>
  </w:footnote>
  <w:footnote w:id="17">
    <w:p w14:paraId="69AFFE35" w14:textId="77777777" w:rsidR="00233E82" w:rsidRPr="00B80E87" w:rsidRDefault="00233E82" w:rsidP="00151939">
      <w:pPr>
        <w:pStyle w:val="Textpoznmkypodiarou"/>
        <w:jc w:val="both"/>
        <w:rPr>
          <w:sz w:val="16"/>
          <w:szCs w:val="16"/>
        </w:rPr>
      </w:pPr>
      <w:r w:rsidRPr="00B80E87">
        <w:rPr>
          <w:rStyle w:val="Odkaznapoznmkupodiarou"/>
          <w:sz w:val="16"/>
          <w:szCs w:val="16"/>
        </w:rPr>
        <w:footnoteRef/>
      </w:r>
      <w:r w:rsidRPr="00B80E87">
        <w:rPr>
          <w:sz w:val="16"/>
          <w:szCs w:val="16"/>
        </w:rPr>
        <w:t xml:space="preserve"> </w:t>
      </w:r>
      <w:r>
        <w:rPr>
          <w:sz w:val="16"/>
          <w:szCs w:val="16"/>
        </w:rPr>
        <w:t xml:space="preserve">Súčasťou spotrebných daní je aj výnos zo zelenej energie. </w:t>
      </w:r>
      <w:r w:rsidRPr="00B80E87">
        <w:rPr>
          <w:sz w:val="16"/>
          <w:szCs w:val="16"/>
        </w:rPr>
        <w:t xml:space="preserve">V septembri 2019 sa v rámci </w:t>
      </w:r>
      <w:proofErr w:type="spellStart"/>
      <w:r w:rsidRPr="00B80E87">
        <w:rPr>
          <w:sz w:val="16"/>
          <w:szCs w:val="16"/>
        </w:rPr>
        <w:t>benchmarkovej</w:t>
      </w:r>
      <w:proofErr w:type="spellEnd"/>
      <w:r w:rsidRPr="00B80E87">
        <w:rPr>
          <w:sz w:val="16"/>
          <w:szCs w:val="16"/>
        </w:rPr>
        <w:t xml:space="preserve"> revízie začal započítavať do výnosu spotrebnej dane z elektriny aj vplyv dotovania el. energie z obnoviteľných zdrojov (zelená energia). </w:t>
      </w:r>
      <w:r>
        <w:rPr>
          <w:sz w:val="16"/>
          <w:szCs w:val="16"/>
        </w:rPr>
        <w:t xml:space="preserve">Od roku 2020 je odčlenený na samostatnom riadku „zelená energia“ na položke D.214A. </w:t>
      </w:r>
      <w:r w:rsidRPr="00B80E87">
        <w:rPr>
          <w:sz w:val="16"/>
          <w:szCs w:val="16"/>
        </w:rPr>
        <w:t xml:space="preserve">Pri podpore zelenej energie vzniká časový nesúlad medzi „subvenciami“, ktoré poskytujú distribútori výrobcom pri nákupe energie a poplatkami, ktoré následne vyberú od konečných spotrebiteľov. Tento časový nesúlad má za následok aj rozdiel v cene elektrickej energie, pričom tento nesúlad by sa mal podľa metodiky ESA 2010 započítavať do deficitu. Zmena zvyšuje zároveň úroveň daňových príjmov aj subvencií. Výbor pre daňové prognózy tento vplyv nezahŕňal. </w:t>
      </w:r>
    </w:p>
  </w:footnote>
  <w:footnote w:id="18">
    <w:p w14:paraId="45A149EF" w14:textId="5D758395" w:rsidR="00DC1EB4" w:rsidRDefault="00DC1EB4">
      <w:pPr>
        <w:pStyle w:val="Textpoznmkypodiarou"/>
      </w:pPr>
      <w:r>
        <w:rPr>
          <w:rStyle w:val="Odkaznapoznmkupodiarou"/>
        </w:rPr>
        <w:footnoteRef/>
      </w:r>
      <w:r>
        <w:t xml:space="preserve"> </w:t>
      </w:r>
      <w:r w:rsidRPr="00FA0A06">
        <w:rPr>
          <w:sz w:val="16"/>
          <w:szCs w:val="16"/>
        </w:rPr>
        <w:t xml:space="preserve">V roku 2020 sa prijalo v súvislosti s pandémiou legislatívne opatrenie, ktoré umožnilo firmám jednorazový odpis strát za roky 2015 – 2018. Hotovostne to pomohlo firmám v roku 2020, ale keďže si spomínané straty uplatnili pri podaní daňového priznania za rok 2019, akruálne sa to týkalo výnosu za rok 2019. Na základe </w:t>
      </w:r>
      <w:r>
        <w:rPr>
          <w:sz w:val="16"/>
          <w:szCs w:val="16"/>
        </w:rPr>
        <w:t>odporúčania</w:t>
      </w:r>
      <w:r w:rsidRPr="00FA0A06">
        <w:rPr>
          <w:sz w:val="16"/>
          <w:szCs w:val="16"/>
        </w:rPr>
        <w:t xml:space="preserve"> </w:t>
      </w:r>
      <w:proofErr w:type="spellStart"/>
      <w:r w:rsidRPr="00FA0A06">
        <w:rPr>
          <w:sz w:val="16"/>
          <w:szCs w:val="16"/>
        </w:rPr>
        <w:t>Eurostat</w:t>
      </w:r>
      <w:r>
        <w:rPr>
          <w:sz w:val="16"/>
          <w:szCs w:val="16"/>
        </w:rPr>
        <w:t>u</w:t>
      </w:r>
      <w:proofErr w:type="spellEnd"/>
      <w:r w:rsidRPr="00FA0A06">
        <w:rPr>
          <w:sz w:val="16"/>
          <w:szCs w:val="16"/>
        </w:rPr>
        <w:t xml:space="preserve"> o tom, že vplyv má byť aj akruálne zaznamenaný v príjmoch roku 2020 vzhľadom na priamu väzbu na Covid-19 došlo k v roku 2020 k poníženiu výnosu DPPO. Výnos z roku 2019 bol naopak zvýšený o uvedenú sumu.</w:t>
      </w:r>
    </w:p>
  </w:footnote>
  <w:footnote w:id="19">
    <w:p w14:paraId="0ED5837F" w14:textId="77777777" w:rsidR="00233E82" w:rsidRPr="00CF2FA7" w:rsidRDefault="00233E82" w:rsidP="002F1D21">
      <w:pPr>
        <w:pStyle w:val="Textpoznmkypodiarou"/>
        <w:rPr>
          <w:sz w:val="16"/>
          <w:szCs w:val="16"/>
        </w:rPr>
      </w:pPr>
      <w:r w:rsidRPr="00CF2FA7">
        <w:rPr>
          <w:rStyle w:val="Odkaznapoznmkupodiarou"/>
          <w:sz w:val="16"/>
          <w:szCs w:val="16"/>
        </w:rPr>
        <w:footnoteRef/>
      </w:r>
      <w:r w:rsidRPr="00CF2FA7">
        <w:rPr>
          <w:sz w:val="16"/>
          <w:szCs w:val="16"/>
        </w:rPr>
        <w:t xml:space="preserve"> </w:t>
      </w:r>
      <w:r w:rsidRPr="00A41113">
        <w:rPr>
          <w:sz w:val="16"/>
          <w:szCs w:val="16"/>
        </w:rPr>
        <w:t>Subvencia predstavuje finančný príspevok vlády alebo verejn</w:t>
      </w:r>
      <w:r>
        <w:rPr>
          <w:sz w:val="16"/>
          <w:szCs w:val="16"/>
        </w:rPr>
        <w:t>o-</w:t>
      </w:r>
      <w:r w:rsidRPr="00A41113">
        <w:rPr>
          <w:sz w:val="16"/>
          <w:szCs w:val="16"/>
        </w:rPr>
        <w:t>právnej inštitúcie.</w:t>
      </w:r>
      <w:r>
        <w:rPr>
          <w:sz w:val="16"/>
          <w:szCs w:val="16"/>
        </w:rPr>
        <w:t xml:space="preserve"> Ide o platby vykonané na podporu obchodných aktivít príjemcov, ktorí nie sú zaradení v sektore verejnej správy.</w:t>
      </w:r>
    </w:p>
  </w:footnote>
  <w:footnote w:id="20">
    <w:p w14:paraId="0BC248D6" w14:textId="00708591" w:rsidR="00233E82" w:rsidRDefault="00233E82" w:rsidP="00E409C5">
      <w:pPr>
        <w:pStyle w:val="Textpoznmkypodiarou"/>
        <w:jc w:val="both"/>
      </w:pPr>
      <w:r w:rsidRPr="00E409C5">
        <w:rPr>
          <w:rStyle w:val="Odkaznapoznmkupodiarou"/>
        </w:rPr>
        <w:footnoteRef/>
      </w:r>
      <w:r w:rsidRPr="00E409C5">
        <w:t xml:space="preserve"> </w:t>
      </w:r>
      <w:r w:rsidRPr="00E409C5">
        <w:rPr>
          <w:sz w:val="18"/>
          <w:szCs w:val="18"/>
        </w:rPr>
        <w:t xml:space="preserve">Finančné prostriedky vyplatené z programu Prvej pomoci sú z analytických dôvodov uvedené v rámci Sociálnych transferov aj v hotovostnej položke „Peňažné príspevky na kompenzáciu“, ktoré boli podľa metodiky ESA2010 </w:t>
      </w:r>
      <w:r w:rsidR="00E409C5">
        <w:rPr>
          <w:sz w:val="18"/>
          <w:szCs w:val="18"/>
        </w:rPr>
        <w:t xml:space="preserve">následne </w:t>
      </w:r>
      <w:proofErr w:type="spellStart"/>
      <w:r w:rsidRPr="00E409C5">
        <w:rPr>
          <w:sz w:val="18"/>
          <w:szCs w:val="18"/>
        </w:rPr>
        <w:t>reklasifikované</w:t>
      </w:r>
      <w:proofErr w:type="spellEnd"/>
      <w:r w:rsidRPr="00E409C5">
        <w:rPr>
          <w:sz w:val="18"/>
          <w:szCs w:val="18"/>
        </w:rPr>
        <w:t xml:space="preserve"> na ostatné bežné transfery.</w:t>
      </w:r>
      <w:r w:rsidR="00E409C5">
        <w:rPr>
          <w:sz w:val="18"/>
          <w:szCs w:val="18"/>
        </w:rPr>
        <w:t xml:space="preserve"> Hlavná kategória Sociálnych dávok</w:t>
      </w:r>
      <w:r w:rsidR="00BA27E8">
        <w:rPr>
          <w:sz w:val="18"/>
          <w:szCs w:val="18"/>
        </w:rPr>
        <w:t xml:space="preserve"> však tieto hodnoty neobsahuje</w:t>
      </w:r>
      <w:r w:rsidR="00E409C5">
        <w:rPr>
          <w:sz w:val="18"/>
          <w:szCs w:val="18"/>
        </w:rPr>
        <w:t>, preto nedochádza k duplicitnému vykazovaniu.</w:t>
      </w:r>
    </w:p>
  </w:footnote>
  <w:footnote w:id="21">
    <w:p w14:paraId="42891FA2" w14:textId="77777777" w:rsidR="00233E82" w:rsidRPr="006A77E3" w:rsidRDefault="00233E82" w:rsidP="000B776B">
      <w:pPr>
        <w:pStyle w:val="Textpoznmkypodiarou"/>
        <w:jc w:val="both"/>
        <w:rPr>
          <w:sz w:val="16"/>
          <w:szCs w:val="16"/>
          <w:highlight w:val="yellow"/>
        </w:rPr>
      </w:pPr>
      <w:r w:rsidRPr="006A77E3">
        <w:rPr>
          <w:rStyle w:val="Odkaznapoznmkupodiarou"/>
          <w:rFonts w:eastAsiaTheme="majorEastAsia"/>
          <w:sz w:val="16"/>
          <w:szCs w:val="16"/>
        </w:rPr>
        <w:footnoteRef/>
      </w:r>
      <w:r w:rsidRPr="006A77E3">
        <w:rPr>
          <w:sz w:val="16"/>
          <w:szCs w:val="16"/>
        </w:rPr>
        <w:t xml:space="preserve"> </w:t>
      </w:r>
      <w:r w:rsidRPr="008C35DF">
        <w:rPr>
          <w:sz w:val="16"/>
          <w:szCs w:val="16"/>
        </w:rPr>
        <w:t xml:space="preserve">Pre účely súhrnnej výročnej správy používa MFSR údaje zaslané v rámci jesennej notifikácie </w:t>
      </w:r>
      <w:proofErr w:type="spellStart"/>
      <w:r w:rsidRPr="008C35DF">
        <w:rPr>
          <w:sz w:val="16"/>
          <w:szCs w:val="16"/>
        </w:rPr>
        <w:t>Eurostatu</w:t>
      </w:r>
      <w:proofErr w:type="spellEnd"/>
      <w:r w:rsidRPr="008C35DF">
        <w:rPr>
          <w:sz w:val="16"/>
          <w:szCs w:val="16"/>
        </w:rPr>
        <w:t>. Odhad cyklickej zložky vychádza  z produkčnej</w:t>
      </w:r>
      <w:r w:rsidRPr="006A77E3">
        <w:rPr>
          <w:sz w:val="16"/>
          <w:szCs w:val="16"/>
        </w:rPr>
        <w:t xml:space="preserve"> medzery na základe najaktuálnejšej prognózy MF SR schválenej výborom pre makroekonomické prognózy. Odhad jednorazových opatrení vychádza z metodiky Európskej komisie.</w:t>
      </w:r>
    </w:p>
  </w:footnote>
  <w:footnote w:id="22">
    <w:p w14:paraId="63A5848C" w14:textId="77777777" w:rsidR="00233E82" w:rsidRPr="006A77E3" w:rsidRDefault="00233E82" w:rsidP="000B776B">
      <w:pPr>
        <w:pStyle w:val="Textpoznmkypodiarou"/>
        <w:jc w:val="both"/>
        <w:rPr>
          <w:sz w:val="16"/>
          <w:szCs w:val="16"/>
        </w:rPr>
      </w:pPr>
      <w:r w:rsidRPr="00642C1F">
        <w:rPr>
          <w:rStyle w:val="Odkaznapoznmkupodiarou"/>
          <w:rFonts w:eastAsiaTheme="majorEastAsia"/>
          <w:sz w:val="16"/>
          <w:szCs w:val="16"/>
        </w:rPr>
        <w:footnoteRef/>
      </w:r>
      <w:r w:rsidRPr="00642C1F">
        <w:rPr>
          <w:sz w:val="16"/>
          <w:szCs w:val="16"/>
        </w:rPr>
        <w:t xml:space="preserve"> Na základe predbežnej hodnoty nominálneho salda VS (-1,33 % HDP) pre jesennú notifikáciu </w:t>
      </w:r>
      <w:proofErr w:type="spellStart"/>
      <w:r w:rsidRPr="00642C1F">
        <w:rPr>
          <w:sz w:val="16"/>
          <w:szCs w:val="16"/>
        </w:rPr>
        <w:t>Eurostatu</w:t>
      </w:r>
      <w:proofErr w:type="spellEnd"/>
      <w:r w:rsidRPr="00642C1F">
        <w:rPr>
          <w:sz w:val="16"/>
          <w:szCs w:val="16"/>
        </w:rPr>
        <w:t xml:space="preserve"> za rok 2020.</w:t>
      </w:r>
    </w:p>
  </w:footnote>
  <w:footnote w:id="23">
    <w:p w14:paraId="46C7D241" w14:textId="77777777" w:rsidR="00233E82" w:rsidRPr="006A77E3" w:rsidRDefault="00233E82" w:rsidP="000B776B">
      <w:pPr>
        <w:pStyle w:val="Textpoznmkypodiarou"/>
        <w:ind w:left="113" w:hanging="113"/>
        <w:jc w:val="both"/>
        <w:rPr>
          <w:sz w:val="16"/>
          <w:szCs w:val="16"/>
        </w:rPr>
      </w:pPr>
      <w:r w:rsidRPr="006A77E3">
        <w:rPr>
          <w:rStyle w:val="Odkaznapoznmkupodiarou"/>
          <w:rFonts w:eastAsiaTheme="majorEastAsia"/>
          <w:sz w:val="16"/>
          <w:szCs w:val="16"/>
        </w:rPr>
        <w:footnoteRef/>
      </w:r>
      <w:r>
        <w:rPr>
          <w:sz w:val="16"/>
          <w:szCs w:val="16"/>
        </w:rPr>
        <w:t xml:space="preserve"> </w:t>
      </w:r>
      <w:r w:rsidRPr="006A77E3">
        <w:rPr>
          <w:sz w:val="16"/>
          <w:szCs w:val="16"/>
        </w:rPr>
        <w:t>Jednorazové vplyvy sa spomínajú bez metodického popisu v zákone o rozpočtových pravidlách verejnej správy (523/2004 Z. z.) a v Ústavnom zákone o rozpočtovej zodpovednosti (493/2011 Z. z.)</w:t>
      </w:r>
    </w:p>
  </w:footnote>
  <w:footnote w:id="24">
    <w:p w14:paraId="7AD9DD54" w14:textId="77777777" w:rsidR="00233E82" w:rsidRPr="007A4784" w:rsidRDefault="00233E82" w:rsidP="000B776B">
      <w:pPr>
        <w:pStyle w:val="Textpoznmkypodiarou"/>
        <w:jc w:val="both"/>
        <w:rPr>
          <w:sz w:val="16"/>
          <w:szCs w:val="16"/>
        </w:rPr>
      </w:pPr>
      <w:r w:rsidRPr="006A77E3">
        <w:rPr>
          <w:rStyle w:val="Odkaznapoznmkupodiarou"/>
          <w:rFonts w:eastAsiaTheme="majorEastAsia"/>
          <w:sz w:val="16"/>
          <w:szCs w:val="16"/>
        </w:rPr>
        <w:footnoteRef/>
      </w:r>
      <w:r w:rsidRPr="006A77E3">
        <w:rPr>
          <w:sz w:val="16"/>
          <w:szCs w:val="16"/>
        </w:rPr>
        <w:t xml:space="preserve">  </w:t>
      </w:r>
      <w:r>
        <w:rPr>
          <w:sz w:val="16"/>
          <w:szCs w:val="16"/>
        </w:rPr>
        <w:t xml:space="preserve">Metodika kalkulácie jednorazových vplyvov </w:t>
      </w:r>
      <w:r w:rsidRPr="006A77E3">
        <w:rPr>
          <w:sz w:val="16"/>
          <w:szCs w:val="16"/>
        </w:rPr>
        <w:t xml:space="preserve">Európskej komisie </w:t>
      </w:r>
      <w:r>
        <w:rPr>
          <w:sz w:val="16"/>
          <w:szCs w:val="16"/>
        </w:rPr>
        <w:t xml:space="preserve">je súčasťou manuálu k Paktu stability a rastu </w:t>
      </w:r>
      <w:hyperlink r:id="rId4" w:history="1">
        <w:r w:rsidRPr="003E0267">
          <w:rPr>
            <w:rStyle w:val="Hypertextovprepojenie"/>
            <w:sz w:val="16"/>
            <w:szCs w:val="16"/>
          </w:rPr>
          <w:t xml:space="preserve">Vade </w:t>
        </w:r>
        <w:proofErr w:type="spellStart"/>
        <w:r w:rsidRPr="003E0267">
          <w:rPr>
            <w:rStyle w:val="Hypertextovprepojenie"/>
            <w:sz w:val="16"/>
            <w:szCs w:val="16"/>
          </w:rPr>
          <w:t>Mecum</w:t>
        </w:r>
        <w:proofErr w:type="spellEnd"/>
        <w:r w:rsidRPr="003E0267">
          <w:rPr>
            <w:rStyle w:val="Hypertextovprepojenie"/>
            <w:sz w:val="16"/>
            <w:szCs w:val="16"/>
          </w:rPr>
          <w:t xml:space="preserve"> on </w:t>
        </w:r>
        <w:proofErr w:type="spellStart"/>
        <w:r w:rsidRPr="003E0267">
          <w:rPr>
            <w:rStyle w:val="Hypertextovprepojenie"/>
            <w:sz w:val="16"/>
            <w:szCs w:val="16"/>
          </w:rPr>
          <w:t>the</w:t>
        </w:r>
        <w:proofErr w:type="spellEnd"/>
        <w:r w:rsidRPr="003E0267">
          <w:rPr>
            <w:rStyle w:val="Hypertextovprepojenie"/>
            <w:sz w:val="16"/>
            <w:szCs w:val="16"/>
          </w:rPr>
          <w:t xml:space="preserve"> Stability &amp; </w:t>
        </w:r>
        <w:proofErr w:type="spellStart"/>
        <w:r w:rsidRPr="003E0267">
          <w:rPr>
            <w:rStyle w:val="Hypertextovprepojenie"/>
            <w:sz w:val="16"/>
            <w:szCs w:val="16"/>
          </w:rPr>
          <w:t>Growth</w:t>
        </w:r>
        <w:proofErr w:type="spellEnd"/>
        <w:r w:rsidRPr="003E0267">
          <w:rPr>
            <w:rStyle w:val="Hypertextovprepojenie"/>
            <w:sz w:val="16"/>
            <w:szCs w:val="16"/>
          </w:rPr>
          <w:t xml:space="preserve"> </w:t>
        </w:r>
        <w:proofErr w:type="spellStart"/>
        <w:r w:rsidRPr="003E0267">
          <w:rPr>
            <w:rStyle w:val="Hypertextovprepojenie"/>
            <w:sz w:val="16"/>
            <w:szCs w:val="16"/>
          </w:rPr>
          <w:t>Pact</w:t>
        </w:r>
        <w:proofErr w:type="spellEnd"/>
        <w:r w:rsidRPr="003E0267">
          <w:rPr>
            <w:rStyle w:val="Hypertextovprepojenie"/>
            <w:sz w:val="16"/>
            <w:szCs w:val="16"/>
          </w:rPr>
          <w:t xml:space="preserve"> 2019</w:t>
        </w:r>
      </w:hyperlink>
      <w:r>
        <w:rPr>
          <w:sz w:val="16"/>
          <w:szCs w:val="16"/>
        </w:rPr>
        <w:t xml:space="preserve"> na str. 9</w:t>
      </w:r>
      <w:r w:rsidRPr="006A77E3">
        <w:rPr>
          <w:sz w:val="16"/>
          <w:szCs w:val="16"/>
        </w:rPr>
        <w:t>.</w:t>
      </w:r>
    </w:p>
  </w:footnote>
  <w:footnote w:id="25">
    <w:p w14:paraId="340B812A" w14:textId="77777777" w:rsidR="00233E82" w:rsidRPr="00DD5CBE" w:rsidRDefault="00233E82" w:rsidP="007D1AB6">
      <w:pPr>
        <w:pStyle w:val="Textpoznmkypodiarou"/>
        <w:jc w:val="both"/>
        <w:rPr>
          <w:sz w:val="16"/>
          <w:szCs w:val="16"/>
        </w:rPr>
      </w:pPr>
      <w:r w:rsidRPr="00DD5CBE">
        <w:rPr>
          <w:rStyle w:val="Odkaznapoznmkupodiarou"/>
          <w:sz w:val="16"/>
          <w:szCs w:val="16"/>
        </w:rPr>
        <w:footnoteRef/>
      </w:r>
      <w:r w:rsidRPr="00DD5CBE">
        <w:rPr>
          <w:sz w:val="16"/>
          <w:szCs w:val="16"/>
        </w:rPr>
        <w:t xml:space="preserve"> Ide najmä o pravidlá Paktu stability a rastu, ktoré stanovujú hranicu deficitu verejnej správy 3 % HDP a dlhu verejnej správy 60 % HDP (bližšie o európskych fiškálnych pravidlách pozri slovník základných pojmov).</w:t>
      </w:r>
    </w:p>
  </w:footnote>
  <w:footnote w:id="26">
    <w:p w14:paraId="0F1B4A77" w14:textId="0E51BFA8" w:rsidR="00233E82" w:rsidRPr="00DD5CBE" w:rsidRDefault="00233E82" w:rsidP="00D07A45">
      <w:pPr>
        <w:spacing w:after="0" w:line="240" w:lineRule="auto"/>
        <w:jc w:val="both"/>
        <w:rPr>
          <w:rFonts w:eastAsia="Cambria"/>
          <w:sz w:val="16"/>
          <w:szCs w:val="16"/>
        </w:rPr>
      </w:pPr>
      <w:r w:rsidRPr="00DD5CBE">
        <w:rPr>
          <w:rStyle w:val="Odkaznapoznmkupodiarou"/>
          <w:sz w:val="16"/>
          <w:szCs w:val="16"/>
        </w:rPr>
        <w:footnoteRef/>
      </w:r>
      <w:r w:rsidRPr="00DD5CBE">
        <w:rPr>
          <w:sz w:val="16"/>
          <w:szCs w:val="16"/>
        </w:rPr>
        <w:t xml:space="preserve"> Verejný sektor je širší pojem ako verejná správa, nad rámec sektora verejnej správy zahŕňa aj podniky verejnej správy a Národnú banku Slovenska. Z definície čistého bohatstva podľa ústavného zákona o rozpočtovej zodpovednosti odvodzujeme aj skupinu subjektov tvoriacich verejný sektor.</w:t>
      </w:r>
      <w:r w:rsidRPr="00DD5CBE">
        <w:rPr>
          <w:rFonts w:eastAsia="Cambria"/>
          <w:sz w:val="16"/>
          <w:szCs w:val="16"/>
        </w:rPr>
        <w:t xml:space="preserve"> </w:t>
      </w:r>
    </w:p>
    <w:p w14:paraId="3058ECB2" w14:textId="06FFB9F1" w:rsidR="00233E82" w:rsidRDefault="00233E82">
      <w:pPr>
        <w:pStyle w:val="Textpoznmkypodiarou"/>
      </w:pPr>
    </w:p>
  </w:footnote>
  <w:footnote w:id="27">
    <w:p w14:paraId="1055EC28" w14:textId="4C82D332" w:rsidR="00233E82" w:rsidRPr="00932A01" w:rsidRDefault="00233E82">
      <w:pPr>
        <w:pStyle w:val="Textpoznmkypodiarou"/>
        <w:rPr>
          <w:sz w:val="18"/>
          <w:szCs w:val="18"/>
        </w:rPr>
      </w:pPr>
      <w:r w:rsidRPr="00932A01">
        <w:rPr>
          <w:rStyle w:val="Odkaznapoznmkupodiarou"/>
          <w:sz w:val="18"/>
          <w:szCs w:val="18"/>
        </w:rPr>
        <w:footnoteRef/>
      </w:r>
      <w:r w:rsidRPr="00932A01">
        <w:rPr>
          <w:sz w:val="18"/>
          <w:szCs w:val="18"/>
        </w:rPr>
        <w:t xml:space="preserve"> </w:t>
      </w:r>
      <w:hyperlink r:id="rId5" w:history="1">
        <w:r w:rsidRPr="00932A01">
          <w:rPr>
            <w:rStyle w:val="Hypertextovprepojenie"/>
            <w:sz w:val="18"/>
            <w:szCs w:val="18"/>
          </w:rPr>
          <w:t>https://europa.eu/epc/working-groups-epc/working-group-ageing-populations-and-sustainability_sk</w:t>
        </w:r>
      </w:hyperlink>
      <w:r w:rsidRPr="00932A01">
        <w:rPr>
          <w:sz w:val="18"/>
          <w:szCs w:val="18"/>
        </w:rPr>
        <w:t xml:space="preserve"> </w:t>
      </w:r>
    </w:p>
  </w:footnote>
  <w:footnote w:id="28">
    <w:p w14:paraId="47494255" w14:textId="7EA8C8B0" w:rsidR="00233E82" w:rsidRPr="0010281C" w:rsidRDefault="00233E82" w:rsidP="00A424A9">
      <w:pPr>
        <w:pStyle w:val="Textpoznmkypodiarou"/>
        <w:jc w:val="both"/>
        <w:rPr>
          <w:sz w:val="18"/>
          <w:szCs w:val="18"/>
        </w:rPr>
      </w:pPr>
      <w:r w:rsidRPr="00BA29DB">
        <w:rPr>
          <w:rStyle w:val="Odkaznapoznmkupodiarou"/>
          <w:sz w:val="18"/>
          <w:szCs w:val="18"/>
        </w:rPr>
        <w:footnoteRef/>
      </w:r>
      <w:r w:rsidRPr="00BA29DB">
        <w:rPr>
          <w:sz w:val="18"/>
          <w:szCs w:val="18"/>
        </w:rPr>
        <w:t xml:space="preserve"> Koncept ,,súhrnného celku“ je definovaný v Súhrnnej účtovnej závierke a je odlišný od definície verejnej správy podľa zákona č. 523/2004 Z. z. o rozpočtových pravidlách verejnej správy a o zmene a doplnení niektorých zákonov. Verejná správa tvorí najpodstatnejšiu časť súhrnného celku, avšak do súhrnného celku vstupujú aj iné subjekty, ktoré nie sú štatisticky zaradené do verejnej správy podľa metodiky </w:t>
      </w:r>
      <w:r>
        <w:rPr>
          <w:sz w:val="18"/>
          <w:szCs w:val="18"/>
        </w:rPr>
        <w:t>ESA2010</w:t>
      </w:r>
      <w:r w:rsidRPr="00BA29DB">
        <w:rPr>
          <w:sz w:val="18"/>
          <w:szCs w:val="18"/>
        </w:rPr>
        <w:t xml:space="preserve">. </w:t>
      </w:r>
    </w:p>
  </w:footnote>
  <w:footnote w:id="29">
    <w:p w14:paraId="25D918A8" w14:textId="6F354D10" w:rsidR="00233E82" w:rsidRPr="00A91FD4" w:rsidRDefault="00233E82">
      <w:pPr>
        <w:pStyle w:val="Textpoznmkypodiarou"/>
        <w:rPr>
          <w:sz w:val="16"/>
          <w:szCs w:val="16"/>
        </w:rPr>
      </w:pPr>
      <w:r w:rsidRPr="00A91FD4">
        <w:rPr>
          <w:rStyle w:val="Odkaznapoznmkupodiarou"/>
          <w:sz w:val="16"/>
          <w:szCs w:val="16"/>
        </w:rPr>
        <w:footnoteRef/>
      </w:r>
      <w:r w:rsidRPr="00A91FD4">
        <w:rPr>
          <w:sz w:val="16"/>
          <w:szCs w:val="16"/>
        </w:rPr>
        <w:t xml:space="preserve"> Ide o Ministerstvo obrany SR, Ministerstvo vnútra SR, Ministerstvo spravodlivosti SR, Ministerstvo financií SR (časť colná a daňová správa) a Národný bezpečnostný úrad.</w:t>
      </w:r>
    </w:p>
  </w:footnote>
  <w:footnote w:id="30">
    <w:p w14:paraId="72E141DB" w14:textId="18374E88" w:rsidR="00233E82" w:rsidRPr="00A50FE7" w:rsidRDefault="00233E82" w:rsidP="00FB260E">
      <w:pPr>
        <w:pStyle w:val="Textpoznmkypodiarou"/>
        <w:jc w:val="both"/>
        <w:rPr>
          <w:sz w:val="16"/>
          <w:szCs w:val="16"/>
        </w:rPr>
      </w:pPr>
      <w:r w:rsidRPr="00A50FE7">
        <w:rPr>
          <w:rStyle w:val="Odkaznapoznmkupodiarou"/>
          <w:rFonts w:eastAsiaTheme="majorEastAsia"/>
          <w:sz w:val="16"/>
          <w:szCs w:val="16"/>
        </w:rPr>
        <w:footnoteRef/>
      </w:r>
      <w:r w:rsidRPr="00A50FE7">
        <w:rPr>
          <w:sz w:val="16"/>
          <w:szCs w:val="16"/>
        </w:rPr>
        <w:t xml:space="preserve"> </w:t>
      </w:r>
      <w:proofErr w:type="spellStart"/>
      <w:r w:rsidRPr="00A50FE7">
        <w:rPr>
          <w:sz w:val="16"/>
          <w:szCs w:val="16"/>
        </w:rPr>
        <w:t>Superdividendy</w:t>
      </w:r>
      <w:proofErr w:type="spellEnd"/>
      <w:r w:rsidRPr="00A50FE7">
        <w:rPr>
          <w:sz w:val="16"/>
          <w:szCs w:val="16"/>
        </w:rPr>
        <w:t xml:space="preserve"> sú všeobecne definované podľa metodiky národných účtov ESA2010 ako dividendy presahujúce poslednú, respektíve nedávnu úroveň dividend a ziskov. </w:t>
      </w:r>
      <w:proofErr w:type="spellStart"/>
      <w:r w:rsidRPr="00A50FE7">
        <w:rPr>
          <w:sz w:val="16"/>
          <w:szCs w:val="16"/>
        </w:rPr>
        <w:t>Superdividendy</w:t>
      </w:r>
      <w:proofErr w:type="spellEnd"/>
      <w:r w:rsidRPr="00A50FE7">
        <w:rPr>
          <w:sz w:val="16"/>
          <w:szCs w:val="16"/>
        </w:rPr>
        <w:t xml:space="preserve"> tak indikujú rýchlejší úbytok vlastného imania podnikov.</w:t>
      </w:r>
    </w:p>
  </w:footnote>
  <w:footnote w:id="31">
    <w:p w14:paraId="46A85549" w14:textId="77777777" w:rsidR="00233E82" w:rsidRPr="00EA3399" w:rsidRDefault="00233E82" w:rsidP="00FB260E">
      <w:pPr>
        <w:pStyle w:val="Textpoznmkypodiarou"/>
        <w:jc w:val="both"/>
      </w:pPr>
      <w:r w:rsidRPr="00A50FE7">
        <w:rPr>
          <w:rStyle w:val="Odkaznapoznmkupodiarou"/>
          <w:rFonts w:eastAsiaTheme="majorEastAsia"/>
          <w:sz w:val="16"/>
          <w:szCs w:val="16"/>
        </w:rPr>
        <w:footnoteRef/>
      </w:r>
      <w:r w:rsidRPr="00A50FE7">
        <w:rPr>
          <w:sz w:val="16"/>
          <w:szCs w:val="16"/>
        </w:rPr>
        <w:t xml:space="preserve"> V prípade vkladov štátu sú tieto realizované prostredníctvom peňažných prostriedkov (najčastejšie použitím štátnych finančných aktív) alebo nepeňažným vkladom (napr. dlhodobým hmotným majetkom štátu).</w:t>
      </w:r>
      <w:r w:rsidRPr="00EA3399">
        <w:t xml:space="preserve"> </w:t>
      </w:r>
    </w:p>
  </w:footnote>
  <w:footnote w:id="32">
    <w:p w14:paraId="61DC8829" w14:textId="77777777" w:rsidR="00233E82" w:rsidRPr="00E52474" w:rsidRDefault="00233E82" w:rsidP="004E5304">
      <w:pPr>
        <w:pStyle w:val="Textpoznmkypodiarou"/>
        <w:jc w:val="both"/>
      </w:pPr>
      <w:r w:rsidRPr="00E52474">
        <w:rPr>
          <w:vertAlign w:val="superscript"/>
        </w:rPr>
        <w:footnoteRef/>
      </w:r>
      <w:r w:rsidRPr="00E52474">
        <w:rPr>
          <w:vertAlign w:val="superscript"/>
        </w:rPr>
        <w:t xml:space="preserve"> </w:t>
      </w:r>
      <w:r w:rsidRPr="00B01A04">
        <w:rPr>
          <w:sz w:val="16"/>
          <w:szCs w:val="16"/>
        </w:rPr>
        <w:t>Predstavuje legislatívu EÚ pre nové nastavenie európskeho trhu s elektrinou v oblasti pripravenosti na riziká, spoločných pravidiel pre vnútorný trh s elektrinou a zriadenie Agentúry Európskej únie pre spoluprácu regulačných orgánov v oblasti energetiky.</w:t>
      </w:r>
    </w:p>
  </w:footnote>
  <w:footnote w:id="33">
    <w:p w14:paraId="64607711" w14:textId="77777777" w:rsidR="00233E82" w:rsidRPr="00A50FE7" w:rsidRDefault="00233E82" w:rsidP="004E5304">
      <w:pPr>
        <w:pStyle w:val="Textpoznmkypodiarou"/>
        <w:rPr>
          <w:sz w:val="16"/>
          <w:szCs w:val="16"/>
        </w:rPr>
      </w:pPr>
      <w:r w:rsidRPr="00A50FE7">
        <w:rPr>
          <w:rStyle w:val="Odkaznapoznmkupodiarou"/>
          <w:rFonts w:eastAsiaTheme="majorEastAsia"/>
          <w:sz w:val="16"/>
          <w:szCs w:val="16"/>
        </w:rPr>
        <w:footnoteRef/>
      </w:r>
      <w:r w:rsidRPr="00A50FE7">
        <w:rPr>
          <w:sz w:val="16"/>
          <w:szCs w:val="16"/>
        </w:rPr>
        <w:t xml:space="preserve"> Uznesenie vlády č. 425/2017</w:t>
      </w:r>
    </w:p>
  </w:footnote>
  <w:footnote w:id="34">
    <w:p w14:paraId="0F091025" w14:textId="77777777" w:rsidR="00233E82" w:rsidRPr="00111393" w:rsidRDefault="00233E82" w:rsidP="008E3F8E">
      <w:pPr>
        <w:pStyle w:val="Textpoznmkypodiarou"/>
        <w:jc w:val="both"/>
      </w:pPr>
      <w:r w:rsidRPr="00111393">
        <w:rPr>
          <w:rStyle w:val="Odkaznapoznmkupodiarou"/>
          <w:sz w:val="16"/>
          <w:szCs w:val="16"/>
        </w:rPr>
        <w:footnoteRef/>
      </w:r>
      <w:r w:rsidRPr="00111393">
        <w:rPr>
          <w:color w:val="000000"/>
          <w:sz w:val="16"/>
          <w:szCs w:val="16"/>
        </w:rPr>
        <w:t xml:space="preserve"> Simulácia implicitných záväzkov v nekonečnom horizonte je súčasťou </w:t>
      </w:r>
      <w:r>
        <w:rPr>
          <w:color w:val="000000"/>
          <w:sz w:val="16"/>
          <w:szCs w:val="16"/>
        </w:rPr>
        <w:t xml:space="preserve">BOXU 1 v prílohe 5. Implicitné záväzky </w:t>
      </w:r>
      <w:hyperlink r:id="rId6" w:history="1">
        <w:r w:rsidRPr="00E45485">
          <w:rPr>
            <w:rStyle w:val="Hypertextovprepojenie"/>
            <w:sz w:val="16"/>
            <w:szCs w:val="16"/>
          </w:rPr>
          <w:t>Návrhu rozpočtu verejnej správy na roky 2022 až 2024.</w:t>
        </w:r>
      </w:hyperlink>
    </w:p>
  </w:footnote>
  <w:footnote w:id="35">
    <w:p w14:paraId="69BD17D5" w14:textId="77777777" w:rsidR="00233E82" w:rsidRPr="00111393" w:rsidRDefault="00233E82" w:rsidP="008E3F8E">
      <w:pPr>
        <w:pStyle w:val="Textpoznmkypodiarou"/>
        <w:jc w:val="both"/>
        <w:rPr>
          <w:sz w:val="16"/>
          <w:szCs w:val="16"/>
        </w:rPr>
      </w:pPr>
      <w:r w:rsidRPr="00111393">
        <w:rPr>
          <w:rStyle w:val="Odkaznapoznmkupodiarou"/>
          <w:sz w:val="16"/>
          <w:szCs w:val="16"/>
        </w:rPr>
        <w:footnoteRef/>
      </w:r>
      <w:r w:rsidRPr="00111393">
        <w:rPr>
          <w:sz w:val="16"/>
          <w:szCs w:val="16"/>
        </w:rPr>
        <w:t xml:space="preserve"> </w:t>
      </w:r>
      <w:r>
        <w:rPr>
          <w:color w:val="000000"/>
          <w:sz w:val="16"/>
          <w:szCs w:val="16"/>
        </w:rPr>
        <w:t>Implicitné záväzky za rok 2020</w:t>
      </w:r>
      <w:r w:rsidRPr="00111393">
        <w:rPr>
          <w:color w:val="000000"/>
          <w:sz w:val="16"/>
          <w:szCs w:val="16"/>
        </w:rPr>
        <w:t xml:space="preserve"> neuvažujú s legislatívnymi opatreniami</w:t>
      </w:r>
      <w:r>
        <w:rPr>
          <w:color w:val="000000"/>
          <w:sz w:val="16"/>
          <w:szCs w:val="16"/>
        </w:rPr>
        <w:t xml:space="preserve"> prijatými v NR SR po 31.12.2020</w:t>
      </w:r>
      <w:r w:rsidRPr="00111393">
        <w:rPr>
          <w:color w:val="000000"/>
          <w:sz w:val="16"/>
          <w:szCs w:val="16"/>
        </w:rPr>
        <w:t>.</w:t>
      </w:r>
    </w:p>
  </w:footnote>
  <w:footnote w:id="36">
    <w:p w14:paraId="16482FA8" w14:textId="77777777" w:rsidR="00233E82" w:rsidRPr="00D23DCB" w:rsidRDefault="00233E82" w:rsidP="008E3F8E">
      <w:pPr>
        <w:spacing w:after="0" w:line="240" w:lineRule="auto"/>
        <w:jc w:val="both"/>
        <w:rPr>
          <w:i/>
          <w:iCs/>
          <w:sz w:val="16"/>
          <w:szCs w:val="16"/>
        </w:rPr>
      </w:pPr>
      <w:r w:rsidRPr="00111393">
        <w:rPr>
          <w:rStyle w:val="Odkaznapoznmkupodiarou"/>
          <w:color w:val="000000"/>
          <w:sz w:val="16"/>
          <w:szCs w:val="16"/>
        </w:rPr>
        <w:footnoteRef/>
      </w:r>
      <w:r w:rsidRPr="00111393">
        <w:rPr>
          <w:color w:val="000000"/>
          <w:sz w:val="16"/>
          <w:szCs w:val="16"/>
        </w:rPr>
        <w:t xml:space="preserve"> </w:t>
      </w:r>
      <w:r w:rsidRPr="00111393">
        <w:rPr>
          <w:sz w:val="16"/>
          <w:szCs w:val="16"/>
        </w:rPr>
        <w:t xml:space="preserve">Uvedené výsledky je zároveň potrebné interpretovať starostlivo. </w:t>
      </w:r>
      <w:r w:rsidRPr="00111393">
        <w:rPr>
          <w:iCs/>
          <w:color w:val="000000"/>
          <w:sz w:val="16"/>
          <w:szCs w:val="16"/>
        </w:rPr>
        <w:t>Pri výpočte implicitných záväzkov je potrebné brať do úvahy fakt, že hodnota implicitných záväzkov plynúcich zo starnutia</w:t>
      </w:r>
      <w:r w:rsidRPr="00111393">
        <w:rPr>
          <w:bCs/>
          <w:iCs/>
          <w:color w:val="000000"/>
          <w:sz w:val="16"/>
          <w:szCs w:val="16"/>
        </w:rPr>
        <w:t xml:space="preserve"> je vyjadrená v súčasnej hodnote a v pomere k aktuálnemu výkonu ekonomiky (% HDP)</w:t>
      </w:r>
      <w:r w:rsidRPr="00111393">
        <w:rPr>
          <w:iCs/>
          <w:color w:val="000000"/>
          <w:sz w:val="16"/>
          <w:szCs w:val="16"/>
        </w:rPr>
        <w:t xml:space="preserve">. </w:t>
      </w:r>
      <w:r w:rsidRPr="00111393">
        <w:rPr>
          <w:bCs/>
          <w:iCs/>
          <w:color w:val="000000"/>
          <w:sz w:val="16"/>
          <w:szCs w:val="16"/>
        </w:rPr>
        <w:t xml:space="preserve">Pozitívny efekt menovateľa z očakávaného rastu HDP v budúcnosti nie je v hodnote implicitných záväzkov zohľadnený. Zároveň, </w:t>
      </w:r>
      <w:r w:rsidRPr="00111393">
        <w:rPr>
          <w:sz w:val="16"/>
          <w:szCs w:val="16"/>
        </w:rPr>
        <w:t>neistota celkových implicitných záväzkov pramení aj z relatívne vysokej váhy posledného bodu projekcie, ktorý je základom pre odhad záväzkov v nekonečnom horizonte.</w:t>
      </w:r>
    </w:p>
  </w:footnote>
  <w:footnote w:id="37">
    <w:p w14:paraId="6A58FB5F" w14:textId="77777777" w:rsidR="00233E82" w:rsidRPr="00D23DCB" w:rsidRDefault="00233E82" w:rsidP="008E3F8E">
      <w:pPr>
        <w:pStyle w:val="Textpoznmkypodiarou"/>
        <w:jc w:val="both"/>
        <w:rPr>
          <w:sz w:val="16"/>
          <w:szCs w:val="16"/>
        </w:rPr>
      </w:pPr>
      <w:r w:rsidRPr="009E09F0">
        <w:rPr>
          <w:rStyle w:val="Odkaznapoznmkupodiarou"/>
          <w:sz w:val="16"/>
          <w:szCs w:val="16"/>
        </w:rPr>
        <w:footnoteRef/>
      </w:r>
      <w:r w:rsidRPr="00D23DCB">
        <w:rPr>
          <w:sz w:val="16"/>
          <w:szCs w:val="16"/>
        </w:rPr>
        <w:t xml:space="preserve"> V porovnaní s predchádzajúcim vyhodnotením implicitn</w:t>
      </w:r>
      <w:r>
        <w:rPr>
          <w:sz w:val="16"/>
          <w:szCs w:val="16"/>
        </w:rPr>
        <w:t>ých záväzkov pre SVS na rok 2019</w:t>
      </w:r>
      <w:r w:rsidRPr="00D23DCB">
        <w:rPr>
          <w:sz w:val="16"/>
          <w:szCs w:val="16"/>
        </w:rPr>
        <w:t xml:space="preserve"> došlo k posunu sl</w:t>
      </w:r>
      <w:r>
        <w:rPr>
          <w:sz w:val="16"/>
          <w:szCs w:val="16"/>
        </w:rPr>
        <w:t>edovaného horizontu na roky 2020 až 2064</w:t>
      </w:r>
      <w:r w:rsidRPr="00D23DCB">
        <w:rPr>
          <w:sz w:val="16"/>
          <w:szCs w:val="16"/>
        </w:rPr>
        <w:t>.</w:t>
      </w:r>
    </w:p>
  </w:footnote>
  <w:footnote w:id="38">
    <w:p w14:paraId="72B06651" w14:textId="77777777" w:rsidR="00233E82" w:rsidRPr="00E16FD4" w:rsidRDefault="00233E82" w:rsidP="008E3F8E">
      <w:pPr>
        <w:pStyle w:val="Textpoznmkypodiarou"/>
        <w:jc w:val="both"/>
        <w:rPr>
          <w:sz w:val="16"/>
        </w:rPr>
      </w:pPr>
      <w:r w:rsidRPr="00694187">
        <w:rPr>
          <w:rStyle w:val="Odkaznapoznmkupodiarou"/>
          <w:rFonts w:eastAsiaTheme="majorEastAsia"/>
          <w:sz w:val="16"/>
        </w:rPr>
        <w:footnoteRef/>
      </w:r>
      <w:r w:rsidRPr="00694187">
        <w:rPr>
          <w:sz w:val="16"/>
        </w:rPr>
        <w:t xml:space="preserve"> Pôvodný odhad výsluhových dôchodkov zahrnutý vo vlastnom imaní vychádzal z </w:t>
      </w:r>
      <w:proofErr w:type="spellStart"/>
      <w:r w:rsidRPr="00694187">
        <w:rPr>
          <w:sz w:val="16"/>
        </w:rPr>
        <w:t>aktuárskeho</w:t>
      </w:r>
      <w:proofErr w:type="spellEnd"/>
      <w:r w:rsidRPr="00694187">
        <w:rPr>
          <w:sz w:val="16"/>
        </w:rPr>
        <w:t xml:space="preserve"> prístupu, ktorý uvažoval len s rezervou na plnenie záväzkov existujúcich dôchodcov a tých, ktorí sú v silových zložkách aktuálne zamestnaní. Zároveň výpočet abstrahoval od príjmov tejto penzijnej schémy. Touto zmenou sa taktiež zabezpečí konzistentné porovnanie implicitných záväzkov v návrhu rozpočtu verejnej správy.</w:t>
      </w:r>
    </w:p>
  </w:footnote>
  <w:footnote w:id="39">
    <w:p w14:paraId="74522676" w14:textId="77777777" w:rsidR="00233E82" w:rsidRDefault="00233E82" w:rsidP="008E3F8E">
      <w:pPr>
        <w:pStyle w:val="Textpoznmkypodiarou"/>
        <w:jc w:val="both"/>
      </w:pPr>
      <w:r w:rsidRPr="009E09F0">
        <w:rPr>
          <w:rStyle w:val="Odkaznapoznmkupodiarou"/>
          <w:sz w:val="16"/>
        </w:rPr>
        <w:footnoteRef/>
      </w:r>
      <w:r w:rsidRPr="006B1C5F">
        <w:rPr>
          <w:sz w:val="16"/>
        </w:rPr>
        <w:t xml:space="preserve"> Pri projektoch rýchlostnej cesty R1 a novom projekte výstavby väzenského zariadenia do roku 2041 a </w:t>
      </w:r>
      <w:r>
        <w:rPr>
          <w:sz w:val="16"/>
        </w:rPr>
        <w:t>pri projekte D4/R7 do roku 2050</w:t>
      </w:r>
      <w:r w:rsidRPr="006B1C5F">
        <w:rPr>
          <w:sz w:val="16"/>
        </w:rPr>
        <w:t>.</w:t>
      </w:r>
    </w:p>
  </w:footnote>
  <w:footnote w:id="40">
    <w:p w14:paraId="0E9A7295" w14:textId="77777777" w:rsidR="00233E82" w:rsidRPr="00846B5C" w:rsidRDefault="00233E82" w:rsidP="008E3F8E">
      <w:pPr>
        <w:pStyle w:val="Textpoznmkypodiarou"/>
        <w:jc w:val="both"/>
        <w:rPr>
          <w:sz w:val="16"/>
          <w:szCs w:val="16"/>
        </w:rPr>
      </w:pPr>
      <w:r w:rsidRPr="009E09F0">
        <w:rPr>
          <w:rStyle w:val="Odkaznapoznmkupodiarou"/>
          <w:sz w:val="16"/>
          <w:szCs w:val="16"/>
        </w:rPr>
        <w:footnoteRef/>
      </w:r>
      <w:r w:rsidRPr="00846B5C">
        <w:rPr>
          <w:sz w:val="16"/>
          <w:szCs w:val="16"/>
        </w:rPr>
        <w:t xml:space="preserve"> Schéma bola aktualizovaná o nové údaje o príjmoch a nákladoch Národ</w:t>
      </w:r>
      <w:r>
        <w:rPr>
          <w:sz w:val="16"/>
          <w:szCs w:val="16"/>
        </w:rPr>
        <w:t>ného jadrového fondu z roku 2020</w:t>
      </w:r>
      <w:r w:rsidRPr="00846B5C">
        <w:rPr>
          <w:sz w:val="16"/>
          <w:szCs w:val="16"/>
        </w:rPr>
        <w:t>.</w:t>
      </w:r>
    </w:p>
  </w:footnote>
  <w:footnote w:id="41">
    <w:p w14:paraId="562A7F64" w14:textId="77777777" w:rsidR="00233E82" w:rsidRPr="00846B5C" w:rsidRDefault="00233E82" w:rsidP="008E3F8E">
      <w:pPr>
        <w:autoSpaceDE w:val="0"/>
        <w:autoSpaceDN w:val="0"/>
        <w:adjustRightInd w:val="0"/>
        <w:spacing w:after="0" w:line="240" w:lineRule="auto"/>
        <w:jc w:val="both"/>
        <w:rPr>
          <w:sz w:val="16"/>
          <w:szCs w:val="16"/>
        </w:rPr>
      </w:pPr>
      <w:r w:rsidRPr="009E09F0">
        <w:rPr>
          <w:rStyle w:val="Odkaznapoznmkupodiarou"/>
          <w:sz w:val="16"/>
          <w:szCs w:val="16"/>
        </w:rPr>
        <w:footnoteRef/>
      </w:r>
      <w:r w:rsidRPr="00846B5C">
        <w:rPr>
          <w:sz w:val="16"/>
          <w:szCs w:val="16"/>
        </w:rPr>
        <w:t xml:space="preserve"> Na základe údajov MH SR a NJF. Implicitný záväzok súvisiaci s Národným jadrovým fondom vyplýva z financovania vyraďovania</w:t>
      </w:r>
      <w:r>
        <w:rPr>
          <w:sz w:val="16"/>
          <w:szCs w:val="16"/>
        </w:rPr>
        <w:t xml:space="preserve"> jadrových </w:t>
      </w:r>
      <w:r w:rsidRPr="00846B5C">
        <w:rPr>
          <w:sz w:val="16"/>
          <w:szCs w:val="16"/>
        </w:rPr>
        <w:t>zariadení. Veľkosť budúcich nákladov výraznejšie porastie kvôli zvyšujúcim sa nákladom na skladovanie a likvidáciu jadrového odpadu. Avšak v celom horizonte, najmä vďaka kumulujúcemu sa prebytku fondu v prvých dekádach, je vplyv Národného jadrového fondu kladný</w:t>
      </w:r>
      <w:r>
        <w:rPr>
          <w:sz w:val="16"/>
          <w:szCs w:val="16"/>
        </w:rPr>
        <w:t>.</w:t>
      </w:r>
    </w:p>
  </w:footnote>
  <w:footnote w:id="42">
    <w:p w14:paraId="12F0079A" w14:textId="1DFF712B" w:rsidR="00233E82" w:rsidRPr="00786A01" w:rsidRDefault="00233E82" w:rsidP="00B447F4">
      <w:pPr>
        <w:pStyle w:val="Textpoznmkypodiarou"/>
        <w:jc w:val="both"/>
        <w:rPr>
          <w:sz w:val="16"/>
          <w:szCs w:val="16"/>
        </w:rPr>
      </w:pPr>
      <w:r w:rsidRPr="00786A01">
        <w:rPr>
          <w:rStyle w:val="Odkaznapoznmkupodiarou"/>
          <w:sz w:val="16"/>
          <w:szCs w:val="16"/>
        </w:rPr>
        <w:footnoteRef/>
      </w:r>
      <w:r w:rsidRPr="00786A01">
        <w:rPr>
          <w:sz w:val="16"/>
          <w:szCs w:val="16"/>
        </w:rPr>
        <w:t xml:space="preserve"> Na  základe internej analýzy metodík a prístupov k podmieneným záväzkom a analýzy konkrétnych prípadov v účtovných závierkach subjektov, ktorú vykonalo Ministerstvo financií SR v roku 2021, sa ako podmienené záväzky nevykazujú napríklad deklarované kapitálové výdavky na obstaranie infraštruktúry, zmeny z aplikácie účtovných štandardov, podsúvahové položky majetku</w:t>
      </w:r>
      <w:r>
        <w:rPr>
          <w:sz w:val="16"/>
          <w:szCs w:val="16"/>
        </w:rPr>
        <w:t xml:space="preserve"> v úschove, majetok v nájme</w:t>
      </w:r>
      <w:r w:rsidRPr="00786A01">
        <w:rPr>
          <w:sz w:val="16"/>
          <w:szCs w:val="16"/>
        </w:rPr>
        <w:t>.</w:t>
      </w:r>
      <w:r>
        <w:rPr>
          <w:sz w:val="16"/>
          <w:szCs w:val="16"/>
        </w:rPr>
        <w:t xml:space="preserve"> Ide o položky, ktoré svojou povahou nezvyšujú čisté bohatstvo v danom čase. Napríklad spomenuté investičné výdavky resp. rozpočet kapitálových výdavkov, </w:t>
      </w:r>
      <w:proofErr w:type="spellStart"/>
      <w:r>
        <w:rPr>
          <w:sz w:val="16"/>
          <w:szCs w:val="16"/>
        </w:rPr>
        <w:t>zazmluvnené</w:t>
      </w:r>
      <w:proofErr w:type="spellEnd"/>
      <w:r>
        <w:rPr>
          <w:sz w:val="16"/>
          <w:szCs w:val="16"/>
        </w:rPr>
        <w:t xml:space="preserve"> kontrakty s dodávateľom sa najprv zhmotnia vo výdavkoch (odliv finančných prostriedkov) a následne v prírastku majetku. Ide teda o zmenu štruktúry majetku, kedy sa finančné prostriedky menia na hmotný či nehmotný majetok. Obdobne majetok v nájme či v úschove nie je vlastníctvom danej organizácie, preto nezvyšuje čisté bohatstvo do momentu zmeny vlastníctva.</w:t>
      </w:r>
    </w:p>
  </w:footnote>
  <w:footnote w:id="43">
    <w:p w14:paraId="2ECF2D8E" w14:textId="77777777" w:rsidR="00233E82" w:rsidRPr="00964008" w:rsidRDefault="00233E82" w:rsidP="00E64E4C">
      <w:pPr>
        <w:pStyle w:val="Textpoznmkypodiarou"/>
        <w:jc w:val="both"/>
        <w:rPr>
          <w:sz w:val="16"/>
          <w:szCs w:val="16"/>
        </w:rPr>
      </w:pPr>
      <w:r w:rsidRPr="00964008">
        <w:rPr>
          <w:rStyle w:val="Odkaznapoznmkupodiarou"/>
          <w:rFonts w:eastAsiaTheme="majorEastAsia"/>
          <w:sz w:val="16"/>
          <w:szCs w:val="16"/>
        </w:rPr>
        <w:footnoteRef/>
      </w:r>
      <w:r w:rsidRPr="00964008">
        <w:rPr>
          <w:sz w:val="16"/>
          <w:szCs w:val="16"/>
        </w:rPr>
        <w:t xml:space="preserve"> Vyčíslenie hodnoty je možné len za subjekty, ktoré predložili účtovnú závierku, prípadne bližšie podklady za príslušný rok.</w:t>
      </w:r>
    </w:p>
  </w:footnote>
  <w:footnote w:id="44">
    <w:p w14:paraId="1A1FB5F2" w14:textId="77777777" w:rsidR="00233E82" w:rsidRPr="00FE64B3" w:rsidRDefault="00233E82" w:rsidP="008412FF">
      <w:pPr>
        <w:pStyle w:val="Textpoznmkypodiarou"/>
        <w:rPr>
          <w:sz w:val="16"/>
          <w:szCs w:val="16"/>
        </w:rPr>
      </w:pPr>
      <w:r w:rsidRPr="00FE64B3">
        <w:rPr>
          <w:rStyle w:val="Odkaznapoznmkupodiarou"/>
          <w:rFonts w:eastAsiaTheme="majorEastAsia"/>
          <w:sz w:val="16"/>
          <w:szCs w:val="16"/>
        </w:rPr>
        <w:footnoteRef/>
      </w:r>
      <w:r w:rsidRPr="00FE64B3">
        <w:rPr>
          <w:sz w:val="16"/>
          <w:szCs w:val="16"/>
        </w:rPr>
        <w:t xml:space="preserve"> Parlamentná tlač 310, hlasovanie č. 74 16. schôdze NR SR</w:t>
      </w:r>
    </w:p>
  </w:footnote>
  <w:footnote w:id="45">
    <w:p w14:paraId="251F4B26" w14:textId="77777777" w:rsidR="00233E82" w:rsidRPr="00FE64B3" w:rsidRDefault="00233E82" w:rsidP="008412FF">
      <w:pPr>
        <w:pStyle w:val="Textpoznmkypodiarou"/>
        <w:jc w:val="both"/>
        <w:rPr>
          <w:sz w:val="16"/>
          <w:szCs w:val="16"/>
        </w:rPr>
      </w:pPr>
      <w:r w:rsidRPr="00FE64B3">
        <w:rPr>
          <w:rStyle w:val="Odkaznapoznmkupodiarou"/>
          <w:sz w:val="16"/>
          <w:szCs w:val="16"/>
        </w:rPr>
        <w:footnoteRef/>
      </w:r>
      <w:r w:rsidRPr="00FE64B3">
        <w:rPr>
          <w:sz w:val="16"/>
          <w:szCs w:val="16"/>
        </w:rPr>
        <w:t xml:space="preserve"> Bližšie informácie sú dostupné na oficiálne stránke </w:t>
      </w:r>
      <w:hyperlink r:id="rId7" w:history="1">
        <w:r w:rsidRPr="00FE64B3">
          <w:rPr>
            <w:rStyle w:val="Hypertextovprepojenie"/>
            <w:sz w:val="16"/>
            <w:szCs w:val="16"/>
          </w:rPr>
          <w:t>www.esm.europa.eu</w:t>
        </w:r>
      </w:hyperlink>
      <w:r w:rsidRPr="00FE64B3">
        <w:rPr>
          <w:sz w:val="16"/>
          <w:szCs w:val="16"/>
        </w:rPr>
        <w:t xml:space="preserve">, ktorá je spoločná aj pre popis nástroja EFSF. </w:t>
      </w:r>
    </w:p>
  </w:footnote>
  <w:footnote w:id="46">
    <w:p w14:paraId="3C92A721" w14:textId="77777777" w:rsidR="00233E82" w:rsidRPr="00FE64B3" w:rsidRDefault="00233E82" w:rsidP="008412FF">
      <w:pPr>
        <w:spacing w:after="0" w:line="240" w:lineRule="auto"/>
        <w:jc w:val="both"/>
        <w:rPr>
          <w:sz w:val="16"/>
          <w:szCs w:val="16"/>
        </w:rPr>
      </w:pPr>
      <w:r w:rsidRPr="00FE64B3">
        <w:rPr>
          <w:rStyle w:val="Odkaznapoznmkupodiarou"/>
          <w:sz w:val="16"/>
          <w:szCs w:val="16"/>
        </w:rPr>
        <w:footnoteRef/>
      </w:r>
      <w:r w:rsidRPr="00FE64B3">
        <w:rPr>
          <w:sz w:val="16"/>
          <w:szCs w:val="16"/>
        </w:rPr>
        <w:t xml:space="preserve"> EFSF má vplyv aj na dlh verejnej správy (kapitola 1.2.). Odlišná suma vyplýva z rozdielnej metodiky výpočtu dlhu a podmienených záväzkov, ktorá bola podrobnejšie vysvetľovaná v predchádzajúcich ročníkoch Súhrnnej výročnej správy.</w:t>
      </w:r>
    </w:p>
    <w:p w14:paraId="61226AE9" w14:textId="77777777" w:rsidR="00233E82" w:rsidRDefault="00233E82" w:rsidP="009A479F">
      <w:pPr>
        <w:pStyle w:val="Textpoznmkypodiarou"/>
      </w:pPr>
    </w:p>
  </w:footnote>
  <w:footnote w:id="47">
    <w:p w14:paraId="63351B24" w14:textId="77777777" w:rsidR="00233E82" w:rsidRPr="00FE64B3" w:rsidRDefault="00233E82" w:rsidP="009B0DE7">
      <w:pPr>
        <w:pStyle w:val="Textpoznmkypodiarou"/>
        <w:rPr>
          <w:sz w:val="16"/>
          <w:szCs w:val="16"/>
        </w:rPr>
      </w:pPr>
      <w:r w:rsidRPr="00FE64B3">
        <w:rPr>
          <w:rStyle w:val="Odkaznapoznmkupodiarou"/>
          <w:sz w:val="16"/>
          <w:szCs w:val="16"/>
        </w:rPr>
        <w:footnoteRef/>
      </w:r>
      <w:r w:rsidRPr="00FE64B3">
        <w:rPr>
          <w:sz w:val="16"/>
          <w:szCs w:val="16"/>
        </w:rPr>
        <w:t xml:space="preserve"> Koncepcia oddlženia zdravotníckych zariadení </w:t>
      </w:r>
      <w:hyperlink r:id="rId8" w:history="1">
        <w:r w:rsidRPr="00FE64B3">
          <w:rPr>
            <w:rStyle w:val="Hypertextovprepojenie"/>
            <w:sz w:val="16"/>
            <w:szCs w:val="16"/>
          </w:rPr>
          <w:t>https://rokovania.gov.sk/RVL/Material/22174/2</w:t>
        </w:r>
      </w:hyperlink>
      <w:r w:rsidRPr="00FE64B3">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9381C" w14:textId="55E60DC3" w:rsidR="00233E82" w:rsidRDefault="00233E82" w:rsidP="00254DF2">
    <w:pPr>
      <w:pStyle w:val="Hlavika"/>
      <w:pBdr>
        <w:bottom w:val="thickThinSmallGap" w:sz="24" w:space="1" w:color="622423"/>
      </w:pBdr>
      <w:tabs>
        <w:tab w:val="clear" w:pos="4536"/>
        <w:tab w:val="clear" w:pos="9072"/>
      </w:tabs>
      <w:ind w:right="-1"/>
      <w:jc w:val="center"/>
      <w:rPr>
        <w:i/>
        <w:color w:val="C00000"/>
        <w:sz w:val="24"/>
        <w:szCs w:val="24"/>
      </w:rPr>
    </w:pPr>
    <w:r>
      <w:rPr>
        <w:i/>
        <w:color w:val="C00000"/>
        <w:sz w:val="24"/>
        <w:szCs w:val="24"/>
      </w:rPr>
      <w:t>S</w:t>
    </w:r>
    <w:r w:rsidRPr="00012A0B">
      <w:rPr>
        <w:i/>
        <w:color w:val="C00000"/>
        <w:sz w:val="24"/>
        <w:szCs w:val="24"/>
      </w:rPr>
      <w:t xml:space="preserve">úhrnná výročná správa </w:t>
    </w:r>
    <w:r>
      <w:rPr>
        <w:i/>
        <w:color w:val="C00000"/>
        <w:sz w:val="24"/>
        <w:szCs w:val="24"/>
      </w:rPr>
      <w:t>Slovenskej republiky za rok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280685C"/>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45F6B6D"/>
    <w:multiLevelType w:val="multilevel"/>
    <w:tmpl w:val="870C39CC"/>
    <w:lvl w:ilvl="0">
      <w:start w:val="2"/>
      <w:numFmt w:val="decimal"/>
      <w:lvlText w:val="%1."/>
      <w:lvlJc w:val="left"/>
      <w:pPr>
        <w:ind w:left="9291"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288" w:hanging="720"/>
      </w:pPr>
      <w:rPr>
        <w:rFonts w:cs="Times New Roman"/>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CE4349F"/>
    <w:multiLevelType w:val="hybridMultilevel"/>
    <w:tmpl w:val="61B4D630"/>
    <w:lvl w:ilvl="0" w:tplc="D44AD28C">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4E71D2D"/>
    <w:multiLevelType w:val="hybridMultilevel"/>
    <w:tmpl w:val="EB8ACC28"/>
    <w:lvl w:ilvl="0" w:tplc="041B0005">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C4196D"/>
    <w:multiLevelType w:val="multilevel"/>
    <w:tmpl w:val="2AC2CD56"/>
    <w:lvl w:ilvl="0">
      <w:start w:val="3"/>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1E886E9B"/>
    <w:multiLevelType w:val="hybridMultilevel"/>
    <w:tmpl w:val="14822A16"/>
    <w:lvl w:ilvl="0" w:tplc="31A874A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108724E"/>
    <w:multiLevelType w:val="hybridMultilevel"/>
    <w:tmpl w:val="01520ACA"/>
    <w:lvl w:ilvl="0" w:tplc="ED3CBF06">
      <w:numFmt w:val="bullet"/>
      <w:lvlText w:val="-"/>
      <w:lvlJc w:val="left"/>
      <w:pPr>
        <w:ind w:left="1057" w:hanging="360"/>
      </w:pPr>
      <w:rPr>
        <w:rFonts w:ascii="Times New Roman" w:eastAsia="Times New Roman" w:hAnsi="Times New Roman" w:cs="Times New Roman" w:hint="default"/>
      </w:rPr>
    </w:lvl>
    <w:lvl w:ilvl="1" w:tplc="041B0003" w:tentative="1">
      <w:start w:val="1"/>
      <w:numFmt w:val="bullet"/>
      <w:lvlText w:val="o"/>
      <w:lvlJc w:val="left"/>
      <w:pPr>
        <w:ind w:left="1777" w:hanging="360"/>
      </w:pPr>
      <w:rPr>
        <w:rFonts w:ascii="Courier New" w:hAnsi="Courier New" w:cs="Courier New" w:hint="default"/>
      </w:rPr>
    </w:lvl>
    <w:lvl w:ilvl="2" w:tplc="041B0005" w:tentative="1">
      <w:start w:val="1"/>
      <w:numFmt w:val="bullet"/>
      <w:lvlText w:val=""/>
      <w:lvlJc w:val="left"/>
      <w:pPr>
        <w:ind w:left="2497" w:hanging="360"/>
      </w:pPr>
      <w:rPr>
        <w:rFonts w:ascii="Wingdings" w:hAnsi="Wingdings" w:hint="default"/>
      </w:rPr>
    </w:lvl>
    <w:lvl w:ilvl="3" w:tplc="041B0001" w:tentative="1">
      <w:start w:val="1"/>
      <w:numFmt w:val="bullet"/>
      <w:lvlText w:val=""/>
      <w:lvlJc w:val="left"/>
      <w:pPr>
        <w:ind w:left="3217" w:hanging="360"/>
      </w:pPr>
      <w:rPr>
        <w:rFonts w:ascii="Symbol" w:hAnsi="Symbol" w:hint="default"/>
      </w:rPr>
    </w:lvl>
    <w:lvl w:ilvl="4" w:tplc="041B0003" w:tentative="1">
      <w:start w:val="1"/>
      <w:numFmt w:val="bullet"/>
      <w:lvlText w:val="o"/>
      <w:lvlJc w:val="left"/>
      <w:pPr>
        <w:ind w:left="3937" w:hanging="360"/>
      </w:pPr>
      <w:rPr>
        <w:rFonts w:ascii="Courier New" w:hAnsi="Courier New" w:cs="Courier New" w:hint="default"/>
      </w:rPr>
    </w:lvl>
    <w:lvl w:ilvl="5" w:tplc="041B0005" w:tentative="1">
      <w:start w:val="1"/>
      <w:numFmt w:val="bullet"/>
      <w:lvlText w:val=""/>
      <w:lvlJc w:val="left"/>
      <w:pPr>
        <w:ind w:left="4657" w:hanging="360"/>
      </w:pPr>
      <w:rPr>
        <w:rFonts w:ascii="Wingdings" w:hAnsi="Wingdings" w:hint="default"/>
      </w:rPr>
    </w:lvl>
    <w:lvl w:ilvl="6" w:tplc="041B0001" w:tentative="1">
      <w:start w:val="1"/>
      <w:numFmt w:val="bullet"/>
      <w:lvlText w:val=""/>
      <w:lvlJc w:val="left"/>
      <w:pPr>
        <w:ind w:left="5377" w:hanging="360"/>
      </w:pPr>
      <w:rPr>
        <w:rFonts w:ascii="Symbol" w:hAnsi="Symbol" w:hint="default"/>
      </w:rPr>
    </w:lvl>
    <w:lvl w:ilvl="7" w:tplc="041B0003" w:tentative="1">
      <w:start w:val="1"/>
      <w:numFmt w:val="bullet"/>
      <w:lvlText w:val="o"/>
      <w:lvlJc w:val="left"/>
      <w:pPr>
        <w:ind w:left="6097" w:hanging="360"/>
      </w:pPr>
      <w:rPr>
        <w:rFonts w:ascii="Courier New" w:hAnsi="Courier New" w:cs="Courier New" w:hint="default"/>
      </w:rPr>
    </w:lvl>
    <w:lvl w:ilvl="8" w:tplc="041B0005" w:tentative="1">
      <w:start w:val="1"/>
      <w:numFmt w:val="bullet"/>
      <w:lvlText w:val=""/>
      <w:lvlJc w:val="left"/>
      <w:pPr>
        <w:ind w:left="6817" w:hanging="360"/>
      </w:pPr>
      <w:rPr>
        <w:rFonts w:ascii="Wingdings" w:hAnsi="Wingdings" w:hint="default"/>
      </w:rPr>
    </w:lvl>
  </w:abstractNum>
  <w:abstractNum w:abstractNumId="7" w15:restartNumberingAfterBreak="0">
    <w:nsid w:val="212D6907"/>
    <w:multiLevelType w:val="hybridMultilevel"/>
    <w:tmpl w:val="1AA20320"/>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14C2846"/>
    <w:multiLevelType w:val="hybridMultilevel"/>
    <w:tmpl w:val="83D606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1D21B27"/>
    <w:multiLevelType w:val="hybridMultilevel"/>
    <w:tmpl w:val="B038D32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235B102C"/>
    <w:multiLevelType w:val="hybridMultilevel"/>
    <w:tmpl w:val="B0F2E37C"/>
    <w:lvl w:ilvl="0" w:tplc="31A874AE">
      <w:numFmt w:val="bullet"/>
      <w:lvlText w:val="-"/>
      <w:lvlJc w:val="left"/>
      <w:pPr>
        <w:ind w:left="1155" w:hanging="360"/>
      </w:pPr>
      <w:rPr>
        <w:rFonts w:ascii="Times New Roman" w:eastAsia="Times New Roman" w:hAnsi="Times New Roman" w:cs="Times New Roman" w:hint="default"/>
      </w:rPr>
    </w:lvl>
    <w:lvl w:ilvl="1" w:tplc="041B0003" w:tentative="1">
      <w:start w:val="1"/>
      <w:numFmt w:val="bullet"/>
      <w:lvlText w:val="o"/>
      <w:lvlJc w:val="left"/>
      <w:pPr>
        <w:ind w:left="1875" w:hanging="360"/>
      </w:pPr>
      <w:rPr>
        <w:rFonts w:ascii="Courier New" w:hAnsi="Courier New" w:cs="Courier New" w:hint="default"/>
      </w:rPr>
    </w:lvl>
    <w:lvl w:ilvl="2" w:tplc="041B0005" w:tentative="1">
      <w:start w:val="1"/>
      <w:numFmt w:val="bullet"/>
      <w:lvlText w:val=""/>
      <w:lvlJc w:val="left"/>
      <w:pPr>
        <w:ind w:left="2595" w:hanging="360"/>
      </w:pPr>
      <w:rPr>
        <w:rFonts w:ascii="Wingdings" w:hAnsi="Wingdings" w:hint="default"/>
      </w:rPr>
    </w:lvl>
    <w:lvl w:ilvl="3" w:tplc="041B0001" w:tentative="1">
      <w:start w:val="1"/>
      <w:numFmt w:val="bullet"/>
      <w:lvlText w:val=""/>
      <w:lvlJc w:val="left"/>
      <w:pPr>
        <w:ind w:left="3315" w:hanging="360"/>
      </w:pPr>
      <w:rPr>
        <w:rFonts w:ascii="Symbol" w:hAnsi="Symbol" w:hint="default"/>
      </w:rPr>
    </w:lvl>
    <w:lvl w:ilvl="4" w:tplc="041B0003" w:tentative="1">
      <w:start w:val="1"/>
      <w:numFmt w:val="bullet"/>
      <w:lvlText w:val="o"/>
      <w:lvlJc w:val="left"/>
      <w:pPr>
        <w:ind w:left="4035" w:hanging="360"/>
      </w:pPr>
      <w:rPr>
        <w:rFonts w:ascii="Courier New" w:hAnsi="Courier New" w:cs="Courier New" w:hint="default"/>
      </w:rPr>
    </w:lvl>
    <w:lvl w:ilvl="5" w:tplc="041B0005" w:tentative="1">
      <w:start w:val="1"/>
      <w:numFmt w:val="bullet"/>
      <w:lvlText w:val=""/>
      <w:lvlJc w:val="left"/>
      <w:pPr>
        <w:ind w:left="4755" w:hanging="360"/>
      </w:pPr>
      <w:rPr>
        <w:rFonts w:ascii="Wingdings" w:hAnsi="Wingdings" w:hint="default"/>
      </w:rPr>
    </w:lvl>
    <w:lvl w:ilvl="6" w:tplc="041B0001" w:tentative="1">
      <w:start w:val="1"/>
      <w:numFmt w:val="bullet"/>
      <w:lvlText w:val=""/>
      <w:lvlJc w:val="left"/>
      <w:pPr>
        <w:ind w:left="5475" w:hanging="360"/>
      </w:pPr>
      <w:rPr>
        <w:rFonts w:ascii="Symbol" w:hAnsi="Symbol" w:hint="default"/>
      </w:rPr>
    </w:lvl>
    <w:lvl w:ilvl="7" w:tplc="041B0003" w:tentative="1">
      <w:start w:val="1"/>
      <w:numFmt w:val="bullet"/>
      <w:lvlText w:val="o"/>
      <w:lvlJc w:val="left"/>
      <w:pPr>
        <w:ind w:left="6195" w:hanging="360"/>
      </w:pPr>
      <w:rPr>
        <w:rFonts w:ascii="Courier New" w:hAnsi="Courier New" w:cs="Courier New" w:hint="default"/>
      </w:rPr>
    </w:lvl>
    <w:lvl w:ilvl="8" w:tplc="041B0005" w:tentative="1">
      <w:start w:val="1"/>
      <w:numFmt w:val="bullet"/>
      <w:lvlText w:val=""/>
      <w:lvlJc w:val="left"/>
      <w:pPr>
        <w:ind w:left="6915" w:hanging="360"/>
      </w:pPr>
      <w:rPr>
        <w:rFonts w:ascii="Wingdings" w:hAnsi="Wingdings" w:hint="default"/>
      </w:rPr>
    </w:lvl>
  </w:abstractNum>
  <w:abstractNum w:abstractNumId="11" w15:restartNumberingAfterBreak="0">
    <w:nsid w:val="23995D01"/>
    <w:multiLevelType w:val="multilevel"/>
    <w:tmpl w:val="5A340CA0"/>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5055ED0"/>
    <w:multiLevelType w:val="multilevel"/>
    <w:tmpl w:val="4A0C010C"/>
    <w:lvl w:ilvl="0">
      <w:start w:val="3"/>
      <w:numFmt w:val="decimal"/>
      <w:lvlText w:val="%1."/>
      <w:lvlJc w:val="left"/>
      <w:pPr>
        <w:ind w:left="360" w:hanging="360"/>
      </w:pPr>
      <w:rPr>
        <w:rFonts w:hint="default"/>
      </w:rPr>
    </w:lvl>
    <w:lvl w:ilvl="1">
      <w:start w:val="1"/>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13" w15:restartNumberingAfterBreak="0">
    <w:nsid w:val="25DD4A38"/>
    <w:multiLevelType w:val="hybridMultilevel"/>
    <w:tmpl w:val="03623CD6"/>
    <w:lvl w:ilvl="0" w:tplc="041B0005">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4F716B"/>
    <w:multiLevelType w:val="hybridMultilevel"/>
    <w:tmpl w:val="E38854B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A78098D"/>
    <w:multiLevelType w:val="hybridMultilevel"/>
    <w:tmpl w:val="D59E86A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D821C33"/>
    <w:multiLevelType w:val="multilevel"/>
    <w:tmpl w:val="13C82368"/>
    <w:lvl w:ilvl="0">
      <w:start w:val="3"/>
      <w:numFmt w:val="decimal"/>
      <w:lvlText w:val="%1."/>
      <w:lvlJc w:val="left"/>
      <w:pPr>
        <w:ind w:left="540" w:hanging="540"/>
      </w:pPr>
      <w:rPr>
        <w:rFonts w:cs="Times New Roman" w:hint="default"/>
      </w:rPr>
    </w:lvl>
    <w:lvl w:ilvl="1">
      <w:start w:val="2"/>
      <w:numFmt w:val="decimal"/>
      <w:lvlText w:val="%1.%2."/>
      <w:lvlJc w:val="left"/>
      <w:pPr>
        <w:ind w:left="1080" w:hanging="54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7" w15:restartNumberingAfterBreak="0">
    <w:nsid w:val="2DFB1F9E"/>
    <w:multiLevelType w:val="hybridMultilevel"/>
    <w:tmpl w:val="601686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0C65790"/>
    <w:multiLevelType w:val="multilevel"/>
    <w:tmpl w:val="E1A891B0"/>
    <w:lvl w:ilvl="0">
      <w:start w:val="2"/>
      <w:numFmt w:val="decimal"/>
      <w:lvlText w:val="%1."/>
      <w:lvlJc w:val="left"/>
      <w:pPr>
        <w:ind w:left="504" w:hanging="504"/>
      </w:pPr>
      <w:rPr>
        <w:rFonts w:hint="default"/>
      </w:rPr>
    </w:lvl>
    <w:lvl w:ilvl="1">
      <w:start w:val="3"/>
      <w:numFmt w:val="decimal"/>
      <w:lvlText w:val="%1.%2."/>
      <w:lvlJc w:val="left"/>
      <w:pPr>
        <w:ind w:left="1044" w:hanging="50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341E22C5"/>
    <w:multiLevelType w:val="hybridMultilevel"/>
    <w:tmpl w:val="347E3E84"/>
    <w:lvl w:ilvl="0" w:tplc="DF86D906">
      <w:start w:val="1"/>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4E15F01"/>
    <w:multiLevelType w:val="multilevel"/>
    <w:tmpl w:val="FA22B572"/>
    <w:lvl w:ilvl="0">
      <w:start w:val="3"/>
      <w:numFmt w:val="decimal"/>
      <w:lvlText w:val="%1."/>
      <w:lvlJc w:val="left"/>
      <w:pPr>
        <w:ind w:left="540" w:hanging="540"/>
      </w:pPr>
      <w:rPr>
        <w:rFonts w:cs="Times New Roman" w:hint="default"/>
      </w:rPr>
    </w:lvl>
    <w:lvl w:ilvl="1">
      <w:start w:val="2"/>
      <w:numFmt w:val="decimal"/>
      <w:lvlText w:val="%1.%2."/>
      <w:lvlJc w:val="left"/>
      <w:pPr>
        <w:ind w:left="1080" w:hanging="540"/>
      </w:pPr>
      <w:rPr>
        <w:rFonts w:cs="Times New Roman" w:hint="default"/>
      </w:rPr>
    </w:lvl>
    <w:lvl w:ilvl="2">
      <w:start w:val="6"/>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1" w15:restartNumberingAfterBreak="0">
    <w:nsid w:val="391510D9"/>
    <w:multiLevelType w:val="hybridMultilevel"/>
    <w:tmpl w:val="A686FF98"/>
    <w:lvl w:ilvl="0" w:tplc="041B0005">
      <w:start w:val="1"/>
      <w:numFmt w:val="bullet"/>
      <w:lvlText w:val=""/>
      <w:lvlJc w:val="left"/>
      <w:pPr>
        <w:ind w:left="1417" w:hanging="360"/>
      </w:pPr>
      <w:rPr>
        <w:rFonts w:ascii="Wingdings" w:hAnsi="Wingdings" w:hint="default"/>
      </w:rPr>
    </w:lvl>
    <w:lvl w:ilvl="1" w:tplc="041B0003" w:tentative="1">
      <w:start w:val="1"/>
      <w:numFmt w:val="bullet"/>
      <w:lvlText w:val="o"/>
      <w:lvlJc w:val="left"/>
      <w:pPr>
        <w:ind w:left="2137" w:hanging="360"/>
      </w:pPr>
      <w:rPr>
        <w:rFonts w:ascii="Courier New" w:hAnsi="Courier New" w:cs="Courier New" w:hint="default"/>
      </w:rPr>
    </w:lvl>
    <w:lvl w:ilvl="2" w:tplc="041B0005" w:tentative="1">
      <w:start w:val="1"/>
      <w:numFmt w:val="bullet"/>
      <w:lvlText w:val=""/>
      <w:lvlJc w:val="left"/>
      <w:pPr>
        <w:ind w:left="2857" w:hanging="360"/>
      </w:pPr>
      <w:rPr>
        <w:rFonts w:ascii="Wingdings" w:hAnsi="Wingdings" w:hint="default"/>
      </w:rPr>
    </w:lvl>
    <w:lvl w:ilvl="3" w:tplc="041B0001" w:tentative="1">
      <w:start w:val="1"/>
      <w:numFmt w:val="bullet"/>
      <w:lvlText w:val=""/>
      <w:lvlJc w:val="left"/>
      <w:pPr>
        <w:ind w:left="3577" w:hanging="360"/>
      </w:pPr>
      <w:rPr>
        <w:rFonts w:ascii="Symbol" w:hAnsi="Symbol" w:hint="default"/>
      </w:rPr>
    </w:lvl>
    <w:lvl w:ilvl="4" w:tplc="041B0003" w:tentative="1">
      <w:start w:val="1"/>
      <w:numFmt w:val="bullet"/>
      <w:lvlText w:val="o"/>
      <w:lvlJc w:val="left"/>
      <w:pPr>
        <w:ind w:left="4297" w:hanging="360"/>
      </w:pPr>
      <w:rPr>
        <w:rFonts w:ascii="Courier New" w:hAnsi="Courier New" w:cs="Courier New" w:hint="default"/>
      </w:rPr>
    </w:lvl>
    <w:lvl w:ilvl="5" w:tplc="041B0005" w:tentative="1">
      <w:start w:val="1"/>
      <w:numFmt w:val="bullet"/>
      <w:lvlText w:val=""/>
      <w:lvlJc w:val="left"/>
      <w:pPr>
        <w:ind w:left="5017" w:hanging="360"/>
      </w:pPr>
      <w:rPr>
        <w:rFonts w:ascii="Wingdings" w:hAnsi="Wingdings" w:hint="default"/>
      </w:rPr>
    </w:lvl>
    <w:lvl w:ilvl="6" w:tplc="041B0001" w:tentative="1">
      <w:start w:val="1"/>
      <w:numFmt w:val="bullet"/>
      <w:lvlText w:val=""/>
      <w:lvlJc w:val="left"/>
      <w:pPr>
        <w:ind w:left="5737" w:hanging="360"/>
      </w:pPr>
      <w:rPr>
        <w:rFonts w:ascii="Symbol" w:hAnsi="Symbol" w:hint="default"/>
      </w:rPr>
    </w:lvl>
    <w:lvl w:ilvl="7" w:tplc="041B0003" w:tentative="1">
      <w:start w:val="1"/>
      <w:numFmt w:val="bullet"/>
      <w:lvlText w:val="o"/>
      <w:lvlJc w:val="left"/>
      <w:pPr>
        <w:ind w:left="6457" w:hanging="360"/>
      </w:pPr>
      <w:rPr>
        <w:rFonts w:ascii="Courier New" w:hAnsi="Courier New" w:cs="Courier New" w:hint="default"/>
      </w:rPr>
    </w:lvl>
    <w:lvl w:ilvl="8" w:tplc="041B0005" w:tentative="1">
      <w:start w:val="1"/>
      <w:numFmt w:val="bullet"/>
      <w:lvlText w:val=""/>
      <w:lvlJc w:val="left"/>
      <w:pPr>
        <w:ind w:left="7177" w:hanging="360"/>
      </w:pPr>
      <w:rPr>
        <w:rFonts w:ascii="Wingdings" w:hAnsi="Wingdings" w:hint="default"/>
      </w:rPr>
    </w:lvl>
  </w:abstractNum>
  <w:abstractNum w:abstractNumId="22" w15:restartNumberingAfterBreak="0">
    <w:nsid w:val="3A2A18DC"/>
    <w:multiLevelType w:val="hybridMultilevel"/>
    <w:tmpl w:val="9A1E108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B567E1"/>
    <w:multiLevelType w:val="hybridMultilevel"/>
    <w:tmpl w:val="4370832E"/>
    <w:lvl w:ilvl="0" w:tplc="041B0017">
      <w:start w:val="1"/>
      <w:numFmt w:val="lowerLetter"/>
      <w:pStyle w:val="abc"/>
      <w:lvlText w:val="%1)"/>
      <w:lvlJc w:val="left"/>
      <w:pPr>
        <w:tabs>
          <w:tab w:val="num" w:pos="465"/>
        </w:tabs>
        <w:ind w:left="465" w:hanging="465"/>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3BD77980"/>
    <w:multiLevelType w:val="hybridMultilevel"/>
    <w:tmpl w:val="221E39AC"/>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3C595A28"/>
    <w:multiLevelType w:val="hybridMultilevel"/>
    <w:tmpl w:val="F0DCB748"/>
    <w:lvl w:ilvl="0" w:tplc="041B0005">
      <w:start w:val="1"/>
      <w:numFmt w:val="bullet"/>
      <w:lvlText w:val=""/>
      <w:lvlJc w:val="left"/>
      <w:pPr>
        <w:ind w:left="502" w:hanging="360"/>
      </w:pPr>
      <w:rPr>
        <w:rFonts w:ascii="Wingdings" w:hAnsi="Wingdings" w:hint="default"/>
      </w:rPr>
    </w:lvl>
    <w:lvl w:ilvl="1" w:tplc="041B0003" w:tentative="1">
      <w:start w:val="1"/>
      <w:numFmt w:val="bullet"/>
      <w:lvlText w:val="o"/>
      <w:lvlJc w:val="left"/>
      <w:pPr>
        <w:ind w:left="1222" w:hanging="360"/>
      </w:pPr>
      <w:rPr>
        <w:rFonts w:ascii="Courier New" w:hAnsi="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6" w15:restartNumberingAfterBreak="0">
    <w:nsid w:val="3F1834FA"/>
    <w:multiLevelType w:val="hybridMultilevel"/>
    <w:tmpl w:val="0BA86D7E"/>
    <w:lvl w:ilvl="0" w:tplc="041B0005">
      <w:start w:val="1"/>
      <w:numFmt w:val="bullet"/>
      <w:lvlText w:val=""/>
      <w:lvlJc w:val="left"/>
      <w:pPr>
        <w:ind w:left="719" w:hanging="360"/>
      </w:pPr>
      <w:rPr>
        <w:rFonts w:ascii="Wingdings" w:hAnsi="Wingdings" w:hint="default"/>
      </w:rPr>
    </w:lvl>
    <w:lvl w:ilvl="1" w:tplc="041B0003" w:tentative="1">
      <w:start w:val="1"/>
      <w:numFmt w:val="bullet"/>
      <w:lvlText w:val="o"/>
      <w:lvlJc w:val="left"/>
      <w:pPr>
        <w:ind w:left="1439" w:hanging="360"/>
      </w:pPr>
      <w:rPr>
        <w:rFonts w:ascii="Courier New" w:hAnsi="Courier New" w:cs="Courier New" w:hint="default"/>
      </w:rPr>
    </w:lvl>
    <w:lvl w:ilvl="2" w:tplc="041B0005" w:tentative="1">
      <w:start w:val="1"/>
      <w:numFmt w:val="bullet"/>
      <w:lvlText w:val=""/>
      <w:lvlJc w:val="left"/>
      <w:pPr>
        <w:ind w:left="2159" w:hanging="360"/>
      </w:pPr>
      <w:rPr>
        <w:rFonts w:ascii="Wingdings" w:hAnsi="Wingdings" w:hint="default"/>
      </w:rPr>
    </w:lvl>
    <w:lvl w:ilvl="3" w:tplc="041B0001" w:tentative="1">
      <w:start w:val="1"/>
      <w:numFmt w:val="bullet"/>
      <w:lvlText w:val=""/>
      <w:lvlJc w:val="left"/>
      <w:pPr>
        <w:ind w:left="2879" w:hanging="360"/>
      </w:pPr>
      <w:rPr>
        <w:rFonts w:ascii="Symbol" w:hAnsi="Symbol" w:hint="default"/>
      </w:rPr>
    </w:lvl>
    <w:lvl w:ilvl="4" w:tplc="041B0003" w:tentative="1">
      <w:start w:val="1"/>
      <w:numFmt w:val="bullet"/>
      <w:lvlText w:val="o"/>
      <w:lvlJc w:val="left"/>
      <w:pPr>
        <w:ind w:left="3599" w:hanging="360"/>
      </w:pPr>
      <w:rPr>
        <w:rFonts w:ascii="Courier New" w:hAnsi="Courier New" w:cs="Courier New" w:hint="default"/>
      </w:rPr>
    </w:lvl>
    <w:lvl w:ilvl="5" w:tplc="041B0005" w:tentative="1">
      <w:start w:val="1"/>
      <w:numFmt w:val="bullet"/>
      <w:lvlText w:val=""/>
      <w:lvlJc w:val="left"/>
      <w:pPr>
        <w:ind w:left="4319" w:hanging="360"/>
      </w:pPr>
      <w:rPr>
        <w:rFonts w:ascii="Wingdings" w:hAnsi="Wingdings" w:hint="default"/>
      </w:rPr>
    </w:lvl>
    <w:lvl w:ilvl="6" w:tplc="041B0001" w:tentative="1">
      <w:start w:val="1"/>
      <w:numFmt w:val="bullet"/>
      <w:lvlText w:val=""/>
      <w:lvlJc w:val="left"/>
      <w:pPr>
        <w:ind w:left="5039" w:hanging="360"/>
      </w:pPr>
      <w:rPr>
        <w:rFonts w:ascii="Symbol" w:hAnsi="Symbol" w:hint="default"/>
      </w:rPr>
    </w:lvl>
    <w:lvl w:ilvl="7" w:tplc="041B0003" w:tentative="1">
      <w:start w:val="1"/>
      <w:numFmt w:val="bullet"/>
      <w:lvlText w:val="o"/>
      <w:lvlJc w:val="left"/>
      <w:pPr>
        <w:ind w:left="5759" w:hanging="360"/>
      </w:pPr>
      <w:rPr>
        <w:rFonts w:ascii="Courier New" w:hAnsi="Courier New" w:cs="Courier New" w:hint="default"/>
      </w:rPr>
    </w:lvl>
    <w:lvl w:ilvl="8" w:tplc="041B0005" w:tentative="1">
      <w:start w:val="1"/>
      <w:numFmt w:val="bullet"/>
      <w:lvlText w:val=""/>
      <w:lvlJc w:val="left"/>
      <w:pPr>
        <w:ind w:left="6479" w:hanging="360"/>
      </w:pPr>
      <w:rPr>
        <w:rFonts w:ascii="Wingdings" w:hAnsi="Wingdings" w:hint="default"/>
      </w:rPr>
    </w:lvl>
  </w:abstractNum>
  <w:abstractNum w:abstractNumId="27" w15:restartNumberingAfterBreak="0">
    <w:nsid w:val="43C34903"/>
    <w:multiLevelType w:val="hybridMultilevel"/>
    <w:tmpl w:val="723CCE2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5411497"/>
    <w:multiLevelType w:val="multilevel"/>
    <w:tmpl w:val="2200A3C2"/>
    <w:lvl w:ilvl="0">
      <w:start w:val="3"/>
      <w:numFmt w:val="decimal"/>
      <w:lvlText w:val="%1."/>
      <w:lvlJc w:val="left"/>
      <w:pPr>
        <w:ind w:left="540" w:hanging="540"/>
      </w:pPr>
      <w:rPr>
        <w:rFonts w:cs="Times New Roman" w:hint="default"/>
      </w:rPr>
    </w:lvl>
    <w:lvl w:ilvl="1">
      <w:start w:val="2"/>
      <w:numFmt w:val="decimal"/>
      <w:lvlText w:val="%1.%2."/>
      <w:lvlJc w:val="left"/>
      <w:pPr>
        <w:ind w:left="1080" w:hanging="540"/>
      </w:pPr>
      <w:rPr>
        <w:rFonts w:cs="Times New Roman" w:hint="default"/>
      </w:rPr>
    </w:lvl>
    <w:lvl w:ilvl="2">
      <w:start w:val="5"/>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9" w15:restartNumberingAfterBreak="0">
    <w:nsid w:val="469C0A94"/>
    <w:multiLevelType w:val="hybridMultilevel"/>
    <w:tmpl w:val="04C076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8C60C25"/>
    <w:multiLevelType w:val="hybridMultilevel"/>
    <w:tmpl w:val="2188D2FE"/>
    <w:lvl w:ilvl="0" w:tplc="041B0005">
      <w:start w:val="1"/>
      <w:numFmt w:val="bullet"/>
      <w:lvlText w:val=""/>
      <w:lvlJc w:val="left"/>
      <w:pPr>
        <w:ind w:left="1429" w:hanging="360"/>
      </w:pPr>
      <w:rPr>
        <w:rFonts w:ascii="Wingdings" w:hAnsi="Wingding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1" w15:restartNumberingAfterBreak="0">
    <w:nsid w:val="4C18043D"/>
    <w:multiLevelType w:val="hybridMultilevel"/>
    <w:tmpl w:val="A0CE9A2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C93692D"/>
    <w:multiLevelType w:val="hybridMultilevel"/>
    <w:tmpl w:val="67B4C0A0"/>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E58412A"/>
    <w:multiLevelType w:val="hybridMultilevel"/>
    <w:tmpl w:val="DE389CF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E94373F"/>
    <w:multiLevelType w:val="hybridMultilevel"/>
    <w:tmpl w:val="643EFE7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2402A59"/>
    <w:multiLevelType w:val="hybridMultilevel"/>
    <w:tmpl w:val="7038A056"/>
    <w:lvl w:ilvl="0" w:tplc="041B0005">
      <w:start w:val="1"/>
      <w:numFmt w:val="bullet"/>
      <w:lvlText w:val=""/>
      <w:lvlJc w:val="left"/>
      <w:pPr>
        <w:ind w:left="1439" w:hanging="360"/>
      </w:pPr>
      <w:rPr>
        <w:rFonts w:ascii="Wingdings" w:hAnsi="Wingdings" w:hint="default"/>
      </w:rPr>
    </w:lvl>
    <w:lvl w:ilvl="1" w:tplc="041B0003">
      <w:start w:val="1"/>
      <w:numFmt w:val="bullet"/>
      <w:lvlText w:val="o"/>
      <w:lvlJc w:val="left"/>
      <w:pPr>
        <w:ind w:left="2159" w:hanging="360"/>
      </w:pPr>
      <w:rPr>
        <w:rFonts w:ascii="Courier New" w:hAnsi="Courier New" w:cs="Courier New" w:hint="default"/>
      </w:rPr>
    </w:lvl>
    <w:lvl w:ilvl="2" w:tplc="041B0005">
      <w:start w:val="1"/>
      <w:numFmt w:val="bullet"/>
      <w:lvlText w:val=""/>
      <w:lvlJc w:val="left"/>
      <w:pPr>
        <w:ind w:left="2879" w:hanging="360"/>
      </w:pPr>
      <w:rPr>
        <w:rFonts w:ascii="Wingdings" w:hAnsi="Wingdings" w:hint="default"/>
      </w:rPr>
    </w:lvl>
    <w:lvl w:ilvl="3" w:tplc="041B0001">
      <w:start w:val="1"/>
      <w:numFmt w:val="bullet"/>
      <w:lvlText w:val=""/>
      <w:lvlJc w:val="left"/>
      <w:pPr>
        <w:ind w:left="3599" w:hanging="360"/>
      </w:pPr>
      <w:rPr>
        <w:rFonts w:ascii="Symbol" w:hAnsi="Symbol" w:hint="default"/>
      </w:rPr>
    </w:lvl>
    <w:lvl w:ilvl="4" w:tplc="041B0003">
      <w:start w:val="1"/>
      <w:numFmt w:val="bullet"/>
      <w:lvlText w:val="o"/>
      <w:lvlJc w:val="left"/>
      <w:pPr>
        <w:ind w:left="4319" w:hanging="360"/>
      </w:pPr>
      <w:rPr>
        <w:rFonts w:ascii="Courier New" w:hAnsi="Courier New" w:cs="Courier New" w:hint="default"/>
      </w:rPr>
    </w:lvl>
    <w:lvl w:ilvl="5" w:tplc="041B0005">
      <w:start w:val="1"/>
      <w:numFmt w:val="bullet"/>
      <w:lvlText w:val=""/>
      <w:lvlJc w:val="left"/>
      <w:pPr>
        <w:ind w:left="5039" w:hanging="360"/>
      </w:pPr>
      <w:rPr>
        <w:rFonts w:ascii="Wingdings" w:hAnsi="Wingdings" w:hint="default"/>
      </w:rPr>
    </w:lvl>
    <w:lvl w:ilvl="6" w:tplc="041B0001">
      <w:start w:val="1"/>
      <w:numFmt w:val="bullet"/>
      <w:lvlText w:val=""/>
      <w:lvlJc w:val="left"/>
      <w:pPr>
        <w:ind w:left="5759" w:hanging="360"/>
      </w:pPr>
      <w:rPr>
        <w:rFonts w:ascii="Symbol" w:hAnsi="Symbol" w:hint="default"/>
      </w:rPr>
    </w:lvl>
    <w:lvl w:ilvl="7" w:tplc="041B0003">
      <w:start w:val="1"/>
      <w:numFmt w:val="bullet"/>
      <w:lvlText w:val="o"/>
      <w:lvlJc w:val="left"/>
      <w:pPr>
        <w:ind w:left="6479" w:hanging="360"/>
      </w:pPr>
      <w:rPr>
        <w:rFonts w:ascii="Courier New" w:hAnsi="Courier New" w:cs="Courier New" w:hint="default"/>
      </w:rPr>
    </w:lvl>
    <w:lvl w:ilvl="8" w:tplc="041B0005">
      <w:start w:val="1"/>
      <w:numFmt w:val="bullet"/>
      <w:lvlText w:val=""/>
      <w:lvlJc w:val="left"/>
      <w:pPr>
        <w:ind w:left="7199" w:hanging="360"/>
      </w:pPr>
      <w:rPr>
        <w:rFonts w:ascii="Wingdings" w:hAnsi="Wingdings" w:hint="default"/>
      </w:rPr>
    </w:lvl>
  </w:abstractNum>
  <w:abstractNum w:abstractNumId="36" w15:restartNumberingAfterBreak="0">
    <w:nsid w:val="573717BE"/>
    <w:multiLevelType w:val="hybridMultilevel"/>
    <w:tmpl w:val="5A6C39B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82260DD"/>
    <w:multiLevelType w:val="multilevel"/>
    <w:tmpl w:val="1244069E"/>
    <w:lvl w:ilvl="0">
      <w:start w:val="3"/>
      <w:numFmt w:val="decimal"/>
      <w:lvlText w:val="%1"/>
      <w:lvlJc w:val="left"/>
      <w:pPr>
        <w:ind w:left="480" w:hanging="480"/>
      </w:pPr>
      <w:rPr>
        <w:rFonts w:cs="Times New Roman" w:hint="default"/>
      </w:rPr>
    </w:lvl>
    <w:lvl w:ilvl="1">
      <w:start w:val="2"/>
      <w:numFmt w:val="decimal"/>
      <w:pStyle w:val="Nadpis2"/>
      <w:lvlText w:val="%1.%2"/>
      <w:lvlJc w:val="left"/>
      <w:pPr>
        <w:ind w:left="1020" w:hanging="480"/>
      </w:pPr>
      <w:rPr>
        <w:rFonts w:cs="Times New Roman" w:hint="default"/>
      </w:rPr>
    </w:lvl>
    <w:lvl w:ilvl="2">
      <w:start w:val="2"/>
      <w:numFmt w:val="decimal"/>
      <w:pStyle w:val="Nadpis3"/>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5760" w:hanging="1440"/>
      </w:pPr>
      <w:rPr>
        <w:rFonts w:cs="Times New Roman" w:hint="default"/>
      </w:rPr>
    </w:lvl>
  </w:abstractNum>
  <w:abstractNum w:abstractNumId="38" w15:restartNumberingAfterBreak="0">
    <w:nsid w:val="5A621F18"/>
    <w:multiLevelType w:val="hybridMultilevel"/>
    <w:tmpl w:val="251ABD6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F1161A3"/>
    <w:multiLevelType w:val="multilevel"/>
    <w:tmpl w:val="4A981EF6"/>
    <w:lvl w:ilvl="0">
      <w:start w:val="1"/>
      <w:numFmt w:val="decimal"/>
      <w:pStyle w:val="Nadpis1"/>
      <w:lvlText w:val="%1."/>
      <w:lvlJc w:val="left"/>
      <w:pPr>
        <w:ind w:left="1495" w:hanging="360"/>
      </w:pPr>
      <w:rPr>
        <w:rFonts w:cs="Times New Roman" w:hint="default"/>
      </w:rPr>
    </w:lvl>
    <w:lvl w:ilvl="1">
      <w:start w:val="1"/>
      <w:numFmt w:val="decimal"/>
      <w:isLgl/>
      <w:lvlText w:val="%1.%2."/>
      <w:lvlJc w:val="left"/>
      <w:pPr>
        <w:ind w:left="8014"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36"/>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40" w15:restartNumberingAfterBreak="0">
    <w:nsid w:val="5F85346E"/>
    <w:multiLevelType w:val="hybridMultilevel"/>
    <w:tmpl w:val="24BEE030"/>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6203857"/>
    <w:multiLevelType w:val="hybridMultilevel"/>
    <w:tmpl w:val="DF24046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2" w15:restartNumberingAfterBreak="0">
    <w:nsid w:val="663A1450"/>
    <w:multiLevelType w:val="hybridMultilevel"/>
    <w:tmpl w:val="E8B406F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642409D"/>
    <w:multiLevelType w:val="hybridMultilevel"/>
    <w:tmpl w:val="0018F6C2"/>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67DD54EF"/>
    <w:multiLevelType w:val="hybridMultilevel"/>
    <w:tmpl w:val="30127170"/>
    <w:lvl w:ilvl="0" w:tplc="041B0005">
      <w:start w:val="1"/>
      <w:numFmt w:val="bullet"/>
      <w:lvlText w:val=""/>
      <w:lvlJc w:val="left"/>
      <w:pPr>
        <w:ind w:left="862" w:hanging="360"/>
      </w:pPr>
      <w:rPr>
        <w:rFonts w:ascii="Wingdings" w:hAnsi="Wingdings"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6A3A6FA3"/>
    <w:multiLevelType w:val="hybridMultilevel"/>
    <w:tmpl w:val="6910F926"/>
    <w:lvl w:ilvl="0" w:tplc="765ACD88">
      <w:start w:val="1"/>
      <w:numFmt w:val="decimal"/>
      <w:lvlText w:val="%1)"/>
      <w:lvlJc w:val="left"/>
      <w:pPr>
        <w:ind w:left="1080" w:hanging="360"/>
      </w:pPr>
      <w:rPr>
        <w:rFonts w:hint="default"/>
        <w:sz w:val="18"/>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6F450AD5"/>
    <w:multiLevelType w:val="hybridMultilevel"/>
    <w:tmpl w:val="AFE8F110"/>
    <w:lvl w:ilvl="0" w:tplc="5B82247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F4A40FA"/>
    <w:multiLevelType w:val="hybridMultilevel"/>
    <w:tmpl w:val="B11E3C4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A544B48"/>
    <w:multiLevelType w:val="hybridMultilevel"/>
    <w:tmpl w:val="BB6805EE"/>
    <w:lvl w:ilvl="0" w:tplc="2ED296A6">
      <w:start w:val="7"/>
      <w:numFmt w:val="bullet"/>
      <w:pStyle w:val="AUODRAKA"/>
      <w:lvlText w:val=""/>
      <w:lvlJc w:val="left"/>
      <w:pPr>
        <w:tabs>
          <w:tab w:val="num" w:pos="284"/>
        </w:tabs>
        <w:ind w:left="284" w:hanging="284"/>
      </w:pPr>
      <w:rPr>
        <w:rFonts w:ascii="Symbol" w:hAnsi="Symbol" w:hint="default"/>
        <w:b/>
        <w:i w:val="0"/>
        <w:color w:val="auto"/>
        <w:sz w:val="24"/>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9"/>
  </w:num>
  <w:num w:numId="3">
    <w:abstractNumId w:val="1"/>
  </w:num>
  <w:num w:numId="4">
    <w:abstractNumId w:val="23"/>
  </w:num>
  <w:num w:numId="5">
    <w:abstractNumId w:val="48"/>
  </w:num>
  <w:num w:numId="6">
    <w:abstractNumId w:val="0"/>
  </w:num>
  <w:num w:numId="7">
    <w:abstractNumId w:val="42"/>
  </w:num>
  <w:num w:numId="8">
    <w:abstractNumId w:val="7"/>
  </w:num>
  <w:num w:numId="9">
    <w:abstractNumId w:val="43"/>
  </w:num>
  <w:num w:numId="10">
    <w:abstractNumId w:val="14"/>
  </w:num>
  <w:num w:numId="11">
    <w:abstractNumId w:val="15"/>
  </w:num>
  <w:num w:numId="12">
    <w:abstractNumId w:val="40"/>
  </w:num>
  <w:num w:numId="13">
    <w:abstractNumId w:val="37"/>
    <w:lvlOverride w:ilvl="0">
      <w:startOverride w:val="3"/>
    </w:lvlOverride>
    <w:lvlOverride w:ilvl="1">
      <w:startOverride w:val="1"/>
    </w:lvlOverride>
  </w:num>
  <w:num w:numId="14">
    <w:abstractNumId w:val="16"/>
  </w:num>
  <w:num w:numId="15">
    <w:abstractNumId w:val="20"/>
  </w:num>
  <w:num w:numId="16">
    <w:abstractNumId w:val="28"/>
  </w:num>
  <w:num w:numId="17">
    <w:abstractNumId w:val="12"/>
  </w:num>
  <w:num w:numId="18">
    <w:abstractNumId w:val="18"/>
  </w:num>
  <w:num w:numId="19">
    <w:abstractNumId w:val="38"/>
  </w:num>
  <w:num w:numId="20">
    <w:abstractNumId w:val="34"/>
  </w:num>
  <w:num w:numId="21">
    <w:abstractNumId w:val="47"/>
  </w:num>
  <w:num w:numId="22">
    <w:abstractNumId w:val="8"/>
  </w:num>
  <w:num w:numId="23">
    <w:abstractNumId w:val="22"/>
  </w:num>
  <w:num w:numId="24">
    <w:abstractNumId w:val="33"/>
  </w:num>
  <w:num w:numId="25">
    <w:abstractNumId w:val="26"/>
  </w:num>
  <w:num w:numId="26">
    <w:abstractNumId w:val="27"/>
  </w:num>
  <w:num w:numId="27">
    <w:abstractNumId w:val="10"/>
  </w:num>
  <w:num w:numId="28">
    <w:abstractNumId w:val="36"/>
  </w:num>
  <w:num w:numId="29">
    <w:abstractNumId w:val="37"/>
  </w:num>
  <w:num w:numId="30">
    <w:abstractNumId w:val="41"/>
  </w:num>
  <w:num w:numId="31">
    <w:abstractNumId w:val="2"/>
  </w:num>
  <w:num w:numId="32">
    <w:abstractNumId w:val="32"/>
  </w:num>
  <w:num w:numId="33">
    <w:abstractNumId w:val="6"/>
  </w:num>
  <w:num w:numId="34">
    <w:abstractNumId w:val="21"/>
  </w:num>
  <w:num w:numId="35">
    <w:abstractNumId w:val="29"/>
  </w:num>
  <w:num w:numId="36">
    <w:abstractNumId w:val="24"/>
  </w:num>
  <w:num w:numId="37">
    <w:abstractNumId w:val="17"/>
  </w:num>
  <w:num w:numId="38">
    <w:abstractNumId w:val="3"/>
  </w:num>
  <w:num w:numId="39">
    <w:abstractNumId w:val="13"/>
  </w:num>
  <w:num w:numId="40">
    <w:abstractNumId w:val="44"/>
  </w:num>
  <w:num w:numId="41">
    <w:abstractNumId w:val="19"/>
  </w:num>
  <w:num w:numId="42">
    <w:abstractNumId w:val="5"/>
  </w:num>
  <w:num w:numId="43">
    <w:abstractNumId w:val="9"/>
  </w:num>
  <w:num w:numId="44">
    <w:abstractNumId w:val="35"/>
  </w:num>
  <w:num w:numId="45">
    <w:abstractNumId w:val="46"/>
  </w:num>
  <w:num w:numId="46">
    <w:abstractNumId w:val="11"/>
  </w:num>
  <w:num w:numId="47">
    <w:abstractNumId w:val="31"/>
  </w:num>
  <w:num w:numId="48">
    <w:abstractNumId w:val="45"/>
  </w:num>
  <w:num w:numId="49">
    <w:abstractNumId w:val="30"/>
  </w:num>
  <w:num w:numId="50">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hideGrammaticalErrors/>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6C"/>
    <w:rsid w:val="000002C2"/>
    <w:rsid w:val="00000538"/>
    <w:rsid w:val="00002917"/>
    <w:rsid w:val="00002BBE"/>
    <w:rsid w:val="00002FDB"/>
    <w:rsid w:val="0000319C"/>
    <w:rsid w:val="0000346C"/>
    <w:rsid w:val="00003A48"/>
    <w:rsid w:val="00003EAF"/>
    <w:rsid w:val="000042C7"/>
    <w:rsid w:val="0000435D"/>
    <w:rsid w:val="0000481F"/>
    <w:rsid w:val="00004915"/>
    <w:rsid w:val="00004950"/>
    <w:rsid w:val="00005C86"/>
    <w:rsid w:val="00007076"/>
    <w:rsid w:val="00007DA1"/>
    <w:rsid w:val="00010479"/>
    <w:rsid w:val="0001053C"/>
    <w:rsid w:val="00010E4A"/>
    <w:rsid w:val="00010FCC"/>
    <w:rsid w:val="0001132C"/>
    <w:rsid w:val="00012A0B"/>
    <w:rsid w:val="00012EC9"/>
    <w:rsid w:val="00015EC4"/>
    <w:rsid w:val="00016328"/>
    <w:rsid w:val="00016DC1"/>
    <w:rsid w:val="00017D21"/>
    <w:rsid w:val="00021605"/>
    <w:rsid w:val="00021651"/>
    <w:rsid w:val="00022328"/>
    <w:rsid w:val="0002242E"/>
    <w:rsid w:val="0002262E"/>
    <w:rsid w:val="00024B0D"/>
    <w:rsid w:val="00024E6F"/>
    <w:rsid w:val="00026749"/>
    <w:rsid w:val="00026828"/>
    <w:rsid w:val="00026F0C"/>
    <w:rsid w:val="00030A6A"/>
    <w:rsid w:val="00031788"/>
    <w:rsid w:val="000318C9"/>
    <w:rsid w:val="00032127"/>
    <w:rsid w:val="00032419"/>
    <w:rsid w:val="00032BCF"/>
    <w:rsid w:val="00033B28"/>
    <w:rsid w:val="00034156"/>
    <w:rsid w:val="000347E8"/>
    <w:rsid w:val="000352EA"/>
    <w:rsid w:val="00036696"/>
    <w:rsid w:val="00036E63"/>
    <w:rsid w:val="00037AA9"/>
    <w:rsid w:val="000410D6"/>
    <w:rsid w:val="00041CD3"/>
    <w:rsid w:val="00042AFD"/>
    <w:rsid w:val="000432A6"/>
    <w:rsid w:val="000433E5"/>
    <w:rsid w:val="000437EA"/>
    <w:rsid w:val="000438E5"/>
    <w:rsid w:val="0004421D"/>
    <w:rsid w:val="0004434D"/>
    <w:rsid w:val="0004438B"/>
    <w:rsid w:val="00044525"/>
    <w:rsid w:val="00045447"/>
    <w:rsid w:val="000454D8"/>
    <w:rsid w:val="000500D5"/>
    <w:rsid w:val="000501DB"/>
    <w:rsid w:val="0005096F"/>
    <w:rsid w:val="000511B5"/>
    <w:rsid w:val="000518B3"/>
    <w:rsid w:val="00051C9A"/>
    <w:rsid w:val="0005286D"/>
    <w:rsid w:val="00053609"/>
    <w:rsid w:val="000548EA"/>
    <w:rsid w:val="00055F5C"/>
    <w:rsid w:val="00056165"/>
    <w:rsid w:val="0005634A"/>
    <w:rsid w:val="000565C3"/>
    <w:rsid w:val="000568BD"/>
    <w:rsid w:val="00056E18"/>
    <w:rsid w:val="00057CF7"/>
    <w:rsid w:val="000606A7"/>
    <w:rsid w:val="00061DBD"/>
    <w:rsid w:val="00061F19"/>
    <w:rsid w:val="00062AF5"/>
    <w:rsid w:val="00062DC2"/>
    <w:rsid w:val="00064921"/>
    <w:rsid w:val="00065110"/>
    <w:rsid w:val="00065880"/>
    <w:rsid w:val="00066880"/>
    <w:rsid w:val="00066FAE"/>
    <w:rsid w:val="00067252"/>
    <w:rsid w:val="00067757"/>
    <w:rsid w:val="00067F7E"/>
    <w:rsid w:val="00070899"/>
    <w:rsid w:val="000709D3"/>
    <w:rsid w:val="0007122D"/>
    <w:rsid w:val="00071A59"/>
    <w:rsid w:val="00071DAB"/>
    <w:rsid w:val="000722EF"/>
    <w:rsid w:val="000728EB"/>
    <w:rsid w:val="00073EB1"/>
    <w:rsid w:val="00073FFD"/>
    <w:rsid w:val="00074028"/>
    <w:rsid w:val="00075C44"/>
    <w:rsid w:val="00076535"/>
    <w:rsid w:val="0007714F"/>
    <w:rsid w:val="000775A2"/>
    <w:rsid w:val="00080B3C"/>
    <w:rsid w:val="0008186C"/>
    <w:rsid w:val="00081E83"/>
    <w:rsid w:val="0008237F"/>
    <w:rsid w:val="0008314B"/>
    <w:rsid w:val="000832C3"/>
    <w:rsid w:val="00083D09"/>
    <w:rsid w:val="00083E71"/>
    <w:rsid w:val="00084506"/>
    <w:rsid w:val="00084794"/>
    <w:rsid w:val="00084F17"/>
    <w:rsid w:val="0008572B"/>
    <w:rsid w:val="00085B2E"/>
    <w:rsid w:val="00085E85"/>
    <w:rsid w:val="0008612E"/>
    <w:rsid w:val="0008767D"/>
    <w:rsid w:val="00090B79"/>
    <w:rsid w:val="0009176B"/>
    <w:rsid w:val="00091ABA"/>
    <w:rsid w:val="00091E16"/>
    <w:rsid w:val="00092A25"/>
    <w:rsid w:val="00093C11"/>
    <w:rsid w:val="00093EE7"/>
    <w:rsid w:val="000942AF"/>
    <w:rsid w:val="00094682"/>
    <w:rsid w:val="00094B9B"/>
    <w:rsid w:val="00095B15"/>
    <w:rsid w:val="00096F7A"/>
    <w:rsid w:val="00096FC8"/>
    <w:rsid w:val="000971DB"/>
    <w:rsid w:val="0009732B"/>
    <w:rsid w:val="000A357C"/>
    <w:rsid w:val="000A4644"/>
    <w:rsid w:val="000A46FC"/>
    <w:rsid w:val="000A4965"/>
    <w:rsid w:val="000A5BA9"/>
    <w:rsid w:val="000A7290"/>
    <w:rsid w:val="000B02C3"/>
    <w:rsid w:val="000B04FB"/>
    <w:rsid w:val="000B0946"/>
    <w:rsid w:val="000B0AD0"/>
    <w:rsid w:val="000B1899"/>
    <w:rsid w:val="000B1F01"/>
    <w:rsid w:val="000B2004"/>
    <w:rsid w:val="000B39AF"/>
    <w:rsid w:val="000B4414"/>
    <w:rsid w:val="000B447F"/>
    <w:rsid w:val="000B4538"/>
    <w:rsid w:val="000B4541"/>
    <w:rsid w:val="000B4D4A"/>
    <w:rsid w:val="000B4E19"/>
    <w:rsid w:val="000B5079"/>
    <w:rsid w:val="000B5FA3"/>
    <w:rsid w:val="000B776B"/>
    <w:rsid w:val="000C0942"/>
    <w:rsid w:val="000C0AF4"/>
    <w:rsid w:val="000C0F7D"/>
    <w:rsid w:val="000C12AE"/>
    <w:rsid w:val="000C2F69"/>
    <w:rsid w:val="000C3213"/>
    <w:rsid w:val="000C3860"/>
    <w:rsid w:val="000C47D2"/>
    <w:rsid w:val="000C5E1C"/>
    <w:rsid w:val="000C6A66"/>
    <w:rsid w:val="000C6BC7"/>
    <w:rsid w:val="000D1395"/>
    <w:rsid w:val="000D2962"/>
    <w:rsid w:val="000D3333"/>
    <w:rsid w:val="000D358B"/>
    <w:rsid w:val="000D360D"/>
    <w:rsid w:val="000D3A03"/>
    <w:rsid w:val="000D3B05"/>
    <w:rsid w:val="000D3B2D"/>
    <w:rsid w:val="000D4131"/>
    <w:rsid w:val="000D420F"/>
    <w:rsid w:val="000D55E2"/>
    <w:rsid w:val="000D5870"/>
    <w:rsid w:val="000D598D"/>
    <w:rsid w:val="000D6362"/>
    <w:rsid w:val="000D6907"/>
    <w:rsid w:val="000D6BF1"/>
    <w:rsid w:val="000D77CC"/>
    <w:rsid w:val="000E08CC"/>
    <w:rsid w:val="000E0D02"/>
    <w:rsid w:val="000E1502"/>
    <w:rsid w:val="000E228D"/>
    <w:rsid w:val="000E2AC5"/>
    <w:rsid w:val="000E3D24"/>
    <w:rsid w:val="000E4520"/>
    <w:rsid w:val="000E499C"/>
    <w:rsid w:val="000E5BF0"/>
    <w:rsid w:val="000E5F16"/>
    <w:rsid w:val="000E69D1"/>
    <w:rsid w:val="000E6B59"/>
    <w:rsid w:val="000E6EF7"/>
    <w:rsid w:val="000E712E"/>
    <w:rsid w:val="000E7880"/>
    <w:rsid w:val="000F021A"/>
    <w:rsid w:val="000F1128"/>
    <w:rsid w:val="000F19DE"/>
    <w:rsid w:val="000F1CED"/>
    <w:rsid w:val="000F21DB"/>
    <w:rsid w:val="000F23AE"/>
    <w:rsid w:val="000F23F1"/>
    <w:rsid w:val="000F2548"/>
    <w:rsid w:val="000F366E"/>
    <w:rsid w:val="000F41C7"/>
    <w:rsid w:val="000F42D3"/>
    <w:rsid w:val="000F4ED4"/>
    <w:rsid w:val="000F5C53"/>
    <w:rsid w:val="000F5E53"/>
    <w:rsid w:val="000F5EC3"/>
    <w:rsid w:val="000F5F5B"/>
    <w:rsid w:val="000F61CA"/>
    <w:rsid w:val="000F623B"/>
    <w:rsid w:val="000F7DFE"/>
    <w:rsid w:val="001009CC"/>
    <w:rsid w:val="00100DED"/>
    <w:rsid w:val="00101B73"/>
    <w:rsid w:val="00101C61"/>
    <w:rsid w:val="00102430"/>
    <w:rsid w:val="001026B8"/>
    <w:rsid w:val="0010281C"/>
    <w:rsid w:val="00102D96"/>
    <w:rsid w:val="00103920"/>
    <w:rsid w:val="00103E2F"/>
    <w:rsid w:val="00104D10"/>
    <w:rsid w:val="00105529"/>
    <w:rsid w:val="00105F45"/>
    <w:rsid w:val="00106D60"/>
    <w:rsid w:val="00107454"/>
    <w:rsid w:val="00110DB4"/>
    <w:rsid w:val="00110FEB"/>
    <w:rsid w:val="0011103E"/>
    <w:rsid w:val="001115E9"/>
    <w:rsid w:val="0011258A"/>
    <w:rsid w:val="00113171"/>
    <w:rsid w:val="00113AFE"/>
    <w:rsid w:val="00113FCF"/>
    <w:rsid w:val="00114233"/>
    <w:rsid w:val="001146E1"/>
    <w:rsid w:val="0011506F"/>
    <w:rsid w:val="00117DCA"/>
    <w:rsid w:val="00117EF0"/>
    <w:rsid w:val="0012017D"/>
    <w:rsid w:val="001205A3"/>
    <w:rsid w:val="00120D7D"/>
    <w:rsid w:val="001215F3"/>
    <w:rsid w:val="0012246F"/>
    <w:rsid w:val="0012264F"/>
    <w:rsid w:val="001226BB"/>
    <w:rsid w:val="00122D4E"/>
    <w:rsid w:val="0012357B"/>
    <w:rsid w:val="00124551"/>
    <w:rsid w:val="0012459D"/>
    <w:rsid w:val="0012462B"/>
    <w:rsid w:val="00124887"/>
    <w:rsid w:val="00125DEF"/>
    <w:rsid w:val="00125FD4"/>
    <w:rsid w:val="00126FD6"/>
    <w:rsid w:val="001272A3"/>
    <w:rsid w:val="00130163"/>
    <w:rsid w:val="00130B45"/>
    <w:rsid w:val="00130F05"/>
    <w:rsid w:val="001323BD"/>
    <w:rsid w:val="00132739"/>
    <w:rsid w:val="00132E70"/>
    <w:rsid w:val="00133CA5"/>
    <w:rsid w:val="00133D38"/>
    <w:rsid w:val="00134B24"/>
    <w:rsid w:val="001350E4"/>
    <w:rsid w:val="001351DA"/>
    <w:rsid w:val="00135AB2"/>
    <w:rsid w:val="00135B55"/>
    <w:rsid w:val="00135CC5"/>
    <w:rsid w:val="0013769A"/>
    <w:rsid w:val="00140B01"/>
    <w:rsid w:val="0014208C"/>
    <w:rsid w:val="00143A46"/>
    <w:rsid w:val="00145919"/>
    <w:rsid w:val="001460F5"/>
    <w:rsid w:val="0014699A"/>
    <w:rsid w:val="0014715B"/>
    <w:rsid w:val="00147917"/>
    <w:rsid w:val="001500DF"/>
    <w:rsid w:val="00150511"/>
    <w:rsid w:val="00150887"/>
    <w:rsid w:val="00151939"/>
    <w:rsid w:val="00151B15"/>
    <w:rsid w:val="00152621"/>
    <w:rsid w:val="00152880"/>
    <w:rsid w:val="00152E3C"/>
    <w:rsid w:val="0015481D"/>
    <w:rsid w:val="00155A35"/>
    <w:rsid w:val="00156C9E"/>
    <w:rsid w:val="0015751D"/>
    <w:rsid w:val="00157FF1"/>
    <w:rsid w:val="001616C1"/>
    <w:rsid w:val="00161C86"/>
    <w:rsid w:val="001622AD"/>
    <w:rsid w:val="00162D79"/>
    <w:rsid w:val="00163EDD"/>
    <w:rsid w:val="00165641"/>
    <w:rsid w:val="00165C61"/>
    <w:rsid w:val="00166C0F"/>
    <w:rsid w:val="00167EE7"/>
    <w:rsid w:val="00171087"/>
    <w:rsid w:val="00172120"/>
    <w:rsid w:val="00172824"/>
    <w:rsid w:val="00173460"/>
    <w:rsid w:val="001735E5"/>
    <w:rsid w:val="001767F0"/>
    <w:rsid w:val="00177E04"/>
    <w:rsid w:val="0018178F"/>
    <w:rsid w:val="00182A70"/>
    <w:rsid w:val="001835B0"/>
    <w:rsid w:val="00183829"/>
    <w:rsid w:val="00183A1F"/>
    <w:rsid w:val="00183F38"/>
    <w:rsid w:val="00183FF7"/>
    <w:rsid w:val="0018421F"/>
    <w:rsid w:val="001848F4"/>
    <w:rsid w:val="001850BC"/>
    <w:rsid w:val="00185751"/>
    <w:rsid w:val="00185CDE"/>
    <w:rsid w:val="001909A1"/>
    <w:rsid w:val="00191267"/>
    <w:rsid w:val="00191B7A"/>
    <w:rsid w:val="00192B61"/>
    <w:rsid w:val="00192E1A"/>
    <w:rsid w:val="00193E1B"/>
    <w:rsid w:val="001941DB"/>
    <w:rsid w:val="00194D2D"/>
    <w:rsid w:val="0019505E"/>
    <w:rsid w:val="001959A0"/>
    <w:rsid w:val="001960E5"/>
    <w:rsid w:val="001965CA"/>
    <w:rsid w:val="00196FE5"/>
    <w:rsid w:val="001A02CC"/>
    <w:rsid w:val="001A1209"/>
    <w:rsid w:val="001A19AE"/>
    <w:rsid w:val="001A1ADE"/>
    <w:rsid w:val="001A2E34"/>
    <w:rsid w:val="001A3017"/>
    <w:rsid w:val="001A30B7"/>
    <w:rsid w:val="001A356F"/>
    <w:rsid w:val="001A3635"/>
    <w:rsid w:val="001A3A40"/>
    <w:rsid w:val="001A4984"/>
    <w:rsid w:val="001A59FB"/>
    <w:rsid w:val="001A5C4F"/>
    <w:rsid w:val="001A5ED5"/>
    <w:rsid w:val="001A638C"/>
    <w:rsid w:val="001A687D"/>
    <w:rsid w:val="001A6DE0"/>
    <w:rsid w:val="001A70B5"/>
    <w:rsid w:val="001B0452"/>
    <w:rsid w:val="001B083A"/>
    <w:rsid w:val="001B1F32"/>
    <w:rsid w:val="001B2A89"/>
    <w:rsid w:val="001B3856"/>
    <w:rsid w:val="001B4DFC"/>
    <w:rsid w:val="001B57D2"/>
    <w:rsid w:val="001B674A"/>
    <w:rsid w:val="001B68C3"/>
    <w:rsid w:val="001B76A7"/>
    <w:rsid w:val="001C04FD"/>
    <w:rsid w:val="001C0B35"/>
    <w:rsid w:val="001C12E3"/>
    <w:rsid w:val="001C159E"/>
    <w:rsid w:val="001C1A34"/>
    <w:rsid w:val="001C2148"/>
    <w:rsid w:val="001C3DA8"/>
    <w:rsid w:val="001C3E48"/>
    <w:rsid w:val="001C4414"/>
    <w:rsid w:val="001C54FA"/>
    <w:rsid w:val="001C5592"/>
    <w:rsid w:val="001C5889"/>
    <w:rsid w:val="001C61AA"/>
    <w:rsid w:val="001C77DD"/>
    <w:rsid w:val="001C7922"/>
    <w:rsid w:val="001C7991"/>
    <w:rsid w:val="001D0E44"/>
    <w:rsid w:val="001D3593"/>
    <w:rsid w:val="001D373A"/>
    <w:rsid w:val="001D385F"/>
    <w:rsid w:val="001D4302"/>
    <w:rsid w:val="001D45CC"/>
    <w:rsid w:val="001D66EC"/>
    <w:rsid w:val="001D6D92"/>
    <w:rsid w:val="001D77FC"/>
    <w:rsid w:val="001E0DB6"/>
    <w:rsid w:val="001E11A6"/>
    <w:rsid w:val="001E1FB8"/>
    <w:rsid w:val="001E1FD8"/>
    <w:rsid w:val="001E2DE5"/>
    <w:rsid w:val="001E3D96"/>
    <w:rsid w:val="001E41AC"/>
    <w:rsid w:val="001E4AA7"/>
    <w:rsid w:val="001E5826"/>
    <w:rsid w:val="001E5E18"/>
    <w:rsid w:val="001E633F"/>
    <w:rsid w:val="001E6A64"/>
    <w:rsid w:val="001E6B33"/>
    <w:rsid w:val="001E6CF0"/>
    <w:rsid w:val="001E7E6F"/>
    <w:rsid w:val="001F0485"/>
    <w:rsid w:val="001F0D9F"/>
    <w:rsid w:val="001F1AA2"/>
    <w:rsid w:val="001F1D93"/>
    <w:rsid w:val="001F22EF"/>
    <w:rsid w:val="001F2A88"/>
    <w:rsid w:val="001F376C"/>
    <w:rsid w:val="001F3D60"/>
    <w:rsid w:val="001F49A9"/>
    <w:rsid w:val="001F4D98"/>
    <w:rsid w:val="001F510C"/>
    <w:rsid w:val="001F542C"/>
    <w:rsid w:val="001F5D79"/>
    <w:rsid w:val="001F5F49"/>
    <w:rsid w:val="001F5FB5"/>
    <w:rsid w:val="001F683E"/>
    <w:rsid w:val="001F6D13"/>
    <w:rsid w:val="00200509"/>
    <w:rsid w:val="00203A7E"/>
    <w:rsid w:val="0020400B"/>
    <w:rsid w:val="002044AD"/>
    <w:rsid w:val="00204AB1"/>
    <w:rsid w:val="00204E1E"/>
    <w:rsid w:val="00204E46"/>
    <w:rsid w:val="00206DF9"/>
    <w:rsid w:val="002078B2"/>
    <w:rsid w:val="00207931"/>
    <w:rsid w:val="0021117C"/>
    <w:rsid w:val="00211BF0"/>
    <w:rsid w:val="00211C2A"/>
    <w:rsid w:val="0021284D"/>
    <w:rsid w:val="00213919"/>
    <w:rsid w:val="00213A28"/>
    <w:rsid w:val="002142C6"/>
    <w:rsid w:val="00214348"/>
    <w:rsid w:val="00215BC5"/>
    <w:rsid w:val="0021649B"/>
    <w:rsid w:val="00216984"/>
    <w:rsid w:val="00216B81"/>
    <w:rsid w:val="00216CD8"/>
    <w:rsid w:val="00216E76"/>
    <w:rsid w:val="00217B68"/>
    <w:rsid w:val="00217E98"/>
    <w:rsid w:val="002201A6"/>
    <w:rsid w:val="00220857"/>
    <w:rsid w:val="002215AF"/>
    <w:rsid w:val="00221E46"/>
    <w:rsid w:val="002220DC"/>
    <w:rsid w:val="00222200"/>
    <w:rsid w:val="00222BD5"/>
    <w:rsid w:val="00222E1C"/>
    <w:rsid w:val="00223B82"/>
    <w:rsid w:val="00224204"/>
    <w:rsid w:val="0022476D"/>
    <w:rsid w:val="00224BDE"/>
    <w:rsid w:val="0022549B"/>
    <w:rsid w:val="00225D5A"/>
    <w:rsid w:val="00226B6B"/>
    <w:rsid w:val="00226D68"/>
    <w:rsid w:val="0023021E"/>
    <w:rsid w:val="0023087F"/>
    <w:rsid w:val="00230BAA"/>
    <w:rsid w:val="00231512"/>
    <w:rsid w:val="002315DD"/>
    <w:rsid w:val="00231900"/>
    <w:rsid w:val="00231BE6"/>
    <w:rsid w:val="002322EB"/>
    <w:rsid w:val="00233E82"/>
    <w:rsid w:val="002345B2"/>
    <w:rsid w:val="0023584C"/>
    <w:rsid w:val="00235F45"/>
    <w:rsid w:val="002377CE"/>
    <w:rsid w:val="00240F49"/>
    <w:rsid w:val="002412C1"/>
    <w:rsid w:val="002414D0"/>
    <w:rsid w:val="0024252C"/>
    <w:rsid w:val="002435D8"/>
    <w:rsid w:val="00243B84"/>
    <w:rsid w:val="00244575"/>
    <w:rsid w:val="00244757"/>
    <w:rsid w:val="002447F0"/>
    <w:rsid w:val="002462D9"/>
    <w:rsid w:val="002468A2"/>
    <w:rsid w:val="00246DE8"/>
    <w:rsid w:val="00247637"/>
    <w:rsid w:val="00247E19"/>
    <w:rsid w:val="002502E0"/>
    <w:rsid w:val="002505E7"/>
    <w:rsid w:val="00251495"/>
    <w:rsid w:val="002517D9"/>
    <w:rsid w:val="002529A2"/>
    <w:rsid w:val="00253120"/>
    <w:rsid w:val="0025486C"/>
    <w:rsid w:val="00254A8D"/>
    <w:rsid w:val="00254DF2"/>
    <w:rsid w:val="00256E52"/>
    <w:rsid w:val="0025731A"/>
    <w:rsid w:val="00260203"/>
    <w:rsid w:val="00260473"/>
    <w:rsid w:val="00260B79"/>
    <w:rsid w:val="0026158C"/>
    <w:rsid w:val="00262347"/>
    <w:rsid w:val="0026276D"/>
    <w:rsid w:val="002632BB"/>
    <w:rsid w:val="002638A6"/>
    <w:rsid w:val="00264AA5"/>
    <w:rsid w:val="00264FC9"/>
    <w:rsid w:val="0026511F"/>
    <w:rsid w:val="002662DA"/>
    <w:rsid w:val="0026721F"/>
    <w:rsid w:val="00270805"/>
    <w:rsid w:val="00270E72"/>
    <w:rsid w:val="0027100E"/>
    <w:rsid w:val="00271A78"/>
    <w:rsid w:val="00271FAC"/>
    <w:rsid w:val="00272061"/>
    <w:rsid w:val="00272125"/>
    <w:rsid w:val="00274BD8"/>
    <w:rsid w:val="0027509E"/>
    <w:rsid w:val="002750FA"/>
    <w:rsid w:val="002753EE"/>
    <w:rsid w:val="00275647"/>
    <w:rsid w:val="002759FF"/>
    <w:rsid w:val="00275E0F"/>
    <w:rsid w:val="002763B2"/>
    <w:rsid w:val="002768CC"/>
    <w:rsid w:val="002816BD"/>
    <w:rsid w:val="002817DD"/>
    <w:rsid w:val="00281A1D"/>
    <w:rsid w:val="00282C9D"/>
    <w:rsid w:val="00283C80"/>
    <w:rsid w:val="002854F9"/>
    <w:rsid w:val="00285FD5"/>
    <w:rsid w:val="00286464"/>
    <w:rsid w:val="00287010"/>
    <w:rsid w:val="0029039A"/>
    <w:rsid w:val="002920B8"/>
    <w:rsid w:val="002923F1"/>
    <w:rsid w:val="00292650"/>
    <w:rsid w:val="00292FB1"/>
    <w:rsid w:val="002934D3"/>
    <w:rsid w:val="00293945"/>
    <w:rsid w:val="00294AD4"/>
    <w:rsid w:val="002951DB"/>
    <w:rsid w:val="00295D8B"/>
    <w:rsid w:val="00295DBA"/>
    <w:rsid w:val="00296A58"/>
    <w:rsid w:val="00296DDF"/>
    <w:rsid w:val="0029701F"/>
    <w:rsid w:val="002A024C"/>
    <w:rsid w:val="002A13CE"/>
    <w:rsid w:val="002A22D2"/>
    <w:rsid w:val="002A34D6"/>
    <w:rsid w:val="002A4EBB"/>
    <w:rsid w:val="002A5EA6"/>
    <w:rsid w:val="002A5EE4"/>
    <w:rsid w:val="002A6B7F"/>
    <w:rsid w:val="002B08C1"/>
    <w:rsid w:val="002B100C"/>
    <w:rsid w:val="002B25A7"/>
    <w:rsid w:val="002B4A5C"/>
    <w:rsid w:val="002B4A70"/>
    <w:rsid w:val="002B551F"/>
    <w:rsid w:val="002B64DD"/>
    <w:rsid w:val="002B7761"/>
    <w:rsid w:val="002C05C9"/>
    <w:rsid w:val="002C17E9"/>
    <w:rsid w:val="002C2348"/>
    <w:rsid w:val="002C2D2B"/>
    <w:rsid w:val="002C2EF1"/>
    <w:rsid w:val="002C3EB8"/>
    <w:rsid w:val="002C4691"/>
    <w:rsid w:val="002C6153"/>
    <w:rsid w:val="002C623E"/>
    <w:rsid w:val="002C62DA"/>
    <w:rsid w:val="002C6438"/>
    <w:rsid w:val="002C68D5"/>
    <w:rsid w:val="002C6AEF"/>
    <w:rsid w:val="002C784D"/>
    <w:rsid w:val="002C7EB2"/>
    <w:rsid w:val="002D0382"/>
    <w:rsid w:val="002D03CE"/>
    <w:rsid w:val="002D05C8"/>
    <w:rsid w:val="002D2E86"/>
    <w:rsid w:val="002D3E21"/>
    <w:rsid w:val="002D54E0"/>
    <w:rsid w:val="002D6090"/>
    <w:rsid w:val="002D6D0A"/>
    <w:rsid w:val="002D73A1"/>
    <w:rsid w:val="002E04D2"/>
    <w:rsid w:val="002E0D26"/>
    <w:rsid w:val="002E225E"/>
    <w:rsid w:val="002E315D"/>
    <w:rsid w:val="002E40C1"/>
    <w:rsid w:val="002E46B3"/>
    <w:rsid w:val="002E516E"/>
    <w:rsid w:val="002E530D"/>
    <w:rsid w:val="002E55AB"/>
    <w:rsid w:val="002E5F8B"/>
    <w:rsid w:val="002E6C6F"/>
    <w:rsid w:val="002E6D80"/>
    <w:rsid w:val="002F023E"/>
    <w:rsid w:val="002F06DB"/>
    <w:rsid w:val="002F0F77"/>
    <w:rsid w:val="002F1219"/>
    <w:rsid w:val="002F1412"/>
    <w:rsid w:val="002F1D21"/>
    <w:rsid w:val="002F1EE7"/>
    <w:rsid w:val="002F2685"/>
    <w:rsid w:val="002F26D5"/>
    <w:rsid w:val="002F297B"/>
    <w:rsid w:val="002F310B"/>
    <w:rsid w:val="002F4CFC"/>
    <w:rsid w:val="002F5EE2"/>
    <w:rsid w:val="002F61CA"/>
    <w:rsid w:val="002F6582"/>
    <w:rsid w:val="002F79ED"/>
    <w:rsid w:val="002F7B20"/>
    <w:rsid w:val="002F7C62"/>
    <w:rsid w:val="003001C3"/>
    <w:rsid w:val="0030084D"/>
    <w:rsid w:val="00301A37"/>
    <w:rsid w:val="00301D73"/>
    <w:rsid w:val="00302494"/>
    <w:rsid w:val="0030306B"/>
    <w:rsid w:val="00303607"/>
    <w:rsid w:val="00304507"/>
    <w:rsid w:val="0030487F"/>
    <w:rsid w:val="00306F95"/>
    <w:rsid w:val="00310385"/>
    <w:rsid w:val="0031145C"/>
    <w:rsid w:val="0031183C"/>
    <w:rsid w:val="0031192D"/>
    <w:rsid w:val="00311A78"/>
    <w:rsid w:val="0031227D"/>
    <w:rsid w:val="00313378"/>
    <w:rsid w:val="003139EB"/>
    <w:rsid w:val="00313C6C"/>
    <w:rsid w:val="003144C5"/>
    <w:rsid w:val="003152DA"/>
    <w:rsid w:val="00315429"/>
    <w:rsid w:val="00315A25"/>
    <w:rsid w:val="003160E3"/>
    <w:rsid w:val="00316CE3"/>
    <w:rsid w:val="003200FB"/>
    <w:rsid w:val="00321687"/>
    <w:rsid w:val="00321EC7"/>
    <w:rsid w:val="00322951"/>
    <w:rsid w:val="00323BBF"/>
    <w:rsid w:val="003262E6"/>
    <w:rsid w:val="0033155E"/>
    <w:rsid w:val="003318A3"/>
    <w:rsid w:val="00331DC4"/>
    <w:rsid w:val="00332142"/>
    <w:rsid w:val="0033233F"/>
    <w:rsid w:val="0033291C"/>
    <w:rsid w:val="0033307F"/>
    <w:rsid w:val="0033338B"/>
    <w:rsid w:val="003337D1"/>
    <w:rsid w:val="00333825"/>
    <w:rsid w:val="003340E1"/>
    <w:rsid w:val="00334F3E"/>
    <w:rsid w:val="0033678B"/>
    <w:rsid w:val="00336969"/>
    <w:rsid w:val="00336DB7"/>
    <w:rsid w:val="00337A4D"/>
    <w:rsid w:val="00342B11"/>
    <w:rsid w:val="00342C44"/>
    <w:rsid w:val="00343D6F"/>
    <w:rsid w:val="00344D66"/>
    <w:rsid w:val="00345E52"/>
    <w:rsid w:val="003467FA"/>
    <w:rsid w:val="003474D4"/>
    <w:rsid w:val="003475BE"/>
    <w:rsid w:val="003476E6"/>
    <w:rsid w:val="0034793E"/>
    <w:rsid w:val="00350489"/>
    <w:rsid w:val="00350D5F"/>
    <w:rsid w:val="00350FCE"/>
    <w:rsid w:val="0035194F"/>
    <w:rsid w:val="00351FCF"/>
    <w:rsid w:val="00352012"/>
    <w:rsid w:val="00352E73"/>
    <w:rsid w:val="003532A8"/>
    <w:rsid w:val="0035366F"/>
    <w:rsid w:val="00353AEA"/>
    <w:rsid w:val="0035426D"/>
    <w:rsid w:val="00354C87"/>
    <w:rsid w:val="00354CEB"/>
    <w:rsid w:val="00355224"/>
    <w:rsid w:val="00356019"/>
    <w:rsid w:val="003570CD"/>
    <w:rsid w:val="0035736B"/>
    <w:rsid w:val="003608A6"/>
    <w:rsid w:val="003608DE"/>
    <w:rsid w:val="00360E3C"/>
    <w:rsid w:val="00361123"/>
    <w:rsid w:val="00362D52"/>
    <w:rsid w:val="00362DC8"/>
    <w:rsid w:val="00365FBE"/>
    <w:rsid w:val="003660ED"/>
    <w:rsid w:val="00366350"/>
    <w:rsid w:val="00366AE0"/>
    <w:rsid w:val="00366E1E"/>
    <w:rsid w:val="00367824"/>
    <w:rsid w:val="00367C11"/>
    <w:rsid w:val="003704C2"/>
    <w:rsid w:val="0037056B"/>
    <w:rsid w:val="003711E2"/>
    <w:rsid w:val="00372456"/>
    <w:rsid w:val="0037310C"/>
    <w:rsid w:val="00373316"/>
    <w:rsid w:val="00373FED"/>
    <w:rsid w:val="00374314"/>
    <w:rsid w:val="0037448F"/>
    <w:rsid w:val="00375367"/>
    <w:rsid w:val="00375895"/>
    <w:rsid w:val="003759A7"/>
    <w:rsid w:val="00375CF7"/>
    <w:rsid w:val="00376711"/>
    <w:rsid w:val="0038066F"/>
    <w:rsid w:val="00381445"/>
    <w:rsid w:val="00382207"/>
    <w:rsid w:val="0038304B"/>
    <w:rsid w:val="0038408C"/>
    <w:rsid w:val="003854AA"/>
    <w:rsid w:val="003856EE"/>
    <w:rsid w:val="003869E9"/>
    <w:rsid w:val="00386B64"/>
    <w:rsid w:val="00386D4B"/>
    <w:rsid w:val="0039205F"/>
    <w:rsid w:val="003928F2"/>
    <w:rsid w:val="00392B0F"/>
    <w:rsid w:val="00392C61"/>
    <w:rsid w:val="0039321C"/>
    <w:rsid w:val="00394109"/>
    <w:rsid w:val="00394F9A"/>
    <w:rsid w:val="0039640B"/>
    <w:rsid w:val="00396A66"/>
    <w:rsid w:val="00397C2A"/>
    <w:rsid w:val="003A1A64"/>
    <w:rsid w:val="003A3873"/>
    <w:rsid w:val="003A3EF9"/>
    <w:rsid w:val="003A4419"/>
    <w:rsid w:val="003A5482"/>
    <w:rsid w:val="003A726C"/>
    <w:rsid w:val="003A760D"/>
    <w:rsid w:val="003B1CD6"/>
    <w:rsid w:val="003B1FA3"/>
    <w:rsid w:val="003B20E3"/>
    <w:rsid w:val="003B3993"/>
    <w:rsid w:val="003B3EB8"/>
    <w:rsid w:val="003B5428"/>
    <w:rsid w:val="003B543F"/>
    <w:rsid w:val="003B5F18"/>
    <w:rsid w:val="003B5F59"/>
    <w:rsid w:val="003B78F1"/>
    <w:rsid w:val="003C012D"/>
    <w:rsid w:val="003C0953"/>
    <w:rsid w:val="003C0B24"/>
    <w:rsid w:val="003C1002"/>
    <w:rsid w:val="003C1853"/>
    <w:rsid w:val="003C1D3B"/>
    <w:rsid w:val="003C238C"/>
    <w:rsid w:val="003C3790"/>
    <w:rsid w:val="003C3A90"/>
    <w:rsid w:val="003C4A99"/>
    <w:rsid w:val="003C53C4"/>
    <w:rsid w:val="003C618E"/>
    <w:rsid w:val="003C6352"/>
    <w:rsid w:val="003C6E51"/>
    <w:rsid w:val="003C7166"/>
    <w:rsid w:val="003C722A"/>
    <w:rsid w:val="003D050C"/>
    <w:rsid w:val="003D1445"/>
    <w:rsid w:val="003D16EE"/>
    <w:rsid w:val="003D1A42"/>
    <w:rsid w:val="003D46DF"/>
    <w:rsid w:val="003D47DF"/>
    <w:rsid w:val="003D4C66"/>
    <w:rsid w:val="003D4F35"/>
    <w:rsid w:val="003D5247"/>
    <w:rsid w:val="003D65C2"/>
    <w:rsid w:val="003D7CD3"/>
    <w:rsid w:val="003E044A"/>
    <w:rsid w:val="003E0856"/>
    <w:rsid w:val="003E11F8"/>
    <w:rsid w:val="003E2065"/>
    <w:rsid w:val="003E31FC"/>
    <w:rsid w:val="003E5412"/>
    <w:rsid w:val="003E5AAC"/>
    <w:rsid w:val="003E6315"/>
    <w:rsid w:val="003E681C"/>
    <w:rsid w:val="003E6D95"/>
    <w:rsid w:val="003F00CD"/>
    <w:rsid w:val="003F0604"/>
    <w:rsid w:val="003F0DD4"/>
    <w:rsid w:val="003F1365"/>
    <w:rsid w:val="003F2C0A"/>
    <w:rsid w:val="003F2D9B"/>
    <w:rsid w:val="003F3407"/>
    <w:rsid w:val="003F35BA"/>
    <w:rsid w:val="003F39DD"/>
    <w:rsid w:val="003F3B93"/>
    <w:rsid w:val="003F3E47"/>
    <w:rsid w:val="003F4397"/>
    <w:rsid w:val="003F4FA6"/>
    <w:rsid w:val="003F5297"/>
    <w:rsid w:val="003F5573"/>
    <w:rsid w:val="003F661A"/>
    <w:rsid w:val="003F6833"/>
    <w:rsid w:val="003F6872"/>
    <w:rsid w:val="003F68A8"/>
    <w:rsid w:val="003F6A9D"/>
    <w:rsid w:val="003F746C"/>
    <w:rsid w:val="003F79D2"/>
    <w:rsid w:val="003F7C7C"/>
    <w:rsid w:val="00400804"/>
    <w:rsid w:val="00400EA6"/>
    <w:rsid w:val="00402977"/>
    <w:rsid w:val="004029D5"/>
    <w:rsid w:val="00403232"/>
    <w:rsid w:val="00404A09"/>
    <w:rsid w:val="00405DEC"/>
    <w:rsid w:val="00406B64"/>
    <w:rsid w:val="00406BB6"/>
    <w:rsid w:val="00407059"/>
    <w:rsid w:val="004070D5"/>
    <w:rsid w:val="0041017B"/>
    <w:rsid w:val="00410A8C"/>
    <w:rsid w:val="00411BC6"/>
    <w:rsid w:val="00411DA0"/>
    <w:rsid w:val="00411E35"/>
    <w:rsid w:val="00412872"/>
    <w:rsid w:val="0041291E"/>
    <w:rsid w:val="00412B6E"/>
    <w:rsid w:val="004130D0"/>
    <w:rsid w:val="00413A0E"/>
    <w:rsid w:val="00413B19"/>
    <w:rsid w:val="00414642"/>
    <w:rsid w:val="0041503F"/>
    <w:rsid w:val="004159FF"/>
    <w:rsid w:val="004207F9"/>
    <w:rsid w:val="00420B47"/>
    <w:rsid w:val="00421098"/>
    <w:rsid w:val="00421638"/>
    <w:rsid w:val="004222B7"/>
    <w:rsid w:val="004227F9"/>
    <w:rsid w:val="00423988"/>
    <w:rsid w:val="00423E7D"/>
    <w:rsid w:val="00424A0B"/>
    <w:rsid w:val="00424DCE"/>
    <w:rsid w:val="004252B9"/>
    <w:rsid w:val="0042536D"/>
    <w:rsid w:val="004258AA"/>
    <w:rsid w:val="0042590D"/>
    <w:rsid w:val="00427003"/>
    <w:rsid w:val="00427440"/>
    <w:rsid w:val="004278DE"/>
    <w:rsid w:val="00430994"/>
    <w:rsid w:val="00430A93"/>
    <w:rsid w:val="0043188C"/>
    <w:rsid w:val="0043198B"/>
    <w:rsid w:val="0043248F"/>
    <w:rsid w:val="00433721"/>
    <w:rsid w:val="00434C83"/>
    <w:rsid w:val="00434E4B"/>
    <w:rsid w:val="00435870"/>
    <w:rsid w:val="00435942"/>
    <w:rsid w:val="00436BB6"/>
    <w:rsid w:val="00437452"/>
    <w:rsid w:val="00440101"/>
    <w:rsid w:val="0044156F"/>
    <w:rsid w:val="004418C8"/>
    <w:rsid w:val="00441B81"/>
    <w:rsid w:val="004429FB"/>
    <w:rsid w:val="00442BA2"/>
    <w:rsid w:val="00443964"/>
    <w:rsid w:val="00443A95"/>
    <w:rsid w:val="00443AB6"/>
    <w:rsid w:val="004446E5"/>
    <w:rsid w:val="0044528D"/>
    <w:rsid w:val="00445555"/>
    <w:rsid w:val="00445BDC"/>
    <w:rsid w:val="00445D77"/>
    <w:rsid w:val="004468F8"/>
    <w:rsid w:val="0044724E"/>
    <w:rsid w:val="00447B30"/>
    <w:rsid w:val="00450152"/>
    <w:rsid w:val="0045117C"/>
    <w:rsid w:val="004511B0"/>
    <w:rsid w:val="00452FC4"/>
    <w:rsid w:val="00453659"/>
    <w:rsid w:val="00453B60"/>
    <w:rsid w:val="00453CA1"/>
    <w:rsid w:val="00454020"/>
    <w:rsid w:val="00454927"/>
    <w:rsid w:val="00454976"/>
    <w:rsid w:val="004569CD"/>
    <w:rsid w:val="00456CF4"/>
    <w:rsid w:val="0045765B"/>
    <w:rsid w:val="00457939"/>
    <w:rsid w:val="00460557"/>
    <w:rsid w:val="004612EB"/>
    <w:rsid w:val="0046135C"/>
    <w:rsid w:val="0046147C"/>
    <w:rsid w:val="00461B5C"/>
    <w:rsid w:val="00462C2F"/>
    <w:rsid w:val="00464884"/>
    <w:rsid w:val="00465859"/>
    <w:rsid w:val="00467272"/>
    <w:rsid w:val="004702DB"/>
    <w:rsid w:val="00470BD8"/>
    <w:rsid w:val="00470EFD"/>
    <w:rsid w:val="004714CC"/>
    <w:rsid w:val="0047190C"/>
    <w:rsid w:val="00471B1C"/>
    <w:rsid w:val="00472043"/>
    <w:rsid w:val="00472200"/>
    <w:rsid w:val="00472CC4"/>
    <w:rsid w:val="0047355A"/>
    <w:rsid w:val="00473579"/>
    <w:rsid w:val="00473A17"/>
    <w:rsid w:val="00474898"/>
    <w:rsid w:val="00474AF7"/>
    <w:rsid w:val="0047519D"/>
    <w:rsid w:val="0047567E"/>
    <w:rsid w:val="00475B1A"/>
    <w:rsid w:val="00475F12"/>
    <w:rsid w:val="0047627C"/>
    <w:rsid w:val="00477357"/>
    <w:rsid w:val="00477695"/>
    <w:rsid w:val="00477F29"/>
    <w:rsid w:val="004801C2"/>
    <w:rsid w:val="0048068D"/>
    <w:rsid w:val="004821E4"/>
    <w:rsid w:val="00482590"/>
    <w:rsid w:val="00483AAE"/>
    <w:rsid w:val="00483C76"/>
    <w:rsid w:val="00484901"/>
    <w:rsid w:val="00484B70"/>
    <w:rsid w:val="00485B3F"/>
    <w:rsid w:val="00485BA7"/>
    <w:rsid w:val="0048746B"/>
    <w:rsid w:val="00491348"/>
    <w:rsid w:val="00491714"/>
    <w:rsid w:val="00491739"/>
    <w:rsid w:val="00492674"/>
    <w:rsid w:val="00492CF8"/>
    <w:rsid w:val="00493390"/>
    <w:rsid w:val="004934D6"/>
    <w:rsid w:val="0049389E"/>
    <w:rsid w:val="00493A64"/>
    <w:rsid w:val="00494871"/>
    <w:rsid w:val="0049587F"/>
    <w:rsid w:val="00495CD0"/>
    <w:rsid w:val="00496789"/>
    <w:rsid w:val="0049685D"/>
    <w:rsid w:val="00496CD3"/>
    <w:rsid w:val="004A2C9B"/>
    <w:rsid w:val="004A2E31"/>
    <w:rsid w:val="004A3264"/>
    <w:rsid w:val="004A3908"/>
    <w:rsid w:val="004A3B5E"/>
    <w:rsid w:val="004A54FB"/>
    <w:rsid w:val="004A61DF"/>
    <w:rsid w:val="004A6F60"/>
    <w:rsid w:val="004A7C4B"/>
    <w:rsid w:val="004B00D3"/>
    <w:rsid w:val="004B13AF"/>
    <w:rsid w:val="004B19EA"/>
    <w:rsid w:val="004B1C8D"/>
    <w:rsid w:val="004B1E34"/>
    <w:rsid w:val="004B28B7"/>
    <w:rsid w:val="004B2DC9"/>
    <w:rsid w:val="004B2E57"/>
    <w:rsid w:val="004B50DB"/>
    <w:rsid w:val="004B57C3"/>
    <w:rsid w:val="004B5EA2"/>
    <w:rsid w:val="004B6439"/>
    <w:rsid w:val="004B6FC7"/>
    <w:rsid w:val="004B7DC7"/>
    <w:rsid w:val="004C110A"/>
    <w:rsid w:val="004C2698"/>
    <w:rsid w:val="004C2DA3"/>
    <w:rsid w:val="004C2EBA"/>
    <w:rsid w:val="004C33C7"/>
    <w:rsid w:val="004C3C75"/>
    <w:rsid w:val="004C490D"/>
    <w:rsid w:val="004C4A50"/>
    <w:rsid w:val="004C4B41"/>
    <w:rsid w:val="004C4DA2"/>
    <w:rsid w:val="004C50B3"/>
    <w:rsid w:val="004C5197"/>
    <w:rsid w:val="004C5EFF"/>
    <w:rsid w:val="004C6380"/>
    <w:rsid w:val="004C6983"/>
    <w:rsid w:val="004C708A"/>
    <w:rsid w:val="004D0095"/>
    <w:rsid w:val="004D0706"/>
    <w:rsid w:val="004D2EDD"/>
    <w:rsid w:val="004D4908"/>
    <w:rsid w:val="004D64BD"/>
    <w:rsid w:val="004E0E8A"/>
    <w:rsid w:val="004E16B9"/>
    <w:rsid w:val="004E1828"/>
    <w:rsid w:val="004E2119"/>
    <w:rsid w:val="004E2DE8"/>
    <w:rsid w:val="004E4B32"/>
    <w:rsid w:val="004E51D0"/>
    <w:rsid w:val="004E5304"/>
    <w:rsid w:val="004E67C6"/>
    <w:rsid w:val="004E781E"/>
    <w:rsid w:val="004E7B98"/>
    <w:rsid w:val="004F05BD"/>
    <w:rsid w:val="004F0BC1"/>
    <w:rsid w:val="004F0C99"/>
    <w:rsid w:val="004F1294"/>
    <w:rsid w:val="004F20DE"/>
    <w:rsid w:val="004F26AC"/>
    <w:rsid w:val="004F26DF"/>
    <w:rsid w:val="004F2E9C"/>
    <w:rsid w:val="004F33AA"/>
    <w:rsid w:val="004F4ED3"/>
    <w:rsid w:val="004F5D08"/>
    <w:rsid w:val="004F5E64"/>
    <w:rsid w:val="004F6A26"/>
    <w:rsid w:val="004F6C5D"/>
    <w:rsid w:val="00500907"/>
    <w:rsid w:val="00500B5C"/>
    <w:rsid w:val="00500BD0"/>
    <w:rsid w:val="00500EBD"/>
    <w:rsid w:val="005029BC"/>
    <w:rsid w:val="005035EC"/>
    <w:rsid w:val="005043E3"/>
    <w:rsid w:val="00504839"/>
    <w:rsid w:val="005048D3"/>
    <w:rsid w:val="0050592C"/>
    <w:rsid w:val="00505FE5"/>
    <w:rsid w:val="005066E1"/>
    <w:rsid w:val="00506BB9"/>
    <w:rsid w:val="0050764C"/>
    <w:rsid w:val="00507F2C"/>
    <w:rsid w:val="00507F61"/>
    <w:rsid w:val="00510498"/>
    <w:rsid w:val="0051154D"/>
    <w:rsid w:val="00512020"/>
    <w:rsid w:val="00512975"/>
    <w:rsid w:val="005129DA"/>
    <w:rsid w:val="00512B11"/>
    <w:rsid w:val="0051395F"/>
    <w:rsid w:val="00513E60"/>
    <w:rsid w:val="00514D8F"/>
    <w:rsid w:val="005153AB"/>
    <w:rsid w:val="00515A53"/>
    <w:rsid w:val="00517B5F"/>
    <w:rsid w:val="0052136D"/>
    <w:rsid w:val="0052175F"/>
    <w:rsid w:val="00521850"/>
    <w:rsid w:val="00521F07"/>
    <w:rsid w:val="00522361"/>
    <w:rsid w:val="005238E5"/>
    <w:rsid w:val="00523B06"/>
    <w:rsid w:val="00524643"/>
    <w:rsid w:val="00524B64"/>
    <w:rsid w:val="00525460"/>
    <w:rsid w:val="00525504"/>
    <w:rsid w:val="0052583C"/>
    <w:rsid w:val="00525F8F"/>
    <w:rsid w:val="0052650F"/>
    <w:rsid w:val="00527688"/>
    <w:rsid w:val="00527D3C"/>
    <w:rsid w:val="005304C5"/>
    <w:rsid w:val="005305B4"/>
    <w:rsid w:val="00530A37"/>
    <w:rsid w:val="00531D6B"/>
    <w:rsid w:val="005320FA"/>
    <w:rsid w:val="005322D6"/>
    <w:rsid w:val="005325AD"/>
    <w:rsid w:val="00532B22"/>
    <w:rsid w:val="00533127"/>
    <w:rsid w:val="00533B20"/>
    <w:rsid w:val="005347C2"/>
    <w:rsid w:val="00534A6B"/>
    <w:rsid w:val="0053518B"/>
    <w:rsid w:val="00535B4F"/>
    <w:rsid w:val="00536531"/>
    <w:rsid w:val="00536E7D"/>
    <w:rsid w:val="00537799"/>
    <w:rsid w:val="005378A6"/>
    <w:rsid w:val="00541070"/>
    <w:rsid w:val="00542E12"/>
    <w:rsid w:val="00545285"/>
    <w:rsid w:val="00545BA3"/>
    <w:rsid w:val="005467C4"/>
    <w:rsid w:val="00546C55"/>
    <w:rsid w:val="00546D72"/>
    <w:rsid w:val="00546E4D"/>
    <w:rsid w:val="005471F3"/>
    <w:rsid w:val="0054794D"/>
    <w:rsid w:val="00547BAC"/>
    <w:rsid w:val="0055151B"/>
    <w:rsid w:val="00551C37"/>
    <w:rsid w:val="00551F79"/>
    <w:rsid w:val="005520D1"/>
    <w:rsid w:val="0055225D"/>
    <w:rsid w:val="00552A54"/>
    <w:rsid w:val="00552E5B"/>
    <w:rsid w:val="005532B1"/>
    <w:rsid w:val="0055579F"/>
    <w:rsid w:val="00555F12"/>
    <w:rsid w:val="00556233"/>
    <w:rsid w:val="005616A6"/>
    <w:rsid w:val="00562698"/>
    <w:rsid w:val="00562B56"/>
    <w:rsid w:val="00563559"/>
    <w:rsid w:val="00563613"/>
    <w:rsid w:val="00564DEB"/>
    <w:rsid w:val="005659EA"/>
    <w:rsid w:val="00566318"/>
    <w:rsid w:val="0056701A"/>
    <w:rsid w:val="00567A12"/>
    <w:rsid w:val="00571152"/>
    <w:rsid w:val="00571277"/>
    <w:rsid w:val="00571DA3"/>
    <w:rsid w:val="00572C26"/>
    <w:rsid w:val="00572E03"/>
    <w:rsid w:val="00572EA0"/>
    <w:rsid w:val="0057417C"/>
    <w:rsid w:val="00574CFB"/>
    <w:rsid w:val="00574FCA"/>
    <w:rsid w:val="00575FE6"/>
    <w:rsid w:val="00577315"/>
    <w:rsid w:val="00577434"/>
    <w:rsid w:val="005775C6"/>
    <w:rsid w:val="00577A40"/>
    <w:rsid w:val="00580A31"/>
    <w:rsid w:val="00581157"/>
    <w:rsid w:val="00581EC4"/>
    <w:rsid w:val="0058303F"/>
    <w:rsid w:val="00584547"/>
    <w:rsid w:val="00584D7E"/>
    <w:rsid w:val="00586686"/>
    <w:rsid w:val="00586D75"/>
    <w:rsid w:val="00587F69"/>
    <w:rsid w:val="00587F6D"/>
    <w:rsid w:val="00590988"/>
    <w:rsid w:val="005915C7"/>
    <w:rsid w:val="005917B7"/>
    <w:rsid w:val="00592160"/>
    <w:rsid w:val="0059235F"/>
    <w:rsid w:val="00593036"/>
    <w:rsid w:val="00594E6A"/>
    <w:rsid w:val="0059547C"/>
    <w:rsid w:val="005956F7"/>
    <w:rsid w:val="00595D11"/>
    <w:rsid w:val="00595D31"/>
    <w:rsid w:val="00595EC0"/>
    <w:rsid w:val="005968D8"/>
    <w:rsid w:val="005971A7"/>
    <w:rsid w:val="00597603"/>
    <w:rsid w:val="005A18A9"/>
    <w:rsid w:val="005A1C55"/>
    <w:rsid w:val="005A2AED"/>
    <w:rsid w:val="005A342F"/>
    <w:rsid w:val="005A5769"/>
    <w:rsid w:val="005A5B9D"/>
    <w:rsid w:val="005A63B2"/>
    <w:rsid w:val="005A7E30"/>
    <w:rsid w:val="005B07D7"/>
    <w:rsid w:val="005B0C7F"/>
    <w:rsid w:val="005B154C"/>
    <w:rsid w:val="005B2621"/>
    <w:rsid w:val="005B2DE5"/>
    <w:rsid w:val="005B4749"/>
    <w:rsid w:val="005B5184"/>
    <w:rsid w:val="005B5D28"/>
    <w:rsid w:val="005B6D98"/>
    <w:rsid w:val="005B71D7"/>
    <w:rsid w:val="005B7819"/>
    <w:rsid w:val="005C0434"/>
    <w:rsid w:val="005C0D5E"/>
    <w:rsid w:val="005C1229"/>
    <w:rsid w:val="005C2880"/>
    <w:rsid w:val="005C3AF8"/>
    <w:rsid w:val="005C3BF3"/>
    <w:rsid w:val="005C5C7A"/>
    <w:rsid w:val="005C6919"/>
    <w:rsid w:val="005C6FC6"/>
    <w:rsid w:val="005C702E"/>
    <w:rsid w:val="005C7927"/>
    <w:rsid w:val="005D07CE"/>
    <w:rsid w:val="005D0B2F"/>
    <w:rsid w:val="005D0FCE"/>
    <w:rsid w:val="005D1039"/>
    <w:rsid w:val="005D1412"/>
    <w:rsid w:val="005D1DD7"/>
    <w:rsid w:val="005D25E4"/>
    <w:rsid w:val="005D4B98"/>
    <w:rsid w:val="005D5220"/>
    <w:rsid w:val="005D53BE"/>
    <w:rsid w:val="005D5891"/>
    <w:rsid w:val="005D68CD"/>
    <w:rsid w:val="005D69F8"/>
    <w:rsid w:val="005D6DFC"/>
    <w:rsid w:val="005D7084"/>
    <w:rsid w:val="005D72F1"/>
    <w:rsid w:val="005E0146"/>
    <w:rsid w:val="005E1879"/>
    <w:rsid w:val="005E1F86"/>
    <w:rsid w:val="005E2062"/>
    <w:rsid w:val="005E2260"/>
    <w:rsid w:val="005E57A3"/>
    <w:rsid w:val="005E702F"/>
    <w:rsid w:val="005E747F"/>
    <w:rsid w:val="005E78C8"/>
    <w:rsid w:val="005E7ABD"/>
    <w:rsid w:val="005F0AF6"/>
    <w:rsid w:val="005F11F0"/>
    <w:rsid w:val="005F39BA"/>
    <w:rsid w:val="005F4D9C"/>
    <w:rsid w:val="005F50F6"/>
    <w:rsid w:val="005F5214"/>
    <w:rsid w:val="005F597A"/>
    <w:rsid w:val="005F61A6"/>
    <w:rsid w:val="005F7622"/>
    <w:rsid w:val="006000EB"/>
    <w:rsid w:val="00600414"/>
    <w:rsid w:val="0060094A"/>
    <w:rsid w:val="00600BF9"/>
    <w:rsid w:val="00601416"/>
    <w:rsid w:val="00601765"/>
    <w:rsid w:val="006019CC"/>
    <w:rsid w:val="006022EF"/>
    <w:rsid w:val="00604DB2"/>
    <w:rsid w:val="00604DFD"/>
    <w:rsid w:val="00604FCB"/>
    <w:rsid w:val="006056B3"/>
    <w:rsid w:val="00605DD4"/>
    <w:rsid w:val="00607886"/>
    <w:rsid w:val="00612351"/>
    <w:rsid w:val="00612655"/>
    <w:rsid w:val="00613F69"/>
    <w:rsid w:val="00615402"/>
    <w:rsid w:val="006157F0"/>
    <w:rsid w:val="00615B87"/>
    <w:rsid w:val="006175F0"/>
    <w:rsid w:val="00617B8A"/>
    <w:rsid w:val="0062064D"/>
    <w:rsid w:val="00620EAF"/>
    <w:rsid w:val="00621D54"/>
    <w:rsid w:val="00621FB3"/>
    <w:rsid w:val="0062277A"/>
    <w:rsid w:val="00623C9A"/>
    <w:rsid w:val="006261DA"/>
    <w:rsid w:val="006264CA"/>
    <w:rsid w:val="00626651"/>
    <w:rsid w:val="006274CC"/>
    <w:rsid w:val="0062765A"/>
    <w:rsid w:val="00627E8D"/>
    <w:rsid w:val="00627F92"/>
    <w:rsid w:val="0063004E"/>
    <w:rsid w:val="00630929"/>
    <w:rsid w:val="00630BA9"/>
    <w:rsid w:val="00630C72"/>
    <w:rsid w:val="00630CA5"/>
    <w:rsid w:val="00630EE3"/>
    <w:rsid w:val="00631125"/>
    <w:rsid w:val="00632BD8"/>
    <w:rsid w:val="00633C7B"/>
    <w:rsid w:val="00634927"/>
    <w:rsid w:val="00635F0C"/>
    <w:rsid w:val="00635FF1"/>
    <w:rsid w:val="006370DD"/>
    <w:rsid w:val="0063746C"/>
    <w:rsid w:val="006404C9"/>
    <w:rsid w:val="006406FC"/>
    <w:rsid w:val="006412FB"/>
    <w:rsid w:val="006414C7"/>
    <w:rsid w:val="006421E4"/>
    <w:rsid w:val="00643227"/>
    <w:rsid w:val="00643889"/>
    <w:rsid w:val="00644480"/>
    <w:rsid w:val="0064462E"/>
    <w:rsid w:val="0064481B"/>
    <w:rsid w:val="006452F0"/>
    <w:rsid w:val="0064559B"/>
    <w:rsid w:val="006456B1"/>
    <w:rsid w:val="00645A21"/>
    <w:rsid w:val="00645F66"/>
    <w:rsid w:val="00646CD0"/>
    <w:rsid w:val="006471AD"/>
    <w:rsid w:val="0064787B"/>
    <w:rsid w:val="006500E0"/>
    <w:rsid w:val="00650398"/>
    <w:rsid w:val="00651A0E"/>
    <w:rsid w:val="006529DA"/>
    <w:rsid w:val="00652AE0"/>
    <w:rsid w:val="00653E1F"/>
    <w:rsid w:val="006546BF"/>
    <w:rsid w:val="00655022"/>
    <w:rsid w:val="00656D97"/>
    <w:rsid w:val="006601C1"/>
    <w:rsid w:val="006605FD"/>
    <w:rsid w:val="00660F31"/>
    <w:rsid w:val="00663043"/>
    <w:rsid w:val="006630E8"/>
    <w:rsid w:val="0066343B"/>
    <w:rsid w:val="00663FBE"/>
    <w:rsid w:val="00664132"/>
    <w:rsid w:val="00665908"/>
    <w:rsid w:val="006669BA"/>
    <w:rsid w:val="00667716"/>
    <w:rsid w:val="00667A35"/>
    <w:rsid w:val="00667B85"/>
    <w:rsid w:val="00670F25"/>
    <w:rsid w:val="006711F5"/>
    <w:rsid w:val="00673607"/>
    <w:rsid w:val="006736E5"/>
    <w:rsid w:val="006752EF"/>
    <w:rsid w:val="0067542B"/>
    <w:rsid w:val="00675586"/>
    <w:rsid w:val="00680084"/>
    <w:rsid w:val="0068099F"/>
    <w:rsid w:val="00680CE3"/>
    <w:rsid w:val="00681728"/>
    <w:rsid w:val="00681732"/>
    <w:rsid w:val="0068226F"/>
    <w:rsid w:val="0068245C"/>
    <w:rsid w:val="00682487"/>
    <w:rsid w:val="0068249C"/>
    <w:rsid w:val="0068270B"/>
    <w:rsid w:val="00684536"/>
    <w:rsid w:val="00685728"/>
    <w:rsid w:val="006867C6"/>
    <w:rsid w:val="00687196"/>
    <w:rsid w:val="0068787F"/>
    <w:rsid w:val="00687C8A"/>
    <w:rsid w:val="00690C7F"/>
    <w:rsid w:val="0069113D"/>
    <w:rsid w:val="006911DB"/>
    <w:rsid w:val="006913E9"/>
    <w:rsid w:val="00691588"/>
    <w:rsid w:val="006937E5"/>
    <w:rsid w:val="006938F2"/>
    <w:rsid w:val="006940AB"/>
    <w:rsid w:val="00696191"/>
    <w:rsid w:val="00696C33"/>
    <w:rsid w:val="0069786C"/>
    <w:rsid w:val="0069788C"/>
    <w:rsid w:val="00697A31"/>
    <w:rsid w:val="00697B40"/>
    <w:rsid w:val="00697CED"/>
    <w:rsid w:val="00697E15"/>
    <w:rsid w:val="006A0BF4"/>
    <w:rsid w:val="006A11EC"/>
    <w:rsid w:val="006A1624"/>
    <w:rsid w:val="006A1E93"/>
    <w:rsid w:val="006A339B"/>
    <w:rsid w:val="006A38EE"/>
    <w:rsid w:val="006A479B"/>
    <w:rsid w:val="006A5B94"/>
    <w:rsid w:val="006A741B"/>
    <w:rsid w:val="006A7780"/>
    <w:rsid w:val="006A7893"/>
    <w:rsid w:val="006B03A4"/>
    <w:rsid w:val="006B05D9"/>
    <w:rsid w:val="006B0DB7"/>
    <w:rsid w:val="006B0E7A"/>
    <w:rsid w:val="006B13D2"/>
    <w:rsid w:val="006B141A"/>
    <w:rsid w:val="006B216F"/>
    <w:rsid w:val="006B22B1"/>
    <w:rsid w:val="006B2364"/>
    <w:rsid w:val="006B2653"/>
    <w:rsid w:val="006B33FF"/>
    <w:rsid w:val="006B3724"/>
    <w:rsid w:val="006B3B40"/>
    <w:rsid w:val="006B3DC9"/>
    <w:rsid w:val="006B5092"/>
    <w:rsid w:val="006B58F9"/>
    <w:rsid w:val="006B74C1"/>
    <w:rsid w:val="006B7B11"/>
    <w:rsid w:val="006B7D89"/>
    <w:rsid w:val="006C00A3"/>
    <w:rsid w:val="006C021C"/>
    <w:rsid w:val="006C0585"/>
    <w:rsid w:val="006C0DD0"/>
    <w:rsid w:val="006C13F1"/>
    <w:rsid w:val="006C1423"/>
    <w:rsid w:val="006C14A2"/>
    <w:rsid w:val="006C3440"/>
    <w:rsid w:val="006C4634"/>
    <w:rsid w:val="006C4795"/>
    <w:rsid w:val="006C58B8"/>
    <w:rsid w:val="006C6327"/>
    <w:rsid w:val="006C6747"/>
    <w:rsid w:val="006C6A7E"/>
    <w:rsid w:val="006C706B"/>
    <w:rsid w:val="006C718A"/>
    <w:rsid w:val="006C7233"/>
    <w:rsid w:val="006C7278"/>
    <w:rsid w:val="006C7F48"/>
    <w:rsid w:val="006D0B40"/>
    <w:rsid w:val="006D0D74"/>
    <w:rsid w:val="006D1367"/>
    <w:rsid w:val="006D15ED"/>
    <w:rsid w:val="006D1AF2"/>
    <w:rsid w:val="006D3BEF"/>
    <w:rsid w:val="006D4901"/>
    <w:rsid w:val="006D4F67"/>
    <w:rsid w:val="006D61D4"/>
    <w:rsid w:val="006D62AC"/>
    <w:rsid w:val="006D6EE6"/>
    <w:rsid w:val="006D7759"/>
    <w:rsid w:val="006E0B24"/>
    <w:rsid w:val="006E1345"/>
    <w:rsid w:val="006E1BA5"/>
    <w:rsid w:val="006E276F"/>
    <w:rsid w:val="006E2911"/>
    <w:rsid w:val="006E374E"/>
    <w:rsid w:val="006E43D7"/>
    <w:rsid w:val="006E4D22"/>
    <w:rsid w:val="006E4D43"/>
    <w:rsid w:val="006E56A1"/>
    <w:rsid w:val="006E7DD4"/>
    <w:rsid w:val="006F00F9"/>
    <w:rsid w:val="006F0920"/>
    <w:rsid w:val="006F0DAA"/>
    <w:rsid w:val="006F14B2"/>
    <w:rsid w:val="006F1C11"/>
    <w:rsid w:val="006F1F2C"/>
    <w:rsid w:val="006F1FAC"/>
    <w:rsid w:val="006F4DF1"/>
    <w:rsid w:val="006F52F4"/>
    <w:rsid w:val="006F5585"/>
    <w:rsid w:val="006F70CC"/>
    <w:rsid w:val="006F71CB"/>
    <w:rsid w:val="006F75EA"/>
    <w:rsid w:val="006F770A"/>
    <w:rsid w:val="006F7D7B"/>
    <w:rsid w:val="0070003E"/>
    <w:rsid w:val="00700A8C"/>
    <w:rsid w:val="00701101"/>
    <w:rsid w:val="007037F2"/>
    <w:rsid w:val="0070425A"/>
    <w:rsid w:val="00704C77"/>
    <w:rsid w:val="00704F2D"/>
    <w:rsid w:val="007062D1"/>
    <w:rsid w:val="0070636D"/>
    <w:rsid w:val="00706BF3"/>
    <w:rsid w:val="00706FC1"/>
    <w:rsid w:val="00707011"/>
    <w:rsid w:val="0070730A"/>
    <w:rsid w:val="007077CD"/>
    <w:rsid w:val="0071026A"/>
    <w:rsid w:val="00710FB8"/>
    <w:rsid w:val="00711001"/>
    <w:rsid w:val="007114DE"/>
    <w:rsid w:val="00711CA6"/>
    <w:rsid w:val="00712D70"/>
    <w:rsid w:val="00713412"/>
    <w:rsid w:val="00714E62"/>
    <w:rsid w:val="00714FED"/>
    <w:rsid w:val="007150C8"/>
    <w:rsid w:val="007168E9"/>
    <w:rsid w:val="00716AA7"/>
    <w:rsid w:val="00716C62"/>
    <w:rsid w:val="007211AC"/>
    <w:rsid w:val="00721E27"/>
    <w:rsid w:val="00722834"/>
    <w:rsid w:val="00722DCB"/>
    <w:rsid w:val="00723E73"/>
    <w:rsid w:val="007251D7"/>
    <w:rsid w:val="00725793"/>
    <w:rsid w:val="00725C87"/>
    <w:rsid w:val="00730368"/>
    <w:rsid w:val="007304A5"/>
    <w:rsid w:val="00730FAE"/>
    <w:rsid w:val="00731548"/>
    <w:rsid w:val="007324B7"/>
    <w:rsid w:val="00732DC9"/>
    <w:rsid w:val="007332C3"/>
    <w:rsid w:val="0073374F"/>
    <w:rsid w:val="00733CB2"/>
    <w:rsid w:val="0073461D"/>
    <w:rsid w:val="00734C60"/>
    <w:rsid w:val="00734D1E"/>
    <w:rsid w:val="0073586C"/>
    <w:rsid w:val="00735CC2"/>
    <w:rsid w:val="00736A4F"/>
    <w:rsid w:val="00736C1C"/>
    <w:rsid w:val="007371C6"/>
    <w:rsid w:val="00737680"/>
    <w:rsid w:val="00740557"/>
    <w:rsid w:val="007410DD"/>
    <w:rsid w:val="0074156E"/>
    <w:rsid w:val="007418FD"/>
    <w:rsid w:val="00742E86"/>
    <w:rsid w:val="0074344D"/>
    <w:rsid w:val="00743547"/>
    <w:rsid w:val="00743A54"/>
    <w:rsid w:val="00743E49"/>
    <w:rsid w:val="00744240"/>
    <w:rsid w:val="007456CD"/>
    <w:rsid w:val="00745935"/>
    <w:rsid w:val="00745AA7"/>
    <w:rsid w:val="007510E4"/>
    <w:rsid w:val="00751415"/>
    <w:rsid w:val="00752497"/>
    <w:rsid w:val="007525D1"/>
    <w:rsid w:val="00753237"/>
    <w:rsid w:val="00753AEB"/>
    <w:rsid w:val="00753FE8"/>
    <w:rsid w:val="007540C4"/>
    <w:rsid w:val="007542B8"/>
    <w:rsid w:val="00754ACB"/>
    <w:rsid w:val="00755B8E"/>
    <w:rsid w:val="00756F09"/>
    <w:rsid w:val="00757931"/>
    <w:rsid w:val="00760271"/>
    <w:rsid w:val="00760D38"/>
    <w:rsid w:val="0076186B"/>
    <w:rsid w:val="0076211C"/>
    <w:rsid w:val="007628F3"/>
    <w:rsid w:val="00762991"/>
    <w:rsid w:val="00762FF2"/>
    <w:rsid w:val="007635A0"/>
    <w:rsid w:val="00763D06"/>
    <w:rsid w:val="00763DCA"/>
    <w:rsid w:val="007651F8"/>
    <w:rsid w:val="0076538F"/>
    <w:rsid w:val="00765495"/>
    <w:rsid w:val="00765A74"/>
    <w:rsid w:val="00765FD2"/>
    <w:rsid w:val="00767A95"/>
    <w:rsid w:val="00770033"/>
    <w:rsid w:val="0077076D"/>
    <w:rsid w:val="0077135B"/>
    <w:rsid w:val="0077135E"/>
    <w:rsid w:val="007716AB"/>
    <w:rsid w:val="00771785"/>
    <w:rsid w:val="00773447"/>
    <w:rsid w:val="0077459C"/>
    <w:rsid w:val="0077462E"/>
    <w:rsid w:val="007763DF"/>
    <w:rsid w:val="007768C9"/>
    <w:rsid w:val="007811D8"/>
    <w:rsid w:val="0078121C"/>
    <w:rsid w:val="007816D4"/>
    <w:rsid w:val="0078187F"/>
    <w:rsid w:val="0078297D"/>
    <w:rsid w:val="007829B4"/>
    <w:rsid w:val="00784546"/>
    <w:rsid w:val="00785F44"/>
    <w:rsid w:val="00786A01"/>
    <w:rsid w:val="00786FDD"/>
    <w:rsid w:val="00787201"/>
    <w:rsid w:val="007873E7"/>
    <w:rsid w:val="0079147B"/>
    <w:rsid w:val="007924C7"/>
    <w:rsid w:val="00792A1F"/>
    <w:rsid w:val="00792BE9"/>
    <w:rsid w:val="00793EF5"/>
    <w:rsid w:val="0079484B"/>
    <w:rsid w:val="0079485D"/>
    <w:rsid w:val="007952CD"/>
    <w:rsid w:val="007956F2"/>
    <w:rsid w:val="0079581E"/>
    <w:rsid w:val="00795B2D"/>
    <w:rsid w:val="007961EC"/>
    <w:rsid w:val="007962C8"/>
    <w:rsid w:val="00796B0D"/>
    <w:rsid w:val="007976D1"/>
    <w:rsid w:val="007A070B"/>
    <w:rsid w:val="007A0720"/>
    <w:rsid w:val="007A164B"/>
    <w:rsid w:val="007A188C"/>
    <w:rsid w:val="007A1CA4"/>
    <w:rsid w:val="007A1E1F"/>
    <w:rsid w:val="007A2633"/>
    <w:rsid w:val="007A37EA"/>
    <w:rsid w:val="007A3A90"/>
    <w:rsid w:val="007A3FF8"/>
    <w:rsid w:val="007A4574"/>
    <w:rsid w:val="007A47DD"/>
    <w:rsid w:val="007A7841"/>
    <w:rsid w:val="007B066B"/>
    <w:rsid w:val="007B08E0"/>
    <w:rsid w:val="007B0EF8"/>
    <w:rsid w:val="007B1FAD"/>
    <w:rsid w:val="007B2034"/>
    <w:rsid w:val="007B2348"/>
    <w:rsid w:val="007B2C99"/>
    <w:rsid w:val="007B2F69"/>
    <w:rsid w:val="007B31ED"/>
    <w:rsid w:val="007B320D"/>
    <w:rsid w:val="007B35ED"/>
    <w:rsid w:val="007B36F4"/>
    <w:rsid w:val="007B43D4"/>
    <w:rsid w:val="007B52D3"/>
    <w:rsid w:val="007B53E2"/>
    <w:rsid w:val="007B548A"/>
    <w:rsid w:val="007C0225"/>
    <w:rsid w:val="007C1979"/>
    <w:rsid w:val="007C2236"/>
    <w:rsid w:val="007C3184"/>
    <w:rsid w:val="007C33E5"/>
    <w:rsid w:val="007C4704"/>
    <w:rsid w:val="007C4A1D"/>
    <w:rsid w:val="007C55DC"/>
    <w:rsid w:val="007C5720"/>
    <w:rsid w:val="007C5FFD"/>
    <w:rsid w:val="007C60F4"/>
    <w:rsid w:val="007C63FF"/>
    <w:rsid w:val="007C6A01"/>
    <w:rsid w:val="007C73EE"/>
    <w:rsid w:val="007C7B2C"/>
    <w:rsid w:val="007D1903"/>
    <w:rsid w:val="007D1AB6"/>
    <w:rsid w:val="007D3349"/>
    <w:rsid w:val="007D6338"/>
    <w:rsid w:val="007D6E5A"/>
    <w:rsid w:val="007D712C"/>
    <w:rsid w:val="007D746F"/>
    <w:rsid w:val="007D7B1C"/>
    <w:rsid w:val="007E0EB1"/>
    <w:rsid w:val="007E1ECD"/>
    <w:rsid w:val="007E25ED"/>
    <w:rsid w:val="007E338A"/>
    <w:rsid w:val="007E37D8"/>
    <w:rsid w:val="007E44DC"/>
    <w:rsid w:val="007E4B91"/>
    <w:rsid w:val="007E539C"/>
    <w:rsid w:val="007E5ED0"/>
    <w:rsid w:val="007E6665"/>
    <w:rsid w:val="007E6BAF"/>
    <w:rsid w:val="007E6F46"/>
    <w:rsid w:val="007E7A79"/>
    <w:rsid w:val="007F0255"/>
    <w:rsid w:val="007F1EDD"/>
    <w:rsid w:val="007F266B"/>
    <w:rsid w:val="007F2851"/>
    <w:rsid w:val="007F32D2"/>
    <w:rsid w:val="007F3A85"/>
    <w:rsid w:val="007F3B0F"/>
    <w:rsid w:val="007F3F04"/>
    <w:rsid w:val="007F3F77"/>
    <w:rsid w:val="007F4B9C"/>
    <w:rsid w:val="007F4FE6"/>
    <w:rsid w:val="007F5840"/>
    <w:rsid w:val="007F698D"/>
    <w:rsid w:val="007F6CDE"/>
    <w:rsid w:val="007F6DFA"/>
    <w:rsid w:val="007F76A3"/>
    <w:rsid w:val="0080141A"/>
    <w:rsid w:val="00801893"/>
    <w:rsid w:val="0080190B"/>
    <w:rsid w:val="00801A2D"/>
    <w:rsid w:val="00802017"/>
    <w:rsid w:val="00802E72"/>
    <w:rsid w:val="00802EEB"/>
    <w:rsid w:val="0080394F"/>
    <w:rsid w:val="00803A0D"/>
    <w:rsid w:val="00805A12"/>
    <w:rsid w:val="008062CE"/>
    <w:rsid w:val="00806516"/>
    <w:rsid w:val="00806586"/>
    <w:rsid w:val="00806A3F"/>
    <w:rsid w:val="00806E31"/>
    <w:rsid w:val="0080734E"/>
    <w:rsid w:val="00807AC1"/>
    <w:rsid w:val="008100E1"/>
    <w:rsid w:val="00810C2A"/>
    <w:rsid w:val="0081149F"/>
    <w:rsid w:val="008117A9"/>
    <w:rsid w:val="00812356"/>
    <w:rsid w:val="0081354D"/>
    <w:rsid w:val="00813A84"/>
    <w:rsid w:val="00813E67"/>
    <w:rsid w:val="008142B2"/>
    <w:rsid w:val="00814343"/>
    <w:rsid w:val="00814B76"/>
    <w:rsid w:val="00814EDC"/>
    <w:rsid w:val="00815330"/>
    <w:rsid w:val="008153B8"/>
    <w:rsid w:val="00815691"/>
    <w:rsid w:val="008164DF"/>
    <w:rsid w:val="00816B05"/>
    <w:rsid w:val="008174BD"/>
    <w:rsid w:val="008174FC"/>
    <w:rsid w:val="00820791"/>
    <w:rsid w:val="00821E94"/>
    <w:rsid w:val="00822261"/>
    <w:rsid w:val="0082243A"/>
    <w:rsid w:val="008226FE"/>
    <w:rsid w:val="00822C0E"/>
    <w:rsid w:val="0082341D"/>
    <w:rsid w:val="0082349F"/>
    <w:rsid w:val="00823607"/>
    <w:rsid w:val="00823FB5"/>
    <w:rsid w:val="00824494"/>
    <w:rsid w:val="00824F68"/>
    <w:rsid w:val="008251B3"/>
    <w:rsid w:val="00825D56"/>
    <w:rsid w:val="00826BCC"/>
    <w:rsid w:val="008302D8"/>
    <w:rsid w:val="00830629"/>
    <w:rsid w:val="0083073B"/>
    <w:rsid w:val="008315CD"/>
    <w:rsid w:val="0083205F"/>
    <w:rsid w:val="00832B8A"/>
    <w:rsid w:val="00832DE6"/>
    <w:rsid w:val="008332CB"/>
    <w:rsid w:val="00833EB4"/>
    <w:rsid w:val="00834154"/>
    <w:rsid w:val="00836362"/>
    <w:rsid w:val="00836AE0"/>
    <w:rsid w:val="00837068"/>
    <w:rsid w:val="008370D0"/>
    <w:rsid w:val="008374E2"/>
    <w:rsid w:val="00837B1B"/>
    <w:rsid w:val="00840F38"/>
    <w:rsid w:val="008411B5"/>
    <w:rsid w:val="008412FF"/>
    <w:rsid w:val="0084200F"/>
    <w:rsid w:val="0084285B"/>
    <w:rsid w:val="00842CB4"/>
    <w:rsid w:val="00842FAA"/>
    <w:rsid w:val="0084360A"/>
    <w:rsid w:val="0084400C"/>
    <w:rsid w:val="00845918"/>
    <w:rsid w:val="0084687B"/>
    <w:rsid w:val="008470AC"/>
    <w:rsid w:val="00847723"/>
    <w:rsid w:val="00847DBC"/>
    <w:rsid w:val="00850426"/>
    <w:rsid w:val="008512E9"/>
    <w:rsid w:val="00851629"/>
    <w:rsid w:val="00851BA4"/>
    <w:rsid w:val="00853633"/>
    <w:rsid w:val="008544CE"/>
    <w:rsid w:val="00854DC7"/>
    <w:rsid w:val="008556AF"/>
    <w:rsid w:val="00855D32"/>
    <w:rsid w:val="00856686"/>
    <w:rsid w:val="00860BA1"/>
    <w:rsid w:val="00861FC7"/>
    <w:rsid w:val="0086315B"/>
    <w:rsid w:val="00863E97"/>
    <w:rsid w:val="008647C0"/>
    <w:rsid w:val="00864B86"/>
    <w:rsid w:val="00864C6B"/>
    <w:rsid w:val="00865111"/>
    <w:rsid w:val="0086585B"/>
    <w:rsid w:val="008672F7"/>
    <w:rsid w:val="00867381"/>
    <w:rsid w:val="00867932"/>
    <w:rsid w:val="00867A8F"/>
    <w:rsid w:val="00867FA9"/>
    <w:rsid w:val="0087067C"/>
    <w:rsid w:val="008707A5"/>
    <w:rsid w:val="00870EE3"/>
    <w:rsid w:val="008726DB"/>
    <w:rsid w:val="00872DC3"/>
    <w:rsid w:val="00872FE7"/>
    <w:rsid w:val="008733F8"/>
    <w:rsid w:val="008735CA"/>
    <w:rsid w:val="00873B5D"/>
    <w:rsid w:val="00873E8F"/>
    <w:rsid w:val="008746F2"/>
    <w:rsid w:val="00874BAF"/>
    <w:rsid w:val="008763C0"/>
    <w:rsid w:val="00876A6D"/>
    <w:rsid w:val="008770AD"/>
    <w:rsid w:val="008808C0"/>
    <w:rsid w:val="00880A0C"/>
    <w:rsid w:val="00881FB3"/>
    <w:rsid w:val="008828CA"/>
    <w:rsid w:val="00883B3D"/>
    <w:rsid w:val="00883EF3"/>
    <w:rsid w:val="00884682"/>
    <w:rsid w:val="0088487D"/>
    <w:rsid w:val="00886005"/>
    <w:rsid w:val="008861E6"/>
    <w:rsid w:val="008901FD"/>
    <w:rsid w:val="00890235"/>
    <w:rsid w:val="00890813"/>
    <w:rsid w:val="008932A1"/>
    <w:rsid w:val="00893D48"/>
    <w:rsid w:val="008940F0"/>
    <w:rsid w:val="008940FD"/>
    <w:rsid w:val="0089468D"/>
    <w:rsid w:val="00894E53"/>
    <w:rsid w:val="00895795"/>
    <w:rsid w:val="0089600C"/>
    <w:rsid w:val="00896D49"/>
    <w:rsid w:val="00897788"/>
    <w:rsid w:val="00897F4D"/>
    <w:rsid w:val="008A0AA4"/>
    <w:rsid w:val="008A1996"/>
    <w:rsid w:val="008A1A0E"/>
    <w:rsid w:val="008A206E"/>
    <w:rsid w:val="008A20AE"/>
    <w:rsid w:val="008A2648"/>
    <w:rsid w:val="008A3C36"/>
    <w:rsid w:val="008A53C5"/>
    <w:rsid w:val="008A5AC4"/>
    <w:rsid w:val="008A5D5D"/>
    <w:rsid w:val="008A615C"/>
    <w:rsid w:val="008A6F18"/>
    <w:rsid w:val="008A701F"/>
    <w:rsid w:val="008A7312"/>
    <w:rsid w:val="008B0133"/>
    <w:rsid w:val="008B059D"/>
    <w:rsid w:val="008B0C01"/>
    <w:rsid w:val="008B0FB6"/>
    <w:rsid w:val="008B13AC"/>
    <w:rsid w:val="008B153D"/>
    <w:rsid w:val="008B1835"/>
    <w:rsid w:val="008B2B1C"/>
    <w:rsid w:val="008B41F0"/>
    <w:rsid w:val="008B43DD"/>
    <w:rsid w:val="008B5292"/>
    <w:rsid w:val="008B55AC"/>
    <w:rsid w:val="008B652B"/>
    <w:rsid w:val="008B6C59"/>
    <w:rsid w:val="008B72A5"/>
    <w:rsid w:val="008B743A"/>
    <w:rsid w:val="008B7B27"/>
    <w:rsid w:val="008B7DA9"/>
    <w:rsid w:val="008C02D5"/>
    <w:rsid w:val="008C0FD4"/>
    <w:rsid w:val="008C1E60"/>
    <w:rsid w:val="008C2AF7"/>
    <w:rsid w:val="008C5BBF"/>
    <w:rsid w:val="008C601D"/>
    <w:rsid w:val="008C65B8"/>
    <w:rsid w:val="008C70D8"/>
    <w:rsid w:val="008D2510"/>
    <w:rsid w:val="008D25A5"/>
    <w:rsid w:val="008D2AF7"/>
    <w:rsid w:val="008D3563"/>
    <w:rsid w:val="008D35C8"/>
    <w:rsid w:val="008D394B"/>
    <w:rsid w:val="008D40FA"/>
    <w:rsid w:val="008D45FA"/>
    <w:rsid w:val="008D498B"/>
    <w:rsid w:val="008D4F5F"/>
    <w:rsid w:val="008D547A"/>
    <w:rsid w:val="008D55DC"/>
    <w:rsid w:val="008D5F21"/>
    <w:rsid w:val="008D60D8"/>
    <w:rsid w:val="008D6A9B"/>
    <w:rsid w:val="008D6CDA"/>
    <w:rsid w:val="008D7555"/>
    <w:rsid w:val="008D76B8"/>
    <w:rsid w:val="008D76CE"/>
    <w:rsid w:val="008D7970"/>
    <w:rsid w:val="008E1943"/>
    <w:rsid w:val="008E3F8E"/>
    <w:rsid w:val="008E41A8"/>
    <w:rsid w:val="008E443F"/>
    <w:rsid w:val="008E498D"/>
    <w:rsid w:val="008E544B"/>
    <w:rsid w:val="008E6287"/>
    <w:rsid w:val="008E72B8"/>
    <w:rsid w:val="008E7556"/>
    <w:rsid w:val="008E7BA9"/>
    <w:rsid w:val="008E7C50"/>
    <w:rsid w:val="008F020E"/>
    <w:rsid w:val="008F0923"/>
    <w:rsid w:val="008F09D6"/>
    <w:rsid w:val="008F188C"/>
    <w:rsid w:val="008F1C12"/>
    <w:rsid w:val="008F25E7"/>
    <w:rsid w:val="008F30B5"/>
    <w:rsid w:val="008F41B1"/>
    <w:rsid w:val="008F4E75"/>
    <w:rsid w:val="008F53DD"/>
    <w:rsid w:val="008F6E7F"/>
    <w:rsid w:val="008F7911"/>
    <w:rsid w:val="00900C3E"/>
    <w:rsid w:val="009025B1"/>
    <w:rsid w:val="00904363"/>
    <w:rsid w:val="009050E0"/>
    <w:rsid w:val="00905653"/>
    <w:rsid w:val="009058FC"/>
    <w:rsid w:val="009063EA"/>
    <w:rsid w:val="00907317"/>
    <w:rsid w:val="00907AD0"/>
    <w:rsid w:val="00907F1D"/>
    <w:rsid w:val="00910597"/>
    <w:rsid w:val="00910A0D"/>
    <w:rsid w:val="00911701"/>
    <w:rsid w:val="00912710"/>
    <w:rsid w:val="00913736"/>
    <w:rsid w:val="00913936"/>
    <w:rsid w:val="00914526"/>
    <w:rsid w:val="009147B4"/>
    <w:rsid w:val="00914EF4"/>
    <w:rsid w:val="00915211"/>
    <w:rsid w:val="00915764"/>
    <w:rsid w:val="009166FD"/>
    <w:rsid w:val="0092014B"/>
    <w:rsid w:val="009207A4"/>
    <w:rsid w:val="00920B4A"/>
    <w:rsid w:val="00922821"/>
    <w:rsid w:val="0092310A"/>
    <w:rsid w:val="009233C9"/>
    <w:rsid w:val="00923561"/>
    <w:rsid w:val="009238B3"/>
    <w:rsid w:val="00923EAB"/>
    <w:rsid w:val="00923EBE"/>
    <w:rsid w:val="009247C1"/>
    <w:rsid w:val="0092607F"/>
    <w:rsid w:val="0092620E"/>
    <w:rsid w:val="00926230"/>
    <w:rsid w:val="009275DF"/>
    <w:rsid w:val="0092765F"/>
    <w:rsid w:val="00927B2F"/>
    <w:rsid w:val="00930336"/>
    <w:rsid w:val="00932A01"/>
    <w:rsid w:val="00933D4A"/>
    <w:rsid w:val="0093420D"/>
    <w:rsid w:val="00934692"/>
    <w:rsid w:val="009357B0"/>
    <w:rsid w:val="00935919"/>
    <w:rsid w:val="00936341"/>
    <w:rsid w:val="009363A3"/>
    <w:rsid w:val="0093753F"/>
    <w:rsid w:val="00937ED1"/>
    <w:rsid w:val="00937F7A"/>
    <w:rsid w:val="00941954"/>
    <w:rsid w:val="0094291A"/>
    <w:rsid w:val="00942EF8"/>
    <w:rsid w:val="00944404"/>
    <w:rsid w:val="009450FB"/>
    <w:rsid w:val="00945D80"/>
    <w:rsid w:val="00945DAE"/>
    <w:rsid w:val="009467D5"/>
    <w:rsid w:val="00946EA4"/>
    <w:rsid w:val="009470E9"/>
    <w:rsid w:val="00947C2D"/>
    <w:rsid w:val="0095033A"/>
    <w:rsid w:val="00950649"/>
    <w:rsid w:val="00950A70"/>
    <w:rsid w:val="00952BB2"/>
    <w:rsid w:val="00952C01"/>
    <w:rsid w:val="009537E2"/>
    <w:rsid w:val="0095386A"/>
    <w:rsid w:val="00953BAA"/>
    <w:rsid w:val="00954081"/>
    <w:rsid w:val="009547CB"/>
    <w:rsid w:val="00954D7B"/>
    <w:rsid w:val="00956D9E"/>
    <w:rsid w:val="00957138"/>
    <w:rsid w:val="00957EF5"/>
    <w:rsid w:val="009608EA"/>
    <w:rsid w:val="009609AF"/>
    <w:rsid w:val="00962300"/>
    <w:rsid w:val="00963866"/>
    <w:rsid w:val="00963A09"/>
    <w:rsid w:val="00964008"/>
    <w:rsid w:val="00964435"/>
    <w:rsid w:val="00964991"/>
    <w:rsid w:val="00965B3E"/>
    <w:rsid w:val="00966310"/>
    <w:rsid w:val="00966519"/>
    <w:rsid w:val="00966C33"/>
    <w:rsid w:val="009704F0"/>
    <w:rsid w:val="00970524"/>
    <w:rsid w:val="00970586"/>
    <w:rsid w:val="009708A2"/>
    <w:rsid w:val="009710F0"/>
    <w:rsid w:val="00972127"/>
    <w:rsid w:val="00972434"/>
    <w:rsid w:val="009748D5"/>
    <w:rsid w:val="00974FF9"/>
    <w:rsid w:val="00975315"/>
    <w:rsid w:val="0097589A"/>
    <w:rsid w:val="00980BC8"/>
    <w:rsid w:val="0098181A"/>
    <w:rsid w:val="0098293C"/>
    <w:rsid w:val="00985AE0"/>
    <w:rsid w:val="00986C51"/>
    <w:rsid w:val="00987016"/>
    <w:rsid w:val="009876A0"/>
    <w:rsid w:val="00990BDC"/>
    <w:rsid w:val="00992119"/>
    <w:rsid w:val="009926BE"/>
    <w:rsid w:val="009936C8"/>
    <w:rsid w:val="00993FC5"/>
    <w:rsid w:val="00993FCE"/>
    <w:rsid w:val="00994E63"/>
    <w:rsid w:val="009956A9"/>
    <w:rsid w:val="00996676"/>
    <w:rsid w:val="009966F0"/>
    <w:rsid w:val="00996C4F"/>
    <w:rsid w:val="00996FC9"/>
    <w:rsid w:val="009A0FBB"/>
    <w:rsid w:val="009A116D"/>
    <w:rsid w:val="009A11E7"/>
    <w:rsid w:val="009A1229"/>
    <w:rsid w:val="009A1621"/>
    <w:rsid w:val="009A16AE"/>
    <w:rsid w:val="009A186A"/>
    <w:rsid w:val="009A1908"/>
    <w:rsid w:val="009A2108"/>
    <w:rsid w:val="009A2273"/>
    <w:rsid w:val="009A2551"/>
    <w:rsid w:val="009A25C6"/>
    <w:rsid w:val="009A3B93"/>
    <w:rsid w:val="009A4035"/>
    <w:rsid w:val="009A41CD"/>
    <w:rsid w:val="009A479F"/>
    <w:rsid w:val="009A4C5C"/>
    <w:rsid w:val="009A5783"/>
    <w:rsid w:val="009A7D47"/>
    <w:rsid w:val="009A7F55"/>
    <w:rsid w:val="009B0DE7"/>
    <w:rsid w:val="009B2654"/>
    <w:rsid w:val="009B2EBF"/>
    <w:rsid w:val="009B40C5"/>
    <w:rsid w:val="009B49B5"/>
    <w:rsid w:val="009B55C5"/>
    <w:rsid w:val="009B586F"/>
    <w:rsid w:val="009B6A93"/>
    <w:rsid w:val="009B7E82"/>
    <w:rsid w:val="009C09F2"/>
    <w:rsid w:val="009C0D7D"/>
    <w:rsid w:val="009C1455"/>
    <w:rsid w:val="009C2680"/>
    <w:rsid w:val="009C2F6F"/>
    <w:rsid w:val="009C3878"/>
    <w:rsid w:val="009C3955"/>
    <w:rsid w:val="009C3A5A"/>
    <w:rsid w:val="009C4216"/>
    <w:rsid w:val="009C5058"/>
    <w:rsid w:val="009C514F"/>
    <w:rsid w:val="009C57C3"/>
    <w:rsid w:val="009C7135"/>
    <w:rsid w:val="009D0259"/>
    <w:rsid w:val="009D0558"/>
    <w:rsid w:val="009D1157"/>
    <w:rsid w:val="009D1B09"/>
    <w:rsid w:val="009D20F7"/>
    <w:rsid w:val="009D3AF2"/>
    <w:rsid w:val="009D3EAA"/>
    <w:rsid w:val="009D47A8"/>
    <w:rsid w:val="009D52DC"/>
    <w:rsid w:val="009D5EA4"/>
    <w:rsid w:val="009D787B"/>
    <w:rsid w:val="009D79AD"/>
    <w:rsid w:val="009D7BDF"/>
    <w:rsid w:val="009D7FBF"/>
    <w:rsid w:val="009E05D1"/>
    <w:rsid w:val="009E0748"/>
    <w:rsid w:val="009E09F0"/>
    <w:rsid w:val="009E0A1C"/>
    <w:rsid w:val="009E0B86"/>
    <w:rsid w:val="009E1586"/>
    <w:rsid w:val="009E16DF"/>
    <w:rsid w:val="009E2422"/>
    <w:rsid w:val="009E2B02"/>
    <w:rsid w:val="009E3A11"/>
    <w:rsid w:val="009E3D2C"/>
    <w:rsid w:val="009E3E54"/>
    <w:rsid w:val="009E5520"/>
    <w:rsid w:val="009E7A40"/>
    <w:rsid w:val="009F2365"/>
    <w:rsid w:val="009F551A"/>
    <w:rsid w:val="009F6BD6"/>
    <w:rsid w:val="009F701F"/>
    <w:rsid w:val="009F776A"/>
    <w:rsid w:val="00A00C3C"/>
    <w:rsid w:val="00A00E4E"/>
    <w:rsid w:val="00A0164D"/>
    <w:rsid w:val="00A01777"/>
    <w:rsid w:val="00A01CCC"/>
    <w:rsid w:val="00A02178"/>
    <w:rsid w:val="00A02CB4"/>
    <w:rsid w:val="00A045BA"/>
    <w:rsid w:val="00A0626F"/>
    <w:rsid w:val="00A06635"/>
    <w:rsid w:val="00A06D29"/>
    <w:rsid w:val="00A0751D"/>
    <w:rsid w:val="00A10E0F"/>
    <w:rsid w:val="00A121CA"/>
    <w:rsid w:val="00A143F3"/>
    <w:rsid w:val="00A15007"/>
    <w:rsid w:val="00A151FF"/>
    <w:rsid w:val="00A15586"/>
    <w:rsid w:val="00A1597C"/>
    <w:rsid w:val="00A16FF7"/>
    <w:rsid w:val="00A1780F"/>
    <w:rsid w:val="00A20233"/>
    <w:rsid w:val="00A20357"/>
    <w:rsid w:val="00A20394"/>
    <w:rsid w:val="00A2180A"/>
    <w:rsid w:val="00A21CCA"/>
    <w:rsid w:val="00A21E2A"/>
    <w:rsid w:val="00A224E5"/>
    <w:rsid w:val="00A227B4"/>
    <w:rsid w:val="00A22CAE"/>
    <w:rsid w:val="00A2334A"/>
    <w:rsid w:val="00A233A9"/>
    <w:rsid w:val="00A23617"/>
    <w:rsid w:val="00A23D6B"/>
    <w:rsid w:val="00A24C52"/>
    <w:rsid w:val="00A24D22"/>
    <w:rsid w:val="00A25705"/>
    <w:rsid w:val="00A276C2"/>
    <w:rsid w:val="00A27902"/>
    <w:rsid w:val="00A30016"/>
    <w:rsid w:val="00A326BD"/>
    <w:rsid w:val="00A326F2"/>
    <w:rsid w:val="00A32983"/>
    <w:rsid w:val="00A3305F"/>
    <w:rsid w:val="00A332EB"/>
    <w:rsid w:val="00A3476C"/>
    <w:rsid w:val="00A34839"/>
    <w:rsid w:val="00A34DF5"/>
    <w:rsid w:val="00A35FE4"/>
    <w:rsid w:val="00A36DB4"/>
    <w:rsid w:val="00A373A4"/>
    <w:rsid w:val="00A373AB"/>
    <w:rsid w:val="00A3763A"/>
    <w:rsid w:val="00A37983"/>
    <w:rsid w:val="00A37A1E"/>
    <w:rsid w:val="00A37ACD"/>
    <w:rsid w:val="00A37FCB"/>
    <w:rsid w:val="00A4000B"/>
    <w:rsid w:val="00A401EB"/>
    <w:rsid w:val="00A40F2F"/>
    <w:rsid w:val="00A41C68"/>
    <w:rsid w:val="00A424A9"/>
    <w:rsid w:val="00A42BFB"/>
    <w:rsid w:val="00A440DC"/>
    <w:rsid w:val="00A441DE"/>
    <w:rsid w:val="00A449AC"/>
    <w:rsid w:val="00A4592A"/>
    <w:rsid w:val="00A466CA"/>
    <w:rsid w:val="00A46C5F"/>
    <w:rsid w:val="00A47501"/>
    <w:rsid w:val="00A50FE7"/>
    <w:rsid w:val="00A51219"/>
    <w:rsid w:val="00A52011"/>
    <w:rsid w:val="00A5216B"/>
    <w:rsid w:val="00A524F6"/>
    <w:rsid w:val="00A5389C"/>
    <w:rsid w:val="00A53EAC"/>
    <w:rsid w:val="00A544B6"/>
    <w:rsid w:val="00A549E7"/>
    <w:rsid w:val="00A54A8F"/>
    <w:rsid w:val="00A55AA4"/>
    <w:rsid w:val="00A55D2C"/>
    <w:rsid w:val="00A55D5A"/>
    <w:rsid w:val="00A55DB6"/>
    <w:rsid w:val="00A56DDB"/>
    <w:rsid w:val="00A57069"/>
    <w:rsid w:val="00A575F3"/>
    <w:rsid w:val="00A6029F"/>
    <w:rsid w:val="00A615D3"/>
    <w:rsid w:val="00A62516"/>
    <w:rsid w:val="00A62AAA"/>
    <w:rsid w:val="00A63AE7"/>
    <w:rsid w:val="00A6510F"/>
    <w:rsid w:val="00A652C0"/>
    <w:rsid w:val="00A6540E"/>
    <w:rsid w:val="00A65505"/>
    <w:rsid w:val="00A65E40"/>
    <w:rsid w:val="00A66266"/>
    <w:rsid w:val="00A668A9"/>
    <w:rsid w:val="00A66AB8"/>
    <w:rsid w:val="00A66C04"/>
    <w:rsid w:val="00A66FD7"/>
    <w:rsid w:val="00A6720C"/>
    <w:rsid w:val="00A67D1A"/>
    <w:rsid w:val="00A7053B"/>
    <w:rsid w:val="00A714A9"/>
    <w:rsid w:val="00A71F2D"/>
    <w:rsid w:val="00A72CD6"/>
    <w:rsid w:val="00A7323A"/>
    <w:rsid w:val="00A735A3"/>
    <w:rsid w:val="00A73D7C"/>
    <w:rsid w:val="00A74490"/>
    <w:rsid w:val="00A74517"/>
    <w:rsid w:val="00A74E33"/>
    <w:rsid w:val="00A75476"/>
    <w:rsid w:val="00A758FF"/>
    <w:rsid w:val="00A7634F"/>
    <w:rsid w:val="00A77D60"/>
    <w:rsid w:val="00A8025E"/>
    <w:rsid w:val="00A8052D"/>
    <w:rsid w:val="00A8058A"/>
    <w:rsid w:val="00A81019"/>
    <w:rsid w:val="00A81875"/>
    <w:rsid w:val="00A827C3"/>
    <w:rsid w:val="00A835A2"/>
    <w:rsid w:val="00A836CB"/>
    <w:rsid w:val="00A83EC3"/>
    <w:rsid w:val="00A84C2D"/>
    <w:rsid w:val="00A85704"/>
    <w:rsid w:val="00A85D2F"/>
    <w:rsid w:val="00A87AEE"/>
    <w:rsid w:val="00A87F29"/>
    <w:rsid w:val="00A9021E"/>
    <w:rsid w:val="00A9034C"/>
    <w:rsid w:val="00A90EB0"/>
    <w:rsid w:val="00A91AA4"/>
    <w:rsid w:val="00A91FD4"/>
    <w:rsid w:val="00A924C8"/>
    <w:rsid w:val="00A941D6"/>
    <w:rsid w:val="00A94256"/>
    <w:rsid w:val="00A9435E"/>
    <w:rsid w:val="00A94775"/>
    <w:rsid w:val="00A9489C"/>
    <w:rsid w:val="00A948B6"/>
    <w:rsid w:val="00A94B34"/>
    <w:rsid w:val="00A95CE9"/>
    <w:rsid w:val="00A971ED"/>
    <w:rsid w:val="00A97D6F"/>
    <w:rsid w:val="00AA01D7"/>
    <w:rsid w:val="00AA158B"/>
    <w:rsid w:val="00AA3870"/>
    <w:rsid w:val="00AA5157"/>
    <w:rsid w:val="00AA5755"/>
    <w:rsid w:val="00AA5875"/>
    <w:rsid w:val="00AA5DCD"/>
    <w:rsid w:val="00AA6EC7"/>
    <w:rsid w:val="00AA7D36"/>
    <w:rsid w:val="00AA7EF6"/>
    <w:rsid w:val="00AB05A1"/>
    <w:rsid w:val="00AB0B01"/>
    <w:rsid w:val="00AB18F7"/>
    <w:rsid w:val="00AB1C4F"/>
    <w:rsid w:val="00AB2354"/>
    <w:rsid w:val="00AB267B"/>
    <w:rsid w:val="00AB3529"/>
    <w:rsid w:val="00AB3FB6"/>
    <w:rsid w:val="00AB47CE"/>
    <w:rsid w:val="00AB49E7"/>
    <w:rsid w:val="00AB768E"/>
    <w:rsid w:val="00AB78C5"/>
    <w:rsid w:val="00AC2666"/>
    <w:rsid w:val="00AC3C8E"/>
    <w:rsid w:val="00AC4099"/>
    <w:rsid w:val="00AC4509"/>
    <w:rsid w:val="00AC5658"/>
    <w:rsid w:val="00AC652F"/>
    <w:rsid w:val="00AC6D21"/>
    <w:rsid w:val="00AC70A4"/>
    <w:rsid w:val="00AC7136"/>
    <w:rsid w:val="00AC7EC6"/>
    <w:rsid w:val="00AD0FA0"/>
    <w:rsid w:val="00AD18D6"/>
    <w:rsid w:val="00AD2132"/>
    <w:rsid w:val="00AD2440"/>
    <w:rsid w:val="00AD2870"/>
    <w:rsid w:val="00AD3612"/>
    <w:rsid w:val="00AD3905"/>
    <w:rsid w:val="00AD3A84"/>
    <w:rsid w:val="00AD4C56"/>
    <w:rsid w:val="00AD53CE"/>
    <w:rsid w:val="00AD67A8"/>
    <w:rsid w:val="00AD6AC1"/>
    <w:rsid w:val="00AD70B5"/>
    <w:rsid w:val="00AD78DF"/>
    <w:rsid w:val="00AE04A0"/>
    <w:rsid w:val="00AE09B9"/>
    <w:rsid w:val="00AE0A95"/>
    <w:rsid w:val="00AE0D95"/>
    <w:rsid w:val="00AE135F"/>
    <w:rsid w:val="00AE1460"/>
    <w:rsid w:val="00AE1C9F"/>
    <w:rsid w:val="00AE23CE"/>
    <w:rsid w:val="00AE29EA"/>
    <w:rsid w:val="00AE2C03"/>
    <w:rsid w:val="00AE2FCA"/>
    <w:rsid w:val="00AE3790"/>
    <w:rsid w:val="00AE4F3F"/>
    <w:rsid w:val="00AE542B"/>
    <w:rsid w:val="00AE5C83"/>
    <w:rsid w:val="00AE6249"/>
    <w:rsid w:val="00AE634C"/>
    <w:rsid w:val="00AE656C"/>
    <w:rsid w:val="00AF06E0"/>
    <w:rsid w:val="00AF277B"/>
    <w:rsid w:val="00AF2E14"/>
    <w:rsid w:val="00AF2F77"/>
    <w:rsid w:val="00AF3131"/>
    <w:rsid w:val="00AF36A1"/>
    <w:rsid w:val="00AF3958"/>
    <w:rsid w:val="00AF4217"/>
    <w:rsid w:val="00AF59FB"/>
    <w:rsid w:val="00AF606F"/>
    <w:rsid w:val="00AF689B"/>
    <w:rsid w:val="00AF6BB3"/>
    <w:rsid w:val="00AF77BD"/>
    <w:rsid w:val="00B01A04"/>
    <w:rsid w:val="00B0222C"/>
    <w:rsid w:val="00B0255E"/>
    <w:rsid w:val="00B025DE"/>
    <w:rsid w:val="00B02C8A"/>
    <w:rsid w:val="00B02CFE"/>
    <w:rsid w:val="00B02D7B"/>
    <w:rsid w:val="00B0455A"/>
    <w:rsid w:val="00B0457E"/>
    <w:rsid w:val="00B051D3"/>
    <w:rsid w:val="00B067CB"/>
    <w:rsid w:val="00B07378"/>
    <w:rsid w:val="00B1010A"/>
    <w:rsid w:val="00B10727"/>
    <w:rsid w:val="00B113CB"/>
    <w:rsid w:val="00B11CB8"/>
    <w:rsid w:val="00B12C2E"/>
    <w:rsid w:val="00B12E5F"/>
    <w:rsid w:val="00B141BA"/>
    <w:rsid w:val="00B14AD6"/>
    <w:rsid w:val="00B1528F"/>
    <w:rsid w:val="00B156B4"/>
    <w:rsid w:val="00B156C8"/>
    <w:rsid w:val="00B17587"/>
    <w:rsid w:val="00B200F2"/>
    <w:rsid w:val="00B206B3"/>
    <w:rsid w:val="00B206B6"/>
    <w:rsid w:val="00B20A5E"/>
    <w:rsid w:val="00B20AF8"/>
    <w:rsid w:val="00B20EEE"/>
    <w:rsid w:val="00B2337F"/>
    <w:rsid w:val="00B233FE"/>
    <w:rsid w:val="00B23955"/>
    <w:rsid w:val="00B23D97"/>
    <w:rsid w:val="00B24268"/>
    <w:rsid w:val="00B244A2"/>
    <w:rsid w:val="00B24E63"/>
    <w:rsid w:val="00B2569F"/>
    <w:rsid w:val="00B277C6"/>
    <w:rsid w:val="00B27874"/>
    <w:rsid w:val="00B304D6"/>
    <w:rsid w:val="00B30E38"/>
    <w:rsid w:val="00B32202"/>
    <w:rsid w:val="00B32A92"/>
    <w:rsid w:val="00B33A2E"/>
    <w:rsid w:val="00B33BF9"/>
    <w:rsid w:val="00B3454E"/>
    <w:rsid w:val="00B34B9C"/>
    <w:rsid w:val="00B34C7B"/>
    <w:rsid w:val="00B36418"/>
    <w:rsid w:val="00B365FE"/>
    <w:rsid w:val="00B36D34"/>
    <w:rsid w:val="00B3796F"/>
    <w:rsid w:val="00B4024B"/>
    <w:rsid w:val="00B40B5D"/>
    <w:rsid w:val="00B41054"/>
    <w:rsid w:val="00B41246"/>
    <w:rsid w:val="00B4174B"/>
    <w:rsid w:val="00B41C52"/>
    <w:rsid w:val="00B43103"/>
    <w:rsid w:val="00B43C57"/>
    <w:rsid w:val="00B447F4"/>
    <w:rsid w:val="00B4515E"/>
    <w:rsid w:val="00B461C7"/>
    <w:rsid w:val="00B4791D"/>
    <w:rsid w:val="00B503A9"/>
    <w:rsid w:val="00B506E7"/>
    <w:rsid w:val="00B51DF6"/>
    <w:rsid w:val="00B525DF"/>
    <w:rsid w:val="00B52899"/>
    <w:rsid w:val="00B53384"/>
    <w:rsid w:val="00B53478"/>
    <w:rsid w:val="00B5360C"/>
    <w:rsid w:val="00B538E4"/>
    <w:rsid w:val="00B5398C"/>
    <w:rsid w:val="00B53AE7"/>
    <w:rsid w:val="00B54181"/>
    <w:rsid w:val="00B54914"/>
    <w:rsid w:val="00B55DB0"/>
    <w:rsid w:val="00B567AE"/>
    <w:rsid w:val="00B568AF"/>
    <w:rsid w:val="00B5767E"/>
    <w:rsid w:val="00B609A0"/>
    <w:rsid w:val="00B60C03"/>
    <w:rsid w:val="00B60C9B"/>
    <w:rsid w:val="00B622F2"/>
    <w:rsid w:val="00B641E4"/>
    <w:rsid w:val="00B650C1"/>
    <w:rsid w:val="00B65101"/>
    <w:rsid w:val="00B65FDE"/>
    <w:rsid w:val="00B67502"/>
    <w:rsid w:val="00B6768F"/>
    <w:rsid w:val="00B67CE0"/>
    <w:rsid w:val="00B70E06"/>
    <w:rsid w:val="00B7141A"/>
    <w:rsid w:val="00B72148"/>
    <w:rsid w:val="00B73791"/>
    <w:rsid w:val="00B744F4"/>
    <w:rsid w:val="00B751EA"/>
    <w:rsid w:val="00B75D70"/>
    <w:rsid w:val="00B75F42"/>
    <w:rsid w:val="00B7706C"/>
    <w:rsid w:val="00B81964"/>
    <w:rsid w:val="00B82629"/>
    <w:rsid w:val="00B82CE4"/>
    <w:rsid w:val="00B83219"/>
    <w:rsid w:val="00B832EC"/>
    <w:rsid w:val="00B840B0"/>
    <w:rsid w:val="00B84ADB"/>
    <w:rsid w:val="00B84F32"/>
    <w:rsid w:val="00B85305"/>
    <w:rsid w:val="00B85380"/>
    <w:rsid w:val="00B8765A"/>
    <w:rsid w:val="00B87E6F"/>
    <w:rsid w:val="00B909C1"/>
    <w:rsid w:val="00B91793"/>
    <w:rsid w:val="00B921C4"/>
    <w:rsid w:val="00B94C22"/>
    <w:rsid w:val="00B962A2"/>
    <w:rsid w:val="00B966CD"/>
    <w:rsid w:val="00B97A5B"/>
    <w:rsid w:val="00BA0E8E"/>
    <w:rsid w:val="00BA0EDB"/>
    <w:rsid w:val="00BA11D9"/>
    <w:rsid w:val="00BA1DE2"/>
    <w:rsid w:val="00BA1FFB"/>
    <w:rsid w:val="00BA27E8"/>
    <w:rsid w:val="00BA29DB"/>
    <w:rsid w:val="00BA2D3D"/>
    <w:rsid w:val="00BA2E69"/>
    <w:rsid w:val="00BA34B9"/>
    <w:rsid w:val="00BA3CD5"/>
    <w:rsid w:val="00BA4D79"/>
    <w:rsid w:val="00BA58EE"/>
    <w:rsid w:val="00BA597D"/>
    <w:rsid w:val="00BA5B93"/>
    <w:rsid w:val="00BA6D09"/>
    <w:rsid w:val="00BA7703"/>
    <w:rsid w:val="00BA7758"/>
    <w:rsid w:val="00BB03FF"/>
    <w:rsid w:val="00BB0D9A"/>
    <w:rsid w:val="00BB0FE1"/>
    <w:rsid w:val="00BB131F"/>
    <w:rsid w:val="00BB1878"/>
    <w:rsid w:val="00BB19F3"/>
    <w:rsid w:val="00BB25AA"/>
    <w:rsid w:val="00BB3660"/>
    <w:rsid w:val="00BB3819"/>
    <w:rsid w:val="00BB38A5"/>
    <w:rsid w:val="00BB3929"/>
    <w:rsid w:val="00BB3BAD"/>
    <w:rsid w:val="00BB51EB"/>
    <w:rsid w:val="00BB71A0"/>
    <w:rsid w:val="00BB7DF9"/>
    <w:rsid w:val="00BC0913"/>
    <w:rsid w:val="00BC160B"/>
    <w:rsid w:val="00BC1615"/>
    <w:rsid w:val="00BC1C16"/>
    <w:rsid w:val="00BC22AA"/>
    <w:rsid w:val="00BC3B25"/>
    <w:rsid w:val="00BC3D92"/>
    <w:rsid w:val="00BC494D"/>
    <w:rsid w:val="00BC4A6D"/>
    <w:rsid w:val="00BC4F57"/>
    <w:rsid w:val="00BC52B8"/>
    <w:rsid w:val="00BC53F8"/>
    <w:rsid w:val="00BC590F"/>
    <w:rsid w:val="00BC6287"/>
    <w:rsid w:val="00BC674C"/>
    <w:rsid w:val="00BC6BD6"/>
    <w:rsid w:val="00BC6E8B"/>
    <w:rsid w:val="00BC7545"/>
    <w:rsid w:val="00BD0059"/>
    <w:rsid w:val="00BD0D17"/>
    <w:rsid w:val="00BD0EB1"/>
    <w:rsid w:val="00BD1385"/>
    <w:rsid w:val="00BD175F"/>
    <w:rsid w:val="00BD1B5A"/>
    <w:rsid w:val="00BD2931"/>
    <w:rsid w:val="00BD2989"/>
    <w:rsid w:val="00BD339E"/>
    <w:rsid w:val="00BD33FE"/>
    <w:rsid w:val="00BD3CDD"/>
    <w:rsid w:val="00BD40E9"/>
    <w:rsid w:val="00BD4B16"/>
    <w:rsid w:val="00BD5AD6"/>
    <w:rsid w:val="00BD5EF8"/>
    <w:rsid w:val="00BD6617"/>
    <w:rsid w:val="00BD7865"/>
    <w:rsid w:val="00BE08F2"/>
    <w:rsid w:val="00BE0BF8"/>
    <w:rsid w:val="00BE1688"/>
    <w:rsid w:val="00BE1C6F"/>
    <w:rsid w:val="00BE24B1"/>
    <w:rsid w:val="00BE33AC"/>
    <w:rsid w:val="00BE3E80"/>
    <w:rsid w:val="00BE4241"/>
    <w:rsid w:val="00BE4A04"/>
    <w:rsid w:val="00BE5EC8"/>
    <w:rsid w:val="00BE6426"/>
    <w:rsid w:val="00BE64CB"/>
    <w:rsid w:val="00BF0DE9"/>
    <w:rsid w:val="00BF11BC"/>
    <w:rsid w:val="00BF14E8"/>
    <w:rsid w:val="00BF1DA3"/>
    <w:rsid w:val="00BF2482"/>
    <w:rsid w:val="00BF3111"/>
    <w:rsid w:val="00BF3BAF"/>
    <w:rsid w:val="00BF3C19"/>
    <w:rsid w:val="00BF3C62"/>
    <w:rsid w:val="00BF52E6"/>
    <w:rsid w:val="00BF6B35"/>
    <w:rsid w:val="00C00FE2"/>
    <w:rsid w:val="00C01506"/>
    <w:rsid w:val="00C022A7"/>
    <w:rsid w:val="00C0315C"/>
    <w:rsid w:val="00C03D4C"/>
    <w:rsid w:val="00C03DCF"/>
    <w:rsid w:val="00C03E53"/>
    <w:rsid w:val="00C03EDD"/>
    <w:rsid w:val="00C06207"/>
    <w:rsid w:val="00C06381"/>
    <w:rsid w:val="00C06702"/>
    <w:rsid w:val="00C072A6"/>
    <w:rsid w:val="00C079B5"/>
    <w:rsid w:val="00C07B43"/>
    <w:rsid w:val="00C07E41"/>
    <w:rsid w:val="00C10085"/>
    <w:rsid w:val="00C102B8"/>
    <w:rsid w:val="00C10660"/>
    <w:rsid w:val="00C11442"/>
    <w:rsid w:val="00C1166B"/>
    <w:rsid w:val="00C11845"/>
    <w:rsid w:val="00C12553"/>
    <w:rsid w:val="00C12C30"/>
    <w:rsid w:val="00C12EDE"/>
    <w:rsid w:val="00C132BA"/>
    <w:rsid w:val="00C15755"/>
    <w:rsid w:val="00C157AB"/>
    <w:rsid w:val="00C15AF7"/>
    <w:rsid w:val="00C15EB2"/>
    <w:rsid w:val="00C175C4"/>
    <w:rsid w:val="00C179BF"/>
    <w:rsid w:val="00C20511"/>
    <w:rsid w:val="00C21B76"/>
    <w:rsid w:val="00C22E5C"/>
    <w:rsid w:val="00C23284"/>
    <w:rsid w:val="00C23CA3"/>
    <w:rsid w:val="00C2440B"/>
    <w:rsid w:val="00C25021"/>
    <w:rsid w:val="00C2563F"/>
    <w:rsid w:val="00C25A13"/>
    <w:rsid w:val="00C25F3C"/>
    <w:rsid w:val="00C260B8"/>
    <w:rsid w:val="00C26D92"/>
    <w:rsid w:val="00C30406"/>
    <w:rsid w:val="00C30FB0"/>
    <w:rsid w:val="00C31748"/>
    <w:rsid w:val="00C32AD3"/>
    <w:rsid w:val="00C32B83"/>
    <w:rsid w:val="00C3408F"/>
    <w:rsid w:val="00C34B05"/>
    <w:rsid w:val="00C34D8B"/>
    <w:rsid w:val="00C3504F"/>
    <w:rsid w:val="00C35519"/>
    <w:rsid w:val="00C35E47"/>
    <w:rsid w:val="00C35E74"/>
    <w:rsid w:val="00C35FF9"/>
    <w:rsid w:val="00C37076"/>
    <w:rsid w:val="00C37E3E"/>
    <w:rsid w:val="00C431C1"/>
    <w:rsid w:val="00C43753"/>
    <w:rsid w:val="00C43846"/>
    <w:rsid w:val="00C43BB4"/>
    <w:rsid w:val="00C43FBE"/>
    <w:rsid w:val="00C44106"/>
    <w:rsid w:val="00C444EF"/>
    <w:rsid w:val="00C444FD"/>
    <w:rsid w:val="00C449B9"/>
    <w:rsid w:val="00C44DCC"/>
    <w:rsid w:val="00C4511F"/>
    <w:rsid w:val="00C45921"/>
    <w:rsid w:val="00C461C0"/>
    <w:rsid w:val="00C469AF"/>
    <w:rsid w:val="00C47720"/>
    <w:rsid w:val="00C50ED3"/>
    <w:rsid w:val="00C51623"/>
    <w:rsid w:val="00C517DF"/>
    <w:rsid w:val="00C52411"/>
    <w:rsid w:val="00C5274D"/>
    <w:rsid w:val="00C53064"/>
    <w:rsid w:val="00C54519"/>
    <w:rsid w:val="00C54647"/>
    <w:rsid w:val="00C5498D"/>
    <w:rsid w:val="00C54BCE"/>
    <w:rsid w:val="00C55223"/>
    <w:rsid w:val="00C5533B"/>
    <w:rsid w:val="00C553E0"/>
    <w:rsid w:val="00C55520"/>
    <w:rsid w:val="00C5655F"/>
    <w:rsid w:val="00C5656E"/>
    <w:rsid w:val="00C56B37"/>
    <w:rsid w:val="00C57124"/>
    <w:rsid w:val="00C573D7"/>
    <w:rsid w:val="00C607CE"/>
    <w:rsid w:val="00C610BB"/>
    <w:rsid w:val="00C6113B"/>
    <w:rsid w:val="00C61344"/>
    <w:rsid w:val="00C61401"/>
    <w:rsid w:val="00C618A5"/>
    <w:rsid w:val="00C61C3D"/>
    <w:rsid w:val="00C61D02"/>
    <w:rsid w:val="00C6208A"/>
    <w:rsid w:val="00C624D7"/>
    <w:rsid w:val="00C624E4"/>
    <w:rsid w:val="00C627EA"/>
    <w:rsid w:val="00C636BC"/>
    <w:rsid w:val="00C6396E"/>
    <w:rsid w:val="00C676B4"/>
    <w:rsid w:val="00C67BB6"/>
    <w:rsid w:val="00C71F42"/>
    <w:rsid w:val="00C734CE"/>
    <w:rsid w:val="00C73B68"/>
    <w:rsid w:val="00C74B96"/>
    <w:rsid w:val="00C74DC8"/>
    <w:rsid w:val="00C75268"/>
    <w:rsid w:val="00C75521"/>
    <w:rsid w:val="00C75D55"/>
    <w:rsid w:val="00C76053"/>
    <w:rsid w:val="00C76CB9"/>
    <w:rsid w:val="00C76D8F"/>
    <w:rsid w:val="00C77145"/>
    <w:rsid w:val="00C7775D"/>
    <w:rsid w:val="00C77F62"/>
    <w:rsid w:val="00C8124F"/>
    <w:rsid w:val="00C817E2"/>
    <w:rsid w:val="00C81D1D"/>
    <w:rsid w:val="00C82272"/>
    <w:rsid w:val="00C83C3E"/>
    <w:rsid w:val="00C840D3"/>
    <w:rsid w:val="00C841B2"/>
    <w:rsid w:val="00C842FE"/>
    <w:rsid w:val="00C848D4"/>
    <w:rsid w:val="00C8524C"/>
    <w:rsid w:val="00C857D4"/>
    <w:rsid w:val="00C86044"/>
    <w:rsid w:val="00C8668E"/>
    <w:rsid w:val="00C87FA1"/>
    <w:rsid w:val="00C90207"/>
    <w:rsid w:val="00C90F98"/>
    <w:rsid w:val="00C910AB"/>
    <w:rsid w:val="00C92A18"/>
    <w:rsid w:val="00C92FAE"/>
    <w:rsid w:val="00C937DA"/>
    <w:rsid w:val="00C93BD9"/>
    <w:rsid w:val="00C94F8E"/>
    <w:rsid w:val="00C95366"/>
    <w:rsid w:val="00C95526"/>
    <w:rsid w:val="00C974A7"/>
    <w:rsid w:val="00CA0883"/>
    <w:rsid w:val="00CA121D"/>
    <w:rsid w:val="00CA1DB5"/>
    <w:rsid w:val="00CA2740"/>
    <w:rsid w:val="00CA3567"/>
    <w:rsid w:val="00CA3EE1"/>
    <w:rsid w:val="00CA4D77"/>
    <w:rsid w:val="00CA60A4"/>
    <w:rsid w:val="00CA64BE"/>
    <w:rsid w:val="00CA7075"/>
    <w:rsid w:val="00CA777E"/>
    <w:rsid w:val="00CA7E5D"/>
    <w:rsid w:val="00CB04D9"/>
    <w:rsid w:val="00CB061E"/>
    <w:rsid w:val="00CB0E52"/>
    <w:rsid w:val="00CB1A60"/>
    <w:rsid w:val="00CB1C83"/>
    <w:rsid w:val="00CB210E"/>
    <w:rsid w:val="00CB21DB"/>
    <w:rsid w:val="00CB37B7"/>
    <w:rsid w:val="00CB3951"/>
    <w:rsid w:val="00CB3C46"/>
    <w:rsid w:val="00CB4AC0"/>
    <w:rsid w:val="00CB54A7"/>
    <w:rsid w:val="00CB5BCA"/>
    <w:rsid w:val="00CB6FB6"/>
    <w:rsid w:val="00CB7EBC"/>
    <w:rsid w:val="00CC0419"/>
    <w:rsid w:val="00CC2FA1"/>
    <w:rsid w:val="00CC383E"/>
    <w:rsid w:val="00CC3FDB"/>
    <w:rsid w:val="00CC4157"/>
    <w:rsid w:val="00CC51E5"/>
    <w:rsid w:val="00CC54CC"/>
    <w:rsid w:val="00CC6B73"/>
    <w:rsid w:val="00CC6E59"/>
    <w:rsid w:val="00CC7802"/>
    <w:rsid w:val="00CC78BF"/>
    <w:rsid w:val="00CC78D4"/>
    <w:rsid w:val="00CD0D9F"/>
    <w:rsid w:val="00CD0EDC"/>
    <w:rsid w:val="00CD0F57"/>
    <w:rsid w:val="00CD1ADF"/>
    <w:rsid w:val="00CD2388"/>
    <w:rsid w:val="00CD24B1"/>
    <w:rsid w:val="00CD2A21"/>
    <w:rsid w:val="00CD44D7"/>
    <w:rsid w:val="00CD5060"/>
    <w:rsid w:val="00CD5D1A"/>
    <w:rsid w:val="00CD6A33"/>
    <w:rsid w:val="00CD6B5B"/>
    <w:rsid w:val="00CD70EB"/>
    <w:rsid w:val="00CE1C18"/>
    <w:rsid w:val="00CE2632"/>
    <w:rsid w:val="00CE2786"/>
    <w:rsid w:val="00CE2BA7"/>
    <w:rsid w:val="00CE47DC"/>
    <w:rsid w:val="00CE503B"/>
    <w:rsid w:val="00CE516A"/>
    <w:rsid w:val="00CE6D27"/>
    <w:rsid w:val="00CE6EB2"/>
    <w:rsid w:val="00CE74FA"/>
    <w:rsid w:val="00CE79BC"/>
    <w:rsid w:val="00CF0EAB"/>
    <w:rsid w:val="00CF1A43"/>
    <w:rsid w:val="00CF21FA"/>
    <w:rsid w:val="00CF2FE8"/>
    <w:rsid w:val="00CF3FAC"/>
    <w:rsid w:val="00CF40DE"/>
    <w:rsid w:val="00CF4D7A"/>
    <w:rsid w:val="00CF561E"/>
    <w:rsid w:val="00CF5C8F"/>
    <w:rsid w:val="00CF618E"/>
    <w:rsid w:val="00CF62F3"/>
    <w:rsid w:val="00CF72F6"/>
    <w:rsid w:val="00D0002F"/>
    <w:rsid w:val="00D003E1"/>
    <w:rsid w:val="00D0063C"/>
    <w:rsid w:val="00D016F7"/>
    <w:rsid w:val="00D0237A"/>
    <w:rsid w:val="00D02C96"/>
    <w:rsid w:val="00D02CF0"/>
    <w:rsid w:val="00D03542"/>
    <w:rsid w:val="00D03610"/>
    <w:rsid w:val="00D03BE4"/>
    <w:rsid w:val="00D03CA8"/>
    <w:rsid w:val="00D045AC"/>
    <w:rsid w:val="00D04952"/>
    <w:rsid w:val="00D04B8D"/>
    <w:rsid w:val="00D052AC"/>
    <w:rsid w:val="00D0548E"/>
    <w:rsid w:val="00D05E68"/>
    <w:rsid w:val="00D072E8"/>
    <w:rsid w:val="00D07820"/>
    <w:rsid w:val="00D078A9"/>
    <w:rsid w:val="00D07A45"/>
    <w:rsid w:val="00D07A6C"/>
    <w:rsid w:val="00D07E45"/>
    <w:rsid w:val="00D113AE"/>
    <w:rsid w:val="00D11F44"/>
    <w:rsid w:val="00D11FF7"/>
    <w:rsid w:val="00D12431"/>
    <w:rsid w:val="00D12625"/>
    <w:rsid w:val="00D12D08"/>
    <w:rsid w:val="00D13DF7"/>
    <w:rsid w:val="00D140AB"/>
    <w:rsid w:val="00D1477E"/>
    <w:rsid w:val="00D203C5"/>
    <w:rsid w:val="00D20B5F"/>
    <w:rsid w:val="00D2173A"/>
    <w:rsid w:val="00D21C14"/>
    <w:rsid w:val="00D21EC7"/>
    <w:rsid w:val="00D228A8"/>
    <w:rsid w:val="00D2373C"/>
    <w:rsid w:val="00D23D54"/>
    <w:rsid w:val="00D23DE0"/>
    <w:rsid w:val="00D25ACE"/>
    <w:rsid w:val="00D25FCA"/>
    <w:rsid w:val="00D26404"/>
    <w:rsid w:val="00D26D65"/>
    <w:rsid w:val="00D27F3A"/>
    <w:rsid w:val="00D300FC"/>
    <w:rsid w:val="00D30149"/>
    <w:rsid w:val="00D32EE4"/>
    <w:rsid w:val="00D32F0E"/>
    <w:rsid w:val="00D3327C"/>
    <w:rsid w:val="00D3362A"/>
    <w:rsid w:val="00D343FC"/>
    <w:rsid w:val="00D3577E"/>
    <w:rsid w:val="00D37FC6"/>
    <w:rsid w:val="00D413C2"/>
    <w:rsid w:val="00D41FD6"/>
    <w:rsid w:val="00D421E9"/>
    <w:rsid w:val="00D42AB3"/>
    <w:rsid w:val="00D439A4"/>
    <w:rsid w:val="00D43C46"/>
    <w:rsid w:val="00D43D98"/>
    <w:rsid w:val="00D44FDD"/>
    <w:rsid w:val="00D45EAE"/>
    <w:rsid w:val="00D4706A"/>
    <w:rsid w:val="00D471C2"/>
    <w:rsid w:val="00D47753"/>
    <w:rsid w:val="00D4797A"/>
    <w:rsid w:val="00D47E1F"/>
    <w:rsid w:val="00D51829"/>
    <w:rsid w:val="00D524B7"/>
    <w:rsid w:val="00D528FC"/>
    <w:rsid w:val="00D52BA6"/>
    <w:rsid w:val="00D536BC"/>
    <w:rsid w:val="00D5531C"/>
    <w:rsid w:val="00D5565D"/>
    <w:rsid w:val="00D556C9"/>
    <w:rsid w:val="00D559E1"/>
    <w:rsid w:val="00D55A1C"/>
    <w:rsid w:val="00D5691D"/>
    <w:rsid w:val="00D569D9"/>
    <w:rsid w:val="00D576D6"/>
    <w:rsid w:val="00D57E9C"/>
    <w:rsid w:val="00D605F4"/>
    <w:rsid w:val="00D60AC9"/>
    <w:rsid w:val="00D60BE1"/>
    <w:rsid w:val="00D62125"/>
    <w:rsid w:val="00D624A3"/>
    <w:rsid w:val="00D62FEA"/>
    <w:rsid w:val="00D644C1"/>
    <w:rsid w:val="00D647C5"/>
    <w:rsid w:val="00D648EC"/>
    <w:rsid w:val="00D64C68"/>
    <w:rsid w:val="00D6592A"/>
    <w:rsid w:val="00D66A75"/>
    <w:rsid w:val="00D66C2F"/>
    <w:rsid w:val="00D704AF"/>
    <w:rsid w:val="00D7068F"/>
    <w:rsid w:val="00D70898"/>
    <w:rsid w:val="00D70C6A"/>
    <w:rsid w:val="00D70DC7"/>
    <w:rsid w:val="00D71F46"/>
    <w:rsid w:val="00D7306C"/>
    <w:rsid w:val="00D7529C"/>
    <w:rsid w:val="00D75E77"/>
    <w:rsid w:val="00D76179"/>
    <w:rsid w:val="00D76A23"/>
    <w:rsid w:val="00D76FC1"/>
    <w:rsid w:val="00D80285"/>
    <w:rsid w:val="00D8222C"/>
    <w:rsid w:val="00D82C23"/>
    <w:rsid w:val="00D835E4"/>
    <w:rsid w:val="00D83902"/>
    <w:rsid w:val="00D83AAB"/>
    <w:rsid w:val="00D83FFE"/>
    <w:rsid w:val="00D85479"/>
    <w:rsid w:val="00D86489"/>
    <w:rsid w:val="00D86E50"/>
    <w:rsid w:val="00D878AF"/>
    <w:rsid w:val="00D87B10"/>
    <w:rsid w:val="00D91747"/>
    <w:rsid w:val="00D93AA9"/>
    <w:rsid w:val="00D93BCB"/>
    <w:rsid w:val="00D9497F"/>
    <w:rsid w:val="00D953EC"/>
    <w:rsid w:val="00D956F3"/>
    <w:rsid w:val="00D96229"/>
    <w:rsid w:val="00D964CA"/>
    <w:rsid w:val="00D968A2"/>
    <w:rsid w:val="00D96B1D"/>
    <w:rsid w:val="00D96F8E"/>
    <w:rsid w:val="00D97371"/>
    <w:rsid w:val="00DA06F1"/>
    <w:rsid w:val="00DA107B"/>
    <w:rsid w:val="00DA1AAF"/>
    <w:rsid w:val="00DA243F"/>
    <w:rsid w:val="00DA334B"/>
    <w:rsid w:val="00DA3689"/>
    <w:rsid w:val="00DA36F2"/>
    <w:rsid w:val="00DA3C28"/>
    <w:rsid w:val="00DA3F24"/>
    <w:rsid w:val="00DA5A60"/>
    <w:rsid w:val="00DA79C0"/>
    <w:rsid w:val="00DB1131"/>
    <w:rsid w:val="00DB127A"/>
    <w:rsid w:val="00DB12AA"/>
    <w:rsid w:val="00DB1929"/>
    <w:rsid w:val="00DB1F7A"/>
    <w:rsid w:val="00DB30EA"/>
    <w:rsid w:val="00DB368F"/>
    <w:rsid w:val="00DB37A3"/>
    <w:rsid w:val="00DB38C1"/>
    <w:rsid w:val="00DB3EE6"/>
    <w:rsid w:val="00DB47D9"/>
    <w:rsid w:val="00DB4D82"/>
    <w:rsid w:val="00DB4E96"/>
    <w:rsid w:val="00DB57E9"/>
    <w:rsid w:val="00DB7225"/>
    <w:rsid w:val="00DB78A1"/>
    <w:rsid w:val="00DB7FC2"/>
    <w:rsid w:val="00DC0211"/>
    <w:rsid w:val="00DC0C9A"/>
    <w:rsid w:val="00DC1800"/>
    <w:rsid w:val="00DC1850"/>
    <w:rsid w:val="00DC1EB4"/>
    <w:rsid w:val="00DC25A2"/>
    <w:rsid w:val="00DC2615"/>
    <w:rsid w:val="00DC2E62"/>
    <w:rsid w:val="00DC7E2D"/>
    <w:rsid w:val="00DD0C52"/>
    <w:rsid w:val="00DD165F"/>
    <w:rsid w:val="00DD18DF"/>
    <w:rsid w:val="00DD253A"/>
    <w:rsid w:val="00DD4A7A"/>
    <w:rsid w:val="00DD4CFF"/>
    <w:rsid w:val="00DD5CBE"/>
    <w:rsid w:val="00DD7289"/>
    <w:rsid w:val="00DD7D13"/>
    <w:rsid w:val="00DD7E22"/>
    <w:rsid w:val="00DD7FD5"/>
    <w:rsid w:val="00DE001D"/>
    <w:rsid w:val="00DE0947"/>
    <w:rsid w:val="00DE0ED2"/>
    <w:rsid w:val="00DE0F50"/>
    <w:rsid w:val="00DE148B"/>
    <w:rsid w:val="00DE2535"/>
    <w:rsid w:val="00DE2961"/>
    <w:rsid w:val="00DE332B"/>
    <w:rsid w:val="00DE352C"/>
    <w:rsid w:val="00DE41AC"/>
    <w:rsid w:val="00DE5232"/>
    <w:rsid w:val="00DE55F8"/>
    <w:rsid w:val="00DE61A0"/>
    <w:rsid w:val="00DE65CA"/>
    <w:rsid w:val="00DE6842"/>
    <w:rsid w:val="00DE7095"/>
    <w:rsid w:val="00DE757E"/>
    <w:rsid w:val="00DE75FA"/>
    <w:rsid w:val="00DE7739"/>
    <w:rsid w:val="00DF0415"/>
    <w:rsid w:val="00DF20BE"/>
    <w:rsid w:val="00DF24F5"/>
    <w:rsid w:val="00DF2CF8"/>
    <w:rsid w:val="00DF30A9"/>
    <w:rsid w:val="00DF3312"/>
    <w:rsid w:val="00DF3C95"/>
    <w:rsid w:val="00DF4200"/>
    <w:rsid w:val="00DF429A"/>
    <w:rsid w:val="00DF458E"/>
    <w:rsid w:val="00DF5A05"/>
    <w:rsid w:val="00DF5AD9"/>
    <w:rsid w:val="00DF689F"/>
    <w:rsid w:val="00DF7581"/>
    <w:rsid w:val="00DF75CD"/>
    <w:rsid w:val="00E00357"/>
    <w:rsid w:val="00E00741"/>
    <w:rsid w:val="00E00967"/>
    <w:rsid w:val="00E01CCC"/>
    <w:rsid w:val="00E0231C"/>
    <w:rsid w:val="00E03518"/>
    <w:rsid w:val="00E04211"/>
    <w:rsid w:val="00E04CDE"/>
    <w:rsid w:val="00E05A66"/>
    <w:rsid w:val="00E05B20"/>
    <w:rsid w:val="00E06527"/>
    <w:rsid w:val="00E10C6E"/>
    <w:rsid w:val="00E1129A"/>
    <w:rsid w:val="00E11908"/>
    <w:rsid w:val="00E12A36"/>
    <w:rsid w:val="00E12D4C"/>
    <w:rsid w:val="00E12E9D"/>
    <w:rsid w:val="00E13353"/>
    <w:rsid w:val="00E133D1"/>
    <w:rsid w:val="00E14FD1"/>
    <w:rsid w:val="00E15076"/>
    <w:rsid w:val="00E154AC"/>
    <w:rsid w:val="00E15DAE"/>
    <w:rsid w:val="00E15F10"/>
    <w:rsid w:val="00E17549"/>
    <w:rsid w:val="00E17B79"/>
    <w:rsid w:val="00E17D37"/>
    <w:rsid w:val="00E2029C"/>
    <w:rsid w:val="00E20B23"/>
    <w:rsid w:val="00E21175"/>
    <w:rsid w:val="00E23E47"/>
    <w:rsid w:val="00E243F5"/>
    <w:rsid w:val="00E2471C"/>
    <w:rsid w:val="00E2536B"/>
    <w:rsid w:val="00E2562E"/>
    <w:rsid w:val="00E27910"/>
    <w:rsid w:val="00E30D4D"/>
    <w:rsid w:val="00E30D5F"/>
    <w:rsid w:val="00E3184C"/>
    <w:rsid w:val="00E3247F"/>
    <w:rsid w:val="00E324E7"/>
    <w:rsid w:val="00E3270F"/>
    <w:rsid w:val="00E32E84"/>
    <w:rsid w:val="00E32F02"/>
    <w:rsid w:val="00E335B7"/>
    <w:rsid w:val="00E33BFF"/>
    <w:rsid w:val="00E33E08"/>
    <w:rsid w:val="00E34EA1"/>
    <w:rsid w:val="00E3500E"/>
    <w:rsid w:val="00E35A6E"/>
    <w:rsid w:val="00E35F6F"/>
    <w:rsid w:val="00E36AD8"/>
    <w:rsid w:val="00E371E0"/>
    <w:rsid w:val="00E3735A"/>
    <w:rsid w:val="00E377B8"/>
    <w:rsid w:val="00E409C5"/>
    <w:rsid w:val="00E41C61"/>
    <w:rsid w:val="00E4291F"/>
    <w:rsid w:val="00E430FC"/>
    <w:rsid w:val="00E44402"/>
    <w:rsid w:val="00E44BCB"/>
    <w:rsid w:val="00E44CC8"/>
    <w:rsid w:val="00E45C98"/>
    <w:rsid w:val="00E469FB"/>
    <w:rsid w:val="00E47001"/>
    <w:rsid w:val="00E50ED6"/>
    <w:rsid w:val="00E541CA"/>
    <w:rsid w:val="00E5456C"/>
    <w:rsid w:val="00E5464C"/>
    <w:rsid w:val="00E54AD2"/>
    <w:rsid w:val="00E55329"/>
    <w:rsid w:val="00E55CE5"/>
    <w:rsid w:val="00E56F71"/>
    <w:rsid w:val="00E574F6"/>
    <w:rsid w:val="00E6140B"/>
    <w:rsid w:val="00E6174B"/>
    <w:rsid w:val="00E61C78"/>
    <w:rsid w:val="00E620D2"/>
    <w:rsid w:val="00E645BB"/>
    <w:rsid w:val="00E64E4C"/>
    <w:rsid w:val="00E657DC"/>
    <w:rsid w:val="00E65E88"/>
    <w:rsid w:val="00E663C0"/>
    <w:rsid w:val="00E66F96"/>
    <w:rsid w:val="00E67359"/>
    <w:rsid w:val="00E67CA0"/>
    <w:rsid w:val="00E7130C"/>
    <w:rsid w:val="00E72B75"/>
    <w:rsid w:val="00E7328F"/>
    <w:rsid w:val="00E74D19"/>
    <w:rsid w:val="00E76D8D"/>
    <w:rsid w:val="00E7712F"/>
    <w:rsid w:val="00E77626"/>
    <w:rsid w:val="00E7773E"/>
    <w:rsid w:val="00E807C7"/>
    <w:rsid w:val="00E810C2"/>
    <w:rsid w:val="00E815F4"/>
    <w:rsid w:val="00E82F2F"/>
    <w:rsid w:val="00E830C7"/>
    <w:rsid w:val="00E8345C"/>
    <w:rsid w:val="00E8358A"/>
    <w:rsid w:val="00E83764"/>
    <w:rsid w:val="00E8379E"/>
    <w:rsid w:val="00E84DA3"/>
    <w:rsid w:val="00E85A60"/>
    <w:rsid w:val="00E869F3"/>
    <w:rsid w:val="00E86A8A"/>
    <w:rsid w:val="00E87884"/>
    <w:rsid w:val="00E87A14"/>
    <w:rsid w:val="00E87C36"/>
    <w:rsid w:val="00E90043"/>
    <w:rsid w:val="00E9044D"/>
    <w:rsid w:val="00E90C3E"/>
    <w:rsid w:val="00E90D91"/>
    <w:rsid w:val="00E92633"/>
    <w:rsid w:val="00E9395A"/>
    <w:rsid w:val="00E945A6"/>
    <w:rsid w:val="00E94729"/>
    <w:rsid w:val="00E94A92"/>
    <w:rsid w:val="00E95489"/>
    <w:rsid w:val="00E95AC4"/>
    <w:rsid w:val="00E975D6"/>
    <w:rsid w:val="00EA1A1C"/>
    <w:rsid w:val="00EA2542"/>
    <w:rsid w:val="00EA2EEB"/>
    <w:rsid w:val="00EA3359"/>
    <w:rsid w:val="00EA40EF"/>
    <w:rsid w:val="00EA4220"/>
    <w:rsid w:val="00EA480C"/>
    <w:rsid w:val="00EA4A76"/>
    <w:rsid w:val="00EA4E5D"/>
    <w:rsid w:val="00EA5942"/>
    <w:rsid w:val="00EA60DF"/>
    <w:rsid w:val="00EA6EBA"/>
    <w:rsid w:val="00EB088C"/>
    <w:rsid w:val="00EB092D"/>
    <w:rsid w:val="00EB1085"/>
    <w:rsid w:val="00EB1148"/>
    <w:rsid w:val="00EB13A7"/>
    <w:rsid w:val="00EB2078"/>
    <w:rsid w:val="00EB2A1B"/>
    <w:rsid w:val="00EB3E3A"/>
    <w:rsid w:val="00EB4FC5"/>
    <w:rsid w:val="00EB566D"/>
    <w:rsid w:val="00EB5DDE"/>
    <w:rsid w:val="00EB5F95"/>
    <w:rsid w:val="00EB63CA"/>
    <w:rsid w:val="00EB6C61"/>
    <w:rsid w:val="00EB717C"/>
    <w:rsid w:val="00EB7C43"/>
    <w:rsid w:val="00EB7E62"/>
    <w:rsid w:val="00EC1E66"/>
    <w:rsid w:val="00EC28EA"/>
    <w:rsid w:val="00EC3F0D"/>
    <w:rsid w:val="00EC45CA"/>
    <w:rsid w:val="00EC48FD"/>
    <w:rsid w:val="00EC5113"/>
    <w:rsid w:val="00EC59FD"/>
    <w:rsid w:val="00EC60D5"/>
    <w:rsid w:val="00EC6C1E"/>
    <w:rsid w:val="00EC72A6"/>
    <w:rsid w:val="00EC7E44"/>
    <w:rsid w:val="00ED04B0"/>
    <w:rsid w:val="00ED0C4D"/>
    <w:rsid w:val="00ED0E16"/>
    <w:rsid w:val="00ED0E2A"/>
    <w:rsid w:val="00ED260D"/>
    <w:rsid w:val="00ED34CD"/>
    <w:rsid w:val="00ED359F"/>
    <w:rsid w:val="00ED35F5"/>
    <w:rsid w:val="00ED3AA3"/>
    <w:rsid w:val="00ED3EE8"/>
    <w:rsid w:val="00ED4443"/>
    <w:rsid w:val="00ED45B3"/>
    <w:rsid w:val="00ED4676"/>
    <w:rsid w:val="00ED5277"/>
    <w:rsid w:val="00ED557A"/>
    <w:rsid w:val="00ED658C"/>
    <w:rsid w:val="00ED69C3"/>
    <w:rsid w:val="00ED743A"/>
    <w:rsid w:val="00ED776E"/>
    <w:rsid w:val="00ED7BC4"/>
    <w:rsid w:val="00EE036F"/>
    <w:rsid w:val="00EE25CF"/>
    <w:rsid w:val="00EE38DB"/>
    <w:rsid w:val="00EE3CCD"/>
    <w:rsid w:val="00EE4288"/>
    <w:rsid w:val="00EE4B28"/>
    <w:rsid w:val="00EE5243"/>
    <w:rsid w:val="00EE5334"/>
    <w:rsid w:val="00EE5661"/>
    <w:rsid w:val="00EE5D45"/>
    <w:rsid w:val="00EE6AC2"/>
    <w:rsid w:val="00EE7747"/>
    <w:rsid w:val="00EF086A"/>
    <w:rsid w:val="00EF09EA"/>
    <w:rsid w:val="00EF0D5D"/>
    <w:rsid w:val="00EF0DD7"/>
    <w:rsid w:val="00EF0FDD"/>
    <w:rsid w:val="00EF1AA6"/>
    <w:rsid w:val="00EF2C32"/>
    <w:rsid w:val="00EF3DE1"/>
    <w:rsid w:val="00EF487A"/>
    <w:rsid w:val="00EF6269"/>
    <w:rsid w:val="00EF63AB"/>
    <w:rsid w:val="00EF762E"/>
    <w:rsid w:val="00EF7632"/>
    <w:rsid w:val="00F0153D"/>
    <w:rsid w:val="00F0155E"/>
    <w:rsid w:val="00F02478"/>
    <w:rsid w:val="00F0326A"/>
    <w:rsid w:val="00F03FCE"/>
    <w:rsid w:val="00F040A7"/>
    <w:rsid w:val="00F04705"/>
    <w:rsid w:val="00F0705C"/>
    <w:rsid w:val="00F102F6"/>
    <w:rsid w:val="00F10D2F"/>
    <w:rsid w:val="00F1129C"/>
    <w:rsid w:val="00F1204F"/>
    <w:rsid w:val="00F12485"/>
    <w:rsid w:val="00F12B19"/>
    <w:rsid w:val="00F13735"/>
    <w:rsid w:val="00F13C90"/>
    <w:rsid w:val="00F14538"/>
    <w:rsid w:val="00F15A4A"/>
    <w:rsid w:val="00F16DDA"/>
    <w:rsid w:val="00F16F64"/>
    <w:rsid w:val="00F170E9"/>
    <w:rsid w:val="00F17714"/>
    <w:rsid w:val="00F2001F"/>
    <w:rsid w:val="00F201D1"/>
    <w:rsid w:val="00F20DF7"/>
    <w:rsid w:val="00F20F19"/>
    <w:rsid w:val="00F21396"/>
    <w:rsid w:val="00F21604"/>
    <w:rsid w:val="00F21F90"/>
    <w:rsid w:val="00F22764"/>
    <w:rsid w:val="00F22957"/>
    <w:rsid w:val="00F22EF1"/>
    <w:rsid w:val="00F240C9"/>
    <w:rsid w:val="00F2443F"/>
    <w:rsid w:val="00F24D86"/>
    <w:rsid w:val="00F27EA0"/>
    <w:rsid w:val="00F30305"/>
    <w:rsid w:val="00F309B5"/>
    <w:rsid w:val="00F32C88"/>
    <w:rsid w:val="00F33091"/>
    <w:rsid w:val="00F33810"/>
    <w:rsid w:val="00F33B86"/>
    <w:rsid w:val="00F34614"/>
    <w:rsid w:val="00F3473C"/>
    <w:rsid w:val="00F35885"/>
    <w:rsid w:val="00F36BC2"/>
    <w:rsid w:val="00F37242"/>
    <w:rsid w:val="00F37535"/>
    <w:rsid w:val="00F403C8"/>
    <w:rsid w:val="00F41731"/>
    <w:rsid w:val="00F42303"/>
    <w:rsid w:val="00F42474"/>
    <w:rsid w:val="00F42EB1"/>
    <w:rsid w:val="00F42F58"/>
    <w:rsid w:val="00F43D8E"/>
    <w:rsid w:val="00F44963"/>
    <w:rsid w:val="00F453BF"/>
    <w:rsid w:val="00F45416"/>
    <w:rsid w:val="00F45869"/>
    <w:rsid w:val="00F45D1B"/>
    <w:rsid w:val="00F45F2F"/>
    <w:rsid w:val="00F462CE"/>
    <w:rsid w:val="00F46802"/>
    <w:rsid w:val="00F46E54"/>
    <w:rsid w:val="00F517A0"/>
    <w:rsid w:val="00F521AC"/>
    <w:rsid w:val="00F5287F"/>
    <w:rsid w:val="00F52F7A"/>
    <w:rsid w:val="00F54790"/>
    <w:rsid w:val="00F54A05"/>
    <w:rsid w:val="00F55887"/>
    <w:rsid w:val="00F56BD9"/>
    <w:rsid w:val="00F56F13"/>
    <w:rsid w:val="00F57230"/>
    <w:rsid w:val="00F573E7"/>
    <w:rsid w:val="00F57D30"/>
    <w:rsid w:val="00F57FF4"/>
    <w:rsid w:val="00F605AE"/>
    <w:rsid w:val="00F60E90"/>
    <w:rsid w:val="00F61675"/>
    <w:rsid w:val="00F61D9F"/>
    <w:rsid w:val="00F62FE9"/>
    <w:rsid w:val="00F6486B"/>
    <w:rsid w:val="00F64BE0"/>
    <w:rsid w:val="00F650CC"/>
    <w:rsid w:val="00F651EE"/>
    <w:rsid w:val="00F6555B"/>
    <w:rsid w:val="00F65DF0"/>
    <w:rsid w:val="00F65E30"/>
    <w:rsid w:val="00F673BF"/>
    <w:rsid w:val="00F67D48"/>
    <w:rsid w:val="00F70383"/>
    <w:rsid w:val="00F71D01"/>
    <w:rsid w:val="00F71D21"/>
    <w:rsid w:val="00F72688"/>
    <w:rsid w:val="00F74144"/>
    <w:rsid w:val="00F745F6"/>
    <w:rsid w:val="00F74AB3"/>
    <w:rsid w:val="00F74ACB"/>
    <w:rsid w:val="00F752C1"/>
    <w:rsid w:val="00F75680"/>
    <w:rsid w:val="00F77CB0"/>
    <w:rsid w:val="00F77F59"/>
    <w:rsid w:val="00F80A75"/>
    <w:rsid w:val="00F82832"/>
    <w:rsid w:val="00F8374D"/>
    <w:rsid w:val="00F83EB5"/>
    <w:rsid w:val="00F84080"/>
    <w:rsid w:val="00F846A9"/>
    <w:rsid w:val="00F84A14"/>
    <w:rsid w:val="00F85115"/>
    <w:rsid w:val="00F8533F"/>
    <w:rsid w:val="00F85E7B"/>
    <w:rsid w:val="00F860D7"/>
    <w:rsid w:val="00F87EF6"/>
    <w:rsid w:val="00F90243"/>
    <w:rsid w:val="00F92724"/>
    <w:rsid w:val="00F93798"/>
    <w:rsid w:val="00F93D9D"/>
    <w:rsid w:val="00F948D7"/>
    <w:rsid w:val="00F95B06"/>
    <w:rsid w:val="00F96558"/>
    <w:rsid w:val="00F9657D"/>
    <w:rsid w:val="00F96B77"/>
    <w:rsid w:val="00FA02C7"/>
    <w:rsid w:val="00FA0373"/>
    <w:rsid w:val="00FA13AC"/>
    <w:rsid w:val="00FA16B9"/>
    <w:rsid w:val="00FA1A9F"/>
    <w:rsid w:val="00FA2DED"/>
    <w:rsid w:val="00FA2EEA"/>
    <w:rsid w:val="00FA497B"/>
    <w:rsid w:val="00FA576E"/>
    <w:rsid w:val="00FA5ACC"/>
    <w:rsid w:val="00FA5B55"/>
    <w:rsid w:val="00FA5F0E"/>
    <w:rsid w:val="00FA7343"/>
    <w:rsid w:val="00FB1B4E"/>
    <w:rsid w:val="00FB1B9C"/>
    <w:rsid w:val="00FB1E56"/>
    <w:rsid w:val="00FB217F"/>
    <w:rsid w:val="00FB260E"/>
    <w:rsid w:val="00FB26C7"/>
    <w:rsid w:val="00FB475A"/>
    <w:rsid w:val="00FB51CA"/>
    <w:rsid w:val="00FB52D8"/>
    <w:rsid w:val="00FB7B88"/>
    <w:rsid w:val="00FC1B2D"/>
    <w:rsid w:val="00FC1C2D"/>
    <w:rsid w:val="00FC2C64"/>
    <w:rsid w:val="00FC3E68"/>
    <w:rsid w:val="00FC5C2B"/>
    <w:rsid w:val="00FC6621"/>
    <w:rsid w:val="00FC66E0"/>
    <w:rsid w:val="00FC793E"/>
    <w:rsid w:val="00FD03A8"/>
    <w:rsid w:val="00FD069E"/>
    <w:rsid w:val="00FD0E0D"/>
    <w:rsid w:val="00FD12D8"/>
    <w:rsid w:val="00FD29BF"/>
    <w:rsid w:val="00FD2DA5"/>
    <w:rsid w:val="00FD4591"/>
    <w:rsid w:val="00FD56DD"/>
    <w:rsid w:val="00FD6E77"/>
    <w:rsid w:val="00FD6F43"/>
    <w:rsid w:val="00FD79F4"/>
    <w:rsid w:val="00FD7B05"/>
    <w:rsid w:val="00FE0972"/>
    <w:rsid w:val="00FE0BD8"/>
    <w:rsid w:val="00FE1A26"/>
    <w:rsid w:val="00FE301E"/>
    <w:rsid w:val="00FE3A6A"/>
    <w:rsid w:val="00FE3C19"/>
    <w:rsid w:val="00FE4A53"/>
    <w:rsid w:val="00FE4BE4"/>
    <w:rsid w:val="00FE4E4B"/>
    <w:rsid w:val="00FE59E2"/>
    <w:rsid w:val="00FE63BF"/>
    <w:rsid w:val="00FE64B3"/>
    <w:rsid w:val="00FE6A86"/>
    <w:rsid w:val="00FE72D4"/>
    <w:rsid w:val="00FE7C6C"/>
    <w:rsid w:val="00FF02C0"/>
    <w:rsid w:val="00FF03AE"/>
    <w:rsid w:val="00FF0459"/>
    <w:rsid w:val="00FF0AD2"/>
    <w:rsid w:val="00FF0CBD"/>
    <w:rsid w:val="00FF1032"/>
    <w:rsid w:val="00FF1539"/>
    <w:rsid w:val="00FF15C8"/>
    <w:rsid w:val="00FF16B0"/>
    <w:rsid w:val="00FF24A0"/>
    <w:rsid w:val="00FF3431"/>
    <w:rsid w:val="00FF371A"/>
    <w:rsid w:val="00FF5161"/>
    <w:rsid w:val="00FF569C"/>
    <w:rsid w:val="00FF57FB"/>
    <w:rsid w:val="00FF584C"/>
    <w:rsid w:val="00FF6EA9"/>
    <w:rsid w:val="00FF740C"/>
    <w:rsid w:val="00FF79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o:shapelayout v:ext="edit">
      <o:idmap v:ext="edit" data="1"/>
    </o:shapelayout>
  </w:shapeDefaults>
  <w:decimalSymbol w:val=","/>
  <w:listSeparator w:val=";"/>
  <w14:docId w14:val="2D884F49"/>
  <w14:defaultImageDpi w14:val="0"/>
  <w15:docId w15:val="{EEF84307-7E62-4D4F-89B9-BB870652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caption" w:semiHidden="1" w:uiPriority="35" w:unhideWhenUsed="1" w:qFormat="1"/>
    <w:lsdException w:name="footnote reference" w:qFormat="1"/>
    <w:lsdException w:name="page number"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Title" w:uiPriority="10" w:qFormat="1"/>
    <w:lsdException w:name="Default Paragraph Font" w:semiHidden="1" w:uiPriority="1" w:unhideWhenUsed="1"/>
    <w:lsdException w:name="Body Text" w:semiHidden="1" w:unhideWhenUsed="1"/>
    <w:lsdException w:name="Body Text Inden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1D3B"/>
    <w:rPr>
      <w:rFonts w:ascii="Times New Roman" w:hAnsi="Times New Roman" w:cs="Times New Roman"/>
      <w:szCs w:val="36"/>
    </w:rPr>
  </w:style>
  <w:style w:type="paragraph" w:styleId="Nadpis1">
    <w:name w:val="heading 1"/>
    <w:basedOn w:val="Normlny"/>
    <w:next w:val="Normlny"/>
    <w:link w:val="Nadpis1Char"/>
    <w:uiPriority w:val="9"/>
    <w:qFormat/>
    <w:rsid w:val="003A760D"/>
    <w:pPr>
      <w:keepNext/>
      <w:keepLines/>
      <w:numPr>
        <w:numId w:val="2"/>
      </w:numPr>
      <w:outlineLvl w:val="0"/>
    </w:pPr>
    <w:rPr>
      <w:rFonts w:eastAsiaTheme="majorEastAsia"/>
      <w:b/>
      <w:bCs/>
      <w:sz w:val="26"/>
      <w:szCs w:val="26"/>
    </w:rPr>
  </w:style>
  <w:style w:type="paragraph" w:styleId="Nadpis2">
    <w:name w:val="heading 2"/>
    <w:basedOn w:val="Normlny"/>
    <w:next w:val="Normlny"/>
    <w:link w:val="Nadpis2Char"/>
    <w:uiPriority w:val="9"/>
    <w:unhideWhenUsed/>
    <w:qFormat/>
    <w:rsid w:val="00900C3E"/>
    <w:pPr>
      <w:keepNext/>
      <w:keepLines/>
      <w:numPr>
        <w:ilvl w:val="1"/>
        <w:numId w:val="13"/>
      </w:numPr>
      <w:spacing w:before="200" w:line="336" w:lineRule="auto"/>
      <w:outlineLvl w:val="1"/>
    </w:pPr>
    <w:rPr>
      <w:b/>
      <w:bCs/>
      <w:sz w:val="24"/>
      <w:szCs w:val="24"/>
    </w:rPr>
  </w:style>
  <w:style w:type="paragraph" w:styleId="Nadpis3">
    <w:name w:val="heading 3"/>
    <w:basedOn w:val="Odsekzoznamu"/>
    <w:next w:val="Normlny"/>
    <w:link w:val="Nadpis3Char"/>
    <w:uiPriority w:val="9"/>
    <w:qFormat/>
    <w:rsid w:val="00900C3E"/>
    <w:pPr>
      <w:numPr>
        <w:ilvl w:val="2"/>
        <w:numId w:val="13"/>
      </w:numPr>
      <w:spacing w:after="120" w:line="336" w:lineRule="auto"/>
      <w:jc w:val="both"/>
      <w:outlineLvl w:val="2"/>
    </w:pPr>
    <w:rPr>
      <w:rFonts w:eastAsiaTheme="majorEastAsia" w:cs="Times New Roman"/>
      <w:b/>
      <w:lang w:eastAsia="en-US"/>
    </w:rPr>
  </w:style>
  <w:style w:type="paragraph" w:styleId="Nadpis4">
    <w:name w:val="heading 4"/>
    <w:basedOn w:val="Normlny"/>
    <w:next w:val="Normlny"/>
    <w:link w:val="Nadpis4Char"/>
    <w:uiPriority w:val="9"/>
    <w:unhideWhenUsed/>
    <w:qFormat/>
    <w:rsid w:val="000F366E"/>
    <w:pPr>
      <w:spacing w:after="0" w:line="360" w:lineRule="auto"/>
      <w:jc w:val="both"/>
      <w:outlineLvl w:val="3"/>
    </w:pPr>
    <w:rPr>
      <w:b/>
      <w:sz w:val="24"/>
      <w:szCs w:val="24"/>
    </w:rPr>
  </w:style>
  <w:style w:type="paragraph" w:styleId="Nadpis5">
    <w:name w:val="heading 5"/>
    <w:basedOn w:val="Normlny"/>
    <w:next w:val="Normlny"/>
    <w:link w:val="Nadpis5Char"/>
    <w:uiPriority w:val="9"/>
    <w:qFormat/>
    <w:rsid w:val="003F1365"/>
    <w:pPr>
      <w:keepNext/>
      <w:tabs>
        <w:tab w:val="num" w:pos="1008"/>
      </w:tabs>
      <w:spacing w:after="0" w:line="240" w:lineRule="auto"/>
      <w:ind w:left="1008" w:hanging="1008"/>
      <w:jc w:val="center"/>
      <w:outlineLvl w:val="4"/>
    </w:pPr>
    <w:rPr>
      <w:b/>
      <w:bCs/>
      <w:sz w:val="20"/>
      <w:szCs w:val="20"/>
      <w:lang w:eastAsia="cs-CZ"/>
    </w:rPr>
  </w:style>
  <w:style w:type="paragraph" w:styleId="Nadpis6">
    <w:name w:val="heading 6"/>
    <w:basedOn w:val="Normlny"/>
    <w:next w:val="Normlny"/>
    <w:link w:val="Nadpis6Char"/>
    <w:uiPriority w:val="9"/>
    <w:qFormat/>
    <w:rsid w:val="003F1365"/>
    <w:pPr>
      <w:tabs>
        <w:tab w:val="num" w:pos="1152"/>
      </w:tabs>
      <w:spacing w:before="240" w:after="60" w:line="240" w:lineRule="auto"/>
      <w:ind w:left="1152" w:hanging="1152"/>
      <w:outlineLvl w:val="5"/>
    </w:pPr>
    <w:rPr>
      <w:b/>
      <w:bCs/>
      <w:sz w:val="20"/>
      <w:szCs w:val="22"/>
    </w:rPr>
  </w:style>
  <w:style w:type="paragraph" w:styleId="Nadpis7">
    <w:name w:val="heading 7"/>
    <w:basedOn w:val="Normlny"/>
    <w:next w:val="Normlny"/>
    <w:link w:val="Nadpis7Char"/>
    <w:uiPriority w:val="9"/>
    <w:qFormat/>
    <w:rsid w:val="003F1365"/>
    <w:pPr>
      <w:tabs>
        <w:tab w:val="num" w:pos="1296"/>
      </w:tabs>
      <w:spacing w:before="240" w:after="60" w:line="240" w:lineRule="auto"/>
      <w:ind w:left="1296" w:hanging="1296"/>
      <w:outlineLvl w:val="6"/>
    </w:pPr>
    <w:rPr>
      <w:sz w:val="24"/>
      <w:szCs w:val="24"/>
    </w:rPr>
  </w:style>
  <w:style w:type="paragraph" w:styleId="Nadpis8">
    <w:name w:val="heading 8"/>
    <w:basedOn w:val="Normlny"/>
    <w:next w:val="Normlny"/>
    <w:link w:val="Nadpis8Char"/>
    <w:uiPriority w:val="9"/>
    <w:qFormat/>
    <w:rsid w:val="003F1365"/>
    <w:pPr>
      <w:tabs>
        <w:tab w:val="num" w:pos="1440"/>
      </w:tabs>
      <w:spacing w:before="240" w:after="60" w:line="240" w:lineRule="auto"/>
      <w:ind w:left="1440" w:hanging="1440"/>
      <w:outlineLvl w:val="7"/>
    </w:pPr>
    <w:rPr>
      <w:i/>
      <w:iCs/>
      <w:sz w:val="24"/>
      <w:szCs w:val="24"/>
    </w:rPr>
  </w:style>
  <w:style w:type="paragraph" w:styleId="Nadpis9">
    <w:name w:val="heading 9"/>
    <w:basedOn w:val="Normlny"/>
    <w:next w:val="Normlny"/>
    <w:link w:val="Nadpis9Char"/>
    <w:uiPriority w:val="9"/>
    <w:qFormat/>
    <w:rsid w:val="003F1365"/>
    <w:pPr>
      <w:tabs>
        <w:tab w:val="num" w:pos="1584"/>
      </w:tabs>
      <w:spacing w:before="240" w:after="60" w:line="240" w:lineRule="auto"/>
      <w:ind w:left="1584" w:hanging="1584"/>
      <w:outlineLvl w:val="8"/>
    </w:pPr>
    <w:rPr>
      <w:rFonts w:ascii="Arial" w:hAnsi="Arial"/>
      <w:sz w:val="20"/>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3A760D"/>
    <w:rPr>
      <w:rFonts w:ascii="Times New Roman" w:eastAsiaTheme="majorEastAsia" w:hAnsi="Times New Roman" w:cs="Times New Roman"/>
      <w:b/>
      <w:bCs/>
      <w:sz w:val="26"/>
      <w:szCs w:val="26"/>
    </w:rPr>
  </w:style>
  <w:style w:type="character" w:customStyle="1" w:styleId="Nadpis2Char">
    <w:name w:val="Nadpis 2 Char"/>
    <w:basedOn w:val="Predvolenpsmoodseku"/>
    <w:link w:val="Nadpis2"/>
    <w:uiPriority w:val="9"/>
    <w:locked/>
    <w:rsid w:val="00900C3E"/>
    <w:rPr>
      <w:rFonts w:ascii="Times New Roman" w:hAnsi="Times New Roman" w:cs="Times New Roman"/>
      <w:b/>
      <w:bCs/>
      <w:sz w:val="24"/>
      <w:szCs w:val="24"/>
    </w:rPr>
  </w:style>
  <w:style w:type="character" w:customStyle="1" w:styleId="Nadpis3Char">
    <w:name w:val="Nadpis 3 Char"/>
    <w:basedOn w:val="Predvolenpsmoodseku"/>
    <w:link w:val="Nadpis3"/>
    <w:uiPriority w:val="9"/>
    <w:locked/>
    <w:rsid w:val="00900C3E"/>
    <w:rPr>
      <w:rFonts w:ascii="Times New Roman" w:eastAsiaTheme="majorEastAsia" w:hAnsi="Times New Roman" w:cs="Times New Roman"/>
      <w:b/>
    </w:rPr>
  </w:style>
  <w:style w:type="character" w:customStyle="1" w:styleId="Nadpis4Char">
    <w:name w:val="Nadpis 4 Char"/>
    <w:basedOn w:val="Predvolenpsmoodseku"/>
    <w:link w:val="Nadpis4"/>
    <w:uiPriority w:val="9"/>
    <w:locked/>
    <w:rsid w:val="000F366E"/>
    <w:rPr>
      <w:rFonts w:ascii="Times New Roman" w:hAnsi="Times New Roman" w:cs="Times New Roman"/>
      <w:b/>
      <w:sz w:val="24"/>
      <w:szCs w:val="24"/>
    </w:rPr>
  </w:style>
  <w:style w:type="character" w:customStyle="1" w:styleId="Nadpis5Char">
    <w:name w:val="Nadpis 5 Char"/>
    <w:basedOn w:val="Predvolenpsmoodseku"/>
    <w:link w:val="Nadpis5"/>
    <w:uiPriority w:val="9"/>
    <w:locked/>
    <w:rsid w:val="003F1365"/>
    <w:rPr>
      <w:rFonts w:ascii="Times New Roman" w:hAnsi="Times New Roman" w:cs="Times New Roman"/>
      <w:b/>
      <w:bCs/>
      <w:sz w:val="20"/>
      <w:szCs w:val="20"/>
      <w:lang w:val="x-none" w:eastAsia="cs-CZ"/>
    </w:rPr>
  </w:style>
  <w:style w:type="character" w:customStyle="1" w:styleId="Nadpis6Char">
    <w:name w:val="Nadpis 6 Char"/>
    <w:basedOn w:val="Predvolenpsmoodseku"/>
    <w:link w:val="Nadpis6"/>
    <w:uiPriority w:val="9"/>
    <w:locked/>
    <w:rsid w:val="003F1365"/>
    <w:rPr>
      <w:rFonts w:ascii="Times New Roman" w:hAnsi="Times New Roman" w:cs="Times New Roman"/>
      <w:b/>
      <w:bCs/>
      <w:sz w:val="22"/>
      <w:szCs w:val="22"/>
      <w:lang w:val="x-none" w:eastAsia="x-none"/>
    </w:rPr>
  </w:style>
  <w:style w:type="character" w:customStyle="1" w:styleId="Nadpis7Char">
    <w:name w:val="Nadpis 7 Char"/>
    <w:basedOn w:val="Predvolenpsmoodseku"/>
    <w:link w:val="Nadpis7"/>
    <w:uiPriority w:val="9"/>
    <w:locked/>
    <w:rsid w:val="003F1365"/>
    <w:rPr>
      <w:rFonts w:ascii="Times New Roman" w:hAnsi="Times New Roman" w:cs="Times New Roman"/>
      <w:sz w:val="24"/>
      <w:szCs w:val="24"/>
      <w:lang w:val="x-none" w:eastAsia="x-none"/>
    </w:rPr>
  </w:style>
  <w:style w:type="character" w:customStyle="1" w:styleId="Nadpis8Char">
    <w:name w:val="Nadpis 8 Char"/>
    <w:basedOn w:val="Predvolenpsmoodseku"/>
    <w:link w:val="Nadpis8"/>
    <w:uiPriority w:val="9"/>
    <w:locked/>
    <w:rsid w:val="003F1365"/>
    <w:rPr>
      <w:rFonts w:ascii="Times New Roman" w:hAnsi="Times New Roman" w:cs="Times New Roman"/>
      <w:i/>
      <w:iCs/>
      <w:sz w:val="24"/>
      <w:szCs w:val="24"/>
      <w:lang w:val="x-none" w:eastAsia="x-none"/>
    </w:rPr>
  </w:style>
  <w:style w:type="character" w:customStyle="1" w:styleId="Nadpis9Char">
    <w:name w:val="Nadpis 9 Char"/>
    <w:basedOn w:val="Predvolenpsmoodseku"/>
    <w:link w:val="Nadpis9"/>
    <w:uiPriority w:val="9"/>
    <w:locked/>
    <w:rsid w:val="003F1365"/>
    <w:rPr>
      <w:rFonts w:ascii="Arial" w:hAnsi="Arial" w:cs="Times New Roman"/>
      <w:sz w:val="22"/>
      <w:szCs w:val="22"/>
      <w:lang w:val="x-none" w:eastAsia="x-none"/>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 Char Char Char Char Char,Plonk,f"/>
    <w:basedOn w:val="Normlny"/>
    <w:link w:val="TextpoznmkypodiarouChar"/>
    <w:unhideWhenUsed/>
    <w:qFormat/>
    <w:rsid w:val="007304A5"/>
    <w:pPr>
      <w:spacing w:after="0" w:line="240" w:lineRule="auto"/>
    </w:pPr>
    <w:rPr>
      <w:sz w:val="20"/>
      <w:szCs w:val="20"/>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Plonk Char,f Char"/>
    <w:basedOn w:val="Predvolenpsmoodseku"/>
    <w:link w:val="Textpoznmkypodiarou"/>
    <w:locked/>
    <w:rsid w:val="007304A5"/>
    <w:rPr>
      <w:rFonts w:cs="Times New Roman"/>
      <w:sz w:val="20"/>
      <w:szCs w:val="20"/>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basedOn w:val="Predvolenpsmoodseku"/>
    <w:link w:val="Char2"/>
    <w:uiPriority w:val="99"/>
    <w:unhideWhenUsed/>
    <w:qFormat/>
    <w:rsid w:val="007304A5"/>
    <w:rPr>
      <w:rFonts w:cs="Times New Roman"/>
      <w:vertAlign w:val="superscript"/>
    </w:rPr>
  </w:style>
  <w:style w:type="paragraph" w:styleId="Hlavika">
    <w:name w:val="header"/>
    <w:basedOn w:val="Normlny"/>
    <w:link w:val="HlavikaChar"/>
    <w:uiPriority w:val="99"/>
    <w:unhideWhenUsed/>
    <w:rsid w:val="00B200F2"/>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B200F2"/>
    <w:rPr>
      <w:rFonts w:cs="Times New Roman"/>
    </w:rPr>
  </w:style>
  <w:style w:type="paragraph" w:styleId="Pta">
    <w:name w:val="footer"/>
    <w:basedOn w:val="Normlny"/>
    <w:link w:val="PtaChar"/>
    <w:uiPriority w:val="99"/>
    <w:unhideWhenUsed/>
    <w:rsid w:val="00B200F2"/>
    <w:pPr>
      <w:tabs>
        <w:tab w:val="center" w:pos="4536"/>
        <w:tab w:val="right" w:pos="9072"/>
      </w:tabs>
      <w:spacing w:after="0" w:line="240" w:lineRule="auto"/>
    </w:pPr>
  </w:style>
  <w:style w:type="character" w:customStyle="1" w:styleId="PtaChar">
    <w:name w:val="Päta Char"/>
    <w:basedOn w:val="Predvolenpsmoodseku"/>
    <w:link w:val="Pta"/>
    <w:uiPriority w:val="99"/>
    <w:locked/>
    <w:rsid w:val="00B200F2"/>
    <w:rPr>
      <w:rFonts w:cs="Times New Roman"/>
    </w:rPr>
  </w:style>
  <w:style w:type="paragraph" w:customStyle="1" w:styleId="NormalList">
    <w:name w:val="NormalList"/>
    <w:basedOn w:val="Normlny"/>
    <w:qFormat/>
    <w:rsid w:val="006B3B40"/>
    <w:pPr>
      <w:spacing w:after="0" w:line="240" w:lineRule="auto"/>
      <w:jc w:val="both"/>
    </w:pPr>
    <w:rPr>
      <w:rFonts w:cs="Book Antiqua"/>
      <w:szCs w:val="22"/>
    </w:rPr>
  </w:style>
  <w:style w:type="paragraph" w:styleId="Odsekzoznamu">
    <w:name w:val="List Paragraph"/>
    <w:basedOn w:val="Normlny"/>
    <w:link w:val="OdsekzoznamuChar"/>
    <w:uiPriority w:val="34"/>
    <w:qFormat/>
    <w:rsid w:val="006B3B40"/>
    <w:pPr>
      <w:spacing w:after="0" w:line="240" w:lineRule="auto"/>
      <w:ind w:left="720"/>
      <w:contextualSpacing/>
    </w:pPr>
    <w:rPr>
      <w:rFonts w:cs="Book Antiqua"/>
      <w:szCs w:val="22"/>
      <w:lang w:eastAsia="sk-SK"/>
    </w:rPr>
  </w:style>
  <w:style w:type="character" w:styleId="Odkaznakomentr">
    <w:name w:val="annotation reference"/>
    <w:basedOn w:val="Predvolenpsmoodseku"/>
    <w:uiPriority w:val="99"/>
    <w:semiHidden/>
    <w:unhideWhenUsed/>
    <w:rsid w:val="006752EF"/>
    <w:rPr>
      <w:rFonts w:cs="Times New Roman"/>
      <w:sz w:val="16"/>
      <w:szCs w:val="16"/>
    </w:rPr>
  </w:style>
  <w:style w:type="paragraph" w:styleId="Textkomentra">
    <w:name w:val="annotation text"/>
    <w:basedOn w:val="Normlny"/>
    <w:link w:val="TextkomentraChar"/>
    <w:uiPriority w:val="99"/>
    <w:unhideWhenUsed/>
    <w:rsid w:val="006752EF"/>
    <w:pPr>
      <w:spacing w:after="0" w:line="240" w:lineRule="auto"/>
    </w:pPr>
    <w:rPr>
      <w:sz w:val="20"/>
      <w:szCs w:val="20"/>
      <w:lang w:eastAsia="sk-SK"/>
    </w:rPr>
  </w:style>
  <w:style w:type="character" w:customStyle="1" w:styleId="TextkomentraChar">
    <w:name w:val="Text komentára Char"/>
    <w:basedOn w:val="Predvolenpsmoodseku"/>
    <w:link w:val="Textkomentra"/>
    <w:uiPriority w:val="99"/>
    <w:locked/>
    <w:rsid w:val="006752EF"/>
    <w:rPr>
      <w:rFonts w:ascii="Times New Roman" w:hAnsi="Times New Roman" w:cs="Times New Roman"/>
      <w:sz w:val="20"/>
      <w:szCs w:val="20"/>
      <w:lang w:val="x-none" w:eastAsia="sk-SK"/>
    </w:rPr>
  </w:style>
  <w:style w:type="paragraph" w:styleId="Textbubliny">
    <w:name w:val="Balloon Text"/>
    <w:basedOn w:val="Normlny"/>
    <w:link w:val="TextbublinyChar"/>
    <w:uiPriority w:val="99"/>
    <w:semiHidden/>
    <w:unhideWhenUsed/>
    <w:rsid w:val="006752E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752EF"/>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rsid w:val="009F701F"/>
    <w:pPr>
      <w:spacing w:after="200"/>
    </w:pPr>
    <w:rPr>
      <w:rFonts w:ascii="Arial Narrow" w:hAnsi="Arial Narrow"/>
      <w:b/>
      <w:bCs/>
      <w:lang w:eastAsia="en-US"/>
    </w:rPr>
  </w:style>
  <w:style w:type="character" w:customStyle="1" w:styleId="PredmetkomentraChar">
    <w:name w:val="Predmet komentára Char"/>
    <w:basedOn w:val="TextkomentraChar"/>
    <w:link w:val="Predmetkomentra"/>
    <w:uiPriority w:val="99"/>
    <w:semiHidden/>
    <w:locked/>
    <w:rsid w:val="009F701F"/>
    <w:rPr>
      <w:rFonts w:ascii="Times New Roman" w:hAnsi="Times New Roman" w:cs="Times New Roman"/>
      <w:b/>
      <w:bCs/>
      <w:sz w:val="20"/>
      <w:szCs w:val="20"/>
      <w:lang w:val="x-none" w:eastAsia="sk-SK"/>
    </w:rPr>
  </w:style>
  <w:style w:type="paragraph" w:styleId="Zkladntext">
    <w:name w:val="Body Text"/>
    <w:basedOn w:val="Normlny"/>
    <w:link w:val="ZkladntextChar"/>
    <w:uiPriority w:val="99"/>
    <w:rsid w:val="003A760D"/>
    <w:pPr>
      <w:spacing w:after="0" w:line="240" w:lineRule="auto"/>
      <w:jc w:val="both"/>
    </w:pPr>
    <w:rPr>
      <w:sz w:val="24"/>
      <w:szCs w:val="20"/>
      <w:lang w:eastAsia="cs-CZ"/>
    </w:rPr>
  </w:style>
  <w:style w:type="character" w:customStyle="1" w:styleId="ZkladntextChar">
    <w:name w:val="Základný text Char"/>
    <w:basedOn w:val="Predvolenpsmoodseku"/>
    <w:link w:val="Zkladntext"/>
    <w:uiPriority w:val="99"/>
    <w:locked/>
    <w:rsid w:val="003A760D"/>
    <w:rPr>
      <w:rFonts w:ascii="Times New Roman" w:hAnsi="Times New Roman" w:cs="Times New Roman"/>
      <w:sz w:val="20"/>
      <w:szCs w:val="20"/>
      <w:lang w:val="x-none" w:eastAsia="cs-CZ"/>
    </w:rPr>
  </w:style>
  <w:style w:type="paragraph" w:styleId="Revzia">
    <w:name w:val="Revision"/>
    <w:hidden/>
    <w:uiPriority w:val="99"/>
    <w:semiHidden/>
    <w:rsid w:val="003A760D"/>
    <w:pPr>
      <w:spacing w:after="0" w:line="240" w:lineRule="auto"/>
    </w:pPr>
    <w:rPr>
      <w:rFonts w:cs="Times New Roman"/>
      <w:szCs w:val="36"/>
    </w:rPr>
  </w:style>
  <w:style w:type="character" w:styleId="Siln">
    <w:name w:val="Strong"/>
    <w:basedOn w:val="Predvolenpsmoodseku"/>
    <w:uiPriority w:val="22"/>
    <w:qFormat/>
    <w:rsid w:val="00D072E8"/>
    <w:rPr>
      <w:rFonts w:cs="Times New Roman"/>
      <w:bCs/>
    </w:rPr>
  </w:style>
  <w:style w:type="character" w:customStyle="1" w:styleId="OdsekzoznamuChar">
    <w:name w:val="Odsek zoznamu Char"/>
    <w:link w:val="Odsekzoznamu"/>
    <w:uiPriority w:val="34"/>
    <w:locked/>
    <w:rsid w:val="005D5220"/>
    <w:rPr>
      <w:rFonts w:eastAsia="Times New Roman"/>
      <w:sz w:val="22"/>
      <w:lang w:val="x-none" w:eastAsia="sk-SK"/>
    </w:rPr>
  </w:style>
  <w:style w:type="paragraph" w:customStyle="1" w:styleId="Pismenka">
    <w:name w:val="Pismenka"/>
    <w:basedOn w:val="Zkladntext"/>
    <w:uiPriority w:val="99"/>
    <w:rsid w:val="005D5220"/>
    <w:pPr>
      <w:tabs>
        <w:tab w:val="num" w:pos="426"/>
      </w:tabs>
      <w:ind w:left="426" w:hanging="426"/>
    </w:pPr>
    <w:rPr>
      <w:b/>
      <w:bCs/>
      <w:sz w:val="18"/>
      <w:szCs w:val="18"/>
      <w:lang w:eastAsia="sk-SK"/>
    </w:rPr>
  </w:style>
  <w:style w:type="paragraph" w:styleId="Bezriadkovania">
    <w:name w:val="No Spacing"/>
    <w:uiPriority w:val="1"/>
    <w:qFormat/>
    <w:rsid w:val="005D5220"/>
    <w:pPr>
      <w:spacing w:after="0" w:line="240" w:lineRule="auto"/>
    </w:pPr>
    <w:rPr>
      <w:rFonts w:cs="Times New Roman"/>
      <w:szCs w:val="36"/>
    </w:rPr>
  </w:style>
  <w:style w:type="paragraph" w:styleId="Normlnywebov">
    <w:name w:val="Normal (Web)"/>
    <w:basedOn w:val="Normlny"/>
    <w:uiPriority w:val="99"/>
    <w:unhideWhenUsed/>
    <w:rsid w:val="003F1365"/>
    <w:pPr>
      <w:spacing w:after="100" w:afterAutospacing="1" w:line="240" w:lineRule="auto"/>
    </w:pPr>
    <w:rPr>
      <w:sz w:val="24"/>
      <w:szCs w:val="24"/>
      <w:lang w:eastAsia="sk-SK"/>
    </w:rPr>
  </w:style>
  <w:style w:type="character" w:styleId="Hypertextovprepojenie">
    <w:name w:val="Hyperlink"/>
    <w:basedOn w:val="Predvolenpsmoodseku"/>
    <w:uiPriority w:val="99"/>
    <w:unhideWhenUsed/>
    <w:rsid w:val="003F1365"/>
    <w:rPr>
      <w:color w:val="9E150F"/>
      <w:u w:val="single"/>
    </w:rPr>
  </w:style>
  <w:style w:type="table" w:styleId="Mriekatabuky">
    <w:name w:val="Table Grid"/>
    <w:basedOn w:val="Normlnatabuka"/>
    <w:uiPriority w:val="39"/>
    <w:rsid w:val="003F1365"/>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3F1365"/>
  </w:style>
  <w:style w:type="paragraph" w:customStyle="1" w:styleId="Zkladntext1">
    <w:name w:val="Základní text1"/>
    <w:uiPriority w:val="99"/>
    <w:rsid w:val="003F1365"/>
    <w:pPr>
      <w:spacing w:before="144" w:after="144" w:line="240" w:lineRule="auto"/>
      <w:ind w:firstLine="709"/>
      <w:jc w:val="both"/>
    </w:pPr>
    <w:rPr>
      <w:rFonts w:ascii="Times New Roman" w:hAnsi="Times New Roman" w:cs="Times New Roman"/>
      <w:color w:val="000000"/>
      <w:sz w:val="24"/>
      <w:szCs w:val="24"/>
      <w:lang w:eastAsia="sk-SK"/>
    </w:rPr>
  </w:style>
  <w:style w:type="paragraph" w:customStyle="1" w:styleId="odstavec">
    <w:name w:val="odstavec"/>
    <w:basedOn w:val="Normlny"/>
    <w:autoRedefine/>
    <w:rsid w:val="003F1365"/>
    <w:pPr>
      <w:spacing w:after="0" w:line="240" w:lineRule="auto"/>
      <w:ind w:right="-79"/>
      <w:jc w:val="both"/>
    </w:pPr>
    <w:rPr>
      <w:sz w:val="20"/>
      <w:szCs w:val="24"/>
      <w:lang w:eastAsia="sk-SK"/>
    </w:rPr>
  </w:style>
  <w:style w:type="paragraph" w:customStyle="1" w:styleId="abc">
    <w:name w:val="abc"/>
    <w:basedOn w:val="Normlny"/>
    <w:autoRedefine/>
    <w:rsid w:val="003F1365"/>
    <w:pPr>
      <w:numPr>
        <w:numId w:val="4"/>
      </w:numPr>
      <w:spacing w:before="60" w:after="120" w:line="240" w:lineRule="auto"/>
      <w:jc w:val="both"/>
    </w:pPr>
    <w:rPr>
      <w:b/>
      <w:sz w:val="20"/>
      <w:szCs w:val="20"/>
      <w:lang w:eastAsia="sk-SK"/>
    </w:rPr>
  </w:style>
  <w:style w:type="character" w:customStyle="1" w:styleId="spanr">
    <w:name w:val="span_r"/>
    <w:basedOn w:val="Predvolenpsmoodseku"/>
    <w:rsid w:val="003F1365"/>
    <w:rPr>
      <w:rFonts w:cs="Times New Roman"/>
    </w:rPr>
  </w:style>
  <w:style w:type="paragraph" w:customStyle="1" w:styleId="CharChar1">
    <w:name w:val="Char Char1"/>
    <w:basedOn w:val="Normlny"/>
    <w:rsid w:val="003F1365"/>
    <w:pPr>
      <w:spacing w:after="160" w:line="240" w:lineRule="exact"/>
    </w:pPr>
    <w:rPr>
      <w:rFonts w:ascii="Tahoma" w:hAnsi="Tahoma"/>
      <w:sz w:val="20"/>
      <w:szCs w:val="20"/>
    </w:rPr>
  </w:style>
  <w:style w:type="character" w:customStyle="1" w:styleId="poradna-tl-reaguj1">
    <w:name w:val="poradna-tl-reaguj1"/>
    <w:rsid w:val="003F1365"/>
    <w:rPr>
      <w:color w:val="A55570"/>
      <w:sz w:val="20"/>
    </w:rPr>
  </w:style>
  <w:style w:type="paragraph" w:customStyle="1" w:styleId="Zakladnmtext">
    <w:name w:val="Z&lt;/a&gt;kladn&lt;/m&gt; text"/>
    <w:rsid w:val="003F1365"/>
    <w:pPr>
      <w:spacing w:after="0" w:line="240" w:lineRule="auto"/>
    </w:pPr>
    <w:rPr>
      <w:rFonts w:ascii="Times New Roman" w:hAnsi="Times New Roman" w:cs="Times New Roman"/>
      <w:color w:val="000000"/>
      <w:sz w:val="24"/>
      <w:szCs w:val="20"/>
      <w:lang w:val="en-US" w:eastAsia="sk-SK"/>
    </w:rPr>
  </w:style>
  <w:style w:type="paragraph" w:customStyle="1" w:styleId="Xadka">
    <w:name w:val="&lt;/X&gt;&lt;/a&gt;dka"/>
    <w:rsid w:val="003F1365"/>
    <w:pPr>
      <w:spacing w:after="0" w:line="240" w:lineRule="auto"/>
    </w:pPr>
    <w:rPr>
      <w:rFonts w:ascii="Times New Roman" w:hAnsi="Times New Roman" w:cs="Times New Roman"/>
      <w:color w:val="000000"/>
      <w:sz w:val="24"/>
      <w:szCs w:val="20"/>
      <w:lang w:val="en-US" w:eastAsia="sk-SK"/>
    </w:rPr>
  </w:style>
  <w:style w:type="paragraph" w:customStyle="1" w:styleId="Znahka">
    <w:name w:val="Zna&lt;/h&gt;ka"/>
    <w:rsid w:val="003F1365"/>
    <w:pPr>
      <w:spacing w:after="0" w:line="240" w:lineRule="auto"/>
      <w:ind w:left="288" w:hanging="288"/>
    </w:pPr>
    <w:rPr>
      <w:rFonts w:ascii="Times New Roman" w:hAnsi="Times New Roman" w:cs="Times New Roman"/>
      <w:color w:val="000000"/>
      <w:sz w:val="24"/>
      <w:szCs w:val="20"/>
      <w:lang w:val="en-US" w:eastAsia="sk-SK"/>
    </w:rPr>
  </w:style>
  <w:style w:type="paragraph" w:customStyle="1" w:styleId="Znahka1">
    <w:name w:val="Zna&lt;/h&gt;ka 1"/>
    <w:rsid w:val="003F1365"/>
    <w:pPr>
      <w:spacing w:after="0" w:line="240" w:lineRule="auto"/>
    </w:pPr>
    <w:rPr>
      <w:rFonts w:ascii="Times New Roman" w:hAnsi="Times New Roman" w:cs="Times New Roman"/>
      <w:color w:val="000000"/>
      <w:sz w:val="24"/>
      <w:szCs w:val="20"/>
      <w:lang w:val="en-US" w:eastAsia="sk-SK"/>
    </w:rPr>
  </w:style>
  <w:style w:type="paragraph" w:customStyle="1" w:styleId="Hmsloseznamu">
    <w:name w:val="&lt;/H&gt;&lt;/m&gt;slo seznamu"/>
    <w:rsid w:val="003F1365"/>
    <w:pPr>
      <w:tabs>
        <w:tab w:val="left" w:pos="576"/>
      </w:tabs>
      <w:spacing w:after="0" w:line="240" w:lineRule="auto"/>
    </w:pPr>
    <w:rPr>
      <w:rFonts w:ascii="Times New Roman" w:hAnsi="Times New Roman" w:cs="Times New Roman"/>
      <w:color w:val="000000"/>
      <w:sz w:val="24"/>
      <w:szCs w:val="20"/>
      <w:lang w:val="en-US" w:eastAsia="sk-SK"/>
    </w:rPr>
  </w:style>
  <w:style w:type="paragraph" w:customStyle="1" w:styleId="Podnadpis">
    <w:name w:val="Podnadpis"/>
    <w:rsid w:val="003F1365"/>
    <w:pPr>
      <w:spacing w:after="0" w:line="240" w:lineRule="auto"/>
    </w:pPr>
    <w:rPr>
      <w:rFonts w:ascii="Times New Roman" w:hAnsi="Times New Roman" w:cs="Times New Roman"/>
      <w:b/>
      <w:i/>
      <w:color w:val="000000"/>
      <w:sz w:val="24"/>
      <w:szCs w:val="20"/>
      <w:lang w:val="en-US" w:eastAsia="sk-SK"/>
    </w:rPr>
  </w:style>
  <w:style w:type="paragraph" w:customStyle="1" w:styleId="Nadpis">
    <w:name w:val="Nadpis"/>
    <w:rsid w:val="003F1365"/>
    <w:pPr>
      <w:spacing w:after="0" w:line="240" w:lineRule="auto"/>
      <w:jc w:val="center"/>
    </w:pPr>
    <w:rPr>
      <w:rFonts w:ascii="Arial" w:hAnsi="Arial" w:cs="Times New Roman"/>
      <w:b/>
      <w:color w:val="000000"/>
      <w:sz w:val="36"/>
      <w:szCs w:val="20"/>
      <w:lang w:val="en-US" w:eastAsia="sk-SK"/>
    </w:rPr>
  </w:style>
  <w:style w:type="paragraph" w:customStyle="1" w:styleId="Zahlavm">
    <w:name w:val="Z&lt;/a&gt;hlav&lt;/m&gt;"/>
    <w:rsid w:val="003F1365"/>
    <w:pPr>
      <w:spacing w:after="0" w:line="240" w:lineRule="auto"/>
    </w:pPr>
    <w:rPr>
      <w:rFonts w:ascii="Times New Roman" w:hAnsi="Times New Roman" w:cs="Times New Roman"/>
      <w:color w:val="000000"/>
      <w:sz w:val="24"/>
      <w:szCs w:val="20"/>
      <w:lang w:val="en-US" w:eastAsia="sk-SK"/>
    </w:rPr>
  </w:style>
  <w:style w:type="paragraph" w:customStyle="1" w:styleId="Pata">
    <w:name w:val="Pata"/>
    <w:rsid w:val="003F1365"/>
    <w:pPr>
      <w:spacing w:after="0" w:line="240" w:lineRule="auto"/>
    </w:pPr>
    <w:rPr>
      <w:rFonts w:ascii="Times New Roman" w:hAnsi="Times New Roman" w:cs="Times New Roman"/>
      <w:color w:val="000000"/>
      <w:sz w:val="24"/>
      <w:szCs w:val="20"/>
      <w:lang w:val="en-US" w:eastAsia="sk-SK"/>
    </w:rPr>
  </w:style>
  <w:style w:type="paragraph" w:customStyle="1" w:styleId="Texttabulky">
    <w:name w:val="Text tabulky"/>
    <w:rsid w:val="003F1365"/>
    <w:pPr>
      <w:spacing w:after="0" w:line="240" w:lineRule="auto"/>
    </w:pPr>
    <w:rPr>
      <w:rFonts w:ascii="Times New Roman" w:hAnsi="Times New Roman" w:cs="Times New Roman"/>
      <w:color w:val="000000"/>
      <w:sz w:val="24"/>
      <w:szCs w:val="20"/>
      <w:lang w:val="en-US" w:eastAsia="sk-SK"/>
    </w:rPr>
  </w:style>
  <w:style w:type="paragraph" w:customStyle="1" w:styleId="Zkladntext10">
    <w:name w:val="Základný text1"/>
    <w:rsid w:val="003F1365"/>
    <w:pPr>
      <w:spacing w:after="0" w:line="240" w:lineRule="auto"/>
    </w:pPr>
    <w:rPr>
      <w:rFonts w:ascii="Dutch801 SWC" w:hAnsi="Dutch801 SWC" w:cs="Times New Roman"/>
      <w:color w:val="000000"/>
      <w:sz w:val="24"/>
      <w:szCs w:val="20"/>
      <w:lang w:val="en-US" w:eastAsia="sk-SK"/>
    </w:rPr>
  </w:style>
  <w:style w:type="paragraph" w:customStyle="1" w:styleId="Zkladntext0">
    <w:name w:val="Základní text"/>
    <w:uiPriority w:val="99"/>
    <w:rsid w:val="003F1365"/>
    <w:pPr>
      <w:autoSpaceDE w:val="0"/>
      <w:autoSpaceDN w:val="0"/>
      <w:adjustRightInd w:val="0"/>
      <w:spacing w:after="0" w:line="240" w:lineRule="auto"/>
    </w:pPr>
    <w:rPr>
      <w:rFonts w:ascii="Times New Roman" w:hAnsi="Times New Roman" w:cs="Times New Roman"/>
      <w:color w:val="000000"/>
      <w:sz w:val="20"/>
      <w:szCs w:val="24"/>
      <w:lang w:eastAsia="sk-SK"/>
    </w:rPr>
  </w:style>
  <w:style w:type="paragraph" w:styleId="Zkladntext2">
    <w:name w:val="Body Text 2"/>
    <w:aliases w:val="Char, Char"/>
    <w:basedOn w:val="Normlny"/>
    <w:link w:val="Zkladntext2Char"/>
    <w:uiPriority w:val="99"/>
    <w:rsid w:val="003F1365"/>
    <w:pPr>
      <w:spacing w:after="160" w:line="240" w:lineRule="exact"/>
    </w:pPr>
    <w:rPr>
      <w:rFonts w:ascii="Tahoma" w:hAnsi="Tahoma" w:cs="Tahoma"/>
      <w:sz w:val="20"/>
      <w:szCs w:val="20"/>
      <w:lang w:val="en-US"/>
    </w:rPr>
  </w:style>
  <w:style w:type="character" w:customStyle="1" w:styleId="Zkladntext2Char">
    <w:name w:val="Základný text 2 Char"/>
    <w:aliases w:val="Char Char, Char Char"/>
    <w:basedOn w:val="Predvolenpsmoodseku"/>
    <w:link w:val="Zkladntext2"/>
    <w:uiPriority w:val="99"/>
    <w:locked/>
    <w:rsid w:val="003F1365"/>
    <w:rPr>
      <w:rFonts w:ascii="Times New Roman" w:hAnsi="Times New Roman" w:cs="Times New Roman"/>
      <w:sz w:val="20"/>
      <w:szCs w:val="20"/>
      <w:lang w:val="x-none" w:eastAsia="x-none"/>
    </w:rPr>
  </w:style>
  <w:style w:type="paragraph" w:styleId="Zarkazkladnhotextu">
    <w:name w:val="Body Text Indent"/>
    <w:basedOn w:val="Normlny"/>
    <w:link w:val="ZarkazkladnhotextuChar"/>
    <w:uiPriority w:val="99"/>
    <w:rsid w:val="003F1365"/>
    <w:pPr>
      <w:spacing w:after="0" w:line="240" w:lineRule="auto"/>
      <w:ind w:firstLine="708"/>
      <w:jc w:val="both"/>
    </w:pPr>
    <w:rPr>
      <w:rFonts w:ascii="Dutch801 SWC" w:hAnsi="Dutch801 SWC"/>
      <w:sz w:val="24"/>
      <w:szCs w:val="20"/>
    </w:rPr>
  </w:style>
  <w:style w:type="character" w:customStyle="1" w:styleId="ZarkazkladnhotextuChar">
    <w:name w:val="Zarážka základného textu Char"/>
    <w:basedOn w:val="Predvolenpsmoodseku"/>
    <w:link w:val="Zarkazkladnhotextu"/>
    <w:uiPriority w:val="99"/>
    <w:locked/>
    <w:rsid w:val="003F1365"/>
    <w:rPr>
      <w:rFonts w:ascii="Dutch801 SWC" w:hAnsi="Dutch801 SWC" w:cs="Times New Roman"/>
      <w:sz w:val="20"/>
      <w:szCs w:val="20"/>
      <w:lang w:val="x-none" w:eastAsia="x-none"/>
    </w:rPr>
  </w:style>
  <w:style w:type="paragraph" w:styleId="Zkladntext3">
    <w:name w:val="Body Text 3"/>
    <w:basedOn w:val="Normlny"/>
    <w:link w:val="Zkladntext3Char"/>
    <w:uiPriority w:val="99"/>
    <w:rsid w:val="003F136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21" w:lineRule="atLeast"/>
    </w:pPr>
    <w:rPr>
      <w:b/>
      <w:bCs/>
      <w:sz w:val="28"/>
      <w:szCs w:val="24"/>
    </w:rPr>
  </w:style>
  <w:style w:type="character" w:customStyle="1" w:styleId="Zkladntext3Char">
    <w:name w:val="Základný text 3 Char"/>
    <w:basedOn w:val="Predvolenpsmoodseku"/>
    <w:link w:val="Zkladntext3"/>
    <w:uiPriority w:val="99"/>
    <w:locked/>
    <w:rsid w:val="003F1365"/>
    <w:rPr>
      <w:rFonts w:ascii="Times New Roman" w:hAnsi="Times New Roman" w:cs="Times New Roman"/>
      <w:b/>
      <w:bCs/>
      <w:sz w:val="24"/>
      <w:szCs w:val="24"/>
      <w:lang w:val="x-none" w:eastAsia="x-none"/>
    </w:rPr>
  </w:style>
  <w:style w:type="paragraph" w:customStyle="1" w:styleId="Zkladntext21">
    <w:name w:val="Základný text 21"/>
    <w:basedOn w:val="Normlny"/>
    <w:rsid w:val="003F1365"/>
    <w:pPr>
      <w:widowControl w:val="0"/>
      <w:spacing w:before="120" w:after="120" w:line="240" w:lineRule="auto"/>
      <w:ind w:left="426"/>
      <w:jc w:val="both"/>
    </w:pPr>
    <w:rPr>
      <w:sz w:val="24"/>
      <w:szCs w:val="20"/>
      <w:lang w:val="cs-CZ"/>
    </w:rPr>
  </w:style>
  <w:style w:type="paragraph" w:customStyle="1" w:styleId="08Textsprvy">
    <w:name w:val="08. Text správy"/>
    <w:basedOn w:val="Normlny"/>
    <w:rsid w:val="003F1365"/>
    <w:pPr>
      <w:spacing w:after="0" w:line="240" w:lineRule="auto"/>
      <w:jc w:val="both"/>
    </w:pPr>
    <w:rPr>
      <w:sz w:val="24"/>
      <w:szCs w:val="20"/>
      <w:lang w:eastAsia="cs-CZ"/>
    </w:rPr>
  </w:style>
  <w:style w:type="table" w:customStyle="1" w:styleId="Mriekatabuky1">
    <w:name w:val="Mriežka tabuľky1"/>
    <w:basedOn w:val="Normlnatabuka"/>
    <w:next w:val="Mriekatabuky"/>
    <w:rsid w:val="003F1365"/>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lny"/>
    <w:rsid w:val="003F1365"/>
    <w:pPr>
      <w:spacing w:after="160" w:line="240" w:lineRule="exact"/>
    </w:pPr>
    <w:rPr>
      <w:rFonts w:ascii="Tahoma" w:hAnsi="Tahoma"/>
      <w:sz w:val="20"/>
      <w:szCs w:val="20"/>
    </w:rPr>
  </w:style>
  <w:style w:type="paragraph" w:customStyle="1" w:styleId="titulok">
    <w:name w:val="titulok"/>
    <w:basedOn w:val="Normlny"/>
    <w:rsid w:val="003F1365"/>
    <w:pPr>
      <w:spacing w:before="100" w:beforeAutospacing="1" w:after="100" w:afterAutospacing="1" w:line="240" w:lineRule="auto"/>
      <w:jc w:val="center"/>
    </w:pPr>
    <w:rPr>
      <w:rFonts w:ascii="Arial" w:hAnsi="Arial" w:cs="Arial"/>
      <w:b/>
      <w:bCs/>
      <w:color w:val="007060"/>
      <w:sz w:val="24"/>
      <w:szCs w:val="24"/>
      <w:lang w:eastAsia="sk-SK"/>
    </w:rPr>
  </w:style>
  <w:style w:type="paragraph" w:customStyle="1" w:styleId="CharCharCharCharCharCharCharCharChar1Char">
    <w:name w:val="Char Char Char Char Char Char Char Char Char1 Char"/>
    <w:basedOn w:val="Normlny"/>
    <w:rsid w:val="003F1365"/>
    <w:pPr>
      <w:spacing w:after="160" w:line="240" w:lineRule="exact"/>
    </w:pPr>
    <w:rPr>
      <w:rFonts w:ascii="Tahoma" w:hAnsi="Tahoma"/>
      <w:sz w:val="20"/>
      <w:szCs w:val="20"/>
      <w:lang w:val="en-US"/>
    </w:rPr>
  </w:style>
  <w:style w:type="paragraph" w:customStyle="1" w:styleId="Char1">
    <w:name w:val="Char1"/>
    <w:basedOn w:val="Normlny"/>
    <w:rsid w:val="003F1365"/>
    <w:pPr>
      <w:spacing w:after="160" w:line="240" w:lineRule="exact"/>
    </w:pPr>
    <w:rPr>
      <w:rFonts w:ascii="Tahoma" w:hAnsi="Tahoma" w:cs="Tahoma"/>
      <w:sz w:val="20"/>
      <w:szCs w:val="20"/>
      <w:lang w:val="en-US"/>
    </w:rPr>
  </w:style>
  <w:style w:type="paragraph" w:customStyle="1" w:styleId="tlCharCharChar1CharCharCharChar">
    <w:name w:val="Štýl Char Char Char1 Char Char Char Char"/>
    <w:basedOn w:val="Normlny"/>
    <w:rsid w:val="003F1365"/>
    <w:pPr>
      <w:spacing w:after="160" w:line="240" w:lineRule="exact"/>
    </w:pPr>
    <w:rPr>
      <w:rFonts w:ascii="Tahoma" w:hAnsi="Tahoma" w:cs="Tahoma"/>
      <w:sz w:val="20"/>
      <w:szCs w:val="20"/>
      <w:lang w:val="en-US"/>
    </w:rPr>
  </w:style>
  <w:style w:type="paragraph" w:customStyle="1" w:styleId="AUTunVycentrovan">
    <w:name w:val="AU Tučné Vycentrované"/>
    <w:basedOn w:val="Normlny"/>
    <w:rsid w:val="003F1365"/>
    <w:pPr>
      <w:spacing w:after="0" w:line="240" w:lineRule="auto"/>
      <w:jc w:val="center"/>
    </w:pPr>
    <w:rPr>
      <w:b/>
      <w:bCs/>
      <w:sz w:val="24"/>
      <w:szCs w:val="20"/>
      <w:lang w:eastAsia="cs-CZ"/>
    </w:rPr>
  </w:style>
  <w:style w:type="paragraph" w:customStyle="1" w:styleId="AUODRAKA">
    <w:name w:val="AU ODRAŽKA"/>
    <w:basedOn w:val="Normlny"/>
    <w:rsid w:val="003F1365"/>
    <w:pPr>
      <w:numPr>
        <w:numId w:val="5"/>
      </w:numPr>
      <w:spacing w:before="120" w:after="0" w:line="240" w:lineRule="auto"/>
      <w:jc w:val="both"/>
    </w:pPr>
    <w:rPr>
      <w:sz w:val="24"/>
      <w:szCs w:val="20"/>
      <w:lang w:eastAsia="cs-CZ"/>
    </w:rPr>
  </w:style>
  <w:style w:type="paragraph" w:customStyle="1" w:styleId="CharCharCharCharCharChar1">
    <w:name w:val="Char Char Char Char Char Char1"/>
    <w:basedOn w:val="Normlny"/>
    <w:rsid w:val="003F1365"/>
    <w:pPr>
      <w:spacing w:after="160" w:line="240" w:lineRule="exact"/>
    </w:pPr>
    <w:rPr>
      <w:rFonts w:ascii="Tahoma" w:hAnsi="Tahoma" w:cs="Tahoma"/>
      <w:sz w:val="20"/>
      <w:szCs w:val="20"/>
      <w:lang w:val="en-US"/>
    </w:rPr>
  </w:style>
  <w:style w:type="paragraph" w:customStyle="1" w:styleId="Zarkazkladnhotextu21">
    <w:name w:val="Zarážka základného textu 21"/>
    <w:basedOn w:val="Normlny"/>
    <w:rsid w:val="003F1365"/>
    <w:pPr>
      <w:overflowPunct w:val="0"/>
      <w:autoSpaceDE w:val="0"/>
      <w:autoSpaceDN w:val="0"/>
      <w:adjustRightInd w:val="0"/>
      <w:spacing w:before="120" w:after="0" w:line="240" w:lineRule="auto"/>
      <w:ind w:left="284" w:hanging="284"/>
      <w:jc w:val="both"/>
      <w:textAlignment w:val="baseline"/>
    </w:pPr>
    <w:rPr>
      <w:sz w:val="24"/>
      <w:szCs w:val="20"/>
      <w:lang w:eastAsia="cs-CZ"/>
    </w:rPr>
  </w:style>
  <w:style w:type="paragraph" w:styleId="Zoznamsodrkami2">
    <w:name w:val="List Bullet 2"/>
    <w:basedOn w:val="Normlny"/>
    <w:autoRedefine/>
    <w:uiPriority w:val="99"/>
    <w:rsid w:val="003F1365"/>
    <w:pPr>
      <w:numPr>
        <w:numId w:val="6"/>
      </w:numPr>
      <w:spacing w:after="0" w:line="240" w:lineRule="auto"/>
    </w:pPr>
    <w:rPr>
      <w:rFonts w:ascii="Courier" w:hAnsi="Courier" w:cs="Courier"/>
      <w:sz w:val="24"/>
      <w:szCs w:val="24"/>
      <w:lang w:eastAsia="cs-CZ"/>
    </w:rPr>
  </w:style>
  <w:style w:type="paragraph" w:customStyle="1" w:styleId="CharCharChar2CharCharCharCharChar">
    <w:name w:val="Char Char Char2 Char Char Char Char Char"/>
    <w:basedOn w:val="Normlny"/>
    <w:rsid w:val="003F1365"/>
    <w:pPr>
      <w:spacing w:after="160" w:line="240" w:lineRule="exact"/>
    </w:pPr>
    <w:rPr>
      <w:rFonts w:ascii="Tahoma" w:hAnsi="Tahoma"/>
      <w:sz w:val="20"/>
      <w:szCs w:val="20"/>
      <w:lang w:val="en-US"/>
    </w:rPr>
  </w:style>
  <w:style w:type="table" w:customStyle="1" w:styleId="Normlnatabuka1">
    <w:name w:val="Normálna tabuľka1"/>
    <w:next w:val="Normlnatabuka"/>
    <w:semiHidden/>
    <w:unhideWhenUsed/>
    <w:qFormat/>
    <w:rsid w:val="003F1365"/>
    <w:pPr>
      <w:spacing w:after="0" w:line="240" w:lineRule="auto"/>
    </w:pPr>
    <w:rPr>
      <w:rFonts w:ascii="Dutch801 SWC" w:hAnsi="Dutch801 SWC" w:cs="Times New Roman"/>
      <w:sz w:val="20"/>
      <w:szCs w:val="20"/>
      <w:lang w:eastAsia="sk-SK"/>
    </w:rPr>
    <w:tblPr>
      <w:tblInd w:w="0" w:type="dxa"/>
      <w:tblCellMar>
        <w:top w:w="0" w:type="dxa"/>
        <w:left w:w="108" w:type="dxa"/>
        <w:bottom w:w="0" w:type="dxa"/>
        <w:right w:w="108" w:type="dxa"/>
      </w:tblCellMar>
    </w:tblPr>
  </w:style>
  <w:style w:type="character" w:customStyle="1" w:styleId="ZkladntextodsazenChar">
    <w:name w:val="Základní text odsazený Char"/>
    <w:rsid w:val="003F1365"/>
    <w:rPr>
      <w:rFonts w:ascii="AT* Times New Roman" w:hAnsi="AT* Times New Roman"/>
      <w:sz w:val="24"/>
      <w:lang w:val="sk-SK" w:eastAsia="cs-CZ"/>
    </w:rPr>
  </w:style>
  <w:style w:type="table" w:customStyle="1" w:styleId="Normlnatabuka2">
    <w:name w:val="Normálna tabuľka2"/>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3">
    <w:name w:val="Normálna tabuľka3"/>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4">
    <w:name w:val="Normálna tabuľka4"/>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5">
    <w:name w:val="Normálna tabuľka5"/>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6">
    <w:name w:val="Normálna tabuľka6"/>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7">
    <w:name w:val="Normálna tabuľka7"/>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8">
    <w:name w:val="Normálna tabuľka8"/>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9">
    <w:name w:val="Normálna tabuľka9"/>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10">
    <w:name w:val="Normálna tabuľka10"/>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11">
    <w:name w:val="Normálna tabuľka11"/>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12">
    <w:name w:val="Normálna tabuľka12"/>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13">
    <w:name w:val="Normálna tabuľka13"/>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14">
    <w:name w:val="Normálna tabuľka14"/>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paragraph" w:customStyle="1" w:styleId="CharCharCharChar1CharChar">
    <w:name w:val="Char Char Char Char1 Char Char"/>
    <w:basedOn w:val="Normlny"/>
    <w:rsid w:val="003F1365"/>
    <w:pPr>
      <w:spacing w:after="160" w:line="240" w:lineRule="exact"/>
    </w:pPr>
    <w:rPr>
      <w:rFonts w:ascii="Tahoma" w:hAnsi="Tahoma" w:cs="Tahoma"/>
      <w:sz w:val="20"/>
      <w:szCs w:val="20"/>
      <w:lang w:val="en-US"/>
    </w:rPr>
  </w:style>
  <w:style w:type="table" w:customStyle="1" w:styleId="Normlnatabuka15">
    <w:name w:val="Normálna tabuľka15"/>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paragraph" w:styleId="Obsah1">
    <w:name w:val="toc 1"/>
    <w:basedOn w:val="Normlny"/>
    <w:next w:val="Normlny"/>
    <w:autoRedefine/>
    <w:uiPriority w:val="39"/>
    <w:unhideWhenUsed/>
    <w:rsid w:val="005A1C55"/>
    <w:pPr>
      <w:tabs>
        <w:tab w:val="left" w:pos="426"/>
        <w:tab w:val="right" w:leader="dot" w:pos="9062"/>
      </w:tabs>
      <w:spacing w:after="120" w:line="240" w:lineRule="auto"/>
    </w:pPr>
    <w:rPr>
      <w:rFonts w:cs="Courier"/>
      <w:sz w:val="24"/>
      <w:szCs w:val="24"/>
      <w:lang w:eastAsia="cs-CZ"/>
    </w:rPr>
  </w:style>
  <w:style w:type="paragraph" w:styleId="Obyajntext">
    <w:name w:val="Plain Text"/>
    <w:basedOn w:val="Normlny"/>
    <w:link w:val="ObyajntextChar"/>
    <w:uiPriority w:val="99"/>
    <w:unhideWhenUsed/>
    <w:rsid w:val="003F1365"/>
    <w:pPr>
      <w:spacing w:after="0" w:line="240" w:lineRule="auto"/>
    </w:pPr>
    <w:rPr>
      <w:szCs w:val="21"/>
    </w:rPr>
  </w:style>
  <w:style w:type="character" w:customStyle="1" w:styleId="ObyajntextChar">
    <w:name w:val="Obyčajný text Char"/>
    <w:basedOn w:val="Predvolenpsmoodseku"/>
    <w:link w:val="Obyajntext"/>
    <w:uiPriority w:val="99"/>
    <w:locked/>
    <w:rsid w:val="003F1365"/>
    <w:rPr>
      <w:rFonts w:eastAsia="Times New Roman" w:cs="Times New Roman"/>
      <w:sz w:val="21"/>
      <w:szCs w:val="21"/>
      <w:lang w:val="x-none" w:eastAsia="x-none"/>
    </w:rPr>
  </w:style>
  <w:style w:type="paragraph" w:customStyle="1" w:styleId="Default">
    <w:name w:val="Default"/>
    <w:rsid w:val="003F1365"/>
    <w:pPr>
      <w:autoSpaceDE w:val="0"/>
      <w:autoSpaceDN w:val="0"/>
      <w:adjustRightInd w:val="0"/>
      <w:spacing w:after="0" w:line="240" w:lineRule="auto"/>
    </w:pPr>
    <w:rPr>
      <w:rFonts w:ascii="Times New Roman" w:hAnsi="Times New Roman" w:cs="Times New Roman"/>
      <w:color w:val="000000"/>
      <w:sz w:val="24"/>
      <w:szCs w:val="24"/>
      <w:lang w:eastAsia="sk-SK"/>
    </w:rPr>
  </w:style>
  <w:style w:type="character" w:styleId="PouitHypertextovPrepojenie">
    <w:name w:val="FollowedHyperlink"/>
    <w:basedOn w:val="Predvolenpsmoodseku"/>
    <w:uiPriority w:val="99"/>
    <w:semiHidden/>
    <w:unhideWhenUsed/>
    <w:rsid w:val="003F1365"/>
    <w:rPr>
      <w:color w:val="800080"/>
      <w:u w:val="single"/>
    </w:rPr>
  </w:style>
  <w:style w:type="paragraph" w:customStyle="1" w:styleId="xl687">
    <w:name w:val="xl687"/>
    <w:basedOn w:val="Normlny"/>
    <w:rsid w:val="003F1365"/>
    <w:pPr>
      <w:shd w:val="clear" w:color="000000" w:fill="FFFFFF"/>
      <w:spacing w:before="100" w:beforeAutospacing="1" w:after="100" w:afterAutospacing="1" w:line="240" w:lineRule="auto"/>
    </w:pPr>
    <w:rPr>
      <w:rFonts w:ascii="Arial" w:hAnsi="Arial" w:cs="Arial"/>
      <w:b/>
      <w:bCs/>
      <w:sz w:val="20"/>
      <w:szCs w:val="20"/>
      <w:lang w:eastAsia="sk-SK"/>
    </w:rPr>
  </w:style>
  <w:style w:type="paragraph" w:customStyle="1" w:styleId="xl688">
    <w:name w:val="xl688"/>
    <w:basedOn w:val="Normlny"/>
    <w:rsid w:val="003F1365"/>
    <w:pP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689">
    <w:name w:val="xl689"/>
    <w:basedOn w:val="Normlny"/>
    <w:rsid w:val="003F1365"/>
    <w:pPr>
      <w:shd w:val="clear" w:color="000000" w:fill="FFFFFF"/>
      <w:spacing w:before="100" w:beforeAutospacing="1" w:after="100" w:afterAutospacing="1" w:line="240" w:lineRule="auto"/>
      <w:jc w:val="center"/>
    </w:pPr>
    <w:rPr>
      <w:rFonts w:ascii="Arial" w:hAnsi="Arial" w:cs="Arial"/>
      <w:b/>
      <w:bCs/>
      <w:sz w:val="20"/>
      <w:szCs w:val="20"/>
      <w:lang w:eastAsia="sk-SK"/>
    </w:rPr>
  </w:style>
  <w:style w:type="paragraph" w:customStyle="1" w:styleId="xl690">
    <w:name w:val="xl690"/>
    <w:basedOn w:val="Normlny"/>
    <w:rsid w:val="003F1365"/>
    <w:pPr>
      <w:shd w:val="clear" w:color="000000" w:fill="FFFFFF"/>
      <w:spacing w:before="100" w:beforeAutospacing="1" w:after="100" w:afterAutospacing="1" w:line="240" w:lineRule="auto"/>
      <w:jc w:val="right"/>
    </w:pPr>
    <w:rPr>
      <w:rFonts w:ascii="Arial" w:hAnsi="Arial" w:cs="Arial"/>
      <w:b/>
      <w:bCs/>
      <w:sz w:val="20"/>
      <w:szCs w:val="20"/>
      <w:lang w:eastAsia="sk-SK"/>
    </w:rPr>
  </w:style>
  <w:style w:type="paragraph" w:customStyle="1" w:styleId="xl691">
    <w:name w:val="xl691"/>
    <w:basedOn w:val="Normlny"/>
    <w:rsid w:val="003F13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hAnsi="Arial" w:cs="Arial"/>
      <w:sz w:val="20"/>
      <w:szCs w:val="20"/>
      <w:lang w:eastAsia="sk-SK"/>
    </w:rPr>
  </w:style>
  <w:style w:type="paragraph" w:customStyle="1" w:styleId="xl692">
    <w:name w:val="xl692"/>
    <w:basedOn w:val="Normlny"/>
    <w:rsid w:val="003F13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693">
    <w:name w:val="xl693"/>
    <w:basedOn w:val="Normlny"/>
    <w:rsid w:val="003F1365"/>
    <w:pP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694">
    <w:name w:val="xl694"/>
    <w:basedOn w:val="Normlny"/>
    <w:rsid w:val="003F1365"/>
    <w:pPr>
      <w:pBdr>
        <w:bottom w:val="single" w:sz="4" w:space="0" w:color="000000"/>
      </w:pBdr>
      <w:shd w:val="clear" w:color="000000" w:fill="FFFFFF"/>
      <w:spacing w:before="100" w:beforeAutospacing="1" w:after="100" w:afterAutospacing="1" w:line="240" w:lineRule="auto"/>
    </w:pPr>
    <w:rPr>
      <w:rFonts w:ascii="Arial" w:hAnsi="Arial" w:cs="Arial"/>
      <w:b/>
      <w:bCs/>
      <w:sz w:val="20"/>
      <w:szCs w:val="20"/>
      <w:lang w:eastAsia="sk-SK"/>
    </w:rPr>
  </w:style>
  <w:style w:type="paragraph" w:customStyle="1" w:styleId="xl695">
    <w:name w:val="xl695"/>
    <w:basedOn w:val="Normlny"/>
    <w:rsid w:val="003F1365"/>
    <w:pPr>
      <w:shd w:val="clear" w:color="000000" w:fill="FFFFFF"/>
      <w:spacing w:before="100" w:beforeAutospacing="1" w:after="100" w:afterAutospacing="1" w:line="240" w:lineRule="auto"/>
    </w:pPr>
    <w:rPr>
      <w:rFonts w:ascii="Arial" w:hAnsi="Arial" w:cs="Arial"/>
      <w:b/>
      <w:bCs/>
      <w:sz w:val="20"/>
      <w:szCs w:val="20"/>
      <w:lang w:eastAsia="sk-SK"/>
    </w:rPr>
  </w:style>
  <w:style w:type="paragraph" w:customStyle="1" w:styleId="xl696">
    <w:name w:val="xl696"/>
    <w:basedOn w:val="Normlny"/>
    <w:rsid w:val="003F1365"/>
    <w:pPr>
      <w:shd w:val="clear" w:color="000000" w:fill="FFFFFF"/>
      <w:spacing w:before="100" w:beforeAutospacing="1" w:after="100" w:afterAutospacing="1" w:line="240" w:lineRule="auto"/>
    </w:pPr>
    <w:rPr>
      <w:rFonts w:ascii="Arial" w:hAnsi="Arial" w:cs="Arial"/>
      <w:b/>
      <w:bCs/>
      <w:sz w:val="20"/>
      <w:szCs w:val="20"/>
      <w:lang w:eastAsia="sk-SK"/>
    </w:rPr>
  </w:style>
  <w:style w:type="paragraph" w:customStyle="1" w:styleId="xl697">
    <w:name w:val="xl697"/>
    <w:basedOn w:val="Normlny"/>
    <w:rsid w:val="003F13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698">
    <w:name w:val="xl698"/>
    <w:basedOn w:val="Normlny"/>
    <w:rsid w:val="003F1365"/>
    <w:pPr>
      <w:shd w:val="clear" w:color="000000" w:fill="FFFFFF"/>
      <w:spacing w:before="100" w:beforeAutospacing="1" w:after="100" w:afterAutospacing="1" w:line="240" w:lineRule="auto"/>
      <w:jc w:val="center"/>
    </w:pPr>
    <w:rPr>
      <w:rFonts w:ascii="Arial" w:hAnsi="Arial" w:cs="Arial"/>
      <w:b/>
      <w:bCs/>
      <w:sz w:val="20"/>
      <w:szCs w:val="20"/>
      <w:lang w:eastAsia="sk-SK"/>
    </w:rPr>
  </w:style>
  <w:style w:type="paragraph" w:customStyle="1" w:styleId="xl699">
    <w:name w:val="xl699"/>
    <w:basedOn w:val="Normlny"/>
    <w:rsid w:val="003F1365"/>
    <w:pPr>
      <w:shd w:val="clear" w:color="000000" w:fill="FFFFFF"/>
      <w:spacing w:before="100" w:beforeAutospacing="1" w:after="100" w:afterAutospacing="1" w:line="240" w:lineRule="auto"/>
      <w:jc w:val="right"/>
    </w:pPr>
    <w:rPr>
      <w:rFonts w:ascii="Arial" w:hAnsi="Arial" w:cs="Arial"/>
      <w:b/>
      <w:bCs/>
      <w:sz w:val="20"/>
      <w:szCs w:val="20"/>
      <w:lang w:eastAsia="sk-SK"/>
    </w:rPr>
  </w:style>
  <w:style w:type="paragraph" w:customStyle="1" w:styleId="xl700">
    <w:name w:val="xl700"/>
    <w:basedOn w:val="Normlny"/>
    <w:rsid w:val="003F1365"/>
    <w:pPr>
      <w:shd w:val="clear" w:color="000000" w:fill="FFFFFF"/>
      <w:spacing w:before="100" w:beforeAutospacing="1" w:after="100" w:afterAutospacing="1" w:line="240" w:lineRule="auto"/>
    </w:pPr>
    <w:rPr>
      <w:rFonts w:ascii="Arial" w:hAnsi="Arial" w:cs="Arial"/>
      <w:b/>
      <w:bCs/>
      <w:sz w:val="20"/>
      <w:szCs w:val="20"/>
      <w:lang w:eastAsia="sk-SK"/>
    </w:rPr>
  </w:style>
  <w:style w:type="paragraph" w:customStyle="1" w:styleId="xl701">
    <w:name w:val="xl701"/>
    <w:basedOn w:val="Normlny"/>
    <w:rsid w:val="003F1365"/>
    <w:pPr>
      <w:pBdr>
        <w:bottom w:val="single" w:sz="4" w:space="0" w:color="000000"/>
      </w:pBdr>
      <w:shd w:val="clear" w:color="000000" w:fill="FFFFFF"/>
      <w:spacing w:before="100" w:beforeAutospacing="1" w:after="100" w:afterAutospacing="1" w:line="240" w:lineRule="auto"/>
      <w:textAlignment w:val="center"/>
    </w:pPr>
    <w:rPr>
      <w:rFonts w:ascii="Arial" w:hAnsi="Arial" w:cs="Arial"/>
      <w:sz w:val="20"/>
      <w:szCs w:val="20"/>
      <w:lang w:eastAsia="sk-SK"/>
    </w:rPr>
  </w:style>
  <w:style w:type="paragraph" w:customStyle="1" w:styleId="xl702">
    <w:name w:val="xl702"/>
    <w:basedOn w:val="Normlny"/>
    <w:rsid w:val="003F1365"/>
    <w:pPr>
      <w:pBdr>
        <w:bottom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03">
    <w:name w:val="xl703"/>
    <w:basedOn w:val="Normlny"/>
    <w:rsid w:val="003F1365"/>
    <w:pPr>
      <w:pBdr>
        <w:left w:val="single" w:sz="4" w:space="0" w:color="000000"/>
        <w:right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04">
    <w:name w:val="xl704"/>
    <w:basedOn w:val="Normlny"/>
    <w:rsid w:val="003F1365"/>
    <w:pP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05">
    <w:name w:val="xl705"/>
    <w:basedOn w:val="Normlny"/>
    <w:rsid w:val="003F1365"/>
    <w:pPr>
      <w:pBdr>
        <w:bottom w:val="single" w:sz="4" w:space="0" w:color="000000"/>
      </w:pBdr>
      <w:shd w:val="clear" w:color="000000" w:fill="FFFFFF"/>
      <w:spacing w:before="100" w:beforeAutospacing="1" w:after="100" w:afterAutospacing="1" w:line="240" w:lineRule="auto"/>
      <w:textAlignment w:val="center"/>
    </w:pPr>
    <w:rPr>
      <w:rFonts w:ascii="Arial" w:hAnsi="Arial" w:cs="Arial"/>
      <w:sz w:val="20"/>
      <w:szCs w:val="20"/>
      <w:lang w:eastAsia="sk-SK"/>
    </w:rPr>
  </w:style>
  <w:style w:type="paragraph" w:customStyle="1" w:styleId="xl706">
    <w:name w:val="xl706"/>
    <w:basedOn w:val="Normlny"/>
    <w:rsid w:val="003F13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07">
    <w:name w:val="xl707"/>
    <w:basedOn w:val="Normlny"/>
    <w:rsid w:val="003F1365"/>
    <w:pPr>
      <w:pBdr>
        <w:top w:val="single" w:sz="4" w:space="0" w:color="000000"/>
        <w:left w:val="single" w:sz="4" w:space="0" w:color="000000"/>
      </w:pBd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customStyle="1" w:styleId="xl708">
    <w:name w:val="xl708"/>
    <w:basedOn w:val="Normlny"/>
    <w:rsid w:val="003F1365"/>
    <w:pPr>
      <w:pBdr>
        <w:top w:val="single" w:sz="4" w:space="0" w:color="000000"/>
      </w:pBd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customStyle="1" w:styleId="xl709">
    <w:name w:val="xl709"/>
    <w:basedOn w:val="Normlny"/>
    <w:rsid w:val="003F1365"/>
    <w:pPr>
      <w:pBdr>
        <w:top w:val="single" w:sz="4" w:space="0" w:color="000000"/>
        <w:right w:val="single" w:sz="4" w:space="0" w:color="000000"/>
      </w:pBd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customStyle="1" w:styleId="xl710">
    <w:name w:val="xl710"/>
    <w:basedOn w:val="Normlny"/>
    <w:rsid w:val="003F1365"/>
    <w:pPr>
      <w:pBdr>
        <w:left w:val="single" w:sz="4" w:space="0" w:color="000000"/>
      </w:pBd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customStyle="1" w:styleId="xl711">
    <w:name w:val="xl711"/>
    <w:basedOn w:val="Normlny"/>
    <w:rsid w:val="003F1365"/>
    <w:pP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customStyle="1" w:styleId="xl712">
    <w:name w:val="xl712"/>
    <w:basedOn w:val="Normlny"/>
    <w:rsid w:val="003F1365"/>
    <w:pPr>
      <w:pBdr>
        <w:right w:val="single" w:sz="4" w:space="0" w:color="000000"/>
      </w:pBd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customStyle="1" w:styleId="xl713">
    <w:name w:val="xl713"/>
    <w:basedOn w:val="Normlny"/>
    <w:rsid w:val="003F1365"/>
    <w:pPr>
      <w:spacing w:before="100" w:beforeAutospacing="1" w:after="100" w:afterAutospacing="1" w:line="240" w:lineRule="auto"/>
      <w:textAlignment w:val="top"/>
    </w:pPr>
    <w:rPr>
      <w:rFonts w:ascii="Arial" w:hAnsi="Arial" w:cs="Arial"/>
      <w:sz w:val="20"/>
      <w:szCs w:val="20"/>
      <w:lang w:eastAsia="sk-SK"/>
    </w:rPr>
  </w:style>
  <w:style w:type="paragraph" w:customStyle="1" w:styleId="xl714">
    <w:name w:val="xl714"/>
    <w:basedOn w:val="Normlny"/>
    <w:rsid w:val="003F1365"/>
    <w:pPr>
      <w:pBdr>
        <w:right w:val="single" w:sz="4" w:space="0" w:color="000000"/>
      </w:pBdr>
      <w:spacing w:before="100" w:beforeAutospacing="1" w:after="100" w:afterAutospacing="1" w:line="240" w:lineRule="auto"/>
    </w:pPr>
    <w:rPr>
      <w:rFonts w:ascii="Arial" w:hAnsi="Arial" w:cs="Arial"/>
      <w:sz w:val="20"/>
      <w:szCs w:val="20"/>
      <w:lang w:eastAsia="sk-SK"/>
    </w:rPr>
  </w:style>
  <w:style w:type="paragraph" w:customStyle="1" w:styleId="xl715">
    <w:name w:val="xl715"/>
    <w:basedOn w:val="Normlny"/>
    <w:rsid w:val="003F1365"/>
    <w:pPr>
      <w:pBdr>
        <w:left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16">
    <w:name w:val="xl716"/>
    <w:basedOn w:val="Normlny"/>
    <w:rsid w:val="003F1365"/>
    <w:pPr>
      <w:pBdr>
        <w:right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17">
    <w:name w:val="xl717"/>
    <w:basedOn w:val="Normlny"/>
    <w:rsid w:val="003F1365"/>
    <w:pPr>
      <w:pBdr>
        <w:left w:val="single" w:sz="4" w:space="0" w:color="000000"/>
        <w:bottom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18">
    <w:name w:val="xl718"/>
    <w:basedOn w:val="Normlny"/>
    <w:rsid w:val="003F1365"/>
    <w:pPr>
      <w:pBdr>
        <w:bottom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19">
    <w:name w:val="xl719"/>
    <w:basedOn w:val="Normlny"/>
    <w:rsid w:val="003F1365"/>
    <w:pPr>
      <w:pBdr>
        <w:bottom w:val="single" w:sz="4" w:space="0" w:color="000000"/>
        <w:right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20">
    <w:name w:val="xl720"/>
    <w:basedOn w:val="Normlny"/>
    <w:rsid w:val="003F1365"/>
    <w:pPr>
      <w:pBdr>
        <w:bottom w:val="single" w:sz="4" w:space="0" w:color="000000"/>
      </w:pBd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customStyle="1" w:styleId="xl721">
    <w:name w:val="xl721"/>
    <w:basedOn w:val="Normlny"/>
    <w:rsid w:val="003F1365"/>
    <w:pPr>
      <w:pBdr>
        <w:left w:val="single" w:sz="4" w:space="0" w:color="000000"/>
        <w:bottom w:val="single" w:sz="4" w:space="0" w:color="000000"/>
      </w:pBd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styleId="Textvysvetlivky">
    <w:name w:val="endnote text"/>
    <w:basedOn w:val="Normlny"/>
    <w:link w:val="TextvysvetlivkyChar"/>
    <w:uiPriority w:val="99"/>
    <w:semiHidden/>
    <w:unhideWhenUsed/>
    <w:rsid w:val="00096FC8"/>
    <w:pPr>
      <w:spacing w:after="0" w:line="240" w:lineRule="auto"/>
    </w:pPr>
    <w:rPr>
      <w:sz w:val="20"/>
      <w:szCs w:val="20"/>
    </w:rPr>
  </w:style>
  <w:style w:type="character" w:customStyle="1" w:styleId="TextvysvetlivkyChar">
    <w:name w:val="Text vysvetlivky Char"/>
    <w:basedOn w:val="Predvolenpsmoodseku"/>
    <w:link w:val="Textvysvetlivky"/>
    <w:uiPriority w:val="99"/>
    <w:semiHidden/>
    <w:locked/>
    <w:rsid w:val="00096FC8"/>
    <w:rPr>
      <w:rFonts w:cs="Times New Roman"/>
      <w:sz w:val="20"/>
      <w:szCs w:val="20"/>
    </w:rPr>
  </w:style>
  <w:style w:type="character" w:styleId="Odkaznavysvetlivku">
    <w:name w:val="endnote reference"/>
    <w:basedOn w:val="Predvolenpsmoodseku"/>
    <w:uiPriority w:val="99"/>
    <w:semiHidden/>
    <w:unhideWhenUsed/>
    <w:rsid w:val="00096FC8"/>
    <w:rPr>
      <w:rFonts w:cs="Times New Roman"/>
      <w:vertAlign w:val="superscript"/>
    </w:rPr>
  </w:style>
  <w:style w:type="paragraph" w:styleId="Obsah2">
    <w:name w:val="toc 2"/>
    <w:basedOn w:val="Normlny"/>
    <w:next w:val="Normlny"/>
    <w:autoRedefine/>
    <w:uiPriority w:val="39"/>
    <w:unhideWhenUsed/>
    <w:rsid w:val="00FC793E"/>
    <w:pPr>
      <w:tabs>
        <w:tab w:val="left" w:pos="709"/>
        <w:tab w:val="right" w:leader="dot" w:pos="9062"/>
      </w:tabs>
      <w:spacing w:after="120" w:line="240" w:lineRule="auto"/>
      <w:ind w:left="709" w:hanging="488"/>
    </w:pPr>
  </w:style>
  <w:style w:type="paragraph" w:styleId="Obsah3">
    <w:name w:val="toc 3"/>
    <w:basedOn w:val="Normlny"/>
    <w:next w:val="Normlny"/>
    <w:autoRedefine/>
    <w:uiPriority w:val="39"/>
    <w:unhideWhenUsed/>
    <w:rsid w:val="00802EEB"/>
    <w:pPr>
      <w:tabs>
        <w:tab w:val="left" w:pos="1134"/>
        <w:tab w:val="right" w:leader="dot" w:pos="9062"/>
      </w:tabs>
      <w:spacing w:after="100" w:line="240" w:lineRule="auto"/>
      <w:ind w:left="440"/>
    </w:pPr>
  </w:style>
  <w:style w:type="paragraph" w:styleId="Hlavikaobsahu">
    <w:name w:val="TOC Heading"/>
    <w:basedOn w:val="Nadpis1"/>
    <w:next w:val="Normlny"/>
    <w:uiPriority w:val="39"/>
    <w:unhideWhenUsed/>
    <w:qFormat/>
    <w:rsid w:val="00B43103"/>
    <w:pPr>
      <w:numPr>
        <w:numId w:val="0"/>
      </w:numPr>
      <w:spacing w:before="480" w:after="0"/>
      <w:outlineLvl w:val="9"/>
    </w:pPr>
    <w:rPr>
      <w:rFonts w:asciiTheme="majorHAnsi" w:hAnsiTheme="majorHAnsi"/>
      <w:color w:val="365F91" w:themeColor="accent1" w:themeShade="BF"/>
      <w:sz w:val="28"/>
      <w:szCs w:val="28"/>
      <w:lang w:eastAsia="sk-SK"/>
    </w:rPr>
  </w:style>
  <w:style w:type="paragraph" w:customStyle="1" w:styleId="Pa14">
    <w:name w:val="Pa14"/>
    <w:basedOn w:val="Default"/>
    <w:next w:val="Default"/>
    <w:uiPriority w:val="99"/>
    <w:rsid w:val="00CE1C18"/>
    <w:pPr>
      <w:spacing w:line="181" w:lineRule="atLeast"/>
    </w:pPr>
    <w:rPr>
      <w:rFonts w:ascii="Franklin Got Itc TCE" w:hAnsi="Franklin Got Itc TCE"/>
      <w:color w:val="auto"/>
      <w:lang w:eastAsia="en-US"/>
    </w:rPr>
  </w:style>
  <w:style w:type="paragraph" w:customStyle="1" w:styleId="Char2">
    <w:name w:val="Char2"/>
    <w:basedOn w:val="Normlny"/>
    <w:link w:val="Odkaznapoznmkupodiarou"/>
    <w:uiPriority w:val="99"/>
    <w:rsid w:val="009A116D"/>
    <w:pPr>
      <w:spacing w:after="0" w:line="240" w:lineRule="exact"/>
    </w:pPr>
    <w:rPr>
      <w:rFonts w:ascii="Arial Narrow" w:hAnsi="Arial Narrow"/>
      <w:szCs w:val="22"/>
      <w:vertAlign w:val="superscript"/>
    </w:rPr>
  </w:style>
  <w:style w:type="numbering" w:customStyle="1" w:styleId="Bezzoznamu1">
    <w:name w:val="Bez zoznamu1"/>
    <w:next w:val="Bezzoznamu"/>
    <w:semiHidden/>
    <w:unhideWhenUsed/>
    <w:rsid w:val="004E5304"/>
  </w:style>
  <w:style w:type="numbering" w:customStyle="1" w:styleId="Bezzoznamu2">
    <w:name w:val="Bez zoznamu2"/>
    <w:next w:val="Bezzoznamu"/>
    <w:semiHidden/>
    <w:unhideWhenUsed/>
    <w:rsid w:val="004E5304"/>
  </w:style>
  <w:style w:type="numbering" w:customStyle="1" w:styleId="Bezzoznamu3">
    <w:name w:val="Bez zoznamu3"/>
    <w:next w:val="Bezzoznamu"/>
    <w:uiPriority w:val="99"/>
    <w:semiHidden/>
    <w:unhideWhenUsed/>
    <w:rsid w:val="004E5304"/>
  </w:style>
  <w:style w:type="character" w:customStyle="1" w:styleId="h1a2">
    <w:name w:val="h1a2"/>
    <w:basedOn w:val="Predvolenpsmoodseku"/>
    <w:rsid w:val="00563559"/>
    <w:rPr>
      <w:vanish/>
      <w:webHidden w:val="0"/>
      <w:sz w:val="24"/>
      <w:szCs w:val="24"/>
      <w:specVanish/>
    </w:rPr>
  </w:style>
  <w:style w:type="paragraph" w:customStyle="1" w:styleId="1">
    <w:name w:val="1"/>
    <w:basedOn w:val="Normlny"/>
    <w:rsid w:val="00563559"/>
    <w:pPr>
      <w:spacing w:after="160" w:line="240" w:lineRule="exact"/>
    </w:pPr>
    <w:rPr>
      <w:rFonts w:ascii="Tahoma" w:hAnsi="Tahoma" w:cs="Tahoma"/>
      <w:sz w:val="20"/>
      <w:szCs w:val="20"/>
    </w:rPr>
  </w:style>
  <w:style w:type="character" w:customStyle="1" w:styleId="awspan">
    <w:name w:val="awspan"/>
    <w:basedOn w:val="Predvolenpsmoodseku"/>
    <w:rsid w:val="00563559"/>
  </w:style>
  <w:style w:type="paragraph" w:customStyle="1" w:styleId="Graf">
    <w:name w:val="Graf"/>
    <w:autoRedefine/>
    <w:qFormat/>
    <w:rsid w:val="00563559"/>
    <w:pPr>
      <w:spacing w:before="120" w:after="0"/>
      <w:jc w:val="both"/>
    </w:pPr>
    <w:rPr>
      <w:rFonts w:ascii="Times New Roman" w:eastAsia="Arial Narrow" w:hAnsi="Times New Roman" w:cs="Times New Roman"/>
      <w:b/>
      <w:bCs/>
      <w:noProof/>
      <w:color w:val="4F81BD" w:themeColor="accent1"/>
      <w:sz w:val="20"/>
      <w:szCs w:val="36"/>
      <w:lang w:eastAsia="sk-SK"/>
    </w:rPr>
  </w:style>
  <w:style w:type="paragraph" w:customStyle="1" w:styleId="popistabuliek">
    <w:name w:val="popis tabuliek"/>
    <w:basedOn w:val="Normlny"/>
    <w:link w:val="popistabuliekChar"/>
    <w:qFormat/>
    <w:rsid w:val="00884682"/>
    <w:pPr>
      <w:spacing w:after="0" w:line="240" w:lineRule="auto"/>
    </w:pPr>
    <w:rPr>
      <w:b/>
      <w:bCs/>
      <w:color w:val="FFFFFF"/>
      <w:sz w:val="18"/>
      <w:szCs w:val="18"/>
      <w:lang w:eastAsia="sk-SK"/>
    </w:rPr>
  </w:style>
  <w:style w:type="character" w:customStyle="1" w:styleId="popistabuliekChar">
    <w:name w:val="popis tabuliek Char"/>
    <w:basedOn w:val="Predvolenpsmoodseku"/>
    <w:link w:val="popistabuliek"/>
    <w:rsid w:val="00884682"/>
    <w:rPr>
      <w:rFonts w:ascii="Times New Roman" w:hAnsi="Times New Roman" w:cs="Times New Roman"/>
      <w:b/>
      <w:bCs/>
      <w:color w:val="FFFFFF"/>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6852">
      <w:bodyDiv w:val="1"/>
      <w:marLeft w:val="0"/>
      <w:marRight w:val="0"/>
      <w:marTop w:val="0"/>
      <w:marBottom w:val="0"/>
      <w:divBdr>
        <w:top w:val="none" w:sz="0" w:space="0" w:color="auto"/>
        <w:left w:val="none" w:sz="0" w:space="0" w:color="auto"/>
        <w:bottom w:val="none" w:sz="0" w:space="0" w:color="auto"/>
        <w:right w:val="none" w:sz="0" w:space="0" w:color="auto"/>
      </w:divBdr>
    </w:div>
    <w:div w:id="485320466">
      <w:bodyDiv w:val="1"/>
      <w:marLeft w:val="0"/>
      <w:marRight w:val="0"/>
      <w:marTop w:val="0"/>
      <w:marBottom w:val="0"/>
      <w:divBdr>
        <w:top w:val="none" w:sz="0" w:space="0" w:color="auto"/>
        <w:left w:val="none" w:sz="0" w:space="0" w:color="auto"/>
        <w:bottom w:val="none" w:sz="0" w:space="0" w:color="auto"/>
        <w:right w:val="none" w:sz="0" w:space="0" w:color="auto"/>
      </w:divBdr>
    </w:div>
    <w:div w:id="762913844">
      <w:bodyDiv w:val="1"/>
      <w:marLeft w:val="0"/>
      <w:marRight w:val="0"/>
      <w:marTop w:val="0"/>
      <w:marBottom w:val="0"/>
      <w:divBdr>
        <w:top w:val="none" w:sz="0" w:space="0" w:color="auto"/>
        <w:left w:val="none" w:sz="0" w:space="0" w:color="auto"/>
        <w:bottom w:val="none" w:sz="0" w:space="0" w:color="auto"/>
        <w:right w:val="none" w:sz="0" w:space="0" w:color="auto"/>
      </w:divBdr>
    </w:div>
    <w:div w:id="1029455632">
      <w:bodyDiv w:val="1"/>
      <w:marLeft w:val="0"/>
      <w:marRight w:val="0"/>
      <w:marTop w:val="0"/>
      <w:marBottom w:val="0"/>
      <w:divBdr>
        <w:top w:val="none" w:sz="0" w:space="0" w:color="auto"/>
        <w:left w:val="none" w:sz="0" w:space="0" w:color="auto"/>
        <w:bottom w:val="none" w:sz="0" w:space="0" w:color="auto"/>
        <w:right w:val="none" w:sz="0" w:space="0" w:color="auto"/>
      </w:divBdr>
    </w:div>
    <w:div w:id="1350062370">
      <w:bodyDiv w:val="1"/>
      <w:marLeft w:val="0"/>
      <w:marRight w:val="0"/>
      <w:marTop w:val="0"/>
      <w:marBottom w:val="0"/>
      <w:divBdr>
        <w:top w:val="none" w:sz="0" w:space="0" w:color="auto"/>
        <w:left w:val="none" w:sz="0" w:space="0" w:color="auto"/>
        <w:bottom w:val="none" w:sz="0" w:space="0" w:color="auto"/>
        <w:right w:val="none" w:sz="0" w:space="0" w:color="auto"/>
      </w:divBdr>
    </w:div>
    <w:div w:id="1547985729">
      <w:bodyDiv w:val="1"/>
      <w:marLeft w:val="0"/>
      <w:marRight w:val="0"/>
      <w:marTop w:val="0"/>
      <w:marBottom w:val="0"/>
      <w:divBdr>
        <w:top w:val="none" w:sz="0" w:space="0" w:color="auto"/>
        <w:left w:val="none" w:sz="0" w:space="0" w:color="auto"/>
        <w:bottom w:val="none" w:sz="0" w:space="0" w:color="auto"/>
        <w:right w:val="none" w:sz="0" w:space="0" w:color="auto"/>
      </w:divBdr>
    </w:div>
    <w:div w:id="1584535414">
      <w:bodyDiv w:val="1"/>
      <w:marLeft w:val="0"/>
      <w:marRight w:val="0"/>
      <w:marTop w:val="0"/>
      <w:marBottom w:val="0"/>
      <w:divBdr>
        <w:top w:val="none" w:sz="0" w:space="0" w:color="auto"/>
        <w:left w:val="none" w:sz="0" w:space="0" w:color="auto"/>
        <w:bottom w:val="none" w:sz="0" w:space="0" w:color="auto"/>
        <w:right w:val="none" w:sz="0" w:space="0" w:color="auto"/>
      </w:divBdr>
    </w:div>
    <w:div w:id="1723938371">
      <w:bodyDiv w:val="1"/>
      <w:marLeft w:val="0"/>
      <w:marRight w:val="0"/>
      <w:marTop w:val="0"/>
      <w:marBottom w:val="0"/>
      <w:divBdr>
        <w:top w:val="none" w:sz="0" w:space="0" w:color="auto"/>
        <w:left w:val="none" w:sz="0" w:space="0" w:color="auto"/>
        <w:bottom w:val="none" w:sz="0" w:space="0" w:color="auto"/>
        <w:right w:val="none" w:sz="0" w:space="0" w:color="auto"/>
      </w:divBdr>
    </w:div>
    <w:div w:id="1938521178">
      <w:marLeft w:val="0"/>
      <w:marRight w:val="0"/>
      <w:marTop w:val="0"/>
      <w:marBottom w:val="0"/>
      <w:divBdr>
        <w:top w:val="none" w:sz="0" w:space="0" w:color="auto"/>
        <w:left w:val="none" w:sz="0" w:space="0" w:color="auto"/>
        <w:bottom w:val="none" w:sz="0" w:space="0" w:color="auto"/>
        <w:right w:val="none" w:sz="0" w:space="0" w:color="auto"/>
      </w:divBdr>
    </w:div>
    <w:div w:id="1938521179">
      <w:marLeft w:val="0"/>
      <w:marRight w:val="0"/>
      <w:marTop w:val="0"/>
      <w:marBottom w:val="0"/>
      <w:divBdr>
        <w:top w:val="none" w:sz="0" w:space="0" w:color="auto"/>
        <w:left w:val="none" w:sz="0" w:space="0" w:color="auto"/>
        <w:bottom w:val="none" w:sz="0" w:space="0" w:color="auto"/>
        <w:right w:val="none" w:sz="0" w:space="0" w:color="auto"/>
      </w:divBdr>
    </w:div>
    <w:div w:id="1938521180">
      <w:marLeft w:val="0"/>
      <w:marRight w:val="0"/>
      <w:marTop w:val="0"/>
      <w:marBottom w:val="0"/>
      <w:divBdr>
        <w:top w:val="none" w:sz="0" w:space="0" w:color="auto"/>
        <w:left w:val="none" w:sz="0" w:space="0" w:color="auto"/>
        <w:bottom w:val="none" w:sz="0" w:space="0" w:color="auto"/>
        <w:right w:val="none" w:sz="0" w:space="0" w:color="auto"/>
      </w:divBdr>
    </w:div>
    <w:div w:id="1938521181">
      <w:marLeft w:val="0"/>
      <w:marRight w:val="0"/>
      <w:marTop w:val="0"/>
      <w:marBottom w:val="0"/>
      <w:divBdr>
        <w:top w:val="none" w:sz="0" w:space="0" w:color="auto"/>
        <w:left w:val="none" w:sz="0" w:space="0" w:color="auto"/>
        <w:bottom w:val="none" w:sz="0" w:space="0" w:color="auto"/>
        <w:right w:val="none" w:sz="0" w:space="0" w:color="auto"/>
      </w:divBdr>
    </w:div>
    <w:div w:id="1938521182">
      <w:marLeft w:val="0"/>
      <w:marRight w:val="0"/>
      <w:marTop w:val="0"/>
      <w:marBottom w:val="0"/>
      <w:divBdr>
        <w:top w:val="none" w:sz="0" w:space="0" w:color="auto"/>
        <w:left w:val="none" w:sz="0" w:space="0" w:color="auto"/>
        <w:bottom w:val="none" w:sz="0" w:space="0" w:color="auto"/>
        <w:right w:val="none" w:sz="0" w:space="0" w:color="auto"/>
      </w:divBdr>
    </w:div>
    <w:div w:id="1938521183">
      <w:marLeft w:val="0"/>
      <w:marRight w:val="0"/>
      <w:marTop w:val="0"/>
      <w:marBottom w:val="0"/>
      <w:divBdr>
        <w:top w:val="none" w:sz="0" w:space="0" w:color="auto"/>
        <w:left w:val="none" w:sz="0" w:space="0" w:color="auto"/>
        <w:bottom w:val="none" w:sz="0" w:space="0" w:color="auto"/>
        <w:right w:val="none" w:sz="0" w:space="0" w:color="auto"/>
      </w:divBdr>
    </w:div>
    <w:div w:id="1938521184">
      <w:marLeft w:val="0"/>
      <w:marRight w:val="0"/>
      <w:marTop w:val="0"/>
      <w:marBottom w:val="0"/>
      <w:divBdr>
        <w:top w:val="none" w:sz="0" w:space="0" w:color="auto"/>
        <w:left w:val="none" w:sz="0" w:space="0" w:color="auto"/>
        <w:bottom w:val="none" w:sz="0" w:space="0" w:color="auto"/>
        <w:right w:val="none" w:sz="0" w:space="0" w:color="auto"/>
      </w:divBdr>
    </w:div>
    <w:div w:id="1938521185">
      <w:marLeft w:val="0"/>
      <w:marRight w:val="0"/>
      <w:marTop w:val="0"/>
      <w:marBottom w:val="0"/>
      <w:divBdr>
        <w:top w:val="none" w:sz="0" w:space="0" w:color="auto"/>
        <w:left w:val="none" w:sz="0" w:space="0" w:color="auto"/>
        <w:bottom w:val="none" w:sz="0" w:space="0" w:color="auto"/>
        <w:right w:val="none" w:sz="0" w:space="0" w:color="auto"/>
      </w:divBdr>
    </w:div>
    <w:div w:id="1938521186">
      <w:marLeft w:val="0"/>
      <w:marRight w:val="0"/>
      <w:marTop w:val="0"/>
      <w:marBottom w:val="0"/>
      <w:divBdr>
        <w:top w:val="none" w:sz="0" w:space="0" w:color="auto"/>
        <w:left w:val="none" w:sz="0" w:space="0" w:color="auto"/>
        <w:bottom w:val="none" w:sz="0" w:space="0" w:color="auto"/>
        <w:right w:val="none" w:sz="0" w:space="0" w:color="auto"/>
      </w:divBdr>
    </w:div>
    <w:div w:id="1938521187">
      <w:marLeft w:val="0"/>
      <w:marRight w:val="0"/>
      <w:marTop w:val="0"/>
      <w:marBottom w:val="0"/>
      <w:divBdr>
        <w:top w:val="none" w:sz="0" w:space="0" w:color="auto"/>
        <w:left w:val="none" w:sz="0" w:space="0" w:color="auto"/>
        <w:bottom w:val="none" w:sz="0" w:space="0" w:color="auto"/>
        <w:right w:val="none" w:sz="0" w:space="0" w:color="auto"/>
      </w:divBdr>
    </w:div>
    <w:div w:id="1938521188">
      <w:marLeft w:val="0"/>
      <w:marRight w:val="0"/>
      <w:marTop w:val="0"/>
      <w:marBottom w:val="0"/>
      <w:divBdr>
        <w:top w:val="none" w:sz="0" w:space="0" w:color="auto"/>
        <w:left w:val="none" w:sz="0" w:space="0" w:color="auto"/>
        <w:bottom w:val="none" w:sz="0" w:space="0" w:color="auto"/>
        <w:right w:val="none" w:sz="0" w:space="0" w:color="auto"/>
      </w:divBdr>
    </w:div>
    <w:div w:id="1938521189">
      <w:marLeft w:val="0"/>
      <w:marRight w:val="0"/>
      <w:marTop w:val="0"/>
      <w:marBottom w:val="0"/>
      <w:divBdr>
        <w:top w:val="none" w:sz="0" w:space="0" w:color="auto"/>
        <w:left w:val="none" w:sz="0" w:space="0" w:color="auto"/>
        <w:bottom w:val="none" w:sz="0" w:space="0" w:color="auto"/>
        <w:right w:val="none" w:sz="0" w:space="0" w:color="auto"/>
      </w:divBdr>
    </w:div>
    <w:div w:id="1938521190">
      <w:marLeft w:val="0"/>
      <w:marRight w:val="0"/>
      <w:marTop w:val="0"/>
      <w:marBottom w:val="0"/>
      <w:divBdr>
        <w:top w:val="none" w:sz="0" w:space="0" w:color="auto"/>
        <w:left w:val="none" w:sz="0" w:space="0" w:color="auto"/>
        <w:bottom w:val="none" w:sz="0" w:space="0" w:color="auto"/>
        <w:right w:val="none" w:sz="0" w:space="0" w:color="auto"/>
      </w:divBdr>
    </w:div>
    <w:div w:id="1938521191">
      <w:marLeft w:val="0"/>
      <w:marRight w:val="0"/>
      <w:marTop w:val="0"/>
      <w:marBottom w:val="0"/>
      <w:divBdr>
        <w:top w:val="none" w:sz="0" w:space="0" w:color="auto"/>
        <w:left w:val="none" w:sz="0" w:space="0" w:color="auto"/>
        <w:bottom w:val="none" w:sz="0" w:space="0" w:color="auto"/>
        <w:right w:val="none" w:sz="0" w:space="0" w:color="auto"/>
      </w:divBdr>
    </w:div>
    <w:div w:id="1938521192">
      <w:marLeft w:val="0"/>
      <w:marRight w:val="0"/>
      <w:marTop w:val="0"/>
      <w:marBottom w:val="0"/>
      <w:divBdr>
        <w:top w:val="none" w:sz="0" w:space="0" w:color="auto"/>
        <w:left w:val="none" w:sz="0" w:space="0" w:color="auto"/>
        <w:bottom w:val="none" w:sz="0" w:space="0" w:color="auto"/>
        <w:right w:val="none" w:sz="0" w:space="0" w:color="auto"/>
      </w:divBdr>
    </w:div>
    <w:div w:id="1938521193">
      <w:marLeft w:val="0"/>
      <w:marRight w:val="0"/>
      <w:marTop w:val="0"/>
      <w:marBottom w:val="0"/>
      <w:divBdr>
        <w:top w:val="none" w:sz="0" w:space="0" w:color="auto"/>
        <w:left w:val="none" w:sz="0" w:space="0" w:color="auto"/>
        <w:bottom w:val="none" w:sz="0" w:space="0" w:color="auto"/>
        <w:right w:val="none" w:sz="0" w:space="0" w:color="auto"/>
      </w:divBdr>
    </w:div>
    <w:div w:id="1938521194">
      <w:marLeft w:val="0"/>
      <w:marRight w:val="0"/>
      <w:marTop w:val="0"/>
      <w:marBottom w:val="0"/>
      <w:divBdr>
        <w:top w:val="none" w:sz="0" w:space="0" w:color="auto"/>
        <w:left w:val="none" w:sz="0" w:space="0" w:color="auto"/>
        <w:bottom w:val="none" w:sz="0" w:space="0" w:color="auto"/>
        <w:right w:val="none" w:sz="0" w:space="0" w:color="auto"/>
      </w:divBdr>
    </w:div>
    <w:div w:id="1938521195">
      <w:marLeft w:val="0"/>
      <w:marRight w:val="0"/>
      <w:marTop w:val="0"/>
      <w:marBottom w:val="0"/>
      <w:divBdr>
        <w:top w:val="none" w:sz="0" w:space="0" w:color="auto"/>
        <w:left w:val="none" w:sz="0" w:space="0" w:color="auto"/>
        <w:bottom w:val="none" w:sz="0" w:space="0" w:color="auto"/>
        <w:right w:val="none" w:sz="0" w:space="0" w:color="auto"/>
      </w:divBdr>
    </w:div>
    <w:div w:id="1938521196">
      <w:marLeft w:val="0"/>
      <w:marRight w:val="0"/>
      <w:marTop w:val="0"/>
      <w:marBottom w:val="0"/>
      <w:divBdr>
        <w:top w:val="none" w:sz="0" w:space="0" w:color="auto"/>
        <w:left w:val="none" w:sz="0" w:space="0" w:color="auto"/>
        <w:bottom w:val="none" w:sz="0" w:space="0" w:color="auto"/>
        <w:right w:val="none" w:sz="0" w:space="0" w:color="auto"/>
      </w:divBdr>
    </w:div>
    <w:div w:id="1938521197">
      <w:marLeft w:val="0"/>
      <w:marRight w:val="0"/>
      <w:marTop w:val="0"/>
      <w:marBottom w:val="0"/>
      <w:divBdr>
        <w:top w:val="none" w:sz="0" w:space="0" w:color="auto"/>
        <w:left w:val="none" w:sz="0" w:space="0" w:color="auto"/>
        <w:bottom w:val="none" w:sz="0" w:space="0" w:color="auto"/>
        <w:right w:val="none" w:sz="0" w:space="0" w:color="auto"/>
      </w:divBdr>
    </w:div>
    <w:div w:id="1938521198">
      <w:marLeft w:val="0"/>
      <w:marRight w:val="0"/>
      <w:marTop w:val="0"/>
      <w:marBottom w:val="0"/>
      <w:divBdr>
        <w:top w:val="none" w:sz="0" w:space="0" w:color="auto"/>
        <w:left w:val="none" w:sz="0" w:space="0" w:color="auto"/>
        <w:bottom w:val="none" w:sz="0" w:space="0" w:color="auto"/>
        <w:right w:val="none" w:sz="0" w:space="0" w:color="auto"/>
      </w:divBdr>
    </w:div>
    <w:div w:id="1938521199">
      <w:marLeft w:val="0"/>
      <w:marRight w:val="0"/>
      <w:marTop w:val="0"/>
      <w:marBottom w:val="0"/>
      <w:divBdr>
        <w:top w:val="none" w:sz="0" w:space="0" w:color="auto"/>
        <w:left w:val="none" w:sz="0" w:space="0" w:color="auto"/>
        <w:bottom w:val="none" w:sz="0" w:space="0" w:color="auto"/>
        <w:right w:val="none" w:sz="0" w:space="0" w:color="auto"/>
      </w:divBdr>
    </w:div>
    <w:div w:id="1938521200">
      <w:marLeft w:val="0"/>
      <w:marRight w:val="0"/>
      <w:marTop w:val="0"/>
      <w:marBottom w:val="0"/>
      <w:divBdr>
        <w:top w:val="none" w:sz="0" w:space="0" w:color="auto"/>
        <w:left w:val="none" w:sz="0" w:space="0" w:color="auto"/>
        <w:bottom w:val="none" w:sz="0" w:space="0" w:color="auto"/>
        <w:right w:val="none" w:sz="0" w:space="0" w:color="auto"/>
      </w:divBdr>
    </w:div>
    <w:div w:id="1938521201">
      <w:marLeft w:val="0"/>
      <w:marRight w:val="0"/>
      <w:marTop w:val="0"/>
      <w:marBottom w:val="0"/>
      <w:divBdr>
        <w:top w:val="none" w:sz="0" w:space="0" w:color="auto"/>
        <w:left w:val="none" w:sz="0" w:space="0" w:color="auto"/>
        <w:bottom w:val="none" w:sz="0" w:space="0" w:color="auto"/>
        <w:right w:val="none" w:sz="0" w:space="0" w:color="auto"/>
      </w:divBdr>
    </w:div>
    <w:div w:id="1938521202">
      <w:marLeft w:val="0"/>
      <w:marRight w:val="0"/>
      <w:marTop w:val="0"/>
      <w:marBottom w:val="0"/>
      <w:divBdr>
        <w:top w:val="none" w:sz="0" w:space="0" w:color="auto"/>
        <w:left w:val="none" w:sz="0" w:space="0" w:color="auto"/>
        <w:bottom w:val="none" w:sz="0" w:space="0" w:color="auto"/>
        <w:right w:val="none" w:sz="0" w:space="0" w:color="auto"/>
      </w:divBdr>
    </w:div>
    <w:div w:id="1938521203">
      <w:marLeft w:val="0"/>
      <w:marRight w:val="0"/>
      <w:marTop w:val="0"/>
      <w:marBottom w:val="0"/>
      <w:divBdr>
        <w:top w:val="none" w:sz="0" w:space="0" w:color="auto"/>
        <w:left w:val="none" w:sz="0" w:space="0" w:color="auto"/>
        <w:bottom w:val="none" w:sz="0" w:space="0" w:color="auto"/>
        <w:right w:val="none" w:sz="0" w:space="0" w:color="auto"/>
      </w:divBdr>
    </w:div>
    <w:div w:id="1938521204">
      <w:marLeft w:val="0"/>
      <w:marRight w:val="0"/>
      <w:marTop w:val="0"/>
      <w:marBottom w:val="0"/>
      <w:divBdr>
        <w:top w:val="none" w:sz="0" w:space="0" w:color="auto"/>
        <w:left w:val="none" w:sz="0" w:space="0" w:color="auto"/>
        <w:bottom w:val="none" w:sz="0" w:space="0" w:color="auto"/>
        <w:right w:val="none" w:sz="0" w:space="0" w:color="auto"/>
      </w:divBdr>
    </w:div>
    <w:div w:id="1938521205">
      <w:marLeft w:val="0"/>
      <w:marRight w:val="0"/>
      <w:marTop w:val="0"/>
      <w:marBottom w:val="0"/>
      <w:divBdr>
        <w:top w:val="none" w:sz="0" w:space="0" w:color="auto"/>
        <w:left w:val="none" w:sz="0" w:space="0" w:color="auto"/>
        <w:bottom w:val="none" w:sz="0" w:space="0" w:color="auto"/>
        <w:right w:val="none" w:sz="0" w:space="0" w:color="auto"/>
      </w:divBdr>
    </w:div>
    <w:div w:id="1938521206">
      <w:marLeft w:val="0"/>
      <w:marRight w:val="0"/>
      <w:marTop w:val="0"/>
      <w:marBottom w:val="0"/>
      <w:divBdr>
        <w:top w:val="none" w:sz="0" w:space="0" w:color="auto"/>
        <w:left w:val="none" w:sz="0" w:space="0" w:color="auto"/>
        <w:bottom w:val="none" w:sz="0" w:space="0" w:color="auto"/>
        <w:right w:val="none" w:sz="0" w:space="0" w:color="auto"/>
      </w:divBdr>
    </w:div>
    <w:div w:id="1938521207">
      <w:marLeft w:val="0"/>
      <w:marRight w:val="0"/>
      <w:marTop w:val="0"/>
      <w:marBottom w:val="0"/>
      <w:divBdr>
        <w:top w:val="none" w:sz="0" w:space="0" w:color="auto"/>
        <w:left w:val="none" w:sz="0" w:space="0" w:color="auto"/>
        <w:bottom w:val="none" w:sz="0" w:space="0" w:color="auto"/>
        <w:right w:val="none" w:sz="0" w:space="0" w:color="auto"/>
      </w:divBdr>
    </w:div>
    <w:div w:id="1938521208">
      <w:marLeft w:val="0"/>
      <w:marRight w:val="0"/>
      <w:marTop w:val="0"/>
      <w:marBottom w:val="0"/>
      <w:divBdr>
        <w:top w:val="none" w:sz="0" w:space="0" w:color="auto"/>
        <w:left w:val="none" w:sz="0" w:space="0" w:color="auto"/>
        <w:bottom w:val="none" w:sz="0" w:space="0" w:color="auto"/>
        <w:right w:val="none" w:sz="0" w:space="0" w:color="auto"/>
      </w:divBdr>
    </w:div>
    <w:div w:id="1938521209">
      <w:marLeft w:val="0"/>
      <w:marRight w:val="0"/>
      <w:marTop w:val="0"/>
      <w:marBottom w:val="0"/>
      <w:divBdr>
        <w:top w:val="none" w:sz="0" w:space="0" w:color="auto"/>
        <w:left w:val="none" w:sz="0" w:space="0" w:color="auto"/>
        <w:bottom w:val="none" w:sz="0" w:space="0" w:color="auto"/>
        <w:right w:val="none" w:sz="0" w:space="0" w:color="auto"/>
      </w:divBdr>
    </w:div>
    <w:div w:id="1938521210">
      <w:marLeft w:val="0"/>
      <w:marRight w:val="0"/>
      <w:marTop w:val="0"/>
      <w:marBottom w:val="0"/>
      <w:divBdr>
        <w:top w:val="none" w:sz="0" w:space="0" w:color="auto"/>
        <w:left w:val="none" w:sz="0" w:space="0" w:color="auto"/>
        <w:bottom w:val="none" w:sz="0" w:space="0" w:color="auto"/>
        <w:right w:val="none" w:sz="0" w:space="0" w:color="auto"/>
      </w:divBdr>
    </w:div>
    <w:div w:id="1938521211">
      <w:marLeft w:val="0"/>
      <w:marRight w:val="0"/>
      <w:marTop w:val="0"/>
      <w:marBottom w:val="0"/>
      <w:divBdr>
        <w:top w:val="none" w:sz="0" w:space="0" w:color="auto"/>
        <w:left w:val="none" w:sz="0" w:space="0" w:color="auto"/>
        <w:bottom w:val="none" w:sz="0" w:space="0" w:color="auto"/>
        <w:right w:val="none" w:sz="0" w:space="0" w:color="auto"/>
      </w:divBdr>
    </w:div>
    <w:div w:id="1938521212">
      <w:marLeft w:val="0"/>
      <w:marRight w:val="0"/>
      <w:marTop w:val="0"/>
      <w:marBottom w:val="0"/>
      <w:divBdr>
        <w:top w:val="none" w:sz="0" w:space="0" w:color="auto"/>
        <w:left w:val="none" w:sz="0" w:space="0" w:color="auto"/>
        <w:bottom w:val="none" w:sz="0" w:space="0" w:color="auto"/>
        <w:right w:val="none" w:sz="0" w:space="0" w:color="auto"/>
      </w:divBdr>
    </w:div>
    <w:div w:id="1938521213">
      <w:marLeft w:val="0"/>
      <w:marRight w:val="0"/>
      <w:marTop w:val="0"/>
      <w:marBottom w:val="0"/>
      <w:divBdr>
        <w:top w:val="none" w:sz="0" w:space="0" w:color="auto"/>
        <w:left w:val="none" w:sz="0" w:space="0" w:color="auto"/>
        <w:bottom w:val="none" w:sz="0" w:space="0" w:color="auto"/>
        <w:right w:val="none" w:sz="0" w:space="0" w:color="auto"/>
      </w:divBdr>
    </w:div>
    <w:div w:id="1938521214">
      <w:marLeft w:val="0"/>
      <w:marRight w:val="0"/>
      <w:marTop w:val="0"/>
      <w:marBottom w:val="0"/>
      <w:divBdr>
        <w:top w:val="none" w:sz="0" w:space="0" w:color="auto"/>
        <w:left w:val="none" w:sz="0" w:space="0" w:color="auto"/>
        <w:bottom w:val="none" w:sz="0" w:space="0" w:color="auto"/>
        <w:right w:val="none" w:sz="0" w:space="0" w:color="auto"/>
      </w:divBdr>
    </w:div>
    <w:div w:id="1938521215">
      <w:marLeft w:val="0"/>
      <w:marRight w:val="0"/>
      <w:marTop w:val="0"/>
      <w:marBottom w:val="0"/>
      <w:divBdr>
        <w:top w:val="none" w:sz="0" w:space="0" w:color="auto"/>
        <w:left w:val="none" w:sz="0" w:space="0" w:color="auto"/>
        <w:bottom w:val="none" w:sz="0" w:space="0" w:color="auto"/>
        <w:right w:val="none" w:sz="0" w:space="0" w:color="auto"/>
      </w:divBdr>
    </w:div>
    <w:div w:id="1938521216">
      <w:marLeft w:val="0"/>
      <w:marRight w:val="0"/>
      <w:marTop w:val="0"/>
      <w:marBottom w:val="0"/>
      <w:divBdr>
        <w:top w:val="none" w:sz="0" w:space="0" w:color="auto"/>
        <w:left w:val="none" w:sz="0" w:space="0" w:color="auto"/>
        <w:bottom w:val="none" w:sz="0" w:space="0" w:color="auto"/>
        <w:right w:val="none" w:sz="0" w:space="0" w:color="auto"/>
      </w:divBdr>
    </w:div>
    <w:div w:id="1938521217">
      <w:marLeft w:val="0"/>
      <w:marRight w:val="0"/>
      <w:marTop w:val="0"/>
      <w:marBottom w:val="0"/>
      <w:divBdr>
        <w:top w:val="none" w:sz="0" w:space="0" w:color="auto"/>
        <w:left w:val="none" w:sz="0" w:space="0" w:color="auto"/>
        <w:bottom w:val="none" w:sz="0" w:space="0" w:color="auto"/>
        <w:right w:val="none" w:sz="0" w:space="0" w:color="auto"/>
      </w:divBdr>
    </w:div>
    <w:div w:id="1938521218">
      <w:marLeft w:val="0"/>
      <w:marRight w:val="0"/>
      <w:marTop w:val="0"/>
      <w:marBottom w:val="0"/>
      <w:divBdr>
        <w:top w:val="none" w:sz="0" w:space="0" w:color="auto"/>
        <w:left w:val="none" w:sz="0" w:space="0" w:color="auto"/>
        <w:bottom w:val="none" w:sz="0" w:space="0" w:color="auto"/>
        <w:right w:val="none" w:sz="0" w:space="0" w:color="auto"/>
      </w:divBdr>
    </w:div>
    <w:div w:id="1938521219">
      <w:marLeft w:val="0"/>
      <w:marRight w:val="0"/>
      <w:marTop w:val="0"/>
      <w:marBottom w:val="0"/>
      <w:divBdr>
        <w:top w:val="none" w:sz="0" w:space="0" w:color="auto"/>
        <w:left w:val="none" w:sz="0" w:space="0" w:color="auto"/>
        <w:bottom w:val="none" w:sz="0" w:space="0" w:color="auto"/>
        <w:right w:val="none" w:sz="0" w:space="0" w:color="auto"/>
      </w:divBdr>
    </w:div>
    <w:div w:id="1938521220">
      <w:marLeft w:val="0"/>
      <w:marRight w:val="0"/>
      <w:marTop w:val="0"/>
      <w:marBottom w:val="0"/>
      <w:divBdr>
        <w:top w:val="none" w:sz="0" w:space="0" w:color="auto"/>
        <w:left w:val="none" w:sz="0" w:space="0" w:color="auto"/>
        <w:bottom w:val="none" w:sz="0" w:space="0" w:color="auto"/>
        <w:right w:val="none" w:sz="0" w:space="0" w:color="auto"/>
      </w:divBdr>
    </w:div>
    <w:div w:id="1938521221">
      <w:marLeft w:val="0"/>
      <w:marRight w:val="0"/>
      <w:marTop w:val="0"/>
      <w:marBottom w:val="0"/>
      <w:divBdr>
        <w:top w:val="none" w:sz="0" w:space="0" w:color="auto"/>
        <w:left w:val="none" w:sz="0" w:space="0" w:color="auto"/>
        <w:bottom w:val="none" w:sz="0" w:space="0" w:color="auto"/>
        <w:right w:val="none" w:sz="0" w:space="0" w:color="auto"/>
      </w:divBdr>
    </w:div>
    <w:div w:id="1938521222">
      <w:marLeft w:val="0"/>
      <w:marRight w:val="0"/>
      <w:marTop w:val="0"/>
      <w:marBottom w:val="0"/>
      <w:divBdr>
        <w:top w:val="none" w:sz="0" w:space="0" w:color="auto"/>
        <w:left w:val="none" w:sz="0" w:space="0" w:color="auto"/>
        <w:bottom w:val="none" w:sz="0" w:space="0" w:color="auto"/>
        <w:right w:val="none" w:sz="0" w:space="0" w:color="auto"/>
      </w:divBdr>
    </w:div>
    <w:div w:id="1938521223">
      <w:marLeft w:val="0"/>
      <w:marRight w:val="0"/>
      <w:marTop w:val="0"/>
      <w:marBottom w:val="0"/>
      <w:divBdr>
        <w:top w:val="none" w:sz="0" w:space="0" w:color="auto"/>
        <w:left w:val="none" w:sz="0" w:space="0" w:color="auto"/>
        <w:bottom w:val="none" w:sz="0" w:space="0" w:color="auto"/>
        <w:right w:val="none" w:sz="0" w:space="0" w:color="auto"/>
      </w:divBdr>
    </w:div>
    <w:div w:id="1938521224">
      <w:marLeft w:val="0"/>
      <w:marRight w:val="0"/>
      <w:marTop w:val="0"/>
      <w:marBottom w:val="0"/>
      <w:divBdr>
        <w:top w:val="none" w:sz="0" w:space="0" w:color="auto"/>
        <w:left w:val="none" w:sz="0" w:space="0" w:color="auto"/>
        <w:bottom w:val="none" w:sz="0" w:space="0" w:color="auto"/>
        <w:right w:val="none" w:sz="0" w:space="0" w:color="auto"/>
      </w:divBdr>
    </w:div>
    <w:div w:id="1938521225">
      <w:marLeft w:val="0"/>
      <w:marRight w:val="0"/>
      <w:marTop w:val="0"/>
      <w:marBottom w:val="0"/>
      <w:divBdr>
        <w:top w:val="none" w:sz="0" w:space="0" w:color="auto"/>
        <w:left w:val="none" w:sz="0" w:space="0" w:color="auto"/>
        <w:bottom w:val="none" w:sz="0" w:space="0" w:color="auto"/>
        <w:right w:val="none" w:sz="0" w:space="0" w:color="auto"/>
      </w:divBdr>
    </w:div>
    <w:div w:id="1938521226">
      <w:marLeft w:val="0"/>
      <w:marRight w:val="0"/>
      <w:marTop w:val="0"/>
      <w:marBottom w:val="0"/>
      <w:divBdr>
        <w:top w:val="none" w:sz="0" w:space="0" w:color="auto"/>
        <w:left w:val="none" w:sz="0" w:space="0" w:color="auto"/>
        <w:bottom w:val="none" w:sz="0" w:space="0" w:color="auto"/>
        <w:right w:val="none" w:sz="0" w:space="0" w:color="auto"/>
      </w:divBdr>
    </w:div>
    <w:div w:id="1938521227">
      <w:marLeft w:val="0"/>
      <w:marRight w:val="0"/>
      <w:marTop w:val="0"/>
      <w:marBottom w:val="0"/>
      <w:divBdr>
        <w:top w:val="none" w:sz="0" w:space="0" w:color="auto"/>
        <w:left w:val="none" w:sz="0" w:space="0" w:color="auto"/>
        <w:bottom w:val="none" w:sz="0" w:space="0" w:color="auto"/>
        <w:right w:val="none" w:sz="0" w:space="0" w:color="auto"/>
      </w:divBdr>
    </w:div>
    <w:div w:id="1938521228">
      <w:marLeft w:val="0"/>
      <w:marRight w:val="0"/>
      <w:marTop w:val="0"/>
      <w:marBottom w:val="0"/>
      <w:divBdr>
        <w:top w:val="none" w:sz="0" w:space="0" w:color="auto"/>
        <w:left w:val="none" w:sz="0" w:space="0" w:color="auto"/>
        <w:bottom w:val="none" w:sz="0" w:space="0" w:color="auto"/>
        <w:right w:val="none" w:sz="0" w:space="0" w:color="auto"/>
      </w:divBdr>
    </w:div>
    <w:div w:id="1938521229">
      <w:marLeft w:val="0"/>
      <w:marRight w:val="0"/>
      <w:marTop w:val="0"/>
      <w:marBottom w:val="0"/>
      <w:divBdr>
        <w:top w:val="none" w:sz="0" w:space="0" w:color="auto"/>
        <w:left w:val="none" w:sz="0" w:space="0" w:color="auto"/>
        <w:bottom w:val="none" w:sz="0" w:space="0" w:color="auto"/>
        <w:right w:val="none" w:sz="0" w:space="0" w:color="auto"/>
      </w:divBdr>
    </w:div>
    <w:div w:id="1938521230">
      <w:marLeft w:val="0"/>
      <w:marRight w:val="0"/>
      <w:marTop w:val="0"/>
      <w:marBottom w:val="0"/>
      <w:divBdr>
        <w:top w:val="none" w:sz="0" w:space="0" w:color="auto"/>
        <w:left w:val="none" w:sz="0" w:space="0" w:color="auto"/>
        <w:bottom w:val="none" w:sz="0" w:space="0" w:color="auto"/>
        <w:right w:val="none" w:sz="0" w:space="0" w:color="auto"/>
      </w:divBdr>
    </w:div>
    <w:div w:id="1938521231">
      <w:marLeft w:val="0"/>
      <w:marRight w:val="0"/>
      <w:marTop w:val="0"/>
      <w:marBottom w:val="0"/>
      <w:divBdr>
        <w:top w:val="none" w:sz="0" w:space="0" w:color="auto"/>
        <w:left w:val="none" w:sz="0" w:space="0" w:color="auto"/>
        <w:bottom w:val="none" w:sz="0" w:space="0" w:color="auto"/>
        <w:right w:val="none" w:sz="0" w:space="0" w:color="auto"/>
      </w:divBdr>
    </w:div>
    <w:div w:id="1938521232">
      <w:marLeft w:val="0"/>
      <w:marRight w:val="0"/>
      <w:marTop w:val="0"/>
      <w:marBottom w:val="0"/>
      <w:divBdr>
        <w:top w:val="none" w:sz="0" w:space="0" w:color="auto"/>
        <w:left w:val="none" w:sz="0" w:space="0" w:color="auto"/>
        <w:bottom w:val="none" w:sz="0" w:space="0" w:color="auto"/>
        <w:right w:val="none" w:sz="0" w:space="0" w:color="auto"/>
      </w:divBdr>
    </w:div>
    <w:div w:id="1938521233">
      <w:marLeft w:val="0"/>
      <w:marRight w:val="0"/>
      <w:marTop w:val="0"/>
      <w:marBottom w:val="0"/>
      <w:divBdr>
        <w:top w:val="none" w:sz="0" w:space="0" w:color="auto"/>
        <w:left w:val="none" w:sz="0" w:space="0" w:color="auto"/>
        <w:bottom w:val="none" w:sz="0" w:space="0" w:color="auto"/>
        <w:right w:val="none" w:sz="0" w:space="0" w:color="auto"/>
      </w:divBdr>
    </w:div>
    <w:div w:id="1938521234">
      <w:marLeft w:val="0"/>
      <w:marRight w:val="0"/>
      <w:marTop w:val="0"/>
      <w:marBottom w:val="0"/>
      <w:divBdr>
        <w:top w:val="none" w:sz="0" w:space="0" w:color="auto"/>
        <w:left w:val="none" w:sz="0" w:space="0" w:color="auto"/>
        <w:bottom w:val="none" w:sz="0" w:space="0" w:color="auto"/>
        <w:right w:val="none" w:sz="0" w:space="0" w:color="auto"/>
      </w:divBdr>
    </w:div>
    <w:div w:id="19385212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1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chart" Target="charts/chart4.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chart" Target="charts/chart3.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rokovania.gov.sk/RVL/Material/22174/2" TargetMode="External"/><Relationship Id="rId3" Type="http://schemas.openxmlformats.org/officeDocument/2006/relationships/hyperlink" Target="http://www.finance.gov.sk" TargetMode="External"/><Relationship Id="rId7" Type="http://schemas.openxmlformats.org/officeDocument/2006/relationships/hyperlink" Target="http://www.esm.europa.eu" TargetMode="External"/><Relationship Id="rId2" Type="http://schemas.openxmlformats.org/officeDocument/2006/relationships/hyperlink" Target="https://www.mfsr.sk/sk/financie/statne-vykaznictvo/statny-zaverecny-ucet-sr/" TargetMode="External"/><Relationship Id="rId1" Type="http://schemas.openxmlformats.org/officeDocument/2006/relationships/hyperlink" Target="https://rokovania.gov.sk/RVL/Material/22174/2" TargetMode="External"/><Relationship Id="rId6" Type="http://schemas.openxmlformats.org/officeDocument/2006/relationships/hyperlink" Target="https://www.mfsr.sk/sk/financie/verejne-financie/rozpocet-verejnej-spravy/" TargetMode="External"/><Relationship Id="rId5" Type="http://schemas.openxmlformats.org/officeDocument/2006/relationships/hyperlink" Target="https://europa.eu/epc/working-groups-epc/working-group-ageing-populations-and-sustainability_sk" TargetMode="External"/><Relationship Id="rId4" Type="http://schemas.openxmlformats.org/officeDocument/2006/relationships/hyperlink" Target="https://ec.europa.eu/info/sites/info/files/economy-finance/ip101_en.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f.mfsr.sk\DfsRoot\ADRESARE\IFP_NEW\5_MATERIALY\5_3_Strategicke_materialy\SVS\SVS_2021\yield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mf.mfsr.sk\DfsRoot\ADRESARE\IFP_NEW\2_FISKAL\07_Implicitne%20zavazky\Implicitne_zavazky%20k%202020_20210831_ESA2010%20SVS%202020_aug_FINAL.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f.mfsr.sk\DfsRoot\ADRESARE\IFP_NEW\2_FISKAL\07_Implicitne%20zavazky\dekompozicia_projekcie_preSVS202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mf.mfsr.sk\DfsRoot\ADRESARE\IFP_NEW\5_MATERIALY\5_3_Strategicke_materialy\SVS\SVS_2020\fiskal\IZ_casovy%20ra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63768358742392E-2"/>
          <c:y val="8.4437714516454654E-2"/>
          <c:w val="0.91819511922711794"/>
          <c:h val="0.73323730561144296"/>
        </c:manualLayout>
      </c:layout>
      <c:lineChart>
        <c:grouping val="standard"/>
        <c:varyColors val="0"/>
        <c:ser>
          <c:idx val="3"/>
          <c:order val="0"/>
          <c:tx>
            <c:strRef>
              <c:f>Hárok2!$G$2</c:f>
              <c:strCache>
                <c:ptCount val="1"/>
                <c:pt idx="0">
                  <c:v>riziková prirážka na 10-ročný dlhopis</c:v>
                </c:pt>
              </c:strCache>
            </c:strRef>
          </c:tx>
          <c:spPr>
            <a:ln w="19050">
              <a:solidFill>
                <a:srgbClr val="C00000"/>
              </a:solidFill>
              <a:prstDash val="solid"/>
            </a:ln>
          </c:spPr>
          <c:marker>
            <c:symbol val="none"/>
          </c:marker>
          <c:cat>
            <c:numRef>
              <c:f>Hárok2!$A$20:$A$227</c:f>
              <c:numCache>
                <c:formatCode>m/d/yyyy</c:formatCode>
                <c:ptCount val="208"/>
                <c:pt idx="0">
                  <c:v>38139</c:v>
                </c:pt>
                <c:pt idx="1">
                  <c:v>38169</c:v>
                </c:pt>
                <c:pt idx="2">
                  <c:v>38200</c:v>
                </c:pt>
                <c:pt idx="3">
                  <c:v>38231</c:v>
                </c:pt>
                <c:pt idx="4">
                  <c:v>38261</c:v>
                </c:pt>
                <c:pt idx="5">
                  <c:v>38292</c:v>
                </c:pt>
                <c:pt idx="6">
                  <c:v>38322</c:v>
                </c:pt>
                <c:pt idx="7">
                  <c:v>38353</c:v>
                </c:pt>
                <c:pt idx="8">
                  <c:v>38384</c:v>
                </c:pt>
                <c:pt idx="9">
                  <c:v>38412</c:v>
                </c:pt>
                <c:pt idx="10">
                  <c:v>38443</c:v>
                </c:pt>
                <c:pt idx="11">
                  <c:v>38473</c:v>
                </c:pt>
                <c:pt idx="12">
                  <c:v>38504</c:v>
                </c:pt>
                <c:pt idx="13">
                  <c:v>38534</c:v>
                </c:pt>
                <c:pt idx="14">
                  <c:v>38565</c:v>
                </c:pt>
                <c:pt idx="15">
                  <c:v>38596</c:v>
                </c:pt>
                <c:pt idx="16">
                  <c:v>38626</c:v>
                </c:pt>
                <c:pt idx="17">
                  <c:v>38657</c:v>
                </c:pt>
                <c:pt idx="18">
                  <c:v>38687</c:v>
                </c:pt>
                <c:pt idx="19">
                  <c:v>38718</c:v>
                </c:pt>
                <c:pt idx="20">
                  <c:v>38749</c:v>
                </c:pt>
                <c:pt idx="21">
                  <c:v>38777</c:v>
                </c:pt>
                <c:pt idx="22">
                  <c:v>38808</c:v>
                </c:pt>
                <c:pt idx="23">
                  <c:v>38838</c:v>
                </c:pt>
                <c:pt idx="24">
                  <c:v>38869</c:v>
                </c:pt>
                <c:pt idx="25">
                  <c:v>38899</c:v>
                </c:pt>
                <c:pt idx="26">
                  <c:v>38930</c:v>
                </c:pt>
                <c:pt idx="27">
                  <c:v>38961</c:v>
                </c:pt>
                <c:pt idx="28">
                  <c:v>38991</c:v>
                </c:pt>
                <c:pt idx="29">
                  <c:v>39022</c:v>
                </c:pt>
                <c:pt idx="30">
                  <c:v>39052</c:v>
                </c:pt>
                <c:pt idx="31">
                  <c:v>39083</c:v>
                </c:pt>
                <c:pt idx="32">
                  <c:v>39114</c:v>
                </c:pt>
                <c:pt idx="33">
                  <c:v>39142</c:v>
                </c:pt>
                <c:pt idx="34">
                  <c:v>39173</c:v>
                </c:pt>
                <c:pt idx="35">
                  <c:v>39203</c:v>
                </c:pt>
                <c:pt idx="36">
                  <c:v>39234</c:v>
                </c:pt>
                <c:pt idx="37">
                  <c:v>39264</c:v>
                </c:pt>
                <c:pt idx="38">
                  <c:v>39295</c:v>
                </c:pt>
                <c:pt idx="39">
                  <c:v>39326</c:v>
                </c:pt>
                <c:pt idx="40">
                  <c:v>39356</c:v>
                </c:pt>
                <c:pt idx="41">
                  <c:v>39387</c:v>
                </c:pt>
                <c:pt idx="42">
                  <c:v>39417</c:v>
                </c:pt>
                <c:pt idx="43">
                  <c:v>39448</c:v>
                </c:pt>
                <c:pt idx="44">
                  <c:v>39479</c:v>
                </c:pt>
                <c:pt idx="45">
                  <c:v>39508</c:v>
                </c:pt>
                <c:pt idx="46">
                  <c:v>39539</c:v>
                </c:pt>
                <c:pt idx="47">
                  <c:v>39569</c:v>
                </c:pt>
                <c:pt idx="48">
                  <c:v>39600</c:v>
                </c:pt>
                <c:pt idx="49">
                  <c:v>39630</c:v>
                </c:pt>
                <c:pt idx="50">
                  <c:v>39661</c:v>
                </c:pt>
                <c:pt idx="51">
                  <c:v>39692</c:v>
                </c:pt>
                <c:pt idx="52">
                  <c:v>39722</c:v>
                </c:pt>
                <c:pt idx="53">
                  <c:v>39753</c:v>
                </c:pt>
                <c:pt idx="54">
                  <c:v>39783</c:v>
                </c:pt>
                <c:pt idx="55">
                  <c:v>39814</c:v>
                </c:pt>
                <c:pt idx="56">
                  <c:v>39845</c:v>
                </c:pt>
                <c:pt idx="57">
                  <c:v>39873</c:v>
                </c:pt>
                <c:pt idx="58">
                  <c:v>39904</c:v>
                </c:pt>
                <c:pt idx="59">
                  <c:v>39934</c:v>
                </c:pt>
                <c:pt idx="60">
                  <c:v>39965</c:v>
                </c:pt>
                <c:pt idx="61">
                  <c:v>39995</c:v>
                </c:pt>
                <c:pt idx="62">
                  <c:v>40026</c:v>
                </c:pt>
                <c:pt idx="63">
                  <c:v>40057</c:v>
                </c:pt>
                <c:pt idx="64">
                  <c:v>40087</c:v>
                </c:pt>
                <c:pt idx="65">
                  <c:v>40118</c:v>
                </c:pt>
                <c:pt idx="66">
                  <c:v>40148</c:v>
                </c:pt>
                <c:pt idx="67">
                  <c:v>40179</c:v>
                </c:pt>
                <c:pt idx="68">
                  <c:v>40210</c:v>
                </c:pt>
                <c:pt idx="69">
                  <c:v>40238</c:v>
                </c:pt>
                <c:pt idx="70">
                  <c:v>40269</c:v>
                </c:pt>
                <c:pt idx="71">
                  <c:v>40299</c:v>
                </c:pt>
                <c:pt idx="72">
                  <c:v>40330</c:v>
                </c:pt>
                <c:pt idx="73">
                  <c:v>40360</c:v>
                </c:pt>
                <c:pt idx="74">
                  <c:v>40391</c:v>
                </c:pt>
                <c:pt idx="75">
                  <c:v>40422</c:v>
                </c:pt>
                <c:pt idx="76">
                  <c:v>40452</c:v>
                </c:pt>
                <c:pt idx="77">
                  <c:v>40483</c:v>
                </c:pt>
                <c:pt idx="78">
                  <c:v>40513</c:v>
                </c:pt>
                <c:pt idx="79">
                  <c:v>40544</c:v>
                </c:pt>
                <c:pt idx="80">
                  <c:v>40575</c:v>
                </c:pt>
                <c:pt idx="81">
                  <c:v>40603</c:v>
                </c:pt>
                <c:pt idx="82">
                  <c:v>40634</c:v>
                </c:pt>
                <c:pt idx="83">
                  <c:v>40664</c:v>
                </c:pt>
                <c:pt idx="84">
                  <c:v>40695</c:v>
                </c:pt>
                <c:pt idx="85">
                  <c:v>40725</c:v>
                </c:pt>
                <c:pt idx="86">
                  <c:v>40756</c:v>
                </c:pt>
                <c:pt idx="87">
                  <c:v>40787</c:v>
                </c:pt>
                <c:pt idx="88">
                  <c:v>40817</c:v>
                </c:pt>
                <c:pt idx="89">
                  <c:v>40848</c:v>
                </c:pt>
                <c:pt idx="90">
                  <c:v>40878</c:v>
                </c:pt>
                <c:pt idx="91">
                  <c:v>40909</c:v>
                </c:pt>
                <c:pt idx="92">
                  <c:v>40940</c:v>
                </c:pt>
                <c:pt idx="93">
                  <c:v>40969</c:v>
                </c:pt>
                <c:pt idx="94">
                  <c:v>41000</c:v>
                </c:pt>
                <c:pt idx="95">
                  <c:v>41030</c:v>
                </c:pt>
                <c:pt idx="96">
                  <c:v>41061</c:v>
                </c:pt>
                <c:pt idx="97">
                  <c:v>41091</c:v>
                </c:pt>
                <c:pt idx="98">
                  <c:v>41122</c:v>
                </c:pt>
                <c:pt idx="99">
                  <c:v>41153</c:v>
                </c:pt>
                <c:pt idx="100">
                  <c:v>41183</c:v>
                </c:pt>
                <c:pt idx="101">
                  <c:v>41214</c:v>
                </c:pt>
                <c:pt idx="102">
                  <c:v>41244</c:v>
                </c:pt>
                <c:pt idx="103">
                  <c:v>41275</c:v>
                </c:pt>
                <c:pt idx="104">
                  <c:v>41306</c:v>
                </c:pt>
                <c:pt idx="105">
                  <c:v>41334</c:v>
                </c:pt>
                <c:pt idx="106">
                  <c:v>41365</c:v>
                </c:pt>
                <c:pt idx="107">
                  <c:v>41395</c:v>
                </c:pt>
                <c:pt idx="108">
                  <c:v>41426</c:v>
                </c:pt>
                <c:pt idx="109">
                  <c:v>41456</c:v>
                </c:pt>
                <c:pt idx="110">
                  <c:v>41487</c:v>
                </c:pt>
                <c:pt idx="111">
                  <c:v>41518</c:v>
                </c:pt>
                <c:pt idx="112">
                  <c:v>41548</c:v>
                </c:pt>
                <c:pt idx="113">
                  <c:v>41579</c:v>
                </c:pt>
                <c:pt idx="114">
                  <c:v>41609</c:v>
                </c:pt>
                <c:pt idx="115">
                  <c:v>41640</c:v>
                </c:pt>
                <c:pt idx="116">
                  <c:v>41671</c:v>
                </c:pt>
                <c:pt idx="117">
                  <c:v>41699</c:v>
                </c:pt>
                <c:pt idx="118">
                  <c:v>41730</c:v>
                </c:pt>
                <c:pt idx="119">
                  <c:v>41760</c:v>
                </c:pt>
                <c:pt idx="120">
                  <c:v>41791</c:v>
                </c:pt>
                <c:pt idx="121">
                  <c:v>41821</c:v>
                </c:pt>
                <c:pt idx="122">
                  <c:v>41852</c:v>
                </c:pt>
                <c:pt idx="123">
                  <c:v>41883</c:v>
                </c:pt>
                <c:pt idx="124">
                  <c:v>41913</c:v>
                </c:pt>
                <c:pt idx="125">
                  <c:v>41944</c:v>
                </c:pt>
                <c:pt idx="126">
                  <c:v>41974</c:v>
                </c:pt>
                <c:pt idx="127">
                  <c:v>42005</c:v>
                </c:pt>
                <c:pt idx="128">
                  <c:v>42036</c:v>
                </c:pt>
                <c:pt idx="129">
                  <c:v>42064</c:v>
                </c:pt>
                <c:pt idx="130">
                  <c:v>42095</c:v>
                </c:pt>
                <c:pt idx="131">
                  <c:v>42125</c:v>
                </c:pt>
                <c:pt idx="132">
                  <c:v>42156</c:v>
                </c:pt>
                <c:pt idx="133">
                  <c:v>42186</c:v>
                </c:pt>
                <c:pt idx="134">
                  <c:v>42217</c:v>
                </c:pt>
                <c:pt idx="135">
                  <c:v>42248</c:v>
                </c:pt>
                <c:pt idx="136">
                  <c:v>42278</c:v>
                </c:pt>
                <c:pt idx="137">
                  <c:v>42309</c:v>
                </c:pt>
                <c:pt idx="138">
                  <c:v>42339</c:v>
                </c:pt>
                <c:pt idx="139">
                  <c:v>42370</c:v>
                </c:pt>
                <c:pt idx="140">
                  <c:v>42401</c:v>
                </c:pt>
                <c:pt idx="141">
                  <c:v>42430</c:v>
                </c:pt>
                <c:pt idx="142">
                  <c:v>42461</c:v>
                </c:pt>
                <c:pt idx="143">
                  <c:v>42491</c:v>
                </c:pt>
                <c:pt idx="144">
                  <c:v>42522</c:v>
                </c:pt>
                <c:pt idx="145">
                  <c:v>42552</c:v>
                </c:pt>
                <c:pt idx="146">
                  <c:v>42583</c:v>
                </c:pt>
                <c:pt idx="147">
                  <c:v>42614</c:v>
                </c:pt>
                <c:pt idx="148">
                  <c:v>42644</c:v>
                </c:pt>
                <c:pt idx="149">
                  <c:v>42675</c:v>
                </c:pt>
                <c:pt idx="150">
                  <c:v>42705</c:v>
                </c:pt>
                <c:pt idx="151">
                  <c:v>42736</c:v>
                </c:pt>
                <c:pt idx="152">
                  <c:v>42767</c:v>
                </c:pt>
                <c:pt idx="153">
                  <c:v>42795</c:v>
                </c:pt>
                <c:pt idx="154">
                  <c:v>42826</c:v>
                </c:pt>
                <c:pt idx="155">
                  <c:v>42856</c:v>
                </c:pt>
                <c:pt idx="156">
                  <c:v>42887</c:v>
                </c:pt>
                <c:pt idx="157">
                  <c:v>42917</c:v>
                </c:pt>
                <c:pt idx="158">
                  <c:v>42948</c:v>
                </c:pt>
                <c:pt idx="159">
                  <c:v>42979</c:v>
                </c:pt>
                <c:pt idx="160">
                  <c:v>43009</c:v>
                </c:pt>
                <c:pt idx="161">
                  <c:v>43040</c:v>
                </c:pt>
                <c:pt idx="162">
                  <c:v>43070</c:v>
                </c:pt>
                <c:pt idx="163">
                  <c:v>43101</c:v>
                </c:pt>
                <c:pt idx="164">
                  <c:v>43132</c:v>
                </c:pt>
                <c:pt idx="165">
                  <c:v>43160</c:v>
                </c:pt>
                <c:pt idx="166">
                  <c:v>43191</c:v>
                </c:pt>
                <c:pt idx="167">
                  <c:v>43221</c:v>
                </c:pt>
                <c:pt idx="168">
                  <c:v>43252</c:v>
                </c:pt>
                <c:pt idx="169">
                  <c:v>43282</c:v>
                </c:pt>
                <c:pt idx="170">
                  <c:v>43313</c:v>
                </c:pt>
                <c:pt idx="171">
                  <c:v>43344</c:v>
                </c:pt>
                <c:pt idx="172">
                  <c:v>43374</c:v>
                </c:pt>
                <c:pt idx="173">
                  <c:v>43405</c:v>
                </c:pt>
                <c:pt idx="174">
                  <c:v>43435</c:v>
                </c:pt>
                <c:pt idx="175">
                  <c:v>43466</c:v>
                </c:pt>
                <c:pt idx="176">
                  <c:v>43497</c:v>
                </c:pt>
                <c:pt idx="177">
                  <c:v>43525</c:v>
                </c:pt>
                <c:pt idx="178">
                  <c:v>43556</c:v>
                </c:pt>
                <c:pt idx="179">
                  <c:v>43586</c:v>
                </c:pt>
                <c:pt idx="180">
                  <c:v>43617</c:v>
                </c:pt>
                <c:pt idx="181">
                  <c:v>43647</c:v>
                </c:pt>
                <c:pt idx="182">
                  <c:v>43678</c:v>
                </c:pt>
                <c:pt idx="183">
                  <c:v>43709</c:v>
                </c:pt>
                <c:pt idx="184">
                  <c:v>43739</c:v>
                </c:pt>
                <c:pt idx="185">
                  <c:v>43770</c:v>
                </c:pt>
                <c:pt idx="186">
                  <c:v>43800</c:v>
                </c:pt>
                <c:pt idx="187">
                  <c:v>43831</c:v>
                </c:pt>
                <c:pt idx="188">
                  <c:v>43862</c:v>
                </c:pt>
                <c:pt idx="189">
                  <c:v>43891</c:v>
                </c:pt>
                <c:pt idx="190">
                  <c:v>43922</c:v>
                </c:pt>
                <c:pt idx="191">
                  <c:v>43952</c:v>
                </c:pt>
                <c:pt idx="192">
                  <c:v>43983</c:v>
                </c:pt>
                <c:pt idx="193">
                  <c:v>44013</c:v>
                </c:pt>
                <c:pt idx="194">
                  <c:v>44044</c:v>
                </c:pt>
                <c:pt idx="195">
                  <c:v>44075</c:v>
                </c:pt>
                <c:pt idx="196">
                  <c:v>44105</c:v>
                </c:pt>
                <c:pt idx="197">
                  <c:v>44136</c:v>
                </c:pt>
                <c:pt idx="198">
                  <c:v>44166</c:v>
                </c:pt>
                <c:pt idx="199">
                  <c:v>44197</c:v>
                </c:pt>
                <c:pt idx="200">
                  <c:v>44228</c:v>
                </c:pt>
                <c:pt idx="201">
                  <c:v>44256</c:v>
                </c:pt>
                <c:pt idx="202">
                  <c:v>44287</c:v>
                </c:pt>
                <c:pt idx="203">
                  <c:v>44317</c:v>
                </c:pt>
                <c:pt idx="204">
                  <c:v>44348</c:v>
                </c:pt>
                <c:pt idx="205">
                  <c:v>44378</c:v>
                </c:pt>
                <c:pt idx="206">
                  <c:v>44409</c:v>
                </c:pt>
                <c:pt idx="207">
                  <c:v>44440</c:v>
                </c:pt>
              </c:numCache>
            </c:numRef>
          </c:cat>
          <c:val>
            <c:numRef>
              <c:f>Hárok2!$G$20:$G$227</c:f>
              <c:numCache>
                <c:formatCode>General</c:formatCode>
                <c:ptCount val="208"/>
                <c:pt idx="0">
                  <c:v>0.54409090909091073</c:v>
                </c:pt>
                <c:pt idx="1">
                  <c:v>0.62337662337662358</c:v>
                </c:pt>
                <c:pt idx="2">
                  <c:v>0.83409090909090811</c:v>
                </c:pt>
                <c:pt idx="3">
                  <c:v>0.90990909090909167</c:v>
                </c:pt>
                <c:pt idx="4">
                  <c:v>1.090476190476191</c:v>
                </c:pt>
                <c:pt idx="5">
                  <c:v>1.0174090909090903</c:v>
                </c:pt>
                <c:pt idx="6">
                  <c:v>0.84963203463203474</c:v>
                </c:pt>
                <c:pt idx="7">
                  <c:v>0.50423809523809648</c:v>
                </c:pt>
                <c:pt idx="8">
                  <c:v>0.1345000000000014</c:v>
                </c:pt>
                <c:pt idx="9">
                  <c:v>-6.2857142857143167E-2</c:v>
                </c:pt>
                <c:pt idx="10">
                  <c:v>0.32238095238095132</c:v>
                </c:pt>
                <c:pt idx="11">
                  <c:v>0.27045454545454595</c:v>
                </c:pt>
                <c:pt idx="12">
                  <c:v>0.19227272727272737</c:v>
                </c:pt>
                <c:pt idx="13">
                  <c:v>7.752380952380955E-2</c:v>
                </c:pt>
                <c:pt idx="14">
                  <c:v>7.7628458498025132E-2</c:v>
                </c:pt>
                <c:pt idx="15">
                  <c:v>9.6909090909090612E-2</c:v>
                </c:pt>
                <c:pt idx="16">
                  <c:v>2.3809523809524613E-2</c:v>
                </c:pt>
                <c:pt idx="17">
                  <c:v>0.1484545454545465</c:v>
                </c:pt>
                <c:pt idx="18">
                  <c:v>0.23857142857142799</c:v>
                </c:pt>
                <c:pt idx="19">
                  <c:v>0.21348484848484794</c:v>
                </c:pt>
                <c:pt idx="20">
                  <c:v>0.27150000000000007</c:v>
                </c:pt>
                <c:pt idx="21">
                  <c:v>0.36391304347825981</c:v>
                </c:pt>
                <c:pt idx="22">
                  <c:v>0.25000000000000044</c:v>
                </c:pt>
                <c:pt idx="23">
                  <c:v>0.38023809523809415</c:v>
                </c:pt>
                <c:pt idx="24">
                  <c:v>0.54181818181818375</c:v>
                </c:pt>
                <c:pt idx="25">
                  <c:v>1.0941904761904757</c:v>
                </c:pt>
                <c:pt idx="26">
                  <c:v>0.96790513833991909</c:v>
                </c:pt>
                <c:pt idx="27">
                  <c:v>0.82523809523809666</c:v>
                </c:pt>
                <c:pt idx="28">
                  <c:v>0.43863636363636394</c:v>
                </c:pt>
                <c:pt idx="29">
                  <c:v>0.35454545454545361</c:v>
                </c:pt>
                <c:pt idx="30">
                  <c:v>0.26157894736842113</c:v>
                </c:pt>
                <c:pt idx="31">
                  <c:v>0.13045454545454493</c:v>
                </c:pt>
                <c:pt idx="32">
                  <c:v>0.15449999999999786</c:v>
                </c:pt>
                <c:pt idx="33">
                  <c:v>0.21636363636363765</c:v>
                </c:pt>
                <c:pt idx="34">
                  <c:v>3.3157894736841165E-2</c:v>
                </c:pt>
                <c:pt idx="35">
                  <c:v>9.3809523809524009E-2</c:v>
                </c:pt>
                <c:pt idx="36">
                  <c:v>4.9047619047616564E-2</c:v>
                </c:pt>
                <c:pt idx="37">
                  <c:v>0.13028138528138555</c:v>
                </c:pt>
                <c:pt idx="38">
                  <c:v>0.27792490118577096</c:v>
                </c:pt>
                <c:pt idx="39">
                  <c:v>0.26000000000000156</c:v>
                </c:pt>
                <c:pt idx="40">
                  <c:v>0.27173913043478048</c:v>
                </c:pt>
                <c:pt idx="41">
                  <c:v>0.3828354978354982</c:v>
                </c:pt>
                <c:pt idx="42">
                  <c:v>0.19411764705882373</c:v>
                </c:pt>
                <c:pt idx="43">
                  <c:v>0.22272727272727266</c:v>
                </c:pt>
                <c:pt idx="44">
                  <c:v>0.24142857142857199</c:v>
                </c:pt>
                <c:pt idx="45">
                  <c:v>0.32578947368421041</c:v>
                </c:pt>
                <c:pt idx="46">
                  <c:v>0.23818181818181738</c:v>
                </c:pt>
                <c:pt idx="47">
                  <c:v>0.17914285714285683</c:v>
                </c:pt>
                <c:pt idx="48">
                  <c:v>0.13571428571428434</c:v>
                </c:pt>
                <c:pt idx="49">
                  <c:v>0.32869565217391372</c:v>
                </c:pt>
                <c:pt idx="50">
                  <c:v>0.35040476190476166</c:v>
                </c:pt>
                <c:pt idx="51">
                  <c:v>0.50922727272727375</c:v>
                </c:pt>
                <c:pt idx="52">
                  <c:v>0.58086956521739008</c:v>
                </c:pt>
                <c:pt idx="53">
                  <c:v>0.81215789473684241</c:v>
                </c:pt>
                <c:pt idx="54">
                  <c:v>1.1550263157894745</c:v>
                </c:pt>
                <c:pt idx="55">
                  <c:v>1.101928571428572</c:v>
                </c:pt>
                <c:pt idx="56">
                  <c:v>1.2175000000000016</c:v>
                </c:pt>
                <c:pt idx="57">
                  <c:v>1.3054545454545465</c:v>
                </c:pt>
                <c:pt idx="58">
                  <c:v>1.4730000000000003</c:v>
                </c:pt>
                <c:pt idx="59">
                  <c:v>1.7173947368421043</c:v>
                </c:pt>
                <c:pt idx="60">
                  <c:v>1.7554545454545445</c:v>
                </c:pt>
                <c:pt idx="61">
                  <c:v>1.8582608695652167</c:v>
                </c:pt>
                <c:pt idx="62">
                  <c:v>1.4804761904761912</c:v>
                </c:pt>
                <c:pt idx="63">
                  <c:v>1.1656818181818194</c:v>
                </c:pt>
                <c:pt idx="64">
                  <c:v>0.94</c:v>
                </c:pt>
                <c:pt idx="65">
                  <c:v>0.87909523809523815</c:v>
                </c:pt>
                <c:pt idx="66">
                  <c:v>0.97971428571428643</c:v>
                </c:pt>
                <c:pt idx="67">
                  <c:v>0.82660526315789529</c:v>
                </c:pt>
                <c:pt idx="68">
                  <c:v>0.92350000000000154</c:v>
                </c:pt>
                <c:pt idx="69">
                  <c:v>0.89130434782608692</c:v>
                </c:pt>
                <c:pt idx="70">
                  <c:v>0.83950000000000014</c:v>
                </c:pt>
                <c:pt idx="71">
                  <c:v>1.0495238095238095</c:v>
                </c:pt>
                <c:pt idx="72">
                  <c:v>1.2295454545454541</c:v>
                </c:pt>
                <c:pt idx="73">
                  <c:v>1.1623593073593077</c:v>
                </c:pt>
                <c:pt idx="74">
                  <c:v>1.2036363636363632</c:v>
                </c:pt>
                <c:pt idx="75">
                  <c:v>1.2694090909090909</c:v>
                </c:pt>
                <c:pt idx="76">
                  <c:v>1.3409523809523822</c:v>
                </c:pt>
                <c:pt idx="77">
                  <c:v>1.3925454545454534</c:v>
                </c:pt>
                <c:pt idx="78">
                  <c:v>1.2065367965367972</c:v>
                </c:pt>
                <c:pt idx="79">
                  <c:v>1.2313095238095233</c:v>
                </c:pt>
                <c:pt idx="80">
                  <c:v>1.1555000000000009</c:v>
                </c:pt>
                <c:pt idx="81">
                  <c:v>1.1852173913043478</c:v>
                </c:pt>
                <c:pt idx="82">
                  <c:v>1.1252631578947381</c:v>
                </c:pt>
                <c:pt idx="83">
                  <c:v>1.3381818181818192</c:v>
                </c:pt>
                <c:pt idx="84">
                  <c:v>1.4890909090909097</c:v>
                </c:pt>
                <c:pt idx="85">
                  <c:v>1.7244999999999999</c:v>
                </c:pt>
                <c:pt idx="86">
                  <c:v>2.2097430830039539</c:v>
                </c:pt>
                <c:pt idx="87">
                  <c:v>2.5230909090909086</c:v>
                </c:pt>
                <c:pt idx="88">
                  <c:v>2.4047619047619047</c:v>
                </c:pt>
                <c:pt idx="89">
                  <c:v>3.1147727272727268</c:v>
                </c:pt>
                <c:pt idx="90">
                  <c:v>3.6928571428571426</c:v>
                </c:pt>
                <c:pt idx="91">
                  <c:v>3.5198917748917751</c:v>
                </c:pt>
                <c:pt idx="92">
                  <c:v>2.915714285714285</c:v>
                </c:pt>
                <c:pt idx="93">
                  <c:v>2.5050000000000003</c:v>
                </c:pt>
                <c:pt idx="94">
                  <c:v>2.3731578947368428</c:v>
                </c:pt>
                <c:pt idx="95">
                  <c:v>2.4269696969696963</c:v>
                </c:pt>
                <c:pt idx="96">
                  <c:v>2.5290476190476188</c:v>
                </c:pt>
                <c:pt idx="97">
                  <c:v>2.4238311688311684</c:v>
                </c:pt>
                <c:pt idx="98">
                  <c:v>2.0972727272727272</c:v>
                </c:pt>
                <c:pt idx="99">
                  <c:v>1.8110000000000004</c:v>
                </c:pt>
                <c:pt idx="100">
                  <c:v>1.5413043478260871</c:v>
                </c:pt>
                <c:pt idx="101">
                  <c:v>1.5072294372294364</c:v>
                </c:pt>
                <c:pt idx="102">
                  <c:v>1.364607843137255</c:v>
                </c:pt>
                <c:pt idx="103">
                  <c:v>1.4472727272727273</c:v>
                </c:pt>
                <c:pt idx="104">
                  <c:v>1.5294999999999996</c:v>
                </c:pt>
                <c:pt idx="105">
                  <c:v>1.6514999999999995</c:v>
                </c:pt>
                <c:pt idx="106">
                  <c:v>1.64</c:v>
                </c:pt>
                <c:pt idx="107">
                  <c:v>1.1550649350649358</c:v>
                </c:pt>
                <c:pt idx="108">
                  <c:v>0.98799999999999977</c:v>
                </c:pt>
                <c:pt idx="109">
                  <c:v>1.1439130434782609</c:v>
                </c:pt>
                <c:pt idx="110">
                  <c:v>1.0131601731601736</c:v>
                </c:pt>
                <c:pt idx="111">
                  <c:v>0.97142857142857153</c:v>
                </c:pt>
                <c:pt idx="112">
                  <c:v>1.0482608695652176</c:v>
                </c:pt>
                <c:pt idx="113">
                  <c:v>1.0427380952380956</c:v>
                </c:pt>
                <c:pt idx="114">
                  <c:v>0.86783625730994141</c:v>
                </c:pt>
                <c:pt idx="115">
                  <c:v>0.91123376623376662</c:v>
                </c:pt>
                <c:pt idx="116">
                  <c:v>1.0390000000000001</c:v>
                </c:pt>
                <c:pt idx="117">
                  <c:v>0.94238095238095276</c:v>
                </c:pt>
                <c:pt idx="118">
                  <c:v>0.86649999999999983</c:v>
                </c:pt>
                <c:pt idx="119">
                  <c:v>0.91430952380952379</c:v>
                </c:pt>
                <c:pt idx="120">
                  <c:v>0.89523809523809583</c:v>
                </c:pt>
                <c:pt idx="121">
                  <c:v>0.93913043478260838</c:v>
                </c:pt>
                <c:pt idx="122">
                  <c:v>0.95554761904761887</c:v>
                </c:pt>
                <c:pt idx="123">
                  <c:v>0.75131818181818222</c:v>
                </c:pt>
                <c:pt idx="124">
                  <c:v>0.68579051383399137</c:v>
                </c:pt>
                <c:pt idx="125">
                  <c:v>0.71405263157894738</c:v>
                </c:pt>
                <c:pt idx="126">
                  <c:v>0.77842105263157868</c:v>
                </c:pt>
                <c:pt idx="127">
                  <c:v>0.61442857142857144</c:v>
                </c:pt>
                <c:pt idx="128">
                  <c:v>0.49249999999999983</c:v>
                </c:pt>
                <c:pt idx="129">
                  <c:v>0.3327272727272727</c:v>
                </c:pt>
                <c:pt idx="130">
                  <c:v>0.30349999999999999</c:v>
                </c:pt>
                <c:pt idx="131">
                  <c:v>0.23631578947368426</c:v>
                </c:pt>
                <c:pt idx="132">
                  <c:v>0.44999999999999951</c:v>
                </c:pt>
                <c:pt idx="133">
                  <c:v>0.43652173913043468</c:v>
                </c:pt>
                <c:pt idx="134">
                  <c:v>0.33142857142857129</c:v>
                </c:pt>
                <c:pt idx="135">
                  <c:v>0.29313636363636397</c:v>
                </c:pt>
                <c:pt idx="136">
                  <c:v>0.32454545454545458</c:v>
                </c:pt>
                <c:pt idx="137">
                  <c:v>0.28333333333333355</c:v>
                </c:pt>
                <c:pt idx="138">
                  <c:v>0.22852380952380968</c:v>
                </c:pt>
                <c:pt idx="139">
                  <c:v>0.35861904761904762</c:v>
                </c:pt>
                <c:pt idx="140">
                  <c:v>0.44666666666666643</c:v>
                </c:pt>
                <c:pt idx="141">
                  <c:v>0.41995859213250497</c:v>
                </c:pt>
                <c:pt idx="142">
                  <c:v>0.4657142857142858</c:v>
                </c:pt>
                <c:pt idx="143">
                  <c:v>0.53326839826839822</c:v>
                </c:pt>
                <c:pt idx="144">
                  <c:v>0.61090909090909085</c:v>
                </c:pt>
                <c:pt idx="145">
                  <c:v>0.54285714285714282</c:v>
                </c:pt>
                <c:pt idx="146">
                  <c:v>0.42565217391304344</c:v>
                </c:pt>
                <c:pt idx="147">
                  <c:v>0.39500000000000002</c:v>
                </c:pt>
                <c:pt idx="148">
                  <c:v>0.40126190476190482</c:v>
                </c:pt>
                <c:pt idx="149">
                  <c:v>0.47363636363636363</c:v>
                </c:pt>
                <c:pt idx="150">
                  <c:v>0.56813852813852805</c:v>
                </c:pt>
                <c:pt idx="151">
                  <c:v>0.60590909090909095</c:v>
                </c:pt>
                <c:pt idx="152">
                  <c:v>0.69850000000000023</c:v>
                </c:pt>
                <c:pt idx="153">
                  <c:v>0.71869565217391351</c:v>
                </c:pt>
                <c:pt idx="154">
                  <c:v>0.71383333333333343</c:v>
                </c:pt>
                <c:pt idx="155">
                  <c:v>0.60913043478260886</c:v>
                </c:pt>
                <c:pt idx="156">
                  <c:v>0.59238095238095223</c:v>
                </c:pt>
                <c:pt idx="157">
                  <c:v>0.52</c:v>
                </c:pt>
                <c:pt idx="158">
                  <c:v>0.54347826086956541</c:v>
                </c:pt>
                <c:pt idx="159">
                  <c:v>0.55999999999999983</c:v>
                </c:pt>
                <c:pt idx="160">
                  <c:v>0.54213636363636364</c:v>
                </c:pt>
                <c:pt idx="161">
                  <c:v>0.53136363636363626</c:v>
                </c:pt>
                <c:pt idx="162">
                  <c:v>0.50275689223057651</c:v>
                </c:pt>
                <c:pt idx="163">
                  <c:v>0.44523715415019771</c:v>
                </c:pt>
                <c:pt idx="164">
                  <c:v>0.42700000000000016</c:v>
                </c:pt>
                <c:pt idx="165">
                  <c:v>0.46103896103896091</c:v>
                </c:pt>
                <c:pt idx="166">
                  <c:v>0.42654761904761873</c:v>
                </c:pt>
                <c:pt idx="167">
                  <c:v>0.44832298136645954</c:v>
                </c:pt>
                <c:pt idx="168">
                  <c:v>0.51476190476190453</c:v>
                </c:pt>
                <c:pt idx="169">
                  <c:v>0.51454545454545464</c:v>
                </c:pt>
                <c:pt idx="170">
                  <c:v>0.48565217391304327</c:v>
                </c:pt>
                <c:pt idx="171">
                  <c:v>0.46049999999999974</c:v>
                </c:pt>
                <c:pt idx="172">
                  <c:v>0.50590909090909109</c:v>
                </c:pt>
                <c:pt idx="173">
                  <c:v>0.52545454545454551</c:v>
                </c:pt>
                <c:pt idx="174">
                  <c:v>0.58106442577030826</c:v>
                </c:pt>
                <c:pt idx="175">
                  <c:v>0.5927667984189724</c:v>
                </c:pt>
                <c:pt idx="176">
                  <c:v>0.62049999999999994</c:v>
                </c:pt>
                <c:pt idx="177">
                  <c:v>0.60285714285714298</c:v>
                </c:pt>
                <c:pt idx="178">
                  <c:v>0.61586363636363639</c:v>
                </c:pt>
                <c:pt idx="179">
                  <c:v>0.61027667984189726</c:v>
                </c:pt>
                <c:pt idx="180">
                  <c:v>0.59407894736842104</c:v>
                </c:pt>
                <c:pt idx="181">
                  <c:v>0.49826086956521742</c:v>
                </c:pt>
                <c:pt idx="182">
                  <c:v>0.5027272727272728</c:v>
                </c:pt>
                <c:pt idx="183">
                  <c:v>0.47047619047619027</c:v>
                </c:pt>
                <c:pt idx="184">
                  <c:v>0.4569169960474308</c:v>
                </c:pt>
                <c:pt idx="185">
                  <c:v>0.46190476190476187</c:v>
                </c:pt>
                <c:pt idx="186">
                  <c:v>0.45257575757575763</c:v>
                </c:pt>
                <c:pt idx="187">
                  <c:v>0.44934782608695645</c:v>
                </c:pt>
                <c:pt idx="188">
                  <c:v>0.47399999999999998</c:v>
                </c:pt>
                <c:pt idx="189">
                  <c:v>0.72090909090909094</c:v>
                </c:pt>
                <c:pt idx="190">
                  <c:v>1.0433181818181818</c:v>
                </c:pt>
                <c:pt idx="191">
                  <c:v>1.0689285714285717</c:v>
                </c:pt>
                <c:pt idx="192">
                  <c:v>0.55935064935064949</c:v>
                </c:pt>
                <c:pt idx="193">
                  <c:v>0.48304347826086963</c:v>
                </c:pt>
                <c:pt idx="194">
                  <c:v>0.40857142857142859</c:v>
                </c:pt>
                <c:pt idx="195">
                  <c:v>0.3572727272727273</c:v>
                </c:pt>
                <c:pt idx="196">
                  <c:v>0.35545454545454547</c:v>
                </c:pt>
                <c:pt idx="197">
                  <c:v>0.30952380952380948</c:v>
                </c:pt>
                <c:pt idx="198">
                  <c:v>0.3355217391304347</c:v>
                </c:pt>
                <c:pt idx="199">
                  <c:v>0.14483333333333326</c:v>
                </c:pt>
                <c:pt idx="200">
                  <c:v>0.20300000000000004</c:v>
                </c:pt>
                <c:pt idx="201">
                  <c:v>0.27478260869565208</c:v>
                </c:pt>
                <c:pt idx="202">
                  <c:v>0.25836363636363646</c:v>
                </c:pt>
                <c:pt idx="203">
                  <c:v>0.23773809523809525</c:v>
                </c:pt>
                <c:pt idx="204">
                  <c:v>0.25954545454545458</c:v>
                </c:pt>
                <c:pt idx="205">
                  <c:v>0.29090909090909095</c:v>
                </c:pt>
                <c:pt idx="206">
                  <c:v>0.30909090909090914</c:v>
                </c:pt>
                <c:pt idx="207">
                  <c:v>0.36909090909090903</c:v>
                </c:pt>
              </c:numCache>
            </c:numRef>
          </c:val>
          <c:smooth val="0"/>
          <c:extLst>
            <c:ext xmlns:c16="http://schemas.microsoft.com/office/drawing/2014/chart" uri="{C3380CC4-5D6E-409C-BE32-E72D297353CC}">
              <c16:uniqueId val="{00000000-EED3-4583-A4F0-01EB0FE55A35}"/>
            </c:ext>
          </c:extLst>
        </c:ser>
        <c:ser>
          <c:idx val="5"/>
          <c:order val="1"/>
          <c:tx>
            <c:strRef>
              <c:f>Hárok2!$D$2</c:f>
              <c:strCache>
                <c:ptCount val="1"/>
                <c:pt idx="0">
                  <c:v>3-ročný</c:v>
                </c:pt>
              </c:strCache>
            </c:strRef>
          </c:tx>
          <c:spPr>
            <a:ln w="19050">
              <a:solidFill>
                <a:sysClr val="windowText" lastClr="000000"/>
              </a:solidFill>
              <a:prstDash val="solid"/>
            </a:ln>
          </c:spPr>
          <c:marker>
            <c:symbol val="none"/>
          </c:marker>
          <c:cat>
            <c:numRef>
              <c:f>Hárok2!$A$20:$A$227</c:f>
              <c:numCache>
                <c:formatCode>m/d/yyyy</c:formatCode>
                <c:ptCount val="208"/>
                <c:pt idx="0">
                  <c:v>38139</c:v>
                </c:pt>
                <c:pt idx="1">
                  <c:v>38169</c:v>
                </c:pt>
                <c:pt idx="2">
                  <c:v>38200</c:v>
                </c:pt>
                <c:pt idx="3">
                  <c:v>38231</c:v>
                </c:pt>
                <c:pt idx="4">
                  <c:v>38261</c:v>
                </c:pt>
                <c:pt idx="5">
                  <c:v>38292</c:v>
                </c:pt>
                <c:pt idx="6">
                  <c:v>38322</c:v>
                </c:pt>
                <c:pt idx="7">
                  <c:v>38353</c:v>
                </c:pt>
                <c:pt idx="8">
                  <c:v>38384</c:v>
                </c:pt>
                <c:pt idx="9">
                  <c:v>38412</c:v>
                </c:pt>
                <c:pt idx="10">
                  <c:v>38443</c:v>
                </c:pt>
                <c:pt idx="11">
                  <c:v>38473</c:v>
                </c:pt>
                <c:pt idx="12">
                  <c:v>38504</c:v>
                </c:pt>
                <c:pt idx="13">
                  <c:v>38534</c:v>
                </c:pt>
                <c:pt idx="14">
                  <c:v>38565</c:v>
                </c:pt>
                <c:pt idx="15">
                  <c:v>38596</c:v>
                </c:pt>
                <c:pt idx="16">
                  <c:v>38626</c:v>
                </c:pt>
                <c:pt idx="17">
                  <c:v>38657</c:v>
                </c:pt>
                <c:pt idx="18">
                  <c:v>38687</c:v>
                </c:pt>
                <c:pt idx="19">
                  <c:v>38718</c:v>
                </c:pt>
                <c:pt idx="20">
                  <c:v>38749</c:v>
                </c:pt>
                <c:pt idx="21">
                  <c:v>38777</c:v>
                </c:pt>
                <c:pt idx="22">
                  <c:v>38808</c:v>
                </c:pt>
                <c:pt idx="23">
                  <c:v>38838</c:v>
                </c:pt>
                <c:pt idx="24">
                  <c:v>38869</c:v>
                </c:pt>
                <c:pt idx="25">
                  <c:v>38899</c:v>
                </c:pt>
                <c:pt idx="26">
                  <c:v>38930</c:v>
                </c:pt>
                <c:pt idx="27">
                  <c:v>38961</c:v>
                </c:pt>
                <c:pt idx="28">
                  <c:v>38991</c:v>
                </c:pt>
                <c:pt idx="29">
                  <c:v>39022</c:v>
                </c:pt>
                <c:pt idx="30">
                  <c:v>39052</c:v>
                </c:pt>
                <c:pt idx="31">
                  <c:v>39083</c:v>
                </c:pt>
                <c:pt idx="32">
                  <c:v>39114</c:v>
                </c:pt>
                <c:pt idx="33">
                  <c:v>39142</c:v>
                </c:pt>
                <c:pt idx="34">
                  <c:v>39173</c:v>
                </c:pt>
                <c:pt idx="35">
                  <c:v>39203</c:v>
                </c:pt>
                <c:pt idx="36">
                  <c:v>39234</c:v>
                </c:pt>
                <c:pt idx="37">
                  <c:v>39264</c:v>
                </c:pt>
                <c:pt idx="38">
                  <c:v>39295</c:v>
                </c:pt>
                <c:pt idx="39">
                  <c:v>39326</c:v>
                </c:pt>
                <c:pt idx="40">
                  <c:v>39356</c:v>
                </c:pt>
                <c:pt idx="41">
                  <c:v>39387</c:v>
                </c:pt>
                <c:pt idx="42">
                  <c:v>39417</c:v>
                </c:pt>
                <c:pt idx="43">
                  <c:v>39448</c:v>
                </c:pt>
                <c:pt idx="44">
                  <c:v>39479</c:v>
                </c:pt>
                <c:pt idx="45">
                  <c:v>39508</c:v>
                </c:pt>
                <c:pt idx="46">
                  <c:v>39539</c:v>
                </c:pt>
                <c:pt idx="47">
                  <c:v>39569</c:v>
                </c:pt>
                <c:pt idx="48">
                  <c:v>39600</c:v>
                </c:pt>
                <c:pt idx="49">
                  <c:v>39630</c:v>
                </c:pt>
                <c:pt idx="50">
                  <c:v>39661</c:v>
                </c:pt>
                <c:pt idx="51">
                  <c:v>39692</c:v>
                </c:pt>
                <c:pt idx="52">
                  <c:v>39722</c:v>
                </c:pt>
                <c:pt idx="53">
                  <c:v>39753</c:v>
                </c:pt>
                <c:pt idx="54">
                  <c:v>39783</c:v>
                </c:pt>
                <c:pt idx="55">
                  <c:v>39814</c:v>
                </c:pt>
                <c:pt idx="56">
                  <c:v>39845</c:v>
                </c:pt>
                <c:pt idx="57">
                  <c:v>39873</c:v>
                </c:pt>
                <c:pt idx="58">
                  <c:v>39904</c:v>
                </c:pt>
                <c:pt idx="59">
                  <c:v>39934</c:v>
                </c:pt>
                <c:pt idx="60">
                  <c:v>39965</c:v>
                </c:pt>
                <c:pt idx="61">
                  <c:v>39995</c:v>
                </c:pt>
                <c:pt idx="62">
                  <c:v>40026</c:v>
                </c:pt>
                <c:pt idx="63">
                  <c:v>40057</c:v>
                </c:pt>
                <c:pt idx="64">
                  <c:v>40087</c:v>
                </c:pt>
                <c:pt idx="65">
                  <c:v>40118</c:v>
                </c:pt>
                <c:pt idx="66">
                  <c:v>40148</c:v>
                </c:pt>
                <c:pt idx="67">
                  <c:v>40179</c:v>
                </c:pt>
                <c:pt idx="68">
                  <c:v>40210</c:v>
                </c:pt>
                <c:pt idx="69">
                  <c:v>40238</c:v>
                </c:pt>
                <c:pt idx="70">
                  <c:v>40269</c:v>
                </c:pt>
                <c:pt idx="71">
                  <c:v>40299</c:v>
                </c:pt>
                <c:pt idx="72">
                  <c:v>40330</c:v>
                </c:pt>
                <c:pt idx="73">
                  <c:v>40360</c:v>
                </c:pt>
                <c:pt idx="74">
                  <c:v>40391</c:v>
                </c:pt>
                <c:pt idx="75">
                  <c:v>40422</c:v>
                </c:pt>
                <c:pt idx="76">
                  <c:v>40452</c:v>
                </c:pt>
                <c:pt idx="77">
                  <c:v>40483</c:v>
                </c:pt>
                <c:pt idx="78">
                  <c:v>40513</c:v>
                </c:pt>
                <c:pt idx="79">
                  <c:v>40544</c:v>
                </c:pt>
                <c:pt idx="80">
                  <c:v>40575</c:v>
                </c:pt>
                <c:pt idx="81">
                  <c:v>40603</c:v>
                </c:pt>
                <c:pt idx="82">
                  <c:v>40634</c:v>
                </c:pt>
                <c:pt idx="83">
                  <c:v>40664</c:v>
                </c:pt>
                <c:pt idx="84">
                  <c:v>40695</c:v>
                </c:pt>
                <c:pt idx="85">
                  <c:v>40725</c:v>
                </c:pt>
                <c:pt idx="86">
                  <c:v>40756</c:v>
                </c:pt>
                <c:pt idx="87">
                  <c:v>40787</c:v>
                </c:pt>
                <c:pt idx="88">
                  <c:v>40817</c:v>
                </c:pt>
                <c:pt idx="89">
                  <c:v>40848</c:v>
                </c:pt>
                <c:pt idx="90">
                  <c:v>40878</c:v>
                </c:pt>
                <c:pt idx="91">
                  <c:v>40909</c:v>
                </c:pt>
                <c:pt idx="92">
                  <c:v>40940</c:v>
                </c:pt>
                <c:pt idx="93">
                  <c:v>40969</c:v>
                </c:pt>
                <c:pt idx="94">
                  <c:v>41000</c:v>
                </c:pt>
                <c:pt idx="95">
                  <c:v>41030</c:v>
                </c:pt>
                <c:pt idx="96">
                  <c:v>41061</c:v>
                </c:pt>
                <c:pt idx="97">
                  <c:v>41091</c:v>
                </c:pt>
                <c:pt idx="98">
                  <c:v>41122</c:v>
                </c:pt>
                <c:pt idx="99">
                  <c:v>41153</c:v>
                </c:pt>
                <c:pt idx="100">
                  <c:v>41183</c:v>
                </c:pt>
                <c:pt idx="101">
                  <c:v>41214</c:v>
                </c:pt>
                <c:pt idx="102">
                  <c:v>41244</c:v>
                </c:pt>
                <c:pt idx="103">
                  <c:v>41275</c:v>
                </c:pt>
                <c:pt idx="104">
                  <c:v>41306</c:v>
                </c:pt>
                <c:pt idx="105">
                  <c:v>41334</c:v>
                </c:pt>
                <c:pt idx="106">
                  <c:v>41365</c:v>
                </c:pt>
                <c:pt idx="107">
                  <c:v>41395</c:v>
                </c:pt>
                <c:pt idx="108">
                  <c:v>41426</c:v>
                </c:pt>
                <c:pt idx="109">
                  <c:v>41456</c:v>
                </c:pt>
                <c:pt idx="110">
                  <c:v>41487</c:v>
                </c:pt>
                <c:pt idx="111">
                  <c:v>41518</c:v>
                </c:pt>
                <c:pt idx="112">
                  <c:v>41548</c:v>
                </c:pt>
                <c:pt idx="113">
                  <c:v>41579</c:v>
                </c:pt>
                <c:pt idx="114">
                  <c:v>41609</c:v>
                </c:pt>
                <c:pt idx="115">
                  <c:v>41640</c:v>
                </c:pt>
                <c:pt idx="116">
                  <c:v>41671</c:v>
                </c:pt>
                <c:pt idx="117">
                  <c:v>41699</c:v>
                </c:pt>
                <c:pt idx="118">
                  <c:v>41730</c:v>
                </c:pt>
                <c:pt idx="119">
                  <c:v>41760</c:v>
                </c:pt>
                <c:pt idx="120">
                  <c:v>41791</c:v>
                </c:pt>
                <c:pt idx="121">
                  <c:v>41821</c:v>
                </c:pt>
                <c:pt idx="122">
                  <c:v>41852</c:v>
                </c:pt>
                <c:pt idx="123">
                  <c:v>41883</c:v>
                </c:pt>
                <c:pt idx="124">
                  <c:v>41913</c:v>
                </c:pt>
                <c:pt idx="125">
                  <c:v>41944</c:v>
                </c:pt>
                <c:pt idx="126">
                  <c:v>41974</c:v>
                </c:pt>
                <c:pt idx="127">
                  <c:v>42005</c:v>
                </c:pt>
                <c:pt idx="128">
                  <c:v>42036</c:v>
                </c:pt>
                <c:pt idx="129">
                  <c:v>42064</c:v>
                </c:pt>
                <c:pt idx="130">
                  <c:v>42095</c:v>
                </c:pt>
                <c:pt idx="131">
                  <c:v>42125</c:v>
                </c:pt>
                <c:pt idx="132">
                  <c:v>42156</c:v>
                </c:pt>
                <c:pt idx="133">
                  <c:v>42186</c:v>
                </c:pt>
                <c:pt idx="134">
                  <c:v>42217</c:v>
                </c:pt>
                <c:pt idx="135">
                  <c:v>42248</c:v>
                </c:pt>
                <c:pt idx="136">
                  <c:v>42278</c:v>
                </c:pt>
                <c:pt idx="137">
                  <c:v>42309</c:v>
                </c:pt>
                <c:pt idx="138">
                  <c:v>42339</c:v>
                </c:pt>
                <c:pt idx="139">
                  <c:v>42370</c:v>
                </c:pt>
                <c:pt idx="140">
                  <c:v>42401</c:v>
                </c:pt>
                <c:pt idx="141">
                  <c:v>42430</c:v>
                </c:pt>
                <c:pt idx="142">
                  <c:v>42461</c:v>
                </c:pt>
                <c:pt idx="143">
                  <c:v>42491</c:v>
                </c:pt>
                <c:pt idx="144">
                  <c:v>42522</c:v>
                </c:pt>
                <c:pt idx="145">
                  <c:v>42552</c:v>
                </c:pt>
                <c:pt idx="146">
                  <c:v>42583</c:v>
                </c:pt>
                <c:pt idx="147">
                  <c:v>42614</c:v>
                </c:pt>
                <c:pt idx="148">
                  <c:v>42644</c:v>
                </c:pt>
                <c:pt idx="149">
                  <c:v>42675</c:v>
                </c:pt>
                <c:pt idx="150">
                  <c:v>42705</c:v>
                </c:pt>
                <c:pt idx="151">
                  <c:v>42736</c:v>
                </c:pt>
                <c:pt idx="152">
                  <c:v>42767</c:v>
                </c:pt>
                <c:pt idx="153">
                  <c:v>42795</c:v>
                </c:pt>
                <c:pt idx="154">
                  <c:v>42826</c:v>
                </c:pt>
                <c:pt idx="155">
                  <c:v>42856</c:v>
                </c:pt>
                <c:pt idx="156">
                  <c:v>42887</c:v>
                </c:pt>
                <c:pt idx="157">
                  <c:v>42917</c:v>
                </c:pt>
                <c:pt idx="158">
                  <c:v>42948</c:v>
                </c:pt>
                <c:pt idx="159">
                  <c:v>42979</c:v>
                </c:pt>
                <c:pt idx="160">
                  <c:v>43009</c:v>
                </c:pt>
                <c:pt idx="161">
                  <c:v>43040</c:v>
                </c:pt>
                <c:pt idx="162">
                  <c:v>43070</c:v>
                </c:pt>
                <c:pt idx="163">
                  <c:v>43101</c:v>
                </c:pt>
                <c:pt idx="164">
                  <c:v>43132</c:v>
                </c:pt>
                <c:pt idx="165">
                  <c:v>43160</c:v>
                </c:pt>
                <c:pt idx="166">
                  <c:v>43191</c:v>
                </c:pt>
                <c:pt idx="167">
                  <c:v>43221</c:v>
                </c:pt>
                <c:pt idx="168">
                  <c:v>43252</c:v>
                </c:pt>
                <c:pt idx="169">
                  <c:v>43282</c:v>
                </c:pt>
                <c:pt idx="170">
                  <c:v>43313</c:v>
                </c:pt>
                <c:pt idx="171">
                  <c:v>43344</c:v>
                </c:pt>
                <c:pt idx="172">
                  <c:v>43374</c:v>
                </c:pt>
                <c:pt idx="173">
                  <c:v>43405</c:v>
                </c:pt>
                <c:pt idx="174">
                  <c:v>43435</c:v>
                </c:pt>
                <c:pt idx="175">
                  <c:v>43466</c:v>
                </c:pt>
                <c:pt idx="176">
                  <c:v>43497</c:v>
                </c:pt>
                <c:pt idx="177">
                  <c:v>43525</c:v>
                </c:pt>
                <c:pt idx="178">
                  <c:v>43556</c:v>
                </c:pt>
                <c:pt idx="179">
                  <c:v>43586</c:v>
                </c:pt>
                <c:pt idx="180">
                  <c:v>43617</c:v>
                </c:pt>
                <c:pt idx="181">
                  <c:v>43647</c:v>
                </c:pt>
                <c:pt idx="182">
                  <c:v>43678</c:v>
                </c:pt>
                <c:pt idx="183">
                  <c:v>43709</c:v>
                </c:pt>
                <c:pt idx="184">
                  <c:v>43739</c:v>
                </c:pt>
                <c:pt idx="185">
                  <c:v>43770</c:v>
                </c:pt>
                <c:pt idx="186">
                  <c:v>43800</c:v>
                </c:pt>
                <c:pt idx="187">
                  <c:v>43831</c:v>
                </c:pt>
                <c:pt idx="188">
                  <c:v>43862</c:v>
                </c:pt>
                <c:pt idx="189">
                  <c:v>43891</c:v>
                </c:pt>
                <c:pt idx="190">
                  <c:v>43922</c:v>
                </c:pt>
                <c:pt idx="191">
                  <c:v>43952</c:v>
                </c:pt>
                <c:pt idx="192">
                  <c:v>43983</c:v>
                </c:pt>
                <c:pt idx="193">
                  <c:v>44013</c:v>
                </c:pt>
                <c:pt idx="194">
                  <c:v>44044</c:v>
                </c:pt>
                <c:pt idx="195">
                  <c:v>44075</c:v>
                </c:pt>
                <c:pt idx="196">
                  <c:v>44105</c:v>
                </c:pt>
                <c:pt idx="197">
                  <c:v>44136</c:v>
                </c:pt>
                <c:pt idx="198">
                  <c:v>44166</c:v>
                </c:pt>
                <c:pt idx="199">
                  <c:v>44197</c:v>
                </c:pt>
                <c:pt idx="200">
                  <c:v>44228</c:v>
                </c:pt>
                <c:pt idx="201">
                  <c:v>44256</c:v>
                </c:pt>
                <c:pt idx="202">
                  <c:v>44287</c:v>
                </c:pt>
                <c:pt idx="203">
                  <c:v>44317</c:v>
                </c:pt>
                <c:pt idx="204">
                  <c:v>44348</c:v>
                </c:pt>
                <c:pt idx="205">
                  <c:v>44378</c:v>
                </c:pt>
                <c:pt idx="206">
                  <c:v>44409</c:v>
                </c:pt>
                <c:pt idx="207">
                  <c:v>44440</c:v>
                </c:pt>
              </c:numCache>
            </c:numRef>
          </c:cat>
          <c:val>
            <c:numRef>
              <c:f>Hárok2!$D$20:$D$227</c:f>
              <c:numCache>
                <c:formatCode>General</c:formatCode>
                <c:ptCount val="208"/>
                <c:pt idx="0">
                  <c:v>4.3463636363636367</c:v>
                </c:pt>
                <c:pt idx="1">
                  <c:v>4.0514285714285707</c:v>
                </c:pt>
                <c:pt idx="2">
                  <c:v>4.0649999999999986</c:v>
                </c:pt>
                <c:pt idx="3">
                  <c:v>4.157</c:v>
                </c:pt>
                <c:pt idx="4">
                  <c:v>4.168571428571429</c:v>
                </c:pt>
                <c:pt idx="5">
                  <c:v>4.0874999999999995</c:v>
                </c:pt>
                <c:pt idx="6">
                  <c:v>3.8</c:v>
                </c:pt>
                <c:pt idx="7">
                  <c:v>3.371</c:v>
                </c:pt>
                <c:pt idx="8">
                  <c:v>2.8899999999999997</c:v>
                </c:pt>
                <c:pt idx="9">
                  <c:v>2.765714285714286</c:v>
                </c:pt>
                <c:pt idx="10">
                  <c:v>2.7714285714285714</c:v>
                </c:pt>
                <c:pt idx="11">
                  <c:v>2.7740909090909089</c:v>
                </c:pt>
                <c:pt idx="12">
                  <c:v>2.704545454545455</c:v>
                </c:pt>
                <c:pt idx="13">
                  <c:v>2.5915000000000004</c:v>
                </c:pt>
                <c:pt idx="14">
                  <c:v>2.6068181818181824</c:v>
                </c:pt>
                <c:pt idx="15">
                  <c:v>2.6000000000000005</c:v>
                </c:pt>
                <c:pt idx="16">
                  <c:v>2.9280952380952381</c:v>
                </c:pt>
                <c:pt idx="17">
                  <c:v>3.4249999999999998</c:v>
                </c:pt>
                <c:pt idx="18">
                  <c:v>3.3276190476190473</c:v>
                </c:pt>
                <c:pt idx="19">
                  <c:v>3.3552380952380951</c:v>
                </c:pt>
                <c:pt idx="20">
                  <c:v>3.5200000000000005</c:v>
                </c:pt>
                <c:pt idx="21">
                  <c:v>3.9460869565217389</c:v>
                </c:pt>
                <c:pt idx="22">
                  <c:v>4.1633333333333331</c:v>
                </c:pt>
                <c:pt idx="23">
                  <c:v>4.3166666666666673</c:v>
                </c:pt>
                <c:pt idx="24">
                  <c:v>4.5581818181818186</c:v>
                </c:pt>
                <c:pt idx="25">
                  <c:v>5.2494999999999994</c:v>
                </c:pt>
                <c:pt idx="26">
                  <c:v>5.1186363636363632</c:v>
                </c:pt>
                <c:pt idx="27">
                  <c:v>4.8926315789473698</c:v>
                </c:pt>
                <c:pt idx="28">
                  <c:v>4.5140909090909096</c:v>
                </c:pt>
                <c:pt idx="29">
                  <c:v>4.2939999999999987</c:v>
                </c:pt>
                <c:pt idx="30">
                  <c:v>4.176842105263157</c:v>
                </c:pt>
                <c:pt idx="31">
                  <c:v>4.0954545454545448</c:v>
                </c:pt>
                <c:pt idx="32">
                  <c:v>4.0809999999999995</c:v>
                </c:pt>
                <c:pt idx="33">
                  <c:v>4.0213636363636347</c:v>
                </c:pt>
                <c:pt idx="34">
                  <c:v>3.8852631578947365</c:v>
                </c:pt>
                <c:pt idx="35">
                  <c:v>3.9704761904761909</c:v>
                </c:pt>
                <c:pt idx="36">
                  <c:v>4.2566666666666659</c:v>
                </c:pt>
                <c:pt idx="37">
                  <c:v>4.3599999999999994</c:v>
                </c:pt>
                <c:pt idx="38">
                  <c:v>4.3081818181818186</c:v>
                </c:pt>
                <c:pt idx="39">
                  <c:v>4.2669999999999986</c:v>
                </c:pt>
                <c:pt idx="40">
                  <c:v>4.3621739130434767</c:v>
                </c:pt>
                <c:pt idx="41">
                  <c:v>4.3585714285714294</c:v>
                </c:pt>
                <c:pt idx="42">
                  <c:v>4.3866666666666667</c:v>
                </c:pt>
                <c:pt idx="43">
                  <c:v>4.1868181818181816</c:v>
                </c:pt>
                <c:pt idx="44">
                  <c:v>3.9457142857142857</c:v>
                </c:pt>
                <c:pt idx="45">
                  <c:v>4.019473684210527</c:v>
                </c:pt>
                <c:pt idx="46">
                  <c:v>4.1949999999999994</c:v>
                </c:pt>
                <c:pt idx="47">
                  <c:v>4.3444999999999983</c:v>
                </c:pt>
                <c:pt idx="48">
                  <c:v>4.9304761904761909</c:v>
                </c:pt>
                <c:pt idx="49">
                  <c:v>4.9039130434782612</c:v>
                </c:pt>
                <c:pt idx="50">
                  <c:v>4.5764999999999993</c:v>
                </c:pt>
                <c:pt idx="51">
                  <c:v>4.5929999999999991</c:v>
                </c:pt>
                <c:pt idx="52">
                  <c:v>4.3039130434782598</c:v>
                </c:pt>
                <c:pt idx="53">
                  <c:v>4.0452631578947358</c:v>
                </c:pt>
                <c:pt idx="54">
                  <c:v>3.7394999999999996</c:v>
                </c:pt>
                <c:pt idx="55">
                  <c:v>3.3875000000000002</c:v>
                </c:pt>
                <c:pt idx="56">
                  <c:v>3.1909999999999998</c:v>
                </c:pt>
                <c:pt idx="57">
                  <c:v>3.0318181818181826</c:v>
                </c:pt>
                <c:pt idx="58">
                  <c:v>3.1545000000000001</c:v>
                </c:pt>
                <c:pt idx="59">
                  <c:v>3.2978947368421059</c:v>
                </c:pt>
                <c:pt idx="60">
                  <c:v>3.4968181818181829</c:v>
                </c:pt>
                <c:pt idx="61">
                  <c:v>3.4013043478260858</c:v>
                </c:pt>
                <c:pt idx="62">
                  <c:v>3.4033333333333333</c:v>
                </c:pt>
                <c:pt idx="63">
                  <c:v>3.157</c:v>
                </c:pt>
                <c:pt idx="64">
                  <c:v>3.0063636363636359</c:v>
                </c:pt>
                <c:pt idx="65">
                  <c:v>2.883</c:v>
                </c:pt>
                <c:pt idx="66">
                  <c:v>2.7642857142857147</c:v>
                </c:pt>
                <c:pt idx="67">
                  <c:v>2.6447368421052637</c:v>
                </c:pt>
                <c:pt idx="68">
                  <c:v>2.5629999999999997</c:v>
                </c:pt>
                <c:pt idx="69">
                  <c:v>2.4808695652173913</c:v>
                </c:pt>
                <c:pt idx="70">
                  <c:v>2.3815</c:v>
                </c:pt>
                <c:pt idx="71">
                  <c:v>2.2561904761904761</c:v>
                </c:pt>
                <c:pt idx="72">
                  <c:v>2.2759090909090913</c:v>
                </c:pt>
                <c:pt idx="73">
                  <c:v>2.3590476190476188</c:v>
                </c:pt>
                <c:pt idx="74">
                  <c:v>2.2263636363636365</c:v>
                </c:pt>
                <c:pt idx="75">
                  <c:v>2.2795000000000005</c:v>
                </c:pt>
                <c:pt idx="76">
                  <c:v>2.3628571428571425</c:v>
                </c:pt>
                <c:pt idx="77">
                  <c:v>2.4400000000000008</c:v>
                </c:pt>
                <c:pt idx="78">
                  <c:v>2.5363636363636362</c:v>
                </c:pt>
                <c:pt idx="79">
                  <c:v>2.6119999999999997</c:v>
                </c:pt>
                <c:pt idx="80">
                  <c:v>2.6905000000000001</c:v>
                </c:pt>
                <c:pt idx="81">
                  <c:v>2.9221739130434785</c:v>
                </c:pt>
                <c:pt idx="82">
                  <c:v>3.1189473684210522</c:v>
                </c:pt>
                <c:pt idx="83">
                  <c:v>3.0336363636363632</c:v>
                </c:pt>
                <c:pt idx="84">
                  <c:v>2.9422727272727269</c:v>
                </c:pt>
                <c:pt idx="85">
                  <c:v>2.9489999999999998</c:v>
                </c:pt>
                <c:pt idx="86">
                  <c:v>2.8322727272727271</c:v>
                </c:pt>
                <c:pt idx="87">
                  <c:v>2.7139999999999995</c:v>
                </c:pt>
                <c:pt idx="88">
                  <c:v>2.7833333333333332</c:v>
                </c:pt>
                <c:pt idx="89">
                  <c:v>2.9835000000000003</c:v>
                </c:pt>
                <c:pt idx="90">
                  <c:v>3.2433333333333332</c:v>
                </c:pt>
                <c:pt idx="91">
                  <c:v>3.28</c:v>
                </c:pt>
                <c:pt idx="92">
                  <c:v>2.9442857142857144</c:v>
                </c:pt>
                <c:pt idx="93">
                  <c:v>2.4899999999999998</c:v>
                </c:pt>
                <c:pt idx="94">
                  <c:v>2.0657894736842111</c:v>
                </c:pt>
                <c:pt idx="95">
                  <c:v>1.9147619047619049</c:v>
                </c:pt>
                <c:pt idx="96">
                  <c:v>2.0861904761904762</c:v>
                </c:pt>
                <c:pt idx="97">
                  <c:v>1.8523809523809527</c:v>
                </c:pt>
                <c:pt idx="98">
                  <c:v>1.6209090909090911</c:v>
                </c:pt>
                <c:pt idx="99">
                  <c:v>1.3405</c:v>
                </c:pt>
                <c:pt idx="100">
                  <c:v>1.267391304347826</c:v>
                </c:pt>
                <c:pt idx="101">
                  <c:v>1.0680952380952382</c:v>
                </c:pt>
                <c:pt idx="102">
                  <c:v>0.75555555555555565</c:v>
                </c:pt>
                <c:pt idx="103">
                  <c:v>0.80045454545454564</c:v>
                </c:pt>
                <c:pt idx="104">
                  <c:v>0.98000000000000009</c:v>
                </c:pt>
                <c:pt idx="105">
                  <c:v>1.0399999999999998</c:v>
                </c:pt>
                <c:pt idx="106">
                  <c:v>0.94857142857142862</c:v>
                </c:pt>
                <c:pt idx="107">
                  <c:v>0.79571428571428571</c:v>
                </c:pt>
                <c:pt idx="108">
                  <c:v>0.91649999999999987</c:v>
                </c:pt>
                <c:pt idx="109">
                  <c:v>0.98272727272727278</c:v>
                </c:pt>
                <c:pt idx="110">
                  <c:v>0.93857142857142839</c:v>
                </c:pt>
                <c:pt idx="111">
                  <c:v>1.0014285714285713</c:v>
                </c:pt>
                <c:pt idx="112">
                  <c:v>0.97739130434782628</c:v>
                </c:pt>
                <c:pt idx="113">
                  <c:v>0.87099999999999989</c:v>
                </c:pt>
                <c:pt idx="114">
                  <c:v>0.86473684210526292</c:v>
                </c:pt>
                <c:pt idx="115">
                  <c:v>0.86571428571428566</c:v>
                </c:pt>
                <c:pt idx="116">
                  <c:v>0.75049999999999983</c:v>
                </c:pt>
                <c:pt idx="117">
                  <c:v>0.61904761904761918</c:v>
                </c:pt>
                <c:pt idx="118">
                  <c:v>0.54249999999999998</c:v>
                </c:pt>
                <c:pt idx="119">
                  <c:v>0.45700000000000013</c:v>
                </c:pt>
                <c:pt idx="120">
                  <c:v>0.36952380952380953</c:v>
                </c:pt>
                <c:pt idx="121">
                  <c:v>0.30173913043478262</c:v>
                </c:pt>
                <c:pt idx="122">
                  <c:v>0.24250000000000002</c:v>
                </c:pt>
                <c:pt idx="123">
                  <c:v>8.8000000000000037E-2</c:v>
                </c:pt>
                <c:pt idx="124">
                  <c:v>8.0000000000000029E-2</c:v>
                </c:pt>
                <c:pt idx="125">
                  <c:v>0.15526315789473685</c:v>
                </c:pt>
                <c:pt idx="126">
                  <c:v>0.20105263157894737</c:v>
                </c:pt>
                <c:pt idx="127">
                  <c:v>0.152</c:v>
                </c:pt>
                <c:pt idx="128">
                  <c:v>6.900000000000002E-2</c:v>
                </c:pt>
                <c:pt idx="129">
                  <c:v>1.6818181818181815E-2</c:v>
                </c:pt>
                <c:pt idx="130">
                  <c:v>9.999999999999998E-4</c:v>
                </c:pt>
                <c:pt idx="131">
                  <c:v>6.6842105263157911E-2</c:v>
                </c:pt>
                <c:pt idx="132">
                  <c:v>0.14181818181818182</c:v>
                </c:pt>
                <c:pt idx="133">
                  <c:v>9.3043478260869547E-2</c:v>
                </c:pt>
                <c:pt idx="134">
                  <c:v>-1.5238095238095236E-2</c:v>
                </c:pt>
                <c:pt idx="135">
                  <c:v>-3.4500000000000003E-2</c:v>
                </c:pt>
                <c:pt idx="136">
                  <c:v>-9.1363636363636369E-2</c:v>
                </c:pt>
                <c:pt idx="137">
                  <c:v>-8.4761904761904788E-2</c:v>
                </c:pt>
                <c:pt idx="138">
                  <c:v>-7.0000000000000021E-2</c:v>
                </c:pt>
                <c:pt idx="139">
                  <c:v>-0.16333333333333333</c:v>
                </c:pt>
                <c:pt idx="140">
                  <c:v>-0.21190476190476196</c:v>
                </c:pt>
                <c:pt idx="141">
                  <c:v>-0.24000000000000002</c:v>
                </c:pt>
                <c:pt idx="142">
                  <c:v>-0.21571428571428572</c:v>
                </c:pt>
                <c:pt idx="143">
                  <c:v>-0.23363636363636367</c:v>
                </c:pt>
                <c:pt idx="144">
                  <c:v>-0.34090909090909088</c:v>
                </c:pt>
                <c:pt idx="145">
                  <c:v>-0.39190476190476192</c:v>
                </c:pt>
                <c:pt idx="146">
                  <c:v>-0.39173913043478259</c:v>
                </c:pt>
                <c:pt idx="147">
                  <c:v>-0.4186363636363637</c:v>
                </c:pt>
                <c:pt idx="148">
                  <c:v>-0.45428571428571424</c:v>
                </c:pt>
                <c:pt idx="149">
                  <c:v>-0.41136363636363638</c:v>
                </c:pt>
                <c:pt idx="150">
                  <c:v>-0.49181818181818182</c:v>
                </c:pt>
                <c:pt idx="151">
                  <c:v>-0.50590909090909086</c:v>
                </c:pt>
                <c:pt idx="152">
                  <c:v>-0.55599999999999994</c:v>
                </c:pt>
                <c:pt idx="153">
                  <c:v>-0.51347826086956516</c:v>
                </c:pt>
                <c:pt idx="154">
                  <c:v>-0.56600000000000006</c:v>
                </c:pt>
                <c:pt idx="155">
                  <c:v>-0.52521739130434775</c:v>
                </c:pt>
                <c:pt idx="156">
                  <c:v>-0.56909090909090898</c:v>
                </c:pt>
                <c:pt idx="157">
                  <c:v>-0.48238095238095235</c:v>
                </c:pt>
                <c:pt idx="158">
                  <c:v>-0.5865217391304347</c:v>
                </c:pt>
                <c:pt idx="159">
                  <c:v>-0.60238095238095235</c:v>
                </c:pt>
                <c:pt idx="160">
                  <c:v>-0.62181818181818194</c:v>
                </c:pt>
                <c:pt idx="161">
                  <c:v>-0.65454545454545454</c:v>
                </c:pt>
                <c:pt idx="162">
                  <c:v>-0.63190476190476175</c:v>
                </c:pt>
                <c:pt idx="163">
                  <c:v>-0.56130434782608696</c:v>
                </c:pt>
                <c:pt idx="164">
                  <c:v>-0.47000000000000003</c:v>
                </c:pt>
                <c:pt idx="165">
                  <c:v>-0.51318181818181796</c:v>
                </c:pt>
                <c:pt idx="166">
                  <c:v>-0.50190476190476185</c:v>
                </c:pt>
                <c:pt idx="167">
                  <c:v>-0.46565217391304342</c:v>
                </c:pt>
                <c:pt idx="168">
                  <c:v>-0.41523809523809529</c:v>
                </c:pt>
                <c:pt idx="169">
                  <c:v>-0.36136363636363639</c:v>
                </c:pt>
                <c:pt idx="170">
                  <c:v>-0.31130434782608696</c:v>
                </c:pt>
                <c:pt idx="171">
                  <c:v>-0.28349999999999997</c:v>
                </c:pt>
                <c:pt idx="172">
                  <c:v>3.3913043478260879E-2</c:v>
                </c:pt>
                <c:pt idx="173">
                  <c:v>-4.5454545454545461E-3</c:v>
                </c:pt>
                <c:pt idx="174">
                  <c:v>-3.8571428571428583E-2</c:v>
                </c:pt>
                <c:pt idx="175">
                  <c:v>-0.12086956521739134</c:v>
                </c:pt>
                <c:pt idx="176">
                  <c:v>-0.42699999999999994</c:v>
                </c:pt>
                <c:pt idx="177">
                  <c:v>-0.30714285714285716</c:v>
                </c:pt>
                <c:pt idx="178">
                  <c:v>-0.40227272727272734</c:v>
                </c:pt>
                <c:pt idx="179">
                  <c:v>-0.52347826086956528</c:v>
                </c:pt>
                <c:pt idx="180">
                  <c:v>-0.62549999999999983</c:v>
                </c:pt>
                <c:pt idx="181">
                  <c:v>-0.68434782608695632</c:v>
                </c:pt>
                <c:pt idx="182">
                  <c:v>-0.76272727272727281</c:v>
                </c:pt>
                <c:pt idx="183">
                  <c:v>-0.67285714285714293</c:v>
                </c:pt>
                <c:pt idx="184">
                  <c:v>-0.54347826086956519</c:v>
                </c:pt>
                <c:pt idx="185">
                  <c:v>-0.42523809523809514</c:v>
                </c:pt>
                <c:pt idx="186">
                  <c:v>-0.38272727272727286</c:v>
                </c:pt>
                <c:pt idx="187">
                  <c:v>-0.3908695652173913</c:v>
                </c:pt>
                <c:pt idx="188">
                  <c:v>-0.46799999999999997</c:v>
                </c:pt>
                <c:pt idx="189">
                  <c:v>-0.37727272727272732</c:v>
                </c:pt>
                <c:pt idx="190">
                  <c:v>-0.17363636363636362</c:v>
                </c:pt>
                <c:pt idx="191">
                  <c:v>-0.18380952380952381</c:v>
                </c:pt>
                <c:pt idx="192">
                  <c:v>-0.28272727272727277</c:v>
                </c:pt>
                <c:pt idx="193">
                  <c:v>-0.3982608695652175</c:v>
                </c:pt>
                <c:pt idx="194">
                  <c:v>-0.51285714285714279</c:v>
                </c:pt>
                <c:pt idx="195">
                  <c:v>-0.56500000000000006</c:v>
                </c:pt>
                <c:pt idx="196">
                  <c:v>-0.61772727272727268</c:v>
                </c:pt>
                <c:pt idx="197">
                  <c:v>-0.62285714285714266</c:v>
                </c:pt>
                <c:pt idx="198">
                  <c:v>-0.66043478260869548</c:v>
                </c:pt>
                <c:pt idx="199">
                  <c:v>-0.6071428571428571</c:v>
                </c:pt>
                <c:pt idx="200">
                  <c:v>-0.62099999999999989</c:v>
                </c:pt>
                <c:pt idx="201">
                  <c:v>-0.59434782608695647</c:v>
                </c:pt>
                <c:pt idx="202">
                  <c:v>-0.57909090909090921</c:v>
                </c:pt>
                <c:pt idx="203">
                  <c:v>-0.52095238095238106</c:v>
                </c:pt>
                <c:pt idx="204">
                  <c:v>-0.60363636363636353</c:v>
                </c:pt>
                <c:pt idx="205">
                  <c:v>-0.6736363636363637</c:v>
                </c:pt>
                <c:pt idx="206">
                  <c:v>-0.71363636363636374</c:v>
                </c:pt>
                <c:pt idx="207">
                  <c:v>-0.59181818181818191</c:v>
                </c:pt>
              </c:numCache>
            </c:numRef>
          </c:val>
          <c:smooth val="0"/>
          <c:extLst>
            <c:ext xmlns:c16="http://schemas.microsoft.com/office/drawing/2014/chart" uri="{C3380CC4-5D6E-409C-BE32-E72D297353CC}">
              <c16:uniqueId val="{00000001-EED3-4583-A4F0-01EB0FE55A35}"/>
            </c:ext>
          </c:extLst>
        </c:ser>
        <c:ser>
          <c:idx val="0"/>
          <c:order val="2"/>
          <c:tx>
            <c:strRef>
              <c:f>Hárok2!$E$2</c:f>
              <c:strCache>
                <c:ptCount val="1"/>
                <c:pt idx="0">
                  <c:v>10-ročný</c:v>
                </c:pt>
              </c:strCache>
            </c:strRef>
          </c:tx>
          <c:spPr>
            <a:ln w="19050">
              <a:solidFill>
                <a:srgbClr val="2C9ADC"/>
              </a:solidFill>
              <a:prstDash val="solid"/>
            </a:ln>
          </c:spPr>
          <c:marker>
            <c:symbol val="none"/>
          </c:marker>
          <c:dPt>
            <c:idx val="2"/>
            <c:bubble3D val="0"/>
            <c:extLst>
              <c:ext xmlns:c16="http://schemas.microsoft.com/office/drawing/2014/chart" uri="{C3380CC4-5D6E-409C-BE32-E72D297353CC}">
                <c16:uniqueId val="{00000002-EED3-4583-A4F0-01EB0FE55A35}"/>
              </c:ext>
            </c:extLst>
          </c:dPt>
          <c:cat>
            <c:numRef>
              <c:f>Hárok2!$A$20:$A$227</c:f>
              <c:numCache>
                <c:formatCode>m/d/yyyy</c:formatCode>
                <c:ptCount val="208"/>
                <c:pt idx="0">
                  <c:v>38139</c:v>
                </c:pt>
                <c:pt idx="1">
                  <c:v>38169</c:v>
                </c:pt>
                <c:pt idx="2">
                  <c:v>38200</c:v>
                </c:pt>
                <c:pt idx="3">
                  <c:v>38231</c:v>
                </c:pt>
                <c:pt idx="4">
                  <c:v>38261</c:v>
                </c:pt>
                <c:pt idx="5">
                  <c:v>38292</c:v>
                </c:pt>
                <c:pt idx="6">
                  <c:v>38322</c:v>
                </c:pt>
                <c:pt idx="7">
                  <c:v>38353</c:v>
                </c:pt>
                <c:pt idx="8">
                  <c:v>38384</c:v>
                </c:pt>
                <c:pt idx="9">
                  <c:v>38412</c:v>
                </c:pt>
                <c:pt idx="10">
                  <c:v>38443</c:v>
                </c:pt>
                <c:pt idx="11">
                  <c:v>38473</c:v>
                </c:pt>
                <c:pt idx="12">
                  <c:v>38504</c:v>
                </c:pt>
                <c:pt idx="13">
                  <c:v>38534</c:v>
                </c:pt>
                <c:pt idx="14">
                  <c:v>38565</c:v>
                </c:pt>
                <c:pt idx="15">
                  <c:v>38596</c:v>
                </c:pt>
                <c:pt idx="16">
                  <c:v>38626</c:v>
                </c:pt>
                <c:pt idx="17">
                  <c:v>38657</c:v>
                </c:pt>
                <c:pt idx="18">
                  <c:v>38687</c:v>
                </c:pt>
                <c:pt idx="19">
                  <c:v>38718</c:v>
                </c:pt>
                <c:pt idx="20">
                  <c:v>38749</c:v>
                </c:pt>
                <c:pt idx="21">
                  <c:v>38777</c:v>
                </c:pt>
                <c:pt idx="22">
                  <c:v>38808</c:v>
                </c:pt>
                <c:pt idx="23">
                  <c:v>38838</c:v>
                </c:pt>
                <c:pt idx="24">
                  <c:v>38869</c:v>
                </c:pt>
                <c:pt idx="25">
                  <c:v>38899</c:v>
                </c:pt>
                <c:pt idx="26">
                  <c:v>38930</c:v>
                </c:pt>
                <c:pt idx="27">
                  <c:v>38961</c:v>
                </c:pt>
                <c:pt idx="28">
                  <c:v>38991</c:v>
                </c:pt>
                <c:pt idx="29">
                  <c:v>39022</c:v>
                </c:pt>
                <c:pt idx="30">
                  <c:v>39052</c:v>
                </c:pt>
                <c:pt idx="31">
                  <c:v>39083</c:v>
                </c:pt>
                <c:pt idx="32">
                  <c:v>39114</c:v>
                </c:pt>
                <c:pt idx="33">
                  <c:v>39142</c:v>
                </c:pt>
                <c:pt idx="34">
                  <c:v>39173</c:v>
                </c:pt>
                <c:pt idx="35">
                  <c:v>39203</c:v>
                </c:pt>
                <c:pt idx="36">
                  <c:v>39234</c:v>
                </c:pt>
                <c:pt idx="37">
                  <c:v>39264</c:v>
                </c:pt>
                <c:pt idx="38">
                  <c:v>39295</c:v>
                </c:pt>
                <c:pt idx="39">
                  <c:v>39326</c:v>
                </c:pt>
                <c:pt idx="40">
                  <c:v>39356</c:v>
                </c:pt>
                <c:pt idx="41">
                  <c:v>39387</c:v>
                </c:pt>
                <c:pt idx="42">
                  <c:v>39417</c:v>
                </c:pt>
                <c:pt idx="43">
                  <c:v>39448</c:v>
                </c:pt>
                <c:pt idx="44">
                  <c:v>39479</c:v>
                </c:pt>
                <c:pt idx="45">
                  <c:v>39508</c:v>
                </c:pt>
                <c:pt idx="46">
                  <c:v>39539</c:v>
                </c:pt>
                <c:pt idx="47">
                  <c:v>39569</c:v>
                </c:pt>
                <c:pt idx="48">
                  <c:v>39600</c:v>
                </c:pt>
                <c:pt idx="49">
                  <c:v>39630</c:v>
                </c:pt>
                <c:pt idx="50">
                  <c:v>39661</c:v>
                </c:pt>
                <c:pt idx="51">
                  <c:v>39692</c:v>
                </c:pt>
                <c:pt idx="52">
                  <c:v>39722</c:v>
                </c:pt>
                <c:pt idx="53">
                  <c:v>39753</c:v>
                </c:pt>
                <c:pt idx="54">
                  <c:v>39783</c:v>
                </c:pt>
                <c:pt idx="55">
                  <c:v>39814</c:v>
                </c:pt>
                <c:pt idx="56">
                  <c:v>39845</c:v>
                </c:pt>
                <c:pt idx="57">
                  <c:v>39873</c:v>
                </c:pt>
                <c:pt idx="58">
                  <c:v>39904</c:v>
                </c:pt>
                <c:pt idx="59">
                  <c:v>39934</c:v>
                </c:pt>
                <c:pt idx="60">
                  <c:v>39965</c:v>
                </c:pt>
                <c:pt idx="61">
                  <c:v>39995</c:v>
                </c:pt>
                <c:pt idx="62">
                  <c:v>40026</c:v>
                </c:pt>
                <c:pt idx="63">
                  <c:v>40057</c:v>
                </c:pt>
                <c:pt idx="64">
                  <c:v>40087</c:v>
                </c:pt>
                <c:pt idx="65">
                  <c:v>40118</c:v>
                </c:pt>
                <c:pt idx="66">
                  <c:v>40148</c:v>
                </c:pt>
                <c:pt idx="67">
                  <c:v>40179</c:v>
                </c:pt>
                <c:pt idx="68">
                  <c:v>40210</c:v>
                </c:pt>
                <c:pt idx="69">
                  <c:v>40238</c:v>
                </c:pt>
                <c:pt idx="70">
                  <c:v>40269</c:v>
                </c:pt>
                <c:pt idx="71">
                  <c:v>40299</c:v>
                </c:pt>
                <c:pt idx="72">
                  <c:v>40330</c:v>
                </c:pt>
                <c:pt idx="73">
                  <c:v>40360</c:v>
                </c:pt>
                <c:pt idx="74">
                  <c:v>40391</c:v>
                </c:pt>
                <c:pt idx="75">
                  <c:v>40422</c:v>
                </c:pt>
                <c:pt idx="76">
                  <c:v>40452</c:v>
                </c:pt>
                <c:pt idx="77">
                  <c:v>40483</c:v>
                </c:pt>
                <c:pt idx="78">
                  <c:v>40513</c:v>
                </c:pt>
                <c:pt idx="79">
                  <c:v>40544</c:v>
                </c:pt>
                <c:pt idx="80">
                  <c:v>40575</c:v>
                </c:pt>
                <c:pt idx="81">
                  <c:v>40603</c:v>
                </c:pt>
                <c:pt idx="82">
                  <c:v>40634</c:v>
                </c:pt>
                <c:pt idx="83">
                  <c:v>40664</c:v>
                </c:pt>
                <c:pt idx="84">
                  <c:v>40695</c:v>
                </c:pt>
                <c:pt idx="85">
                  <c:v>40725</c:v>
                </c:pt>
                <c:pt idx="86">
                  <c:v>40756</c:v>
                </c:pt>
                <c:pt idx="87">
                  <c:v>40787</c:v>
                </c:pt>
                <c:pt idx="88">
                  <c:v>40817</c:v>
                </c:pt>
                <c:pt idx="89">
                  <c:v>40848</c:v>
                </c:pt>
                <c:pt idx="90">
                  <c:v>40878</c:v>
                </c:pt>
                <c:pt idx="91">
                  <c:v>40909</c:v>
                </c:pt>
                <c:pt idx="92">
                  <c:v>40940</c:v>
                </c:pt>
                <c:pt idx="93">
                  <c:v>40969</c:v>
                </c:pt>
                <c:pt idx="94">
                  <c:v>41000</c:v>
                </c:pt>
                <c:pt idx="95">
                  <c:v>41030</c:v>
                </c:pt>
                <c:pt idx="96">
                  <c:v>41061</c:v>
                </c:pt>
                <c:pt idx="97">
                  <c:v>41091</c:v>
                </c:pt>
                <c:pt idx="98">
                  <c:v>41122</c:v>
                </c:pt>
                <c:pt idx="99">
                  <c:v>41153</c:v>
                </c:pt>
                <c:pt idx="100">
                  <c:v>41183</c:v>
                </c:pt>
                <c:pt idx="101">
                  <c:v>41214</c:v>
                </c:pt>
                <c:pt idx="102">
                  <c:v>41244</c:v>
                </c:pt>
                <c:pt idx="103">
                  <c:v>41275</c:v>
                </c:pt>
                <c:pt idx="104">
                  <c:v>41306</c:v>
                </c:pt>
                <c:pt idx="105">
                  <c:v>41334</c:v>
                </c:pt>
                <c:pt idx="106">
                  <c:v>41365</c:v>
                </c:pt>
                <c:pt idx="107">
                  <c:v>41395</c:v>
                </c:pt>
                <c:pt idx="108">
                  <c:v>41426</c:v>
                </c:pt>
                <c:pt idx="109">
                  <c:v>41456</c:v>
                </c:pt>
                <c:pt idx="110">
                  <c:v>41487</c:v>
                </c:pt>
                <c:pt idx="111">
                  <c:v>41518</c:v>
                </c:pt>
                <c:pt idx="112">
                  <c:v>41548</c:v>
                </c:pt>
                <c:pt idx="113">
                  <c:v>41579</c:v>
                </c:pt>
                <c:pt idx="114">
                  <c:v>41609</c:v>
                </c:pt>
                <c:pt idx="115">
                  <c:v>41640</c:v>
                </c:pt>
                <c:pt idx="116">
                  <c:v>41671</c:v>
                </c:pt>
                <c:pt idx="117">
                  <c:v>41699</c:v>
                </c:pt>
                <c:pt idx="118">
                  <c:v>41730</c:v>
                </c:pt>
                <c:pt idx="119">
                  <c:v>41760</c:v>
                </c:pt>
                <c:pt idx="120">
                  <c:v>41791</c:v>
                </c:pt>
                <c:pt idx="121">
                  <c:v>41821</c:v>
                </c:pt>
                <c:pt idx="122">
                  <c:v>41852</c:v>
                </c:pt>
                <c:pt idx="123">
                  <c:v>41883</c:v>
                </c:pt>
                <c:pt idx="124">
                  <c:v>41913</c:v>
                </c:pt>
                <c:pt idx="125">
                  <c:v>41944</c:v>
                </c:pt>
                <c:pt idx="126">
                  <c:v>41974</c:v>
                </c:pt>
                <c:pt idx="127">
                  <c:v>42005</c:v>
                </c:pt>
                <c:pt idx="128">
                  <c:v>42036</c:v>
                </c:pt>
                <c:pt idx="129">
                  <c:v>42064</c:v>
                </c:pt>
                <c:pt idx="130">
                  <c:v>42095</c:v>
                </c:pt>
                <c:pt idx="131">
                  <c:v>42125</c:v>
                </c:pt>
                <c:pt idx="132">
                  <c:v>42156</c:v>
                </c:pt>
                <c:pt idx="133">
                  <c:v>42186</c:v>
                </c:pt>
                <c:pt idx="134">
                  <c:v>42217</c:v>
                </c:pt>
                <c:pt idx="135">
                  <c:v>42248</c:v>
                </c:pt>
                <c:pt idx="136">
                  <c:v>42278</c:v>
                </c:pt>
                <c:pt idx="137">
                  <c:v>42309</c:v>
                </c:pt>
                <c:pt idx="138">
                  <c:v>42339</c:v>
                </c:pt>
                <c:pt idx="139">
                  <c:v>42370</c:v>
                </c:pt>
                <c:pt idx="140">
                  <c:v>42401</c:v>
                </c:pt>
                <c:pt idx="141">
                  <c:v>42430</c:v>
                </c:pt>
                <c:pt idx="142">
                  <c:v>42461</c:v>
                </c:pt>
                <c:pt idx="143">
                  <c:v>42491</c:v>
                </c:pt>
                <c:pt idx="144">
                  <c:v>42522</c:v>
                </c:pt>
                <c:pt idx="145">
                  <c:v>42552</c:v>
                </c:pt>
                <c:pt idx="146">
                  <c:v>42583</c:v>
                </c:pt>
                <c:pt idx="147">
                  <c:v>42614</c:v>
                </c:pt>
                <c:pt idx="148">
                  <c:v>42644</c:v>
                </c:pt>
                <c:pt idx="149">
                  <c:v>42675</c:v>
                </c:pt>
                <c:pt idx="150">
                  <c:v>42705</c:v>
                </c:pt>
                <c:pt idx="151">
                  <c:v>42736</c:v>
                </c:pt>
                <c:pt idx="152">
                  <c:v>42767</c:v>
                </c:pt>
                <c:pt idx="153">
                  <c:v>42795</c:v>
                </c:pt>
                <c:pt idx="154">
                  <c:v>42826</c:v>
                </c:pt>
                <c:pt idx="155">
                  <c:v>42856</c:v>
                </c:pt>
                <c:pt idx="156">
                  <c:v>42887</c:v>
                </c:pt>
                <c:pt idx="157">
                  <c:v>42917</c:v>
                </c:pt>
                <c:pt idx="158">
                  <c:v>42948</c:v>
                </c:pt>
                <c:pt idx="159">
                  <c:v>42979</c:v>
                </c:pt>
                <c:pt idx="160">
                  <c:v>43009</c:v>
                </c:pt>
                <c:pt idx="161">
                  <c:v>43040</c:v>
                </c:pt>
                <c:pt idx="162">
                  <c:v>43070</c:v>
                </c:pt>
                <c:pt idx="163">
                  <c:v>43101</c:v>
                </c:pt>
                <c:pt idx="164">
                  <c:v>43132</c:v>
                </c:pt>
                <c:pt idx="165">
                  <c:v>43160</c:v>
                </c:pt>
                <c:pt idx="166">
                  <c:v>43191</c:v>
                </c:pt>
                <c:pt idx="167">
                  <c:v>43221</c:v>
                </c:pt>
                <c:pt idx="168">
                  <c:v>43252</c:v>
                </c:pt>
                <c:pt idx="169">
                  <c:v>43282</c:v>
                </c:pt>
                <c:pt idx="170">
                  <c:v>43313</c:v>
                </c:pt>
                <c:pt idx="171">
                  <c:v>43344</c:v>
                </c:pt>
                <c:pt idx="172">
                  <c:v>43374</c:v>
                </c:pt>
                <c:pt idx="173">
                  <c:v>43405</c:v>
                </c:pt>
                <c:pt idx="174">
                  <c:v>43435</c:v>
                </c:pt>
                <c:pt idx="175">
                  <c:v>43466</c:v>
                </c:pt>
                <c:pt idx="176">
                  <c:v>43497</c:v>
                </c:pt>
                <c:pt idx="177">
                  <c:v>43525</c:v>
                </c:pt>
                <c:pt idx="178">
                  <c:v>43556</c:v>
                </c:pt>
                <c:pt idx="179">
                  <c:v>43586</c:v>
                </c:pt>
                <c:pt idx="180">
                  <c:v>43617</c:v>
                </c:pt>
                <c:pt idx="181">
                  <c:v>43647</c:v>
                </c:pt>
                <c:pt idx="182">
                  <c:v>43678</c:v>
                </c:pt>
                <c:pt idx="183">
                  <c:v>43709</c:v>
                </c:pt>
                <c:pt idx="184">
                  <c:v>43739</c:v>
                </c:pt>
                <c:pt idx="185">
                  <c:v>43770</c:v>
                </c:pt>
                <c:pt idx="186">
                  <c:v>43800</c:v>
                </c:pt>
                <c:pt idx="187">
                  <c:v>43831</c:v>
                </c:pt>
                <c:pt idx="188">
                  <c:v>43862</c:v>
                </c:pt>
                <c:pt idx="189">
                  <c:v>43891</c:v>
                </c:pt>
                <c:pt idx="190">
                  <c:v>43922</c:v>
                </c:pt>
                <c:pt idx="191">
                  <c:v>43952</c:v>
                </c:pt>
                <c:pt idx="192">
                  <c:v>43983</c:v>
                </c:pt>
                <c:pt idx="193">
                  <c:v>44013</c:v>
                </c:pt>
                <c:pt idx="194">
                  <c:v>44044</c:v>
                </c:pt>
                <c:pt idx="195">
                  <c:v>44075</c:v>
                </c:pt>
                <c:pt idx="196">
                  <c:v>44105</c:v>
                </c:pt>
                <c:pt idx="197">
                  <c:v>44136</c:v>
                </c:pt>
                <c:pt idx="198">
                  <c:v>44166</c:v>
                </c:pt>
                <c:pt idx="199">
                  <c:v>44197</c:v>
                </c:pt>
                <c:pt idx="200">
                  <c:v>44228</c:v>
                </c:pt>
                <c:pt idx="201">
                  <c:v>44256</c:v>
                </c:pt>
                <c:pt idx="202">
                  <c:v>44287</c:v>
                </c:pt>
                <c:pt idx="203">
                  <c:v>44317</c:v>
                </c:pt>
                <c:pt idx="204">
                  <c:v>44348</c:v>
                </c:pt>
                <c:pt idx="205">
                  <c:v>44378</c:v>
                </c:pt>
                <c:pt idx="206">
                  <c:v>44409</c:v>
                </c:pt>
                <c:pt idx="207">
                  <c:v>44440</c:v>
                </c:pt>
              </c:numCache>
            </c:numRef>
          </c:cat>
          <c:val>
            <c:numRef>
              <c:f>Hárok2!$E$20:$E$227</c:f>
              <c:numCache>
                <c:formatCode>General</c:formatCode>
                <c:ptCount val="208"/>
                <c:pt idx="0">
                  <c:v>5.0572727272727276</c:v>
                </c:pt>
                <c:pt idx="1">
                  <c:v>5.0342857142857138</c:v>
                </c:pt>
                <c:pt idx="2">
                  <c:v>5.088181818181817</c:v>
                </c:pt>
                <c:pt idx="3">
                  <c:v>5.0890000000000004</c:v>
                </c:pt>
                <c:pt idx="4">
                  <c:v>5.1466666666666665</c:v>
                </c:pt>
                <c:pt idx="5">
                  <c:v>4.9664999999999999</c:v>
                </c:pt>
                <c:pt idx="6">
                  <c:v>4.587727272727272</c:v>
                </c:pt>
                <c:pt idx="7">
                  <c:v>4.1790000000000012</c:v>
                </c:pt>
                <c:pt idx="8">
                  <c:v>3.7945000000000002</c:v>
                </c:pt>
                <c:pt idx="9">
                  <c:v>3.7504761904761907</c:v>
                </c:pt>
                <c:pt idx="10">
                  <c:v>3.9371428571428559</c:v>
                </c:pt>
                <c:pt idx="11">
                  <c:v>3.7118181818181828</c:v>
                </c:pt>
                <c:pt idx="12">
                  <c:v>3.4731818181818186</c:v>
                </c:pt>
                <c:pt idx="13">
                  <c:v>3.3679999999999999</c:v>
                </c:pt>
                <c:pt idx="14">
                  <c:v>3.3954545454545464</c:v>
                </c:pt>
                <c:pt idx="15">
                  <c:v>3.2610000000000001</c:v>
                </c:pt>
                <c:pt idx="16">
                  <c:v>3.3509523809523811</c:v>
                </c:pt>
                <c:pt idx="17">
                  <c:v>3.6780000000000008</c:v>
                </c:pt>
                <c:pt idx="18">
                  <c:v>3.677142857142857</c:v>
                </c:pt>
                <c:pt idx="19">
                  <c:v>3.6066666666666665</c:v>
                </c:pt>
                <c:pt idx="20">
                  <c:v>3.8259999999999996</c:v>
                </c:pt>
                <c:pt idx="21">
                  <c:v>4.0856521739130427</c:v>
                </c:pt>
                <c:pt idx="22">
                  <c:v>4.2488888888888887</c:v>
                </c:pt>
                <c:pt idx="23">
                  <c:v>4.4552380952380943</c:v>
                </c:pt>
                <c:pt idx="24">
                  <c:v>4.6122727272727282</c:v>
                </c:pt>
                <c:pt idx="25">
                  <c:v>5.1879999999999997</c:v>
                </c:pt>
                <c:pt idx="26">
                  <c:v>4.9318181818181808</c:v>
                </c:pt>
                <c:pt idx="27">
                  <c:v>4.6500000000000012</c:v>
                </c:pt>
                <c:pt idx="28">
                  <c:v>4.2940909090909098</c:v>
                </c:pt>
                <c:pt idx="29">
                  <c:v>4.1249999999999991</c:v>
                </c:pt>
                <c:pt idx="30">
                  <c:v>4.0947368421052639</c:v>
                </c:pt>
                <c:pt idx="31">
                  <c:v>4.2031818181818181</c:v>
                </c:pt>
                <c:pt idx="32">
                  <c:v>4.2654999999999985</c:v>
                </c:pt>
                <c:pt idx="33">
                  <c:v>4.2213636363636367</c:v>
                </c:pt>
                <c:pt idx="34">
                  <c:v>4.2557894736842101</c:v>
                </c:pt>
                <c:pt idx="35">
                  <c:v>4.4376190476190471</c:v>
                </c:pt>
                <c:pt idx="36">
                  <c:v>4.6804761904761891</c:v>
                </c:pt>
                <c:pt idx="37">
                  <c:v>4.7061904761904758</c:v>
                </c:pt>
                <c:pt idx="38">
                  <c:v>4.662272727272728</c:v>
                </c:pt>
                <c:pt idx="39">
                  <c:v>4.5860000000000003</c:v>
                </c:pt>
                <c:pt idx="40">
                  <c:v>4.6491304347826077</c:v>
                </c:pt>
                <c:pt idx="41">
                  <c:v>4.5923809523809531</c:v>
                </c:pt>
                <c:pt idx="42">
                  <c:v>4.5299999999999994</c:v>
                </c:pt>
                <c:pt idx="43">
                  <c:v>4.38</c:v>
                </c:pt>
                <c:pt idx="44">
                  <c:v>4.3423809523809522</c:v>
                </c:pt>
                <c:pt idx="45">
                  <c:v>4.3142105263157893</c:v>
                </c:pt>
                <c:pt idx="46">
                  <c:v>4.4799999999999986</c:v>
                </c:pt>
                <c:pt idx="47">
                  <c:v>4.5419999999999998</c:v>
                </c:pt>
                <c:pt idx="48">
                  <c:v>4.7804761904761897</c:v>
                </c:pt>
                <c:pt idx="49">
                  <c:v>4.9617391304347818</c:v>
                </c:pt>
                <c:pt idx="50">
                  <c:v>4.7084999999999999</c:v>
                </c:pt>
                <c:pt idx="51">
                  <c:v>4.8114999999999997</c:v>
                </c:pt>
                <c:pt idx="52">
                  <c:v>4.7360869565217385</c:v>
                </c:pt>
                <c:pt idx="53">
                  <c:v>4.7031578947368429</c:v>
                </c:pt>
                <c:pt idx="54">
                  <c:v>4.5445000000000002</c:v>
                </c:pt>
                <c:pt idx="55">
                  <c:v>4.5705000000000009</c:v>
                </c:pt>
                <c:pt idx="56">
                  <c:v>4.7715000000000014</c:v>
                </c:pt>
                <c:pt idx="57">
                  <c:v>4.8072727272727285</c:v>
                </c:pt>
                <c:pt idx="58">
                  <c:v>5.0545</c:v>
                </c:pt>
                <c:pt idx="59">
                  <c:v>5.5278947368421045</c:v>
                </c:pt>
                <c:pt idx="60">
                  <c:v>5.6522727272727264</c:v>
                </c:pt>
                <c:pt idx="61">
                  <c:v>5.5630434782608686</c:v>
                </c:pt>
                <c:pt idx="62">
                  <c:v>5.0747619047619041</c:v>
                </c:pt>
                <c:pt idx="63">
                  <c:v>4.7275</c:v>
                </c:pt>
                <c:pt idx="64">
                  <c:v>4.4859090909090904</c:v>
                </c:pt>
                <c:pt idx="65">
                  <c:v>4.431</c:v>
                </c:pt>
                <c:pt idx="66">
                  <c:v>4.4657142857142862</c:v>
                </c:pt>
                <c:pt idx="67">
                  <c:v>4.3921052631578945</c:v>
                </c:pt>
                <c:pt idx="68">
                  <c:v>4.3795000000000011</c:v>
                </c:pt>
                <c:pt idx="69">
                  <c:v>4.2834782608695656</c:v>
                </c:pt>
                <c:pt idx="70">
                  <c:v>4.1959999999999997</c:v>
                </c:pt>
                <c:pt idx="71">
                  <c:v>4.0980952380952385</c:v>
                </c:pt>
                <c:pt idx="72">
                  <c:v>4.1059090909090905</c:v>
                </c:pt>
                <c:pt idx="73">
                  <c:v>4.0119047619047619</c:v>
                </c:pt>
                <c:pt idx="74">
                  <c:v>3.794545454545454</c:v>
                </c:pt>
                <c:pt idx="75">
                  <c:v>3.7785000000000002</c:v>
                </c:pt>
                <c:pt idx="76">
                  <c:v>3.8966666666666674</c:v>
                </c:pt>
                <c:pt idx="77">
                  <c:v>4.1579999999999986</c:v>
                </c:pt>
                <c:pt idx="78">
                  <c:v>4.3827272727272737</c:v>
                </c:pt>
                <c:pt idx="79">
                  <c:v>4.4874999999999998</c:v>
                </c:pt>
                <c:pt idx="80">
                  <c:v>4.5850000000000009</c:v>
                </c:pt>
                <c:pt idx="81">
                  <c:v>4.62</c:v>
                </c:pt>
                <c:pt idx="82">
                  <c:v>4.6957894736842114</c:v>
                </c:pt>
                <c:pt idx="83">
                  <c:v>4.6309090909090918</c:v>
                </c:pt>
                <c:pt idx="84">
                  <c:v>4.6313636363636368</c:v>
                </c:pt>
                <c:pt idx="85">
                  <c:v>4.6844999999999999</c:v>
                </c:pt>
                <c:pt idx="86">
                  <c:v>4.6840909090909104</c:v>
                </c:pt>
                <c:pt idx="87">
                  <c:v>4.5489999999999995</c:v>
                </c:pt>
                <c:pt idx="88">
                  <c:v>4.6223809523809525</c:v>
                </c:pt>
                <c:pt idx="89">
                  <c:v>5.2275</c:v>
                </c:pt>
                <c:pt idx="90">
                  <c:v>5.8761904761904757</c:v>
                </c:pt>
                <c:pt idx="91">
                  <c:v>5.5376190476190477</c:v>
                </c:pt>
                <c:pt idx="92">
                  <c:v>4.9666666666666659</c:v>
                </c:pt>
                <c:pt idx="93">
                  <c:v>4.5563636363636366</c:v>
                </c:pt>
                <c:pt idx="94">
                  <c:v>4.2389473684210532</c:v>
                </c:pt>
                <c:pt idx="95">
                  <c:v>4.003333333333333</c:v>
                </c:pt>
                <c:pt idx="96">
                  <c:v>4.0633333333333326</c:v>
                </c:pt>
                <c:pt idx="97">
                  <c:v>3.8342857142857136</c:v>
                </c:pt>
                <c:pt idx="98">
                  <c:v>3.6172727272727272</c:v>
                </c:pt>
                <c:pt idx="99">
                  <c:v>3.4390000000000001</c:v>
                </c:pt>
                <c:pt idx="100">
                  <c:v>3.1543478260869571</c:v>
                </c:pt>
                <c:pt idx="101">
                  <c:v>2.9990476190476185</c:v>
                </c:pt>
                <c:pt idx="102">
                  <c:v>2.8216666666666668</c:v>
                </c:pt>
                <c:pt idx="103">
                  <c:v>3.0518181818181818</c:v>
                </c:pt>
                <c:pt idx="104">
                  <c:v>3.1604999999999999</c:v>
                </c:pt>
                <c:pt idx="105">
                  <c:v>3.1294999999999997</c:v>
                </c:pt>
                <c:pt idx="106">
                  <c:v>2.9590476190476189</c:v>
                </c:pt>
                <c:pt idx="107">
                  <c:v>2.5814285714285723</c:v>
                </c:pt>
                <c:pt idx="108">
                  <c:v>2.6399999999999997</c:v>
                </c:pt>
                <c:pt idx="109">
                  <c:v>2.83</c:v>
                </c:pt>
                <c:pt idx="110">
                  <c:v>2.8995238095238096</c:v>
                </c:pt>
                <c:pt idx="111">
                  <c:v>2.9709523809523808</c:v>
                </c:pt>
                <c:pt idx="112">
                  <c:v>2.9421739130434785</c:v>
                </c:pt>
                <c:pt idx="113">
                  <c:v>2.8775000000000004</c:v>
                </c:pt>
                <c:pt idx="114">
                  <c:v>2.8389473684210524</c:v>
                </c:pt>
                <c:pt idx="115">
                  <c:v>2.8571428571428577</c:v>
                </c:pt>
                <c:pt idx="116">
                  <c:v>2.7629999999999999</c:v>
                </c:pt>
                <c:pt idx="117">
                  <c:v>2.6095238095238096</c:v>
                </c:pt>
                <c:pt idx="118">
                  <c:v>2.4944999999999999</c:v>
                </c:pt>
                <c:pt idx="119">
                  <c:v>2.4005000000000001</c:v>
                </c:pt>
                <c:pt idx="120">
                  <c:v>2.305714285714286</c:v>
                </c:pt>
                <c:pt idx="121">
                  <c:v>2.1978260869565212</c:v>
                </c:pt>
                <c:pt idx="122">
                  <c:v>2.0364999999999998</c:v>
                </c:pt>
                <c:pt idx="123">
                  <c:v>1.7845000000000002</c:v>
                </c:pt>
                <c:pt idx="124">
                  <c:v>1.5926086956521734</c:v>
                </c:pt>
                <c:pt idx="125">
                  <c:v>1.5610526315789475</c:v>
                </c:pt>
                <c:pt idx="126">
                  <c:v>1.483157894736842</c:v>
                </c:pt>
                <c:pt idx="127">
                  <c:v>1.073</c:v>
                </c:pt>
                <c:pt idx="128">
                  <c:v>0.84449999999999981</c:v>
                </c:pt>
                <c:pt idx="129">
                  <c:v>0.59363636363636363</c:v>
                </c:pt>
                <c:pt idx="130">
                  <c:v>0.46600000000000003</c:v>
                </c:pt>
                <c:pt idx="131">
                  <c:v>0.85473684210526324</c:v>
                </c:pt>
                <c:pt idx="132">
                  <c:v>1.3327272727272723</c:v>
                </c:pt>
                <c:pt idx="133">
                  <c:v>1.2404347826086957</c:v>
                </c:pt>
                <c:pt idx="134">
                  <c:v>0.98333333333333328</c:v>
                </c:pt>
                <c:pt idx="135">
                  <c:v>0.97450000000000025</c:v>
                </c:pt>
                <c:pt idx="136">
                  <c:v>0.87545454545454549</c:v>
                </c:pt>
                <c:pt idx="137">
                  <c:v>0.8500000000000002</c:v>
                </c:pt>
                <c:pt idx="138">
                  <c:v>0.83952380952380967</c:v>
                </c:pt>
                <c:pt idx="139">
                  <c:v>0.87761904761904763</c:v>
                </c:pt>
                <c:pt idx="140">
                  <c:v>0.66333333333333311</c:v>
                </c:pt>
                <c:pt idx="141">
                  <c:v>0.61043478260869544</c:v>
                </c:pt>
                <c:pt idx="142">
                  <c:v>0.6295238095238096</c:v>
                </c:pt>
                <c:pt idx="143">
                  <c:v>0.7013636363636363</c:v>
                </c:pt>
                <c:pt idx="144">
                  <c:v>0.60499999999999998</c:v>
                </c:pt>
                <c:pt idx="145">
                  <c:v>0.39761904761904759</c:v>
                </c:pt>
                <c:pt idx="146">
                  <c:v>0.27608695652173909</c:v>
                </c:pt>
                <c:pt idx="147">
                  <c:v>0.28863636363636364</c:v>
                </c:pt>
                <c:pt idx="148">
                  <c:v>0.39476190476190481</c:v>
                </c:pt>
                <c:pt idx="149">
                  <c:v>0.6863636363636364</c:v>
                </c:pt>
                <c:pt idx="150">
                  <c:v>0.88909090909090904</c:v>
                </c:pt>
                <c:pt idx="151">
                  <c:v>0.94409090909090909</c:v>
                </c:pt>
                <c:pt idx="152">
                  <c:v>1.0085000000000002</c:v>
                </c:pt>
                <c:pt idx="153">
                  <c:v>1.09304347826087</c:v>
                </c:pt>
                <c:pt idx="154">
                  <c:v>0.97550000000000003</c:v>
                </c:pt>
                <c:pt idx="155">
                  <c:v>1.0091304347826089</c:v>
                </c:pt>
                <c:pt idx="156">
                  <c:v>0.91999999999999993</c:v>
                </c:pt>
                <c:pt idx="157">
                  <c:v>1.0690476190476192</c:v>
                </c:pt>
                <c:pt idx="158">
                  <c:v>0.95521739130434791</c:v>
                </c:pt>
                <c:pt idx="159">
                  <c:v>0.96952380952380945</c:v>
                </c:pt>
                <c:pt idx="160">
                  <c:v>0.99363636363636365</c:v>
                </c:pt>
                <c:pt idx="161">
                  <c:v>0.93272727272727274</c:v>
                </c:pt>
                <c:pt idx="162">
                  <c:v>0.89380952380952383</c:v>
                </c:pt>
                <c:pt idx="163">
                  <c:v>1.0147826086956522</c:v>
                </c:pt>
                <c:pt idx="164">
                  <c:v>1.1739999999999999</c:v>
                </c:pt>
                <c:pt idx="165">
                  <c:v>1.0781818181818181</c:v>
                </c:pt>
                <c:pt idx="166">
                  <c:v>0.99904761904761874</c:v>
                </c:pt>
                <c:pt idx="167">
                  <c:v>1.0026086956521738</c:v>
                </c:pt>
                <c:pt idx="168">
                  <c:v>0.95380952380952366</c:v>
                </c:pt>
                <c:pt idx="169">
                  <c:v>0.87090909090909108</c:v>
                </c:pt>
                <c:pt idx="170">
                  <c:v>0.84391304347826068</c:v>
                </c:pt>
                <c:pt idx="171">
                  <c:v>0.89749999999999974</c:v>
                </c:pt>
                <c:pt idx="172">
                  <c:v>0.98000000000000009</c:v>
                </c:pt>
                <c:pt idx="173">
                  <c:v>0.92</c:v>
                </c:pt>
                <c:pt idx="174">
                  <c:v>0.85047619047619061</c:v>
                </c:pt>
                <c:pt idx="175">
                  <c:v>0.7991304347826087</c:v>
                </c:pt>
                <c:pt idx="176">
                  <c:v>0.72799999999999998</c:v>
                </c:pt>
                <c:pt idx="177">
                  <c:v>0.65571428571428581</c:v>
                </c:pt>
                <c:pt idx="178">
                  <c:v>0.62136363636363634</c:v>
                </c:pt>
                <c:pt idx="179">
                  <c:v>0.53391304347826096</c:v>
                </c:pt>
                <c:pt idx="180">
                  <c:v>0.33250000000000002</c:v>
                </c:pt>
                <c:pt idx="181">
                  <c:v>0.14913043478260865</c:v>
                </c:pt>
                <c:pt idx="182">
                  <c:v>-0.13090909090909089</c:v>
                </c:pt>
                <c:pt idx="183">
                  <c:v>-0.11904761904761907</c:v>
                </c:pt>
                <c:pt idx="184">
                  <c:v>-2.1739130434782605E-3</c:v>
                </c:pt>
                <c:pt idx="185">
                  <c:v>0.1280952380952381</c:v>
                </c:pt>
                <c:pt idx="186">
                  <c:v>0.18090909090909091</c:v>
                </c:pt>
                <c:pt idx="187">
                  <c:v>0.17434782608695651</c:v>
                </c:pt>
                <c:pt idx="188">
                  <c:v>3.3500000000000009E-2</c:v>
                </c:pt>
                <c:pt idx="189">
                  <c:v>0.18954545454545454</c:v>
                </c:pt>
                <c:pt idx="190">
                  <c:v>0.61181818181818182</c:v>
                </c:pt>
                <c:pt idx="191">
                  <c:v>0.58142857142857152</c:v>
                </c:pt>
                <c:pt idx="192">
                  <c:v>0.16363636363636366</c:v>
                </c:pt>
                <c:pt idx="193">
                  <c:v>-2.6086956521739228E-3</c:v>
                </c:pt>
                <c:pt idx="194">
                  <c:v>-8.6666666666666697E-2</c:v>
                </c:pt>
                <c:pt idx="195">
                  <c:v>-0.1459090909090909</c:v>
                </c:pt>
                <c:pt idx="196">
                  <c:v>-0.23181818181818181</c:v>
                </c:pt>
                <c:pt idx="197">
                  <c:v>-0.27904761904761904</c:v>
                </c:pt>
                <c:pt idx="198">
                  <c:v>-0.25347826086956526</c:v>
                </c:pt>
                <c:pt idx="199">
                  <c:v>-0.41666666666666674</c:v>
                </c:pt>
                <c:pt idx="200">
                  <c:v>-0.217</c:v>
                </c:pt>
                <c:pt idx="201">
                  <c:v>-5.0869565217391333E-2</c:v>
                </c:pt>
                <c:pt idx="202">
                  <c:v>-2.3636363636363636E-2</c:v>
                </c:pt>
                <c:pt idx="203">
                  <c:v>6.5238095238095248E-2</c:v>
                </c:pt>
                <c:pt idx="204">
                  <c:v>3.4090909090909095E-2</c:v>
                </c:pt>
                <c:pt idx="205">
                  <c:v>-9.227272727272727E-2</c:v>
                </c:pt>
                <c:pt idx="206">
                  <c:v>-0.19363636363636366</c:v>
                </c:pt>
                <c:pt idx="207">
                  <c:v>3.6363636363636362E-2</c:v>
                </c:pt>
              </c:numCache>
            </c:numRef>
          </c:val>
          <c:smooth val="0"/>
          <c:extLst>
            <c:ext xmlns:c16="http://schemas.microsoft.com/office/drawing/2014/chart" uri="{C3380CC4-5D6E-409C-BE32-E72D297353CC}">
              <c16:uniqueId val="{00000003-EED3-4583-A4F0-01EB0FE55A35}"/>
            </c:ext>
          </c:extLst>
        </c:ser>
        <c:dLbls>
          <c:showLegendKey val="0"/>
          <c:showVal val="0"/>
          <c:showCatName val="0"/>
          <c:showSerName val="0"/>
          <c:showPercent val="0"/>
          <c:showBubbleSize val="0"/>
        </c:dLbls>
        <c:smooth val="0"/>
        <c:axId val="236528816"/>
        <c:axId val="162108632"/>
      </c:lineChart>
      <c:dateAx>
        <c:axId val="236528816"/>
        <c:scaling>
          <c:orientation val="minMax"/>
          <c:min val="40909"/>
        </c:scaling>
        <c:delete val="0"/>
        <c:axPos val="b"/>
        <c:numFmt formatCode="m/d/yyyy" sourceLinked="0"/>
        <c:majorTickMark val="out"/>
        <c:minorTickMark val="none"/>
        <c:tickLblPos val="low"/>
        <c:txPr>
          <a:bodyPr rot="-5400000" vert="horz"/>
          <a:lstStyle/>
          <a:p>
            <a:pPr>
              <a:defRPr/>
            </a:pPr>
            <a:endParaRPr lang="sk-SK"/>
          </a:p>
        </c:txPr>
        <c:crossAx val="162108632"/>
        <c:crossesAt val="-1"/>
        <c:auto val="1"/>
        <c:lblOffset val="100"/>
        <c:baseTimeUnit val="months"/>
      </c:dateAx>
      <c:valAx>
        <c:axId val="162108632"/>
        <c:scaling>
          <c:orientation val="minMax"/>
          <c:min val="-1"/>
        </c:scaling>
        <c:delete val="0"/>
        <c:axPos val="l"/>
        <c:majorGridlines>
          <c:spPr>
            <a:ln>
              <a:solidFill>
                <a:schemeClr val="bg1">
                  <a:lumMod val="75000"/>
                </a:schemeClr>
              </a:solidFill>
              <a:prstDash val="sysDash"/>
            </a:ln>
          </c:spPr>
        </c:majorGridlines>
        <c:numFmt formatCode="#,##0" sourceLinked="0"/>
        <c:majorTickMark val="out"/>
        <c:minorTickMark val="none"/>
        <c:tickLblPos val="nextTo"/>
        <c:txPr>
          <a:bodyPr rot="0" vert="horz"/>
          <a:lstStyle/>
          <a:p>
            <a:pPr>
              <a:defRPr/>
            </a:pPr>
            <a:endParaRPr lang="sk-SK"/>
          </a:p>
        </c:txPr>
        <c:crossAx val="236528816"/>
        <c:crosses val="autoZero"/>
        <c:crossBetween val="between"/>
      </c:valAx>
    </c:plotArea>
    <c:legend>
      <c:legendPos val="l"/>
      <c:layout>
        <c:manualLayout>
          <c:xMode val="edge"/>
          <c:yMode val="edge"/>
          <c:x val="0.15"/>
          <c:y val="2.6691455234762319E-3"/>
          <c:w val="0.70964260717410321"/>
          <c:h val="0.26570277777777779"/>
        </c:manualLayout>
      </c:layout>
      <c:overlay val="1"/>
    </c:legend>
    <c:plotVisOnly val="1"/>
    <c:dispBlanksAs val="gap"/>
    <c:showDLblsOverMax val="0"/>
  </c:chart>
  <c:spPr>
    <a:ln>
      <a:noFill/>
    </a:ln>
  </c:spPr>
  <c:txPr>
    <a:bodyPr/>
    <a:lstStyle/>
    <a:p>
      <a:pPr>
        <a:defRPr sz="800" b="0" i="0" u="none" strike="noStrike" baseline="0">
          <a:solidFill>
            <a:srgbClr val="000000"/>
          </a:solidFill>
          <a:latin typeface="Arial Narrow" panose="020B0606020202030204" pitchFamily="34" charset="0"/>
          <a:ea typeface="Calibri"/>
          <a:cs typeface="Calibri"/>
        </a:defRPr>
      </a:pPr>
      <a:endParaRPr lang="sk-SK"/>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122452898866274"/>
          <c:y val="7.7485660425870906E-2"/>
          <c:w val="0.49702597077565791"/>
          <c:h val="0.88057796029608404"/>
        </c:manualLayout>
      </c:layout>
      <c:barChart>
        <c:barDir val="bar"/>
        <c:grouping val="stacked"/>
        <c:varyColors val="0"/>
        <c:ser>
          <c:idx val="0"/>
          <c:order val="0"/>
          <c:spPr>
            <a:solidFill>
              <a:srgbClr val="C5E0B4"/>
            </a:solidFill>
            <a:ln>
              <a:noFill/>
            </a:ln>
          </c:spPr>
          <c:invertIfNegative val="0"/>
          <c:cat>
            <c:strRef>
              <c:f>Sumar!$A$61:$A$65</c:f>
              <c:strCache>
                <c:ptCount val="5"/>
                <c:pt idx="0">
                  <c:v>SVS 2019 - revidované</c:v>
                </c:pt>
                <c:pt idx="1">
                  <c:v>AWG 2021 (zmena diskontovania)</c:v>
                </c:pt>
                <c:pt idx="2">
                  <c:v>Aktualizácia sledovaného horizontu</c:v>
                </c:pt>
                <c:pt idx="3">
                  <c:v>Aktualizácia HDP na horizonte do 2024</c:v>
                </c:pt>
                <c:pt idx="4">
                  <c:v>SVS 2020</c:v>
                </c:pt>
              </c:strCache>
            </c:strRef>
          </c:cat>
          <c:val>
            <c:numRef>
              <c:f>Sumar!$D$61:$D$65</c:f>
              <c:numCache>
                <c:formatCode>#,##0</c:formatCode>
                <c:ptCount val="5"/>
                <c:pt idx="1">
                  <c:v>0</c:v>
                </c:pt>
                <c:pt idx="2">
                  <c:v>0</c:v>
                </c:pt>
                <c:pt idx="3">
                  <c:v>0</c:v>
                </c:pt>
              </c:numCache>
            </c:numRef>
          </c:val>
          <c:extLst>
            <c:ext xmlns:c16="http://schemas.microsoft.com/office/drawing/2014/chart" uri="{C3380CC4-5D6E-409C-BE32-E72D297353CC}">
              <c16:uniqueId val="{00000000-9859-4F64-8DC3-038D35F06ED7}"/>
            </c:ext>
          </c:extLst>
        </c:ser>
        <c:ser>
          <c:idx val="1"/>
          <c:order val="1"/>
          <c:spPr>
            <a:noFill/>
          </c:spPr>
          <c:invertIfNegative val="0"/>
          <c:cat>
            <c:strRef>
              <c:f>Sumar!$A$61:$A$65</c:f>
              <c:strCache>
                <c:ptCount val="5"/>
                <c:pt idx="0">
                  <c:v>SVS 2019 - revidované</c:v>
                </c:pt>
                <c:pt idx="1">
                  <c:v>AWG 2021 (zmena diskontovania)</c:v>
                </c:pt>
                <c:pt idx="2">
                  <c:v>Aktualizácia sledovaného horizontu</c:v>
                </c:pt>
                <c:pt idx="3">
                  <c:v>Aktualizácia HDP na horizonte do 2024</c:v>
                </c:pt>
                <c:pt idx="4">
                  <c:v>SVS 2020</c:v>
                </c:pt>
              </c:strCache>
            </c:strRef>
          </c:cat>
          <c:val>
            <c:numRef>
              <c:f>Sumar!$E$61:$E$65</c:f>
              <c:numCache>
                <c:formatCode>#,##0</c:formatCode>
                <c:ptCount val="5"/>
                <c:pt idx="1">
                  <c:v>-113.44603917648142</c:v>
                </c:pt>
                <c:pt idx="2">
                  <c:v>-327.89335201717813</c:v>
                </c:pt>
                <c:pt idx="3">
                  <c:v>-377.8770356373841</c:v>
                </c:pt>
              </c:numCache>
            </c:numRef>
          </c:val>
          <c:extLst>
            <c:ext xmlns:c16="http://schemas.microsoft.com/office/drawing/2014/chart" uri="{C3380CC4-5D6E-409C-BE32-E72D297353CC}">
              <c16:uniqueId val="{00000001-9859-4F64-8DC3-038D35F06ED7}"/>
            </c:ext>
          </c:extLst>
        </c:ser>
        <c:ser>
          <c:idx val="2"/>
          <c:order val="2"/>
          <c:spPr>
            <a:solidFill>
              <a:srgbClr val="B0D6AF"/>
            </a:solidFill>
          </c:spPr>
          <c:invertIfNegative val="0"/>
          <c:dPt>
            <c:idx val="0"/>
            <c:invertIfNegative val="0"/>
            <c:bubble3D val="0"/>
            <c:spPr>
              <a:solidFill>
                <a:sysClr val="window" lastClr="FFFFFF">
                  <a:lumMod val="75000"/>
                </a:sysClr>
              </a:solidFill>
              <a:ln>
                <a:noFill/>
              </a:ln>
            </c:spPr>
            <c:extLst>
              <c:ext xmlns:c16="http://schemas.microsoft.com/office/drawing/2014/chart" uri="{C3380CC4-5D6E-409C-BE32-E72D297353CC}">
                <c16:uniqueId val="{00000003-9859-4F64-8DC3-038D35F06ED7}"/>
              </c:ext>
            </c:extLst>
          </c:dPt>
          <c:dPt>
            <c:idx val="1"/>
            <c:invertIfNegative val="0"/>
            <c:bubble3D val="0"/>
            <c:spPr>
              <a:solidFill>
                <a:schemeClr val="accent6"/>
              </a:solidFill>
            </c:spPr>
            <c:extLst>
              <c:ext xmlns:c16="http://schemas.microsoft.com/office/drawing/2014/chart" uri="{C3380CC4-5D6E-409C-BE32-E72D297353CC}">
                <c16:uniqueId val="{00000005-9859-4F64-8DC3-038D35F06ED7}"/>
              </c:ext>
            </c:extLst>
          </c:dPt>
          <c:dPt>
            <c:idx val="2"/>
            <c:invertIfNegative val="0"/>
            <c:bubble3D val="0"/>
            <c:spPr>
              <a:solidFill>
                <a:schemeClr val="accent6"/>
              </a:solidFill>
            </c:spPr>
            <c:extLst>
              <c:ext xmlns:c16="http://schemas.microsoft.com/office/drawing/2014/chart" uri="{C3380CC4-5D6E-409C-BE32-E72D297353CC}">
                <c16:uniqueId val="{00000007-9859-4F64-8DC3-038D35F06ED7}"/>
              </c:ext>
            </c:extLst>
          </c:dPt>
          <c:dPt>
            <c:idx val="3"/>
            <c:invertIfNegative val="0"/>
            <c:bubble3D val="0"/>
            <c:spPr>
              <a:solidFill>
                <a:schemeClr val="accent6"/>
              </a:solidFill>
            </c:spPr>
            <c:extLst>
              <c:ext xmlns:c16="http://schemas.microsoft.com/office/drawing/2014/chart" uri="{C3380CC4-5D6E-409C-BE32-E72D297353CC}">
                <c16:uniqueId val="{00000009-9859-4F64-8DC3-038D35F06ED7}"/>
              </c:ext>
            </c:extLst>
          </c:dPt>
          <c:dPt>
            <c:idx val="4"/>
            <c:invertIfNegative val="0"/>
            <c:bubble3D val="0"/>
            <c:spPr>
              <a:solidFill>
                <a:sysClr val="window" lastClr="FFFFFF">
                  <a:lumMod val="75000"/>
                </a:sysClr>
              </a:solidFill>
              <a:ln>
                <a:noFill/>
              </a:ln>
            </c:spPr>
            <c:extLst>
              <c:ext xmlns:c16="http://schemas.microsoft.com/office/drawing/2014/chart" uri="{C3380CC4-5D6E-409C-BE32-E72D297353CC}">
                <c16:uniqueId val="{0000000B-9859-4F64-8DC3-038D35F06ED7}"/>
              </c:ext>
            </c:extLst>
          </c:dPt>
          <c:dPt>
            <c:idx val="5"/>
            <c:invertIfNegative val="0"/>
            <c:bubble3D val="0"/>
            <c:spPr>
              <a:solidFill>
                <a:schemeClr val="accent6"/>
              </a:solidFill>
              <a:ln>
                <a:noFill/>
              </a:ln>
            </c:spPr>
            <c:extLst>
              <c:ext xmlns:c16="http://schemas.microsoft.com/office/drawing/2014/chart" uri="{C3380CC4-5D6E-409C-BE32-E72D297353CC}">
                <c16:uniqueId val="{0000000D-9859-4F64-8DC3-038D35F06ED7}"/>
              </c:ext>
            </c:extLst>
          </c:dPt>
          <c:dPt>
            <c:idx val="6"/>
            <c:invertIfNegative val="0"/>
            <c:bubble3D val="0"/>
            <c:spPr>
              <a:solidFill>
                <a:schemeClr val="accent6">
                  <a:lumMod val="90000"/>
                </a:schemeClr>
              </a:solidFill>
            </c:spPr>
            <c:extLst>
              <c:ext xmlns:c16="http://schemas.microsoft.com/office/drawing/2014/chart" uri="{C3380CC4-5D6E-409C-BE32-E72D297353CC}">
                <c16:uniqueId val="{0000000F-9859-4F64-8DC3-038D35F06ED7}"/>
              </c:ext>
            </c:extLst>
          </c:dPt>
          <c:dLbls>
            <c:dLbl>
              <c:idx val="2"/>
              <c:layout>
                <c:manualLayout>
                  <c:x val="8.312958435207815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859-4F64-8DC3-038D35F06ED7}"/>
                </c:ext>
              </c:extLst>
            </c:dLbl>
            <c:dLbl>
              <c:idx val="3"/>
              <c:layout>
                <c:manualLayout>
                  <c:x val="6.356968215158924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859-4F64-8DC3-038D35F06ED7}"/>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Sumar!$A$61:$A$65</c:f>
              <c:strCache>
                <c:ptCount val="5"/>
                <c:pt idx="0">
                  <c:v>SVS 2019 - revidované</c:v>
                </c:pt>
                <c:pt idx="1">
                  <c:v>AWG 2021 (zmena diskontovania)</c:v>
                </c:pt>
                <c:pt idx="2">
                  <c:v>Aktualizácia sledovaného horizontu</c:v>
                </c:pt>
                <c:pt idx="3">
                  <c:v>Aktualizácia HDP na horizonte do 2024</c:v>
                </c:pt>
                <c:pt idx="4">
                  <c:v>SVS 2020</c:v>
                </c:pt>
              </c:strCache>
            </c:strRef>
          </c:cat>
          <c:val>
            <c:numRef>
              <c:f>Sumar!$F$61:$F$65</c:f>
              <c:numCache>
                <c:formatCode>#\ ##0.0</c:formatCode>
                <c:ptCount val="5"/>
                <c:pt idx="0">
                  <c:v>-113.44603917648142</c:v>
                </c:pt>
                <c:pt idx="1">
                  <c:v>-214.44731284069672</c:v>
                </c:pt>
                <c:pt idx="2">
                  <c:v>-49.983683620205994</c:v>
                </c:pt>
                <c:pt idx="3">
                  <c:v>-13.908805690719966</c:v>
                </c:pt>
                <c:pt idx="4">
                  <c:v>-391.78584132810414</c:v>
                </c:pt>
              </c:numCache>
            </c:numRef>
          </c:val>
          <c:extLst>
            <c:ext xmlns:c16="http://schemas.microsoft.com/office/drawing/2014/chart" uri="{C3380CC4-5D6E-409C-BE32-E72D297353CC}">
              <c16:uniqueId val="{00000010-9859-4F64-8DC3-038D35F06ED7}"/>
            </c:ext>
          </c:extLst>
        </c:ser>
        <c:dLbls>
          <c:showLegendKey val="0"/>
          <c:showVal val="0"/>
          <c:showCatName val="0"/>
          <c:showSerName val="0"/>
          <c:showPercent val="0"/>
          <c:showBubbleSize val="0"/>
        </c:dLbls>
        <c:gapWidth val="60"/>
        <c:overlap val="100"/>
        <c:axId val="93288464"/>
        <c:axId val="236528248"/>
      </c:barChart>
      <c:catAx>
        <c:axId val="93288464"/>
        <c:scaling>
          <c:orientation val="maxMin"/>
        </c:scaling>
        <c:delete val="0"/>
        <c:axPos val="l"/>
        <c:numFmt formatCode="General" sourceLinked="1"/>
        <c:majorTickMark val="none"/>
        <c:minorTickMark val="none"/>
        <c:tickLblPos val="low"/>
        <c:spPr>
          <a:ln>
            <a:solidFill>
              <a:schemeClr val="tx1"/>
            </a:solidFill>
            <a:prstDash val="solid"/>
          </a:ln>
        </c:spPr>
        <c:txPr>
          <a:bodyPr rot="0" vert="horz"/>
          <a:lstStyle/>
          <a:p>
            <a:pPr>
              <a:defRPr/>
            </a:pPr>
            <a:endParaRPr lang="sk-SK"/>
          </a:p>
        </c:txPr>
        <c:crossAx val="236528248"/>
        <c:crosses val="autoZero"/>
        <c:auto val="1"/>
        <c:lblAlgn val="ctr"/>
        <c:lblOffset val="100"/>
        <c:noMultiLvlLbl val="0"/>
      </c:catAx>
      <c:valAx>
        <c:axId val="236528248"/>
        <c:scaling>
          <c:orientation val="minMax"/>
        </c:scaling>
        <c:delete val="0"/>
        <c:axPos val="t"/>
        <c:numFmt formatCode="#,##0" sourceLinked="1"/>
        <c:majorTickMark val="out"/>
        <c:minorTickMark val="none"/>
        <c:tickLblPos val="low"/>
        <c:spPr>
          <a:ln>
            <a:solidFill>
              <a:schemeClr val="tx1"/>
            </a:solidFill>
          </a:ln>
        </c:spPr>
        <c:crossAx val="93288464"/>
        <c:crosses val="autoZero"/>
        <c:crossBetween val="between"/>
      </c:valAx>
    </c:plotArea>
    <c:plotVisOnly val="1"/>
    <c:dispBlanksAs val="gap"/>
    <c:showDLblsOverMax val="0"/>
  </c:chart>
  <c:spPr>
    <a:noFill/>
    <a:ln>
      <a:solidFill>
        <a:schemeClr val="bg1"/>
      </a:solidFill>
    </a:ln>
  </c:spPr>
  <c:txPr>
    <a:bodyPr/>
    <a:lstStyle/>
    <a:p>
      <a:pPr>
        <a:defRPr sz="700">
          <a:latin typeface="Times New Roman" panose="02020603050405020304" pitchFamily="18" charset="0"/>
          <a:cs typeface="Times New Roman" panose="02020603050405020304" pitchFamily="18" charset="0"/>
        </a:defRPr>
      </a:pPr>
      <a:endParaRPr lang="sk-SK"/>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207851447218386"/>
          <c:y val="7.1136986201140173E-2"/>
          <c:w val="0.67153464250703598"/>
          <c:h val="0.88057796029608404"/>
        </c:manualLayout>
      </c:layout>
      <c:barChart>
        <c:barDir val="bar"/>
        <c:grouping val="stacked"/>
        <c:varyColors val="0"/>
        <c:ser>
          <c:idx val="0"/>
          <c:order val="0"/>
          <c:spPr>
            <a:solidFill>
              <a:srgbClr val="C5E0B4"/>
            </a:solidFill>
            <a:ln>
              <a:noFill/>
            </a:ln>
          </c:spPr>
          <c:invertIfNegative val="0"/>
          <c:cat>
            <c:strRef>
              <c:f>svs!$A$26:$A$30</c:f>
              <c:strCache>
                <c:ptCount val="5"/>
                <c:pt idx="0">
                  <c:v>Dôchodkový systém (aktualizovaná SVS 2019)</c:v>
                </c:pt>
                <c:pt idx="1">
                  <c:v>AWG 2021 (zmena diskontovania)</c:v>
                </c:pt>
                <c:pt idx="2">
                  <c:v>Zníženie dôchodkového veku pre matky</c:v>
                </c:pt>
                <c:pt idx="3">
                  <c:v>Zmena 13. dôchodku</c:v>
                </c:pt>
                <c:pt idx="4">
                  <c:v>Dôchodkový systém (SVS 2020)</c:v>
                </c:pt>
              </c:strCache>
            </c:strRef>
          </c:cat>
          <c:val>
            <c:numRef>
              <c:f>svs!$D$26:$D$30</c:f>
              <c:numCache>
                <c:formatCode>#,##0</c:formatCode>
                <c:ptCount val="5"/>
                <c:pt idx="1">
                  <c:v>0</c:v>
                </c:pt>
                <c:pt idx="2">
                  <c:v>0</c:v>
                </c:pt>
                <c:pt idx="3">
                  <c:v>0</c:v>
                </c:pt>
              </c:numCache>
            </c:numRef>
          </c:val>
          <c:extLst>
            <c:ext xmlns:c16="http://schemas.microsoft.com/office/drawing/2014/chart" uri="{C3380CC4-5D6E-409C-BE32-E72D297353CC}">
              <c16:uniqueId val="{00000000-F70C-42DB-8C69-337A0ED9113A}"/>
            </c:ext>
          </c:extLst>
        </c:ser>
        <c:ser>
          <c:idx val="1"/>
          <c:order val="1"/>
          <c:spPr>
            <a:noFill/>
          </c:spPr>
          <c:invertIfNegative val="0"/>
          <c:cat>
            <c:strRef>
              <c:f>svs!$A$26:$A$30</c:f>
              <c:strCache>
                <c:ptCount val="5"/>
                <c:pt idx="0">
                  <c:v>Dôchodkový systém (aktualizovaná SVS 2019)</c:v>
                </c:pt>
                <c:pt idx="1">
                  <c:v>AWG 2021 (zmena diskontovania)</c:v>
                </c:pt>
                <c:pt idx="2">
                  <c:v>Zníženie dôchodkového veku pre matky</c:v>
                </c:pt>
                <c:pt idx="3">
                  <c:v>Zmena 13. dôchodku</c:v>
                </c:pt>
                <c:pt idx="4">
                  <c:v>Dôchodkový systém (SVS 2020)</c:v>
                </c:pt>
              </c:strCache>
            </c:strRef>
          </c:cat>
          <c:val>
            <c:numRef>
              <c:f>svs!$E$26:$E$30</c:f>
              <c:numCache>
                <c:formatCode>#,##0</c:formatCode>
                <c:ptCount val="5"/>
                <c:pt idx="1">
                  <c:v>-66.020146423130484</c:v>
                </c:pt>
                <c:pt idx="2">
                  <c:v>-233.47682360308971</c:v>
                </c:pt>
                <c:pt idx="3">
                  <c:v>-222.3311062651934</c:v>
                </c:pt>
              </c:numCache>
            </c:numRef>
          </c:val>
          <c:extLst>
            <c:ext xmlns:c16="http://schemas.microsoft.com/office/drawing/2014/chart" uri="{C3380CC4-5D6E-409C-BE32-E72D297353CC}">
              <c16:uniqueId val="{00000001-F70C-42DB-8C69-337A0ED9113A}"/>
            </c:ext>
          </c:extLst>
        </c:ser>
        <c:ser>
          <c:idx val="2"/>
          <c:order val="2"/>
          <c:spPr>
            <a:solidFill>
              <a:schemeClr val="accent6">
                <a:lumMod val="75000"/>
              </a:schemeClr>
            </a:solidFill>
          </c:spPr>
          <c:invertIfNegative val="0"/>
          <c:dPt>
            <c:idx val="0"/>
            <c:invertIfNegative val="0"/>
            <c:bubble3D val="0"/>
            <c:spPr>
              <a:solidFill>
                <a:schemeClr val="accent6">
                  <a:lumMod val="75000"/>
                </a:schemeClr>
              </a:solidFill>
              <a:ln>
                <a:noFill/>
              </a:ln>
            </c:spPr>
            <c:extLst>
              <c:ext xmlns:c16="http://schemas.microsoft.com/office/drawing/2014/chart" uri="{C3380CC4-5D6E-409C-BE32-E72D297353CC}">
                <c16:uniqueId val="{00000003-F70C-42DB-8C69-337A0ED9113A}"/>
              </c:ext>
            </c:extLst>
          </c:dPt>
          <c:dPt>
            <c:idx val="1"/>
            <c:invertIfNegative val="0"/>
            <c:bubble3D val="0"/>
            <c:spPr>
              <a:solidFill>
                <a:srgbClr val="ED7D31">
                  <a:lumMod val="60000"/>
                  <a:lumOff val="40000"/>
                </a:srgbClr>
              </a:solidFill>
            </c:spPr>
            <c:extLst>
              <c:ext xmlns:c16="http://schemas.microsoft.com/office/drawing/2014/chart" uri="{C3380CC4-5D6E-409C-BE32-E72D297353CC}">
                <c16:uniqueId val="{00000005-F70C-42DB-8C69-337A0ED9113A}"/>
              </c:ext>
            </c:extLst>
          </c:dPt>
          <c:dPt>
            <c:idx val="2"/>
            <c:invertIfNegative val="0"/>
            <c:bubble3D val="0"/>
            <c:spPr>
              <a:solidFill>
                <a:srgbClr val="ED7D31">
                  <a:lumMod val="60000"/>
                  <a:lumOff val="40000"/>
                </a:srgbClr>
              </a:solidFill>
            </c:spPr>
            <c:extLst>
              <c:ext xmlns:c16="http://schemas.microsoft.com/office/drawing/2014/chart" uri="{C3380CC4-5D6E-409C-BE32-E72D297353CC}">
                <c16:uniqueId val="{00000007-F70C-42DB-8C69-337A0ED9113A}"/>
              </c:ext>
            </c:extLst>
          </c:dPt>
          <c:dPt>
            <c:idx val="3"/>
            <c:invertIfNegative val="0"/>
            <c:bubble3D val="0"/>
            <c:spPr>
              <a:solidFill>
                <a:srgbClr val="70AD47">
                  <a:lumMod val="60000"/>
                  <a:lumOff val="40000"/>
                </a:srgbClr>
              </a:solidFill>
            </c:spPr>
            <c:extLst>
              <c:ext xmlns:c16="http://schemas.microsoft.com/office/drawing/2014/chart" uri="{C3380CC4-5D6E-409C-BE32-E72D297353CC}">
                <c16:uniqueId val="{00000009-F70C-42DB-8C69-337A0ED9113A}"/>
              </c:ext>
            </c:extLst>
          </c:dPt>
          <c:dPt>
            <c:idx val="4"/>
            <c:invertIfNegative val="0"/>
            <c:bubble3D val="0"/>
            <c:extLst>
              <c:ext xmlns:c16="http://schemas.microsoft.com/office/drawing/2014/chart" uri="{C3380CC4-5D6E-409C-BE32-E72D297353CC}">
                <c16:uniqueId val="{0000000A-F70C-42DB-8C69-337A0ED9113A}"/>
              </c:ext>
            </c:extLst>
          </c:dPt>
          <c:dLbls>
            <c:dLbl>
              <c:idx val="1"/>
              <c:layout>
                <c:manualLayout>
                  <c:x val="3.7477954144620809E-2"/>
                  <c:y val="-5.11384143585740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70C-42DB-8C69-337A0ED9113A}"/>
                </c:ext>
              </c:extLst>
            </c:dLbl>
            <c:dLbl>
              <c:idx val="2"/>
              <c:layout>
                <c:manualLayout>
                  <c:x val="5.426181324892606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70C-42DB-8C69-337A0ED9113A}"/>
                </c:ext>
              </c:extLst>
            </c:dLbl>
            <c:dLbl>
              <c:idx val="3"/>
              <c:layout>
                <c:manualLayout>
                  <c:x val="7.2349084331901348E-2"/>
                  <c:y val="0"/>
                </c:manualLayout>
              </c:layout>
              <c:tx>
                <c:rich>
                  <a:bodyPr/>
                  <a:lstStyle/>
                  <a:p>
                    <a:r>
                      <a:rPr lang="en-US"/>
                      <a:t>+11,8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70C-42DB-8C69-337A0ED9113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svs!$A$26:$A$30</c:f>
              <c:strCache>
                <c:ptCount val="5"/>
                <c:pt idx="0">
                  <c:v>Dôchodkový systém (aktualizovaná SVS 2019)</c:v>
                </c:pt>
                <c:pt idx="1">
                  <c:v>AWG 2021 (zmena diskontovania)</c:v>
                </c:pt>
                <c:pt idx="2">
                  <c:v>Zníženie dôchodkového veku pre matky</c:v>
                </c:pt>
                <c:pt idx="3">
                  <c:v>Zmena 13. dôchodku</c:v>
                </c:pt>
                <c:pt idx="4">
                  <c:v>Dôchodkový systém (SVS 2020)</c:v>
                </c:pt>
              </c:strCache>
            </c:strRef>
          </c:cat>
          <c:val>
            <c:numRef>
              <c:f>svs!$F$26:$F$30</c:f>
              <c:numCache>
                <c:formatCode>#\ ##0.0</c:formatCode>
                <c:ptCount val="5"/>
                <c:pt idx="0">
                  <c:v>-66.020146423130484</c:v>
                </c:pt>
                <c:pt idx="1">
                  <c:v>-167.45667717995923</c:v>
                </c:pt>
                <c:pt idx="2">
                  <c:v>-0.63742642433989938</c:v>
                </c:pt>
                <c:pt idx="3">
                  <c:v>-11.783143762236222</c:v>
                </c:pt>
                <c:pt idx="4">
                  <c:v>-222.3311062651934</c:v>
                </c:pt>
              </c:numCache>
            </c:numRef>
          </c:val>
          <c:extLst>
            <c:ext xmlns:c16="http://schemas.microsoft.com/office/drawing/2014/chart" uri="{C3380CC4-5D6E-409C-BE32-E72D297353CC}">
              <c16:uniqueId val="{0000000B-F70C-42DB-8C69-337A0ED9113A}"/>
            </c:ext>
          </c:extLst>
        </c:ser>
        <c:dLbls>
          <c:showLegendKey val="0"/>
          <c:showVal val="0"/>
          <c:showCatName val="0"/>
          <c:showSerName val="0"/>
          <c:showPercent val="0"/>
          <c:showBubbleSize val="0"/>
        </c:dLbls>
        <c:gapWidth val="60"/>
        <c:overlap val="100"/>
        <c:axId val="161433432"/>
        <c:axId val="236594344"/>
      </c:barChart>
      <c:catAx>
        <c:axId val="161433432"/>
        <c:scaling>
          <c:orientation val="maxMin"/>
        </c:scaling>
        <c:delete val="0"/>
        <c:axPos val="l"/>
        <c:numFmt formatCode="General" sourceLinked="1"/>
        <c:majorTickMark val="none"/>
        <c:minorTickMark val="none"/>
        <c:tickLblPos val="low"/>
        <c:spPr>
          <a:ln>
            <a:solidFill>
              <a:schemeClr val="tx1"/>
            </a:solidFill>
            <a:prstDash val="solid"/>
          </a:ln>
        </c:spPr>
        <c:txPr>
          <a:bodyPr rot="0" vert="horz"/>
          <a:lstStyle/>
          <a:p>
            <a:pPr>
              <a:defRPr/>
            </a:pPr>
            <a:endParaRPr lang="sk-SK"/>
          </a:p>
        </c:txPr>
        <c:crossAx val="236594344"/>
        <c:crosses val="autoZero"/>
        <c:auto val="1"/>
        <c:lblAlgn val="ctr"/>
        <c:lblOffset val="100"/>
        <c:noMultiLvlLbl val="0"/>
      </c:catAx>
      <c:valAx>
        <c:axId val="236594344"/>
        <c:scaling>
          <c:orientation val="minMax"/>
        </c:scaling>
        <c:delete val="0"/>
        <c:axPos val="t"/>
        <c:numFmt formatCode="#,##0" sourceLinked="1"/>
        <c:majorTickMark val="out"/>
        <c:minorTickMark val="none"/>
        <c:tickLblPos val="low"/>
        <c:spPr>
          <a:ln>
            <a:solidFill>
              <a:schemeClr val="tx1"/>
            </a:solidFill>
          </a:ln>
        </c:spPr>
        <c:crossAx val="161433432"/>
        <c:crosses val="autoZero"/>
        <c:crossBetween val="between"/>
      </c:valAx>
    </c:plotArea>
    <c:plotVisOnly val="1"/>
    <c:dispBlanksAs val="gap"/>
    <c:showDLblsOverMax val="0"/>
  </c:chart>
  <c:spPr>
    <a:noFill/>
    <a:ln>
      <a:solidFill>
        <a:schemeClr val="bg1"/>
      </a:solidFill>
    </a:ln>
  </c:spPr>
  <c:txPr>
    <a:bodyPr/>
    <a:lstStyle/>
    <a:p>
      <a:pPr>
        <a:defRPr sz="700">
          <a:latin typeface="Times New Roman" panose="02020603050405020304" pitchFamily="18" charset="0"/>
          <a:cs typeface="Times New Roman" panose="02020603050405020304" pitchFamily="18" charset="0"/>
        </a:defRPr>
      </a:pPr>
      <a:endParaRPr lang="sk-SK"/>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327779487841445E-2"/>
          <c:y val="3.9664312691273282E-2"/>
          <c:w val="0.92217705447600895"/>
          <c:h val="0.76418427531468047"/>
        </c:manualLayout>
      </c:layout>
      <c:barChart>
        <c:barDir val="col"/>
        <c:grouping val="stacked"/>
        <c:varyColors val="0"/>
        <c:ser>
          <c:idx val="1"/>
          <c:order val="0"/>
          <c:tx>
            <c:strRef>
              <c:f>Hárok1!$C$20</c:f>
              <c:strCache>
                <c:ptCount val="1"/>
                <c:pt idx="0">
                  <c:v>Dôchodkový systém</c:v>
                </c:pt>
              </c:strCache>
            </c:strRef>
          </c:tx>
          <c:spPr>
            <a:solidFill>
              <a:srgbClr val="002060"/>
            </a:solidFill>
            <a:ln>
              <a:noFill/>
            </a:ln>
            <a:effectLst/>
          </c:spPr>
          <c:invertIfNegative val="0"/>
          <c:cat>
            <c:numRef>
              <c:f>Hárok1!$A$34:$A$42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Hárok1!$C$34:$C$42</c:f>
              <c:numCache>
                <c:formatCode>0.0</c:formatCode>
                <c:ptCount val="9"/>
                <c:pt idx="0">
                  <c:v>-17.964865302040533</c:v>
                </c:pt>
                <c:pt idx="1">
                  <c:v>-17.956374082065008</c:v>
                </c:pt>
                <c:pt idx="2">
                  <c:v>-9.2822619766779635</c:v>
                </c:pt>
                <c:pt idx="3">
                  <c:v>-8.8398316241333763</c:v>
                </c:pt>
                <c:pt idx="4">
                  <c:v>-6.9430863294205896</c:v>
                </c:pt>
                <c:pt idx="5">
                  <c:v>9.0734920816827884</c:v>
                </c:pt>
                <c:pt idx="6">
                  <c:v>5.1347066084756809</c:v>
                </c:pt>
                <c:pt idx="7">
                  <c:v>-66.020146423130484</c:v>
                </c:pt>
                <c:pt idx="8">
                  <c:v>-222.331106265193</c:v>
                </c:pt>
              </c:numCache>
            </c:numRef>
          </c:val>
          <c:extLst>
            <c:ext xmlns:c16="http://schemas.microsoft.com/office/drawing/2014/chart" uri="{C3380CC4-5D6E-409C-BE32-E72D297353CC}">
              <c16:uniqueId val="{00000000-B828-4682-9357-F3F9747394D5}"/>
            </c:ext>
          </c:extLst>
        </c:ser>
        <c:ser>
          <c:idx val="2"/>
          <c:order val="1"/>
          <c:tx>
            <c:strRef>
              <c:f>Hárok1!$D$20</c:f>
              <c:strCache>
                <c:ptCount val="1"/>
                <c:pt idx="0">
                  <c:v>Zdravotníctvo</c:v>
                </c:pt>
              </c:strCache>
            </c:strRef>
          </c:tx>
          <c:spPr>
            <a:solidFill>
              <a:srgbClr val="369ADC"/>
            </a:solidFill>
            <a:ln>
              <a:noFill/>
            </a:ln>
            <a:effectLst/>
          </c:spPr>
          <c:invertIfNegative val="0"/>
          <c:cat>
            <c:numRef>
              <c:f>Hárok1!$A$34:$A$42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Hárok1!$D$34:$D$42</c:f>
              <c:numCache>
                <c:formatCode>0.0</c:formatCode>
                <c:ptCount val="9"/>
                <c:pt idx="0">
                  <c:v>-59.2051335199574</c:v>
                </c:pt>
                <c:pt idx="1">
                  <c:v>-54.829589010915861</c:v>
                </c:pt>
                <c:pt idx="2">
                  <c:v>-47.826762451700546</c:v>
                </c:pt>
                <c:pt idx="3">
                  <c:v>-40.169021833139325</c:v>
                </c:pt>
                <c:pt idx="4">
                  <c:v>-27.4538249304921</c:v>
                </c:pt>
                <c:pt idx="5">
                  <c:v>-28.412226380673456</c:v>
                </c:pt>
                <c:pt idx="6">
                  <c:v>-29.827820739622513</c:v>
                </c:pt>
                <c:pt idx="7">
                  <c:v>-30.243401270719982</c:v>
                </c:pt>
                <c:pt idx="8">
                  <c:v>-87.843415078884107</c:v>
                </c:pt>
              </c:numCache>
            </c:numRef>
          </c:val>
          <c:extLst>
            <c:ext xmlns:c16="http://schemas.microsoft.com/office/drawing/2014/chart" uri="{C3380CC4-5D6E-409C-BE32-E72D297353CC}">
              <c16:uniqueId val="{00000001-B828-4682-9357-F3F9747394D5}"/>
            </c:ext>
          </c:extLst>
        </c:ser>
        <c:ser>
          <c:idx val="3"/>
          <c:order val="2"/>
          <c:tx>
            <c:strRef>
              <c:f>Hárok1!$E$20</c:f>
              <c:strCache>
                <c:ptCount val="1"/>
                <c:pt idx="0">
                  <c:v>Dlhodobá starostlivosť</c:v>
                </c:pt>
              </c:strCache>
            </c:strRef>
          </c:tx>
          <c:spPr>
            <a:solidFill>
              <a:schemeClr val="accent5">
                <a:lumMod val="40000"/>
                <a:lumOff val="60000"/>
              </a:schemeClr>
            </a:solidFill>
            <a:ln>
              <a:noFill/>
            </a:ln>
            <a:effectLst/>
          </c:spPr>
          <c:invertIfNegative val="0"/>
          <c:cat>
            <c:numRef>
              <c:f>Hárok1!$A$34:$A$42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Hárok1!$E$34:$E$42</c:f>
              <c:numCache>
                <c:formatCode>0.0</c:formatCode>
                <c:ptCount val="9"/>
                <c:pt idx="0">
                  <c:v>-5.6952475165154839</c:v>
                </c:pt>
                <c:pt idx="1">
                  <c:v>-5.6910380517259815</c:v>
                </c:pt>
                <c:pt idx="2">
                  <c:v>-7.3086848720784356</c:v>
                </c:pt>
                <c:pt idx="3">
                  <c:v>-6.5226979379525565</c:v>
                </c:pt>
                <c:pt idx="4">
                  <c:v>-5.7221438961813726</c:v>
                </c:pt>
                <c:pt idx="5">
                  <c:v>-12.972550661256605</c:v>
                </c:pt>
                <c:pt idx="6">
                  <c:v>-15.424589112775704</c:v>
                </c:pt>
                <c:pt idx="7">
                  <c:v>-14.250197379183849</c:v>
                </c:pt>
                <c:pt idx="8">
                  <c:v>-61.905742275398197</c:v>
                </c:pt>
              </c:numCache>
            </c:numRef>
          </c:val>
          <c:extLst>
            <c:ext xmlns:c16="http://schemas.microsoft.com/office/drawing/2014/chart" uri="{C3380CC4-5D6E-409C-BE32-E72D297353CC}">
              <c16:uniqueId val="{00000002-B828-4682-9357-F3F9747394D5}"/>
            </c:ext>
          </c:extLst>
        </c:ser>
        <c:ser>
          <c:idx val="4"/>
          <c:order val="3"/>
          <c:tx>
            <c:strRef>
              <c:f>Hárok1!$F$20</c:f>
              <c:strCache>
                <c:ptCount val="1"/>
                <c:pt idx="0">
                  <c:v>Poistenie v nezamestnanosti</c:v>
                </c:pt>
              </c:strCache>
            </c:strRef>
          </c:tx>
          <c:spPr>
            <a:solidFill>
              <a:srgbClr val="00CC99"/>
            </a:solidFill>
            <a:ln>
              <a:noFill/>
            </a:ln>
            <a:effectLst/>
          </c:spPr>
          <c:invertIfNegative val="0"/>
          <c:cat>
            <c:numRef>
              <c:f>Hárok1!$A$34:$A$42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Hárok1!$F$34:$F$42</c:f>
              <c:numCache>
                <c:formatCode>0.0</c:formatCode>
                <c:ptCount val="9"/>
                <c:pt idx="0">
                  <c:v>1.8272771924428444</c:v>
                </c:pt>
                <c:pt idx="1">
                  <c:v>2.1406298815536822</c:v>
                </c:pt>
                <c:pt idx="2">
                  <c:v>3.0693683934867084</c:v>
                </c:pt>
                <c:pt idx="3">
                  <c:v>2.6949308233938138</c:v>
                </c:pt>
                <c:pt idx="4">
                  <c:v>2.5431709621269132</c:v>
                </c:pt>
                <c:pt idx="5">
                  <c:v>0.39996666943253045</c:v>
                </c:pt>
                <c:pt idx="6">
                  <c:v>-5.8203740453038888E-2</c:v>
                </c:pt>
                <c:pt idx="7">
                  <c:v>8.094354897021927E-2</c:v>
                </c:pt>
                <c:pt idx="8">
                  <c:v>-1.6164522220617199</c:v>
                </c:pt>
              </c:numCache>
            </c:numRef>
          </c:val>
          <c:extLst>
            <c:ext xmlns:c16="http://schemas.microsoft.com/office/drawing/2014/chart" uri="{C3380CC4-5D6E-409C-BE32-E72D297353CC}">
              <c16:uniqueId val="{00000003-B828-4682-9357-F3F9747394D5}"/>
            </c:ext>
          </c:extLst>
        </c:ser>
        <c:ser>
          <c:idx val="5"/>
          <c:order val="4"/>
          <c:tx>
            <c:strRef>
              <c:f>Hárok1!$G$20</c:f>
              <c:strCache>
                <c:ptCount val="1"/>
                <c:pt idx="0">
                  <c:v>Školstvo</c:v>
                </c:pt>
              </c:strCache>
            </c:strRef>
          </c:tx>
          <c:spPr>
            <a:solidFill>
              <a:schemeClr val="accent5">
                <a:lumMod val="75000"/>
              </a:schemeClr>
            </a:solidFill>
            <a:ln>
              <a:noFill/>
            </a:ln>
            <a:effectLst/>
          </c:spPr>
          <c:invertIfNegative val="0"/>
          <c:cat>
            <c:numRef>
              <c:f>Hárok1!$A$34:$A$42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Hárok1!$G$34:$G$42</c:f>
              <c:numCache>
                <c:formatCode>0.0</c:formatCode>
                <c:ptCount val="9"/>
                <c:pt idx="0">
                  <c:v>9.535124209111757</c:v>
                </c:pt>
                <c:pt idx="1">
                  <c:v>9.5275672876009345</c:v>
                </c:pt>
                <c:pt idx="2">
                  <c:v>11.185873359824683</c:v>
                </c:pt>
                <c:pt idx="3">
                  <c:v>9.49176931710487</c:v>
                </c:pt>
                <c:pt idx="4">
                  <c:v>9.311836414573694</c:v>
                </c:pt>
                <c:pt idx="5">
                  <c:v>1.7120660206367599</c:v>
                </c:pt>
                <c:pt idx="6">
                  <c:v>-1.4546979867157139</c:v>
                </c:pt>
                <c:pt idx="7">
                  <c:v>-3.0132376524172999</c:v>
                </c:pt>
                <c:pt idx="8">
                  <c:v>-18.089125486566601</c:v>
                </c:pt>
              </c:numCache>
            </c:numRef>
          </c:val>
          <c:extLst>
            <c:ext xmlns:c16="http://schemas.microsoft.com/office/drawing/2014/chart" uri="{C3380CC4-5D6E-409C-BE32-E72D297353CC}">
              <c16:uniqueId val="{00000004-B828-4682-9357-F3F9747394D5}"/>
            </c:ext>
          </c:extLst>
        </c:ser>
        <c:ser>
          <c:idx val="6"/>
          <c:order val="5"/>
          <c:tx>
            <c:strRef>
              <c:f>Hárok1!$H$20</c:f>
              <c:strCache>
                <c:ptCount val="1"/>
                <c:pt idx="0">
                  <c:v>PPP projekty</c:v>
                </c:pt>
              </c:strCache>
            </c:strRef>
          </c:tx>
          <c:spPr>
            <a:solidFill>
              <a:schemeClr val="bg1">
                <a:lumMod val="50000"/>
              </a:schemeClr>
            </a:solidFill>
            <a:ln>
              <a:noFill/>
            </a:ln>
            <a:effectLst/>
          </c:spPr>
          <c:invertIfNegative val="0"/>
          <c:cat>
            <c:numRef>
              <c:f>Hárok1!$A$34:$A$42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Hárok1!$H$34:$H$42</c:f>
              <c:numCache>
                <c:formatCode>0.0</c:formatCode>
                <c:ptCount val="9"/>
                <c:pt idx="0">
                  <c:v>-2.9922562069103704</c:v>
                </c:pt>
                <c:pt idx="1">
                  <c:v>-2.8763043553223757</c:v>
                </c:pt>
                <c:pt idx="2">
                  <c:v>-2.8106949280194504</c:v>
                </c:pt>
                <c:pt idx="3">
                  <c:v>-2.6746437733440782</c:v>
                </c:pt>
                <c:pt idx="4">
                  <c:v>-3.7620315648930522</c:v>
                </c:pt>
                <c:pt idx="5">
                  <c:v>-3.3125684879946062</c:v>
                </c:pt>
                <c:pt idx="6">
                  <c:v>-3.7789111672970264</c:v>
                </c:pt>
                <c:pt idx="7">
                  <c:v>-3.5999999999999996</c:v>
                </c:pt>
                <c:pt idx="8">
                  <c:v>-4.3978641409326604</c:v>
                </c:pt>
              </c:numCache>
            </c:numRef>
          </c:val>
          <c:extLst>
            <c:ext xmlns:c16="http://schemas.microsoft.com/office/drawing/2014/chart" uri="{C3380CC4-5D6E-409C-BE32-E72D297353CC}">
              <c16:uniqueId val="{00000005-B828-4682-9357-F3F9747394D5}"/>
            </c:ext>
          </c:extLst>
        </c:ser>
        <c:ser>
          <c:idx val="7"/>
          <c:order val="6"/>
          <c:tx>
            <c:strRef>
              <c:f>Hárok1!$I$20</c:f>
              <c:strCache>
                <c:ptCount val="1"/>
                <c:pt idx="0">
                  <c:v>Schéma financovania jadrových zariadení</c:v>
                </c:pt>
              </c:strCache>
            </c:strRef>
          </c:tx>
          <c:spPr>
            <a:solidFill>
              <a:schemeClr val="bg1">
                <a:lumMod val="75000"/>
              </a:schemeClr>
            </a:solidFill>
            <a:ln>
              <a:noFill/>
            </a:ln>
            <a:effectLst/>
          </c:spPr>
          <c:invertIfNegative val="0"/>
          <c:cat>
            <c:numRef>
              <c:f>Hárok1!$A$34:$A$42</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Hárok1!$I$34:$I$42</c:f>
              <c:numCache>
                <c:formatCode>0.0</c:formatCode>
                <c:ptCount val="9"/>
                <c:pt idx="1">
                  <c:v>3.6816809596650706</c:v>
                </c:pt>
                <c:pt idx="2">
                  <c:v>3.2584666971140415</c:v>
                </c:pt>
                <c:pt idx="3">
                  <c:v>3.1307335102994287</c:v>
                </c:pt>
                <c:pt idx="4">
                  <c:v>3.0636250479538578</c:v>
                </c:pt>
                <c:pt idx="5">
                  <c:v>2.8629333612815739</c:v>
                </c:pt>
                <c:pt idx="6">
                  <c:v>2.9110517702295677</c:v>
                </c:pt>
                <c:pt idx="7">
                  <c:v>4.4006964724384217</c:v>
                </c:pt>
                <c:pt idx="8">
                  <c:v>5.64627166428272</c:v>
                </c:pt>
              </c:numCache>
            </c:numRef>
          </c:val>
          <c:extLst>
            <c:ext xmlns:c16="http://schemas.microsoft.com/office/drawing/2014/chart" uri="{C3380CC4-5D6E-409C-BE32-E72D297353CC}">
              <c16:uniqueId val="{00000006-B828-4682-9357-F3F9747394D5}"/>
            </c:ext>
          </c:extLst>
        </c:ser>
        <c:dLbls>
          <c:showLegendKey val="0"/>
          <c:showVal val="0"/>
          <c:showCatName val="0"/>
          <c:showSerName val="0"/>
          <c:showPercent val="0"/>
          <c:showBubbleSize val="0"/>
        </c:dLbls>
        <c:gapWidth val="150"/>
        <c:overlap val="100"/>
        <c:axId val="164607152"/>
        <c:axId val="164637048"/>
      </c:barChart>
      <c:lineChart>
        <c:grouping val="standard"/>
        <c:varyColors val="0"/>
        <c:ser>
          <c:idx val="0"/>
          <c:order val="7"/>
          <c:tx>
            <c:strRef>
              <c:f>Hárok1!$B$33</c:f>
              <c:strCache>
                <c:ptCount val="1"/>
                <c:pt idx="0">
                  <c:v>Implicitné záväzky</c:v>
                </c:pt>
              </c:strCache>
            </c:strRef>
          </c:tx>
          <c:spPr>
            <a:ln w="28575" cap="rnd">
              <a:noFill/>
              <a:round/>
            </a:ln>
            <a:effectLst/>
          </c:spPr>
          <c:marker>
            <c:symbol val="circle"/>
            <c:size val="9"/>
            <c:spPr>
              <a:solidFill>
                <a:schemeClr val="tx1"/>
              </a:solidFill>
              <a:ln w="9525">
                <a:no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k-SK"/>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Hárok1!$B$34:$B$42</c:f>
              <c:numCache>
                <c:formatCode>0.0</c:formatCode>
                <c:ptCount val="9"/>
                <c:pt idx="0">
                  <c:v>-74.495101143869192</c:v>
                </c:pt>
                <c:pt idx="1">
                  <c:v>-66.003427371209739</c:v>
                </c:pt>
                <c:pt idx="2">
                  <c:v>-49.714695778050981</c:v>
                </c:pt>
                <c:pt idx="3">
                  <c:v>-42.888761517771123</c:v>
                </c:pt>
                <c:pt idx="4">
                  <c:v>-28.962454296332819</c:v>
                </c:pt>
                <c:pt idx="5">
                  <c:v>-30.648887396891254</c:v>
                </c:pt>
                <c:pt idx="6">
                  <c:v>-42.498464368158452</c:v>
                </c:pt>
                <c:pt idx="7">
                  <c:v>-112.64534270404289</c:v>
                </c:pt>
                <c:pt idx="8">
                  <c:v>-394.70421195968498</c:v>
                </c:pt>
              </c:numCache>
            </c:numRef>
          </c:val>
          <c:smooth val="0"/>
          <c:extLst>
            <c:ext xmlns:c16="http://schemas.microsoft.com/office/drawing/2014/chart" uri="{C3380CC4-5D6E-409C-BE32-E72D297353CC}">
              <c16:uniqueId val="{00000007-B828-4682-9357-F3F9747394D5}"/>
            </c:ext>
          </c:extLst>
        </c:ser>
        <c:dLbls>
          <c:showLegendKey val="0"/>
          <c:showVal val="0"/>
          <c:showCatName val="0"/>
          <c:showSerName val="0"/>
          <c:showPercent val="0"/>
          <c:showBubbleSize val="0"/>
        </c:dLbls>
        <c:marker val="1"/>
        <c:smooth val="0"/>
        <c:axId val="164607152"/>
        <c:axId val="164637048"/>
      </c:lineChart>
      <c:catAx>
        <c:axId val="164607152"/>
        <c:scaling>
          <c:orientation val="minMax"/>
        </c:scaling>
        <c:delete val="0"/>
        <c:axPos val="b"/>
        <c:numFmt formatCode="General" sourceLinked="1"/>
        <c:majorTickMark val="none"/>
        <c:minorTickMark val="none"/>
        <c:tickLblPos val="low"/>
        <c:spPr>
          <a:noFill/>
          <a:ln w="31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k-SK"/>
          </a:p>
        </c:txPr>
        <c:crossAx val="164637048"/>
        <c:crosses val="autoZero"/>
        <c:auto val="1"/>
        <c:lblAlgn val="ctr"/>
        <c:lblOffset val="100"/>
        <c:noMultiLvlLbl val="0"/>
      </c:catAx>
      <c:valAx>
        <c:axId val="164637048"/>
        <c:scaling>
          <c:orientation val="minMax"/>
          <c:max val="25"/>
          <c:min val="-400"/>
        </c:scaling>
        <c:delete val="0"/>
        <c:axPos val="l"/>
        <c:majorGridlines>
          <c:spPr>
            <a:ln w="3175" cap="flat" cmpd="sng" algn="ctr">
              <a:solidFill>
                <a:schemeClr val="tx1">
                  <a:lumMod val="15000"/>
                  <a:lumOff val="85000"/>
                </a:schemeClr>
              </a:solidFill>
              <a:prstDash val="sysDot"/>
              <a:round/>
            </a:ln>
            <a:effectLst/>
          </c:spPr>
        </c:majorGridlines>
        <c:numFmt formatCode="0" sourceLinked="0"/>
        <c:majorTickMark val="none"/>
        <c:minorTickMark val="none"/>
        <c:tickLblPos val="nextTo"/>
        <c:spPr>
          <a:noFill/>
          <a:ln w="3175">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k-SK"/>
          </a:p>
        </c:txPr>
        <c:crossAx val="164607152"/>
        <c:crosses val="autoZero"/>
        <c:crossBetween val="between"/>
      </c:valAx>
      <c:spPr>
        <a:noFill/>
        <a:ln>
          <a:noFill/>
        </a:ln>
        <a:effectLst/>
      </c:spPr>
    </c:plotArea>
    <c:legend>
      <c:legendPos val="b"/>
      <c:layout>
        <c:manualLayout>
          <c:xMode val="edge"/>
          <c:yMode val="edge"/>
          <c:x val="1.7165950094825796E-2"/>
          <c:y val="0.88231786470459994"/>
          <c:w val="0.97239348234055878"/>
          <c:h val="0.1015693474722694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k-SK"/>
        </a:p>
      </c:txPr>
    </c:legend>
    <c:plotVisOnly val="1"/>
    <c:dispBlanksAs val="gap"/>
    <c:showDLblsOverMax val="0"/>
  </c:chart>
  <c:spPr>
    <a:no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sk-SK"/>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IFP farby">
    <a:dk1>
      <a:sysClr val="windowText" lastClr="000000"/>
    </a:dk1>
    <a:lt1>
      <a:sysClr val="window" lastClr="FFFFFF"/>
    </a:lt1>
    <a:dk2>
      <a:srgbClr val="1F497D"/>
    </a:dk2>
    <a:lt2>
      <a:srgbClr val="EEECE1"/>
    </a:lt2>
    <a:accent1>
      <a:srgbClr val="B0D6AF"/>
    </a:accent1>
    <a:accent2>
      <a:srgbClr val="D3BEDE"/>
    </a:accent2>
    <a:accent3>
      <a:srgbClr val="D9D3AB"/>
    </a:accent3>
    <a:accent4>
      <a:srgbClr val="AAD3F2"/>
    </a:accent4>
    <a:accent5>
      <a:srgbClr val="F9C9BA"/>
    </a:accent5>
    <a:accent6>
      <a:srgbClr val="2C9ADC"/>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IFP">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551CB-49CF-4D2B-9E2C-5BAEA499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76</Pages>
  <Words>36675</Words>
  <Characters>205878</Characters>
  <Application>Microsoft Office Word</Application>
  <DocSecurity>0</DocSecurity>
  <Lines>1715</Lines>
  <Paragraphs>484</Paragraphs>
  <ScaleCrop>false</ScaleCrop>
  <HeadingPairs>
    <vt:vector size="2" baseType="variant">
      <vt:variant>
        <vt:lpstr>Názov</vt:lpstr>
      </vt:variant>
      <vt:variant>
        <vt:i4>1</vt:i4>
      </vt:variant>
    </vt:vector>
  </HeadingPairs>
  <TitlesOfParts>
    <vt:vector size="1" baseType="lpstr">
      <vt:lpstr/>
    </vt:vector>
  </TitlesOfParts>
  <Company>MF SR</Company>
  <LinksUpToDate>false</LinksUpToDate>
  <CharactersWithSpaces>242069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zkrajcir</dc:creator>
  <cp:keywords/>
  <dc:description/>
  <cp:lastModifiedBy>Ivanek Peter</cp:lastModifiedBy>
  <cp:revision>521</cp:revision>
  <cp:lastPrinted>2021-10-21T10:51:00Z</cp:lastPrinted>
  <dcterms:created xsi:type="dcterms:W3CDTF">2021-09-13T12:24:00Z</dcterms:created>
  <dcterms:modified xsi:type="dcterms:W3CDTF">2021-10-28T15:59:00Z</dcterms:modified>
</cp:coreProperties>
</file>