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09720558"/>
        <w:placeholder>
          <w:docPart w:val="4CFA9320A03148E98EF733F7A917AECF"/>
        </w:placeholder>
      </w:sdtPr>
      <w:sdtEndPr/>
      <w:sdtContent>
        <w:p w14:paraId="12D0BE3D" w14:textId="103F095F" w:rsidR="00196D31" w:rsidRDefault="006C125B" w:rsidP="00FF5DA3">
          <w:pPr>
            <w:pStyle w:val="Nzov"/>
            <w:spacing w:before="4800"/>
          </w:pPr>
          <w:r>
            <w:t xml:space="preserve">STANOVISKO </w:t>
          </w:r>
          <w:r>
            <w:br/>
            <w:t xml:space="preserve">najvyššieho kontrolného úradu sr k návrhu štátneho rozpočtu sr na rok </w:t>
          </w:r>
          <w:r w:rsidRPr="009A64E6">
            <w:t>2022</w:t>
          </w:r>
        </w:p>
      </w:sdtContent>
    </w:sdt>
    <w:p w14:paraId="6D1ED517" w14:textId="77777777" w:rsidR="00F539EB" w:rsidRDefault="00F539EB" w:rsidP="00FF5DA3">
      <w:pPr>
        <w:pStyle w:val="Podtitul"/>
        <w:spacing w:after="1200"/>
      </w:pPr>
    </w:p>
    <w:p w14:paraId="427B3189" w14:textId="77777777" w:rsidR="00F071B7" w:rsidRDefault="00F071B7" w:rsidP="00F071B7">
      <w:pPr>
        <w:jc w:val="center"/>
        <w:rPr>
          <w:b/>
          <w:color w:val="314364" w:themeColor="text2"/>
          <w:sz w:val="32"/>
          <w:szCs w:val="32"/>
        </w:rPr>
      </w:pPr>
      <w:r>
        <w:rPr>
          <w:b/>
          <w:color w:val="314364" w:themeColor="text2"/>
          <w:sz w:val="32"/>
          <w:szCs w:val="32"/>
        </w:rPr>
        <w:t>November</w:t>
      </w:r>
      <w:r w:rsidRPr="00FF5DA3">
        <w:rPr>
          <w:b/>
          <w:color w:val="314364" w:themeColor="text2"/>
          <w:sz w:val="32"/>
          <w:szCs w:val="32"/>
        </w:rPr>
        <w:t xml:space="preserve"> </w:t>
      </w:r>
      <w:r>
        <w:rPr>
          <w:b/>
          <w:color w:val="314364" w:themeColor="text2"/>
          <w:sz w:val="32"/>
          <w:szCs w:val="32"/>
        </w:rPr>
        <w:t>2021</w:t>
      </w:r>
    </w:p>
    <w:p w14:paraId="0B2834C2" w14:textId="77777777" w:rsidR="00F071B7" w:rsidRDefault="00F071B7" w:rsidP="00F071B7">
      <w:pPr>
        <w:jc w:val="center"/>
        <w:rPr>
          <w:b/>
          <w:color w:val="314364" w:themeColor="text2"/>
          <w:sz w:val="32"/>
          <w:szCs w:val="32"/>
        </w:rPr>
      </w:pPr>
    </w:p>
    <w:p w14:paraId="207C9DBE" w14:textId="77777777" w:rsidR="00F071B7" w:rsidRDefault="00F071B7" w:rsidP="00F071B7">
      <w:pPr>
        <w:jc w:val="center"/>
        <w:rPr>
          <w:b/>
          <w:color w:val="314364" w:themeColor="text2"/>
          <w:sz w:val="32"/>
          <w:szCs w:val="32"/>
        </w:rPr>
      </w:pPr>
    </w:p>
    <w:p w14:paraId="67BC3C64" w14:textId="77777777" w:rsidR="00F071B7" w:rsidRDefault="00F071B7" w:rsidP="00F071B7">
      <w:pPr>
        <w:jc w:val="center"/>
        <w:rPr>
          <w:b/>
          <w:color w:val="314364" w:themeColor="text2"/>
          <w:sz w:val="32"/>
          <w:szCs w:val="32"/>
        </w:rPr>
      </w:pPr>
    </w:p>
    <w:p w14:paraId="3B65B546" w14:textId="77777777" w:rsidR="00F071B7" w:rsidRDefault="00F071B7" w:rsidP="00F071B7">
      <w:pPr>
        <w:jc w:val="center"/>
        <w:rPr>
          <w:b/>
          <w:color w:val="314364" w:themeColor="text2"/>
          <w:sz w:val="32"/>
          <w:szCs w:val="32"/>
        </w:rPr>
      </w:pPr>
    </w:p>
    <w:p w14:paraId="47E81C51" w14:textId="77777777" w:rsidR="00F071B7" w:rsidRPr="004C1252" w:rsidRDefault="00F071B7" w:rsidP="00F071B7">
      <w:pPr>
        <w:rPr>
          <w:sz w:val="32"/>
          <w:szCs w:val="32"/>
        </w:rPr>
      </w:pPr>
    </w:p>
    <w:p w14:paraId="2E9319C2" w14:textId="77777777" w:rsidR="00F071B7" w:rsidRPr="004C1252" w:rsidRDefault="00F071B7" w:rsidP="00F071B7">
      <w:pPr>
        <w:tabs>
          <w:tab w:val="center" w:pos="4535"/>
        </w:tabs>
        <w:rPr>
          <w:sz w:val="32"/>
          <w:szCs w:val="32"/>
        </w:rPr>
        <w:sectPr w:rsidR="00F071B7" w:rsidRPr="004C1252" w:rsidSect="001951F6">
          <w:headerReference w:type="default" r:id="rId8"/>
          <w:footerReference w:type="default" r:id="rId9"/>
          <w:pgSz w:w="11906" w:h="16838"/>
          <w:pgMar w:top="1985" w:right="1418" w:bottom="1134" w:left="1418" w:header="0" w:footer="283" w:gutter="0"/>
          <w:cols w:space="708"/>
          <w:docGrid w:linePitch="360"/>
        </w:sectPr>
      </w:pPr>
    </w:p>
    <w:sdt>
      <w:sdtPr>
        <w:rPr>
          <w:rFonts w:eastAsiaTheme="minorHAnsi" w:cstheme="minorBidi"/>
          <w:color w:val="auto"/>
          <w:sz w:val="20"/>
          <w:szCs w:val="22"/>
          <w:lang w:eastAsia="en-US"/>
        </w:rPr>
        <w:id w:val="1304823830"/>
        <w:docPartObj>
          <w:docPartGallery w:val="Table of Contents"/>
          <w:docPartUnique/>
        </w:docPartObj>
      </w:sdtPr>
      <w:sdtEndPr>
        <w:rPr>
          <w:b/>
          <w:bCs/>
        </w:rPr>
      </w:sdtEndPr>
      <w:sdtContent>
        <w:p w14:paraId="5C4FE225" w14:textId="77777777" w:rsidR="00F071B7" w:rsidRDefault="00F071B7" w:rsidP="00F071B7">
          <w:pPr>
            <w:pStyle w:val="Hlavikaobsahu"/>
          </w:pPr>
          <w:r>
            <w:t>Obsah</w:t>
          </w:r>
        </w:p>
        <w:p w14:paraId="17736478" w14:textId="4FE8E40A" w:rsidR="00532F40" w:rsidRDefault="006C125B">
          <w:pPr>
            <w:pStyle w:val="Obsah1"/>
            <w:rPr>
              <w:rFonts w:eastAsiaTheme="minorEastAsia" w:cstheme="minorBidi"/>
              <w:b w:val="0"/>
              <w:bCs w:val="0"/>
              <w:caps w:val="0"/>
              <w:color w:val="auto"/>
              <w:sz w:val="22"/>
              <w:szCs w:val="22"/>
              <w:lang w:eastAsia="sk-SK"/>
            </w:rPr>
          </w:pPr>
          <w:r>
            <w:fldChar w:fldCharType="begin"/>
          </w:r>
          <w:r>
            <w:instrText xml:space="preserve"> TOC \o "1-3" \h \z \u </w:instrText>
          </w:r>
          <w:r>
            <w:fldChar w:fldCharType="separate"/>
          </w:r>
          <w:hyperlink w:anchor="_Toc87345104" w:history="1">
            <w:r w:rsidR="00532F40" w:rsidRPr="0001628C">
              <w:rPr>
                <w:rStyle w:val="Hypertextovprepojenie"/>
              </w:rPr>
              <w:t>Zhrnutie</w:t>
            </w:r>
            <w:r w:rsidR="00532F40">
              <w:rPr>
                <w:webHidden/>
              </w:rPr>
              <w:tab/>
            </w:r>
            <w:r w:rsidR="00532F40">
              <w:rPr>
                <w:webHidden/>
              </w:rPr>
              <w:fldChar w:fldCharType="begin"/>
            </w:r>
            <w:r w:rsidR="00532F40">
              <w:rPr>
                <w:webHidden/>
              </w:rPr>
              <w:instrText xml:space="preserve"> PAGEREF _Toc87345104 \h </w:instrText>
            </w:r>
            <w:r w:rsidR="00532F40">
              <w:rPr>
                <w:webHidden/>
              </w:rPr>
            </w:r>
            <w:r w:rsidR="00532F40">
              <w:rPr>
                <w:webHidden/>
              </w:rPr>
              <w:fldChar w:fldCharType="separate"/>
            </w:r>
            <w:r w:rsidR="005E7D60">
              <w:rPr>
                <w:webHidden/>
              </w:rPr>
              <w:t>4</w:t>
            </w:r>
            <w:r w:rsidR="00532F40">
              <w:rPr>
                <w:webHidden/>
              </w:rPr>
              <w:fldChar w:fldCharType="end"/>
            </w:r>
          </w:hyperlink>
        </w:p>
        <w:p w14:paraId="40E207CA" w14:textId="356777AF" w:rsidR="00532F40" w:rsidRDefault="00165F25">
          <w:pPr>
            <w:pStyle w:val="Obsah1"/>
            <w:rPr>
              <w:rFonts w:eastAsiaTheme="minorEastAsia" w:cstheme="minorBidi"/>
              <w:b w:val="0"/>
              <w:bCs w:val="0"/>
              <w:caps w:val="0"/>
              <w:color w:val="auto"/>
              <w:sz w:val="22"/>
              <w:szCs w:val="22"/>
              <w:lang w:eastAsia="sk-SK"/>
            </w:rPr>
          </w:pPr>
          <w:hyperlink w:anchor="_Toc87345105" w:history="1">
            <w:r w:rsidR="00532F40" w:rsidRPr="0001628C">
              <w:rPr>
                <w:rStyle w:val="Hypertextovprepojenie"/>
              </w:rPr>
              <w:t>1</w:t>
            </w:r>
            <w:r w:rsidR="00532F40">
              <w:rPr>
                <w:rFonts w:eastAsiaTheme="minorEastAsia" w:cstheme="minorBidi"/>
                <w:b w:val="0"/>
                <w:bCs w:val="0"/>
                <w:caps w:val="0"/>
                <w:color w:val="auto"/>
                <w:sz w:val="22"/>
                <w:szCs w:val="22"/>
                <w:lang w:eastAsia="sk-SK"/>
              </w:rPr>
              <w:tab/>
            </w:r>
            <w:r w:rsidR="00532F40" w:rsidRPr="0001628C">
              <w:rPr>
                <w:rStyle w:val="Hypertextovprepojenie"/>
              </w:rPr>
              <w:t>Makroekonomické predpoklady rozpočtu</w:t>
            </w:r>
            <w:r w:rsidR="00532F40">
              <w:rPr>
                <w:webHidden/>
              </w:rPr>
              <w:tab/>
            </w:r>
            <w:r w:rsidR="00532F40">
              <w:rPr>
                <w:webHidden/>
              </w:rPr>
              <w:fldChar w:fldCharType="begin"/>
            </w:r>
            <w:r w:rsidR="00532F40">
              <w:rPr>
                <w:webHidden/>
              </w:rPr>
              <w:instrText xml:space="preserve"> PAGEREF _Toc87345105 \h </w:instrText>
            </w:r>
            <w:r w:rsidR="00532F40">
              <w:rPr>
                <w:webHidden/>
              </w:rPr>
            </w:r>
            <w:r w:rsidR="00532F40">
              <w:rPr>
                <w:webHidden/>
              </w:rPr>
              <w:fldChar w:fldCharType="separate"/>
            </w:r>
            <w:r w:rsidR="005E7D60">
              <w:rPr>
                <w:webHidden/>
              </w:rPr>
              <w:t>7</w:t>
            </w:r>
            <w:r w:rsidR="00532F40">
              <w:rPr>
                <w:webHidden/>
              </w:rPr>
              <w:fldChar w:fldCharType="end"/>
            </w:r>
          </w:hyperlink>
        </w:p>
        <w:p w14:paraId="3A51B310" w14:textId="5C948892" w:rsidR="00532F40" w:rsidRDefault="00165F25">
          <w:pPr>
            <w:pStyle w:val="Obsah1"/>
            <w:rPr>
              <w:rFonts w:eastAsiaTheme="minorEastAsia" w:cstheme="minorBidi"/>
              <w:b w:val="0"/>
              <w:bCs w:val="0"/>
              <w:caps w:val="0"/>
              <w:color w:val="auto"/>
              <w:sz w:val="22"/>
              <w:szCs w:val="22"/>
              <w:lang w:eastAsia="sk-SK"/>
            </w:rPr>
          </w:pPr>
          <w:hyperlink w:anchor="_Toc87345106" w:history="1">
            <w:r w:rsidR="00532F40" w:rsidRPr="0001628C">
              <w:rPr>
                <w:rStyle w:val="Hypertextovprepojenie"/>
              </w:rPr>
              <w:t>2</w:t>
            </w:r>
            <w:r w:rsidR="00532F40">
              <w:rPr>
                <w:rFonts w:eastAsiaTheme="minorEastAsia" w:cstheme="minorBidi"/>
                <w:b w:val="0"/>
                <w:bCs w:val="0"/>
                <w:caps w:val="0"/>
                <w:color w:val="auto"/>
                <w:sz w:val="22"/>
                <w:szCs w:val="22"/>
                <w:lang w:eastAsia="sk-SK"/>
              </w:rPr>
              <w:tab/>
            </w:r>
            <w:r w:rsidR="00532F40" w:rsidRPr="0001628C">
              <w:rPr>
                <w:rStyle w:val="Hypertextovprepojenie"/>
              </w:rPr>
              <w:t>Východiskový rámec návrhu RVS</w:t>
            </w:r>
            <w:r w:rsidR="00532F40">
              <w:rPr>
                <w:webHidden/>
              </w:rPr>
              <w:tab/>
            </w:r>
            <w:r w:rsidR="00532F40">
              <w:rPr>
                <w:webHidden/>
              </w:rPr>
              <w:fldChar w:fldCharType="begin"/>
            </w:r>
            <w:r w:rsidR="00532F40">
              <w:rPr>
                <w:webHidden/>
              </w:rPr>
              <w:instrText xml:space="preserve"> PAGEREF _Toc87345106 \h </w:instrText>
            </w:r>
            <w:r w:rsidR="00532F40">
              <w:rPr>
                <w:webHidden/>
              </w:rPr>
            </w:r>
            <w:r w:rsidR="00532F40">
              <w:rPr>
                <w:webHidden/>
              </w:rPr>
              <w:fldChar w:fldCharType="separate"/>
            </w:r>
            <w:r w:rsidR="005E7D60">
              <w:rPr>
                <w:webHidden/>
              </w:rPr>
              <w:t>9</w:t>
            </w:r>
            <w:r w:rsidR="00532F40">
              <w:rPr>
                <w:webHidden/>
              </w:rPr>
              <w:fldChar w:fldCharType="end"/>
            </w:r>
          </w:hyperlink>
        </w:p>
        <w:p w14:paraId="6B4F4F1E" w14:textId="70C4F405" w:rsidR="00532F40" w:rsidRDefault="00165F25">
          <w:pPr>
            <w:pStyle w:val="Obsah2"/>
            <w:tabs>
              <w:tab w:val="left" w:pos="800"/>
              <w:tab w:val="right" w:leader="dot" w:pos="9060"/>
            </w:tabs>
            <w:rPr>
              <w:rFonts w:eastAsiaTheme="minorEastAsia" w:cstheme="minorBidi"/>
              <w:smallCaps w:val="0"/>
              <w:noProof/>
              <w:sz w:val="22"/>
              <w:szCs w:val="22"/>
              <w:lang w:eastAsia="sk-SK"/>
            </w:rPr>
          </w:pPr>
          <w:hyperlink w:anchor="_Toc87345107" w:history="1">
            <w:r w:rsidR="00532F40" w:rsidRPr="0001628C">
              <w:rPr>
                <w:rStyle w:val="Hypertextovprepojenie"/>
                <w:noProof/>
              </w:rPr>
              <w:t>2.1</w:t>
            </w:r>
            <w:r w:rsidR="00532F40">
              <w:rPr>
                <w:rFonts w:eastAsiaTheme="minorEastAsia" w:cstheme="minorBidi"/>
                <w:smallCaps w:val="0"/>
                <w:noProof/>
                <w:sz w:val="22"/>
                <w:szCs w:val="22"/>
                <w:lang w:eastAsia="sk-SK"/>
              </w:rPr>
              <w:tab/>
            </w:r>
            <w:r w:rsidR="00532F40" w:rsidRPr="0001628C">
              <w:rPr>
                <w:rStyle w:val="Hypertextovprepojenie"/>
                <w:noProof/>
              </w:rPr>
              <w:t>Fiškálny rámec návrhu RVS</w:t>
            </w:r>
            <w:r w:rsidR="00532F40">
              <w:rPr>
                <w:noProof/>
                <w:webHidden/>
              </w:rPr>
              <w:tab/>
            </w:r>
            <w:r w:rsidR="00532F40">
              <w:rPr>
                <w:noProof/>
                <w:webHidden/>
              </w:rPr>
              <w:fldChar w:fldCharType="begin"/>
            </w:r>
            <w:r w:rsidR="00532F40">
              <w:rPr>
                <w:noProof/>
                <w:webHidden/>
              </w:rPr>
              <w:instrText xml:space="preserve"> PAGEREF _Toc87345107 \h </w:instrText>
            </w:r>
            <w:r w:rsidR="00532F40">
              <w:rPr>
                <w:noProof/>
                <w:webHidden/>
              </w:rPr>
            </w:r>
            <w:r w:rsidR="00532F40">
              <w:rPr>
                <w:noProof/>
                <w:webHidden/>
              </w:rPr>
              <w:fldChar w:fldCharType="separate"/>
            </w:r>
            <w:r w:rsidR="005E7D60">
              <w:rPr>
                <w:noProof/>
                <w:webHidden/>
              </w:rPr>
              <w:t>10</w:t>
            </w:r>
            <w:r w:rsidR="00532F40">
              <w:rPr>
                <w:noProof/>
                <w:webHidden/>
              </w:rPr>
              <w:fldChar w:fldCharType="end"/>
            </w:r>
          </w:hyperlink>
        </w:p>
        <w:p w14:paraId="5C9B17B9" w14:textId="73C1FA1F" w:rsidR="00532F40" w:rsidRDefault="00165F25">
          <w:pPr>
            <w:pStyle w:val="Obsah2"/>
            <w:tabs>
              <w:tab w:val="left" w:pos="800"/>
              <w:tab w:val="right" w:leader="dot" w:pos="9060"/>
            </w:tabs>
            <w:rPr>
              <w:rFonts w:eastAsiaTheme="minorEastAsia" w:cstheme="minorBidi"/>
              <w:smallCaps w:val="0"/>
              <w:noProof/>
              <w:sz w:val="22"/>
              <w:szCs w:val="22"/>
              <w:lang w:eastAsia="sk-SK"/>
            </w:rPr>
          </w:pPr>
          <w:hyperlink w:anchor="_Toc87345108" w:history="1">
            <w:r w:rsidR="00532F40" w:rsidRPr="0001628C">
              <w:rPr>
                <w:rStyle w:val="Hypertextovprepojenie"/>
                <w:noProof/>
              </w:rPr>
              <w:t>2.2</w:t>
            </w:r>
            <w:r w:rsidR="00532F40">
              <w:rPr>
                <w:rFonts w:eastAsiaTheme="minorEastAsia" w:cstheme="minorBidi"/>
                <w:smallCaps w:val="0"/>
                <w:noProof/>
                <w:sz w:val="22"/>
                <w:szCs w:val="22"/>
                <w:lang w:eastAsia="sk-SK"/>
              </w:rPr>
              <w:tab/>
            </w:r>
            <w:r w:rsidR="00532F40" w:rsidRPr="0001628C">
              <w:rPr>
                <w:rStyle w:val="Hypertextovprepojenie"/>
                <w:noProof/>
              </w:rPr>
              <w:t>Prognóza hrubého dlhu VS</w:t>
            </w:r>
            <w:r w:rsidR="00532F40">
              <w:rPr>
                <w:noProof/>
                <w:webHidden/>
              </w:rPr>
              <w:tab/>
            </w:r>
            <w:r w:rsidR="00532F40">
              <w:rPr>
                <w:noProof/>
                <w:webHidden/>
              </w:rPr>
              <w:fldChar w:fldCharType="begin"/>
            </w:r>
            <w:r w:rsidR="00532F40">
              <w:rPr>
                <w:noProof/>
                <w:webHidden/>
              </w:rPr>
              <w:instrText xml:space="preserve"> PAGEREF _Toc87345108 \h </w:instrText>
            </w:r>
            <w:r w:rsidR="00532F40">
              <w:rPr>
                <w:noProof/>
                <w:webHidden/>
              </w:rPr>
            </w:r>
            <w:r w:rsidR="00532F40">
              <w:rPr>
                <w:noProof/>
                <w:webHidden/>
              </w:rPr>
              <w:fldChar w:fldCharType="separate"/>
            </w:r>
            <w:r w:rsidR="005E7D60">
              <w:rPr>
                <w:noProof/>
                <w:webHidden/>
              </w:rPr>
              <w:t>11</w:t>
            </w:r>
            <w:r w:rsidR="00532F40">
              <w:rPr>
                <w:noProof/>
                <w:webHidden/>
              </w:rPr>
              <w:fldChar w:fldCharType="end"/>
            </w:r>
          </w:hyperlink>
        </w:p>
        <w:p w14:paraId="44EA0EB7" w14:textId="2C389553" w:rsidR="00532F40" w:rsidRDefault="00165F25">
          <w:pPr>
            <w:pStyle w:val="Obsah1"/>
            <w:rPr>
              <w:rFonts w:eastAsiaTheme="minorEastAsia" w:cstheme="minorBidi"/>
              <w:b w:val="0"/>
              <w:bCs w:val="0"/>
              <w:caps w:val="0"/>
              <w:color w:val="auto"/>
              <w:sz w:val="22"/>
              <w:szCs w:val="22"/>
              <w:lang w:eastAsia="sk-SK"/>
            </w:rPr>
          </w:pPr>
          <w:hyperlink w:anchor="_Toc87345109" w:history="1">
            <w:r w:rsidR="00532F40" w:rsidRPr="0001628C">
              <w:rPr>
                <w:rStyle w:val="Hypertextovprepojenie"/>
              </w:rPr>
              <w:t>3</w:t>
            </w:r>
            <w:r w:rsidR="00532F40">
              <w:rPr>
                <w:rFonts w:eastAsiaTheme="minorEastAsia" w:cstheme="minorBidi"/>
                <w:b w:val="0"/>
                <w:bCs w:val="0"/>
                <w:caps w:val="0"/>
                <w:color w:val="auto"/>
                <w:sz w:val="22"/>
                <w:szCs w:val="22"/>
                <w:lang w:eastAsia="sk-SK"/>
              </w:rPr>
              <w:tab/>
            </w:r>
            <w:r w:rsidR="00532F40" w:rsidRPr="0001628C">
              <w:rPr>
                <w:rStyle w:val="Hypertextovprepojenie"/>
              </w:rPr>
              <w:t>Rozpočtové vzťahy SR a EÚ</w:t>
            </w:r>
            <w:r w:rsidR="00532F40">
              <w:rPr>
                <w:webHidden/>
              </w:rPr>
              <w:tab/>
            </w:r>
            <w:r w:rsidR="00532F40">
              <w:rPr>
                <w:webHidden/>
              </w:rPr>
              <w:fldChar w:fldCharType="begin"/>
            </w:r>
            <w:r w:rsidR="00532F40">
              <w:rPr>
                <w:webHidden/>
              </w:rPr>
              <w:instrText xml:space="preserve"> PAGEREF _Toc87345109 \h </w:instrText>
            </w:r>
            <w:r w:rsidR="00532F40">
              <w:rPr>
                <w:webHidden/>
              </w:rPr>
            </w:r>
            <w:r w:rsidR="00532F40">
              <w:rPr>
                <w:webHidden/>
              </w:rPr>
              <w:fldChar w:fldCharType="separate"/>
            </w:r>
            <w:r w:rsidR="005E7D60">
              <w:rPr>
                <w:webHidden/>
              </w:rPr>
              <w:t>13</w:t>
            </w:r>
            <w:r w:rsidR="00532F40">
              <w:rPr>
                <w:webHidden/>
              </w:rPr>
              <w:fldChar w:fldCharType="end"/>
            </w:r>
          </w:hyperlink>
        </w:p>
        <w:p w14:paraId="62435BA5" w14:textId="59F78E5D" w:rsidR="00532F40" w:rsidRDefault="00165F25">
          <w:pPr>
            <w:pStyle w:val="Obsah1"/>
            <w:rPr>
              <w:rFonts w:eastAsiaTheme="minorEastAsia" w:cstheme="minorBidi"/>
              <w:b w:val="0"/>
              <w:bCs w:val="0"/>
              <w:caps w:val="0"/>
              <w:color w:val="auto"/>
              <w:sz w:val="22"/>
              <w:szCs w:val="22"/>
              <w:lang w:eastAsia="sk-SK"/>
            </w:rPr>
          </w:pPr>
          <w:hyperlink w:anchor="_Toc87345110" w:history="1">
            <w:r w:rsidR="00532F40" w:rsidRPr="0001628C">
              <w:rPr>
                <w:rStyle w:val="Hypertextovprepojenie"/>
              </w:rPr>
              <w:t>4</w:t>
            </w:r>
            <w:r w:rsidR="00532F40">
              <w:rPr>
                <w:rFonts w:eastAsiaTheme="minorEastAsia" w:cstheme="minorBidi"/>
                <w:b w:val="0"/>
                <w:bCs w:val="0"/>
                <w:caps w:val="0"/>
                <w:color w:val="auto"/>
                <w:sz w:val="22"/>
                <w:szCs w:val="22"/>
                <w:lang w:eastAsia="sk-SK"/>
              </w:rPr>
              <w:tab/>
            </w:r>
            <w:r w:rsidR="00532F40" w:rsidRPr="0001628C">
              <w:rPr>
                <w:rStyle w:val="Hypertextovprepojenie"/>
              </w:rPr>
              <w:t>Súhrnné riziká návrhu ŠR na rok 2022</w:t>
            </w:r>
            <w:r w:rsidR="00532F40">
              <w:rPr>
                <w:webHidden/>
              </w:rPr>
              <w:tab/>
            </w:r>
            <w:r w:rsidR="00532F40">
              <w:rPr>
                <w:webHidden/>
              </w:rPr>
              <w:fldChar w:fldCharType="begin"/>
            </w:r>
            <w:r w:rsidR="00532F40">
              <w:rPr>
                <w:webHidden/>
              </w:rPr>
              <w:instrText xml:space="preserve"> PAGEREF _Toc87345110 \h </w:instrText>
            </w:r>
            <w:r w:rsidR="00532F40">
              <w:rPr>
                <w:webHidden/>
              </w:rPr>
            </w:r>
            <w:r w:rsidR="00532F40">
              <w:rPr>
                <w:webHidden/>
              </w:rPr>
              <w:fldChar w:fldCharType="separate"/>
            </w:r>
            <w:r w:rsidR="005E7D60">
              <w:rPr>
                <w:webHidden/>
              </w:rPr>
              <w:t>16</w:t>
            </w:r>
            <w:r w:rsidR="00532F40">
              <w:rPr>
                <w:webHidden/>
              </w:rPr>
              <w:fldChar w:fldCharType="end"/>
            </w:r>
          </w:hyperlink>
        </w:p>
        <w:p w14:paraId="4D1FA8A0" w14:textId="4832000E" w:rsidR="00532F40" w:rsidRDefault="00165F25">
          <w:pPr>
            <w:pStyle w:val="Obsah1"/>
            <w:rPr>
              <w:rFonts w:eastAsiaTheme="minorEastAsia" w:cstheme="minorBidi"/>
              <w:b w:val="0"/>
              <w:bCs w:val="0"/>
              <w:caps w:val="0"/>
              <w:color w:val="auto"/>
              <w:sz w:val="22"/>
              <w:szCs w:val="22"/>
              <w:lang w:eastAsia="sk-SK"/>
            </w:rPr>
          </w:pPr>
          <w:hyperlink w:anchor="_Toc87345111" w:history="1">
            <w:r w:rsidR="00532F40" w:rsidRPr="0001628C">
              <w:rPr>
                <w:rStyle w:val="Hypertextovprepojenie"/>
              </w:rPr>
              <w:t>5</w:t>
            </w:r>
            <w:r w:rsidR="00532F40">
              <w:rPr>
                <w:rFonts w:eastAsiaTheme="minorEastAsia" w:cstheme="minorBidi"/>
                <w:b w:val="0"/>
                <w:bCs w:val="0"/>
                <w:caps w:val="0"/>
                <w:color w:val="auto"/>
                <w:sz w:val="22"/>
                <w:szCs w:val="22"/>
                <w:lang w:eastAsia="sk-SK"/>
              </w:rPr>
              <w:tab/>
            </w:r>
            <w:r w:rsidR="00532F40" w:rsidRPr="0001628C">
              <w:rPr>
                <w:rStyle w:val="Hypertextovprepojenie"/>
              </w:rPr>
              <w:t>Riziká rozpočtovania pri dosahovaní najvýznamnejších cieľov</w:t>
            </w:r>
            <w:r w:rsidR="00532F40">
              <w:rPr>
                <w:webHidden/>
              </w:rPr>
              <w:tab/>
            </w:r>
            <w:r w:rsidR="00532F40">
              <w:rPr>
                <w:webHidden/>
              </w:rPr>
              <w:fldChar w:fldCharType="begin"/>
            </w:r>
            <w:r w:rsidR="00532F40">
              <w:rPr>
                <w:webHidden/>
              </w:rPr>
              <w:instrText xml:space="preserve"> PAGEREF _Toc87345111 \h </w:instrText>
            </w:r>
            <w:r w:rsidR="00532F40">
              <w:rPr>
                <w:webHidden/>
              </w:rPr>
            </w:r>
            <w:r w:rsidR="00532F40">
              <w:rPr>
                <w:webHidden/>
              </w:rPr>
              <w:fldChar w:fldCharType="separate"/>
            </w:r>
            <w:r w:rsidR="005E7D60">
              <w:rPr>
                <w:webHidden/>
              </w:rPr>
              <w:t>21</w:t>
            </w:r>
            <w:r w:rsidR="00532F40">
              <w:rPr>
                <w:webHidden/>
              </w:rPr>
              <w:fldChar w:fldCharType="end"/>
            </w:r>
          </w:hyperlink>
        </w:p>
        <w:p w14:paraId="5294DA3D" w14:textId="3F50D0D7" w:rsidR="00532F40" w:rsidRDefault="00165F25">
          <w:pPr>
            <w:pStyle w:val="Obsah2"/>
            <w:tabs>
              <w:tab w:val="left" w:pos="800"/>
              <w:tab w:val="right" w:leader="dot" w:pos="9060"/>
            </w:tabs>
            <w:rPr>
              <w:rFonts w:eastAsiaTheme="minorEastAsia" w:cstheme="minorBidi"/>
              <w:smallCaps w:val="0"/>
              <w:noProof/>
              <w:sz w:val="22"/>
              <w:szCs w:val="22"/>
              <w:lang w:eastAsia="sk-SK"/>
            </w:rPr>
          </w:pPr>
          <w:hyperlink w:anchor="_Toc87345112" w:history="1">
            <w:r w:rsidR="00532F40" w:rsidRPr="0001628C">
              <w:rPr>
                <w:rStyle w:val="Hypertextovprepojenie"/>
                <w:noProof/>
              </w:rPr>
              <w:t>5.1</w:t>
            </w:r>
            <w:r w:rsidR="00532F40">
              <w:rPr>
                <w:rFonts w:eastAsiaTheme="minorEastAsia" w:cstheme="minorBidi"/>
                <w:smallCaps w:val="0"/>
                <w:noProof/>
                <w:sz w:val="22"/>
                <w:szCs w:val="22"/>
                <w:lang w:eastAsia="sk-SK"/>
              </w:rPr>
              <w:tab/>
            </w:r>
            <w:r w:rsidR="00532F40" w:rsidRPr="0001628C">
              <w:rPr>
                <w:rStyle w:val="Hypertextovprepojenie"/>
                <w:noProof/>
              </w:rPr>
              <w:t>Vzdelávanie, výskum, vývoj a inovácie</w:t>
            </w:r>
            <w:r w:rsidR="00532F40">
              <w:rPr>
                <w:noProof/>
                <w:webHidden/>
              </w:rPr>
              <w:tab/>
            </w:r>
            <w:r w:rsidR="00532F40">
              <w:rPr>
                <w:noProof/>
                <w:webHidden/>
              </w:rPr>
              <w:fldChar w:fldCharType="begin"/>
            </w:r>
            <w:r w:rsidR="00532F40">
              <w:rPr>
                <w:noProof/>
                <w:webHidden/>
              </w:rPr>
              <w:instrText xml:space="preserve"> PAGEREF _Toc87345112 \h </w:instrText>
            </w:r>
            <w:r w:rsidR="00532F40">
              <w:rPr>
                <w:noProof/>
                <w:webHidden/>
              </w:rPr>
            </w:r>
            <w:r w:rsidR="00532F40">
              <w:rPr>
                <w:noProof/>
                <w:webHidden/>
              </w:rPr>
              <w:fldChar w:fldCharType="separate"/>
            </w:r>
            <w:r w:rsidR="005E7D60">
              <w:rPr>
                <w:noProof/>
                <w:webHidden/>
              </w:rPr>
              <w:t>21</w:t>
            </w:r>
            <w:r w:rsidR="00532F40">
              <w:rPr>
                <w:noProof/>
                <w:webHidden/>
              </w:rPr>
              <w:fldChar w:fldCharType="end"/>
            </w:r>
          </w:hyperlink>
        </w:p>
        <w:p w14:paraId="33854761" w14:textId="3C10C777" w:rsidR="00532F40" w:rsidRDefault="00165F25">
          <w:pPr>
            <w:pStyle w:val="Obsah3"/>
            <w:tabs>
              <w:tab w:val="left" w:pos="1200"/>
              <w:tab w:val="right" w:leader="dot" w:pos="9060"/>
            </w:tabs>
            <w:rPr>
              <w:rFonts w:eastAsiaTheme="minorEastAsia" w:cstheme="minorBidi"/>
              <w:i w:val="0"/>
              <w:iCs w:val="0"/>
              <w:noProof/>
              <w:sz w:val="22"/>
              <w:szCs w:val="22"/>
              <w:lang w:eastAsia="sk-SK"/>
            </w:rPr>
          </w:pPr>
          <w:hyperlink w:anchor="_Toc87345113" w:history="1">
            <w:r w:rsidR="00532F40" w:rsidRPr="0001628C">
              <w:rPr>
                <w:rStyle w:val="Hypertextovprepojenie"/>
                <w:noProof/>
              </w:rPr>
              <w:t>5.1.1</w:t>
            </w:r>
            <w:r w:rsidR="00532F40">
              <w:rPr>
                <w:rFonts w:eastAsiaTheme="minorEastAsia" w:cstheme="minorBidi"/>
                <w:i w:val="0"/>
                <w:iCs w:val="0"/>
                <w:noProof/>
                <w:sz w:val="22"/>
                <w:szCs w:val="22"/>
                <w:lang w:eastAsia="sk-SK"/>
              </w:rPr>
              <w:tab/>
            </w:r>
            <w:r w:rsidR="00532F40" w:rsidRPr="0001628C">
              <w:rPr>
                <w:rStyle w:val="Hypertextovprepojenie"/>
                <w:noProof/>
              </w:rPr>
              <w:t>Prenesený výkon štátnej správy na úseku regionálneho školstva</w:t>
            </w:r>
            <w:r w:rsidR="00532F40">
              <w:rPr>
                <w:noProof/>
                <w:webHidden/>
              </w:rPr>
              <w:tab/>
            </w:r>
            <w:r w:rsidR="00532F40">
              <w:rPr>
                <w:noProof/>
                <w:webHidden/>
              </w:rPr>
              <w:fldChar w:fldCharType="begin"/>
            </w:r>
            <w:r w:rsidR="00532F40">
              <w:rPr>
                <w:noProof/>
                <w:webHidden/>
              </w:rPr>
              <w:instrText xml:space="preserve"> PAGEREF _Toc87345113 \h </w:instrText>
            </w:r>
            <w:r w:rsidR="00532F40">
              <w:rPr>
                <w:noProof/>
                <w:webHidden/>
              </w:rPr>
            </w:r>
            <w:r w:rsidR="00532F40">
              <w:rPr>
                <w:noProof/>
                <w:webHidden/>
              </w:rPr>
              <w:fldChar w:fldCharType="separate"/>
            </w:r>
            <w:r w:rsidR="005E7D60">
              <w:rPr>
                <w:noProof/>
                <w:webHidden/>
              </w:rPr>
              <w:t>21</w:t>
            </w:r>
            <w:r w:rsidR="00532F40">
              <w:rPr>
                <w:noProof/>
                <w:webHidden/>
              </w:rPr>
              <w:fldChar w:fldCharType="end"/>
            </w:r>
          </w:hyperlink>
        </w:p>
        <w:p w14:paraId="1B101953" w14:textId="06D666C5" w:rsidR="00532F40" w:rsidRDefault="00165F25">
          <w:pPr>
            <w:pStyle w:val="Obsah2"/>
            <w:tabs>
              <w:tab w:val="left" w:pos="800"/>
              <w:tab w:val="right" w:leader="dot" w:pos="9060"/>
            </w:tabs>
            <w:rPr>
              <w:rFonts w:eastAsiaTheme="minorEastAsia" w:cstheme="minorBidi"/>
              <w:smallCaps w:val="0"/>
              <w:noProof/>
              <w:sz w:val="22"/>
              <w:szCs w:val="22"/>
              <w:lang w:eastAsia="sk-SK"/>
            </w:rPr>
          </w:pPr>
          <w:hyperlink w:anchor="_Toc87345114" w:history="1">
            <w:r w:rsidR="00532F40" w:rsidRPr="0001628C">
              <w:rPr>
                <w:rStyle w:val="Hypertextovprepojenie"/>
                <w:noProof/>
              </w:rPr>
              <w:t>5.2</w:t>
            </w:r>
            <w:r w:rsidR="00532F40">
              <w:rPr>
                <w:rFonts w:eastAsiaTheme="minorEastAsia" w:cstheme="minorBidi"/>
                <w:smallCaps w:val="0"/>
                <w:noProof/>
                <w:sz w:val="22"/>
                <w:szCs w:val="22"/>
                <w:lang w:eastAsia="sk-SK"/>
              </w:rPr>
              <w:tab/>
            </w:r>
            <w:r w:rsidR="00532F40" w:rsidRPr="0001628C">
              <w:rPr>
                <w:rStyle w:val="Hypertextovprepojenie"/>
                <w:noProof/>
              </w:rPr>
              <w:t>Zdravotníctvo</w:t>
            </w:r>
            <w:r w:rsidR="00532F40">
              <w:rPr>
                <w:noProof/>
                <w:webHidden/>
              </w:rPr>
              <w:tab/>
            </w:r>
            <w:r w:rsidR="00532F40">
              <w:rPr>
                <w:noProof/>
                <w:webHidden/>
              </w:rPr>
              <w:fldChar w:fldCharType="begin"/>
            </w:r>
            <w:r w:rsidR="00532F40">
              <w:rPr>
                <w:noProof/>
                <w:webHidden/>
              </w:rPr>
              <w:instrText xml:space="preserve"> PAGEREF _Toc87345114 \h </w:instrText>
            </w:r>
            <w:r w:rsidR="00532F40">
              <w:rPr>
                <w:noProof/>
                <w:webHidden/>
              </w:rPr>
            </w:r>
            <w:r w:rsidR="00532F40">
              <w:rPr>
                <w:noProof/>
                <w:webHidden/>
              </w:rPr>
              <w:fldChar w:fldCharType="separate"/>
            </w:r>
            <w:r w:rsidR="005E7D60">
              <w:rPr>
                <w:noProof/>
                <w:webHidden/>
              </w:rPr>
              <w:t>23</w:t>
            </w:r>
            <w:r w:rsidR="00532F40">
              <w:rPr>
                <w:noProof/>
                <w:webHidden/>
              </w:rPr>
              <w:fldChar w:fldCharType="end"/>
            </w:r>
          </w:hyperlink>
        </w:p>
        <w:p w14:paraId="53A84AC3" w14:textId="7DFE13FF" w:rsidR="00532F40" w:rsidRDefault="00165F25">
          <w:pPr>
            <w:pStyle w:val="Obsah2"/>
            <w:tabs>
              <w:tab w:val="left" w:pos="800"/>
              <w:tab w:val="right" w:leader="dot" w:pos="9060"/>
            </w:tabs>
            <w:rPr>
              <w:rFonts w:eastAsiaTheme="minorEastAsia" w:cstheme="minorBidi"/>
              <w:smallCaps w:val="0"/>
              <w:noProof/>
              <w:sz w:val="22"/>
              <w:szCs w:val="22"/>
              <w:lang w:eastAsia="sk-SK"/>
            </w:rPr>
          </w:pPr>
          <w:hyperlink w:anchor="_Toc87345115" w:history="1">
            <w:r w:rsidR="00532F40" w:rsidRPr="0001628C">
              <w:rPr>
                <w:rStyle w:val="Hypertextovprepojenie"/>
                <w:noProof/>
              </w:rPr>
              <w:t>5.3</w:t>
            </w:r>
            <w:r w:rsidR="00532F40">
              <w:rPr>
                <w:rFonts w:eastAsiaTheme="minorEastAsia" w:cstheme="minorBidi"/>
                <w:smallCaps w:val="0"/>
                <w:noProof/>
                <w:sz w:val="22"/>
                <w:szCs w:val="22"/>
                <w:lang w:eastAsia="sk-SK"/>
              </w:rPr>
              <w:tab/>
            </w:r>
            <w:r w:rsidR="00532F40" w:rsidRPr="0001628C">
              <w:rPr>
                <w:rStyle w:val="Hypertextovprepojenie"/>
                <w:noProof/>
              </w:rPr>
              <w:t>Zamestnanosť a sociálne politiky</w:t>
            </w:r>
            <w:r w:rsidR="00532F40">
              <w:rPr>
                <w:noProof/>
                <w:webHidden/>
              </w:rPr>
              <w:tab/>
            </w:r>
            <w:r w:rsidR="00532F40">
              <w:rPr>
                <w:noProof/>
                <w:webHidden/>
              </w:rPr>
              <w:fldChar w:fldCharType="begin"/>
            </w:r>
            <w:r w:rsidR="00532F40">
              <w:rPr>
                <w:noProof/>
                <w:webHidden/>
              </w:rPr>
              <w:instrText xml:space="preserve"> PAGEREF _Toc87345115 \h </w:instrText>
            </w:r>
            <w:r w:rsidR="00532F40">
              <w:rPr>
                <w:noProof/>
                <w:webHidden/>
              </w:rPr>
            </w:r>
            <w:r w:rsidR="00532F40">
              <w:rPr>
                <w:noProof/>
                <w:webHidden/>
              </w:rPr>
              <w:fldChar w:fldCharType="separate"/>
            </w:r>
            <w:r w:rsidR="005E7D60">
              <w:rPr>
                <w:noProof/>
                <w:webHidden/>
              </w:rPr>
              <w:t>27</w:t>
            </w:r>
            <w:r w:rsidR="00532F40">
              <w:rPr>
                <w:noProof/>
                <w:webHidden/>
              </w:rPr>
              <w:fldChar w:fldCharType="end"/>
            </w:r>
          </w:hyperlink>
        </w:p>
        <w:p w14:paraId="7A48EADC" w14:textId="40C33BB8" w:rsidR="00532F40" w:rsidRDefault="00165F25">
          <w:pPr>
            <w:pStyle w:val="Obsah2"/>
            <w:tabs>
              <w:tab w:val="left" w:pos="800"/>
              <w:tab w:val="right" w:leader="dot" w:pos="9060"/>
            </w:tabs>
            <w:rPr>
              <w:rFonts w:eastAsiaTheme="minorEastAsia" w:cstheme="minorBidi"/>
              <w:smallCaps w:val="0"/>
              <w:noProof/>
              <w:sz w:val="22"/>
              <w:szCs w:val="22"/>
              <w:lang w:eastAsia="sk-SK"/>
            </w:rPr>
          </w:pPr>
          <w:hyperlink w:anchor="_Toc87345116" w:history="1">
            <w:r w:rsidR="00532F40" w:rsidRPr="0001628C">
              <w:rPr>
                <w:rStyle w:val="Hypertextovprepojenie"/>
                <w:noProof/>
              </w:rPr>
              <w:t>5.4</w:t>
            </w:r>
            <w:r w:rsidR="00532F40">
              <w:rPr>
                <w:rFonts w:eastAsiaTheme="minorEastAsia" w:cstheme="minorBidi"/>
                <w:smallCaps w:val="0"/>
                <w:noProof/>
                <w:sz w:val="22"/>
                <w:szCs w:val="22"/>
                <w:lang w:eastAsia="sk-SK"/>
              </w:rPr>
              <w:tab/>
            </w:r>
            <w:r w:rsidR="00532F40" w:rsidRPr="0001628C">
              <w:rPr>
                <w:rStyle w:val="Hypertextovprepojenie"/>
                <w:noProof/>
              </w:rPr>
              <w:t>Dopravná infraštruktúra</w:t>
            </w:r>
            <w:r w:rsidR="00532F40">
              <w:rPr>
                <w:noProof/>
                <w:webHidden/>
              </w:rPr>
              <w:tab/>
            </w:r>
            <w:r w:rsidR="00532F40">
              <w:rPr>
                <w:noProof/>
                <w:webHidden/>
              </w:rPr>
              <w:fldChar w:fldCharType="begin"/>
            </w:r>
            <w:r w:rsidR="00532F40">
              <w:rPr>
                <w:noProof/>
                <w:webHidden/>
              </w:rPr>
              <w:instrText xml:space="preserve"> PAGEREF _Toc87345116 \h </w:instrText>
            </w:r>
            <w:r w:rsidR="00532F40">
              <w:rPr>
                <w:noProof/>
                <w:webHidden/>
              </w:rPr>
            </w:r>
            <w:r w:rsidR="00532F40">
              <w:rPr>
                <w:noProof/>
                <w:webHidden/>
              </w:rPr>
              <w:fldChar w:fldCharType="separate"/>
            </w:r>
            <w:r w:rsidR="005E7D60">
              <w:rPr>
                <w:noProof/>
                <w:webHidden/>
              </w:rPr>
              <w:t>29</w:t>
            </w:r>
            <w:r w:rsidR="00532F40">
              <w:rPr>
                <w:noProof/>
                <w:webHidden/>
              </w:rPr>
              <w:fldChar w:fldCharType="end"/>
            </w:r>
          </w:hyperlink>
        </w:p>
        <w:p w14:paraId="5A66F9D3" w14:textId="7A60329D" w:rsidR="00532F40" w:rsidRDefault="00165F25">
          <w:pPr>
            <w:pStyle w:val="Obsah2"/>
            <w:tabs>
              <w:tab w:val="left" w:pos="800"/>
              <w:tab w:val="right" w:leader="dot" w:pos="9060"/>
            </w:tabs>
            <w:rPr>
              <w:rFonts w:eastAsiaTheme="minorEastAsia" w:cstheme="minorBidi"/>
              <w:smallCaps w:val="0"/>
              <w:noProof/>
              <w:sz w:val="22"/>
              <w:szCs w:val="22"/>
              <w:lang w:eastAsia="sk-SK"/>
            </w:rPr>
          </w:pPr>
          <w:hyperlink w:anchor="_Toc87345117" w:history="1">
            <w:r w:rsidR="00532F40" w:rsidRPr="0001628C">
              <w:rPr>
                <w:rStyle w:val="Hypertextovprepojenie"/>
                <w:noProof/>
              </w:rPr>
              <w:t>5.5</w:t>
            </w:r>
            <w:r w:rsidR="00532F40">
              <w:rPr>
                <w:rFonts w:eastAsiaTheme="minorEastAsia" w:cstheme="minorBidi"/>
                <w:smallCaps w:val="0"/>
                <w:noProof/>
                <w:sz w:val="22"/>
                <w:szCs w:val="22"/>
                <w:lang w:eastAsia="sk-SK"/>
              </w:rPr>
              <w:tab/>
            </w:r>
            <w:r w:rsidR="00532F40" w:rsidRPr="0001628C">
              <w:rPr>
                <w:rStyle w:val="Hypertextovprepojenie"/>
                <w:noProof/>
              </w:rPr>
              <w:t>Environmentálna udržateľnosť</w:t>
            </w:r>
            <w:r w:rsidR="00532F40">
              <w:rPr>
                <w:noProof/>
                <w:webHidden/>
              </w:rPr>
              <w:tab/>
            </w:r>
            <w:r w:rsidR="00532F40">
              <w:rPr>
                <w:noProof/>
                <w:webHidden/>
              </w:rPr>
              <w:fldChar w:fldCharType="begin"/>
            </w:r>
            <w:r w:rsidR="00532F40">
              <w:rPr>
                <w:noProof/>
                <w:webHidden/>
              </w:rPr>
              <w:instrText xml:space="preserve"> PAGEREF _Toc87345117 \h </w:instrText>
            </w:r>
            <w:r w:rsidR="00532F40">
              <w:rPr>
                <w:noProof/>
                <w:webHidden/>
              </w:rPr>
            </w:r>
            <w:r w:rsidR="00532F40">
              <w:rPr>
                <w:noProof/>
                <w:webHidden/>
              </w:rPr>
              <w:fldChar w:fldCharType="separate"/>
            </w:r>
            <w:r w:rsidR="005E7D60">
              <w:rPr>
                <w:noProof/>
                <w:webHidden/>
              </w:rPr>
              <w:t>32</w:t>
            </w:r>
            <w:r w:rsidR="00532F40">
              <w:rPr>
                <w:noProof/>
                <w:webHidden/>
              </w:rPr>
              <w:fldChar w:fldCharType="end"/>
            </w:r>
          </w:hyperlink>
        </w:p>
        <w:p w14:paraId="3B8AEFE4" w14:textId="49D3B9FB" w:rsidR="00532F40" w:rsidRDefault="00165F25">
          <w:pPr>
            <w:pStyle w:val="Obsah1"/>
            <w:rPr>
              <w:rFonts w:eastAsiaTheme="minorEastAsia" w:cstheme="minorBidi"/>
              <w:b w:val="0"/>
              <w:bCs w:val="0"/>
              <w:caps w:val="0"/>
              <w:color w:val="auto"/>
              <w:sz w:val="22"/>
              <w:szCs w:val="22"/>
              <w:lang w:eastAsia="sk-SK"/>
            </w:rPr>
          </w:pPr>
          <w:hyperlink w:anchor="_Toc87345118" w:history="1">
            <w:r w:rsidR="00532F40" w:rsidRPr="0001628C">
              <w:rPr>
                <w:rStyle w:val="Hypertextovprepojenie"/>
              </w:rPr>
              <w:t>6</w:t>
            </w:r>
            <w:r w:rsidR="00532F40">
              <w:rPr>
                <w:rFonts w:eastAsiaTheme="minorEastAsia" w:cstheme="minorBidi"/>
                <w:b w:val="0"/>
                <w:bCs w:val="0"/>
                <w:caps w:val="0"/>
                <w:color w:val="auto"/>
                <w:sz w:val="22"/>
                <w:szCs w:val="22"/>
                <w:lang w:eastAsia="sk-SK"/>
              </w:rPr>
              <w:tab/>
            </w:r>
            <w:r w:rsidR="00532F40" w:rsidRPr="0001628C">
              <w:rPr>
                <w:rStyle w:val="Hypertextovprepojenie"/>
              </w:rPr>
              <w:t>Rozpočtové vzťahy samosprávy a štátu</w:t>
            </w:r>
            <w:r w:rsidR="00532F40">
              <w:rPr>
                <w:webHidden/>
              </w:rPr>
              <w:tab/>
            </w:r>
            <w:r w:rsidR="00532F40">
              <w:rPr>
                <w:webHidden/>
              </w:rPr>
              <w:fldChar w:fldCharType="begin"/>
            </w:r>
            <w:r w:rsidR="00532F40">
              <w:rPr>
                <w:webHidden/>
              </w:rPr>
              <w:instrText xml:space="preserve"> PAGEREF _Toc87345118 \h </w:instrText>
            </w:r>
            <w:r w:rsidR="00532F40">
              <w:rPr>
                <w:webHidden/>
              </w:rPr>
            </w:r>
            <w:r w:rsidR="00532F40">
              <w:rPr>
                <w:webHidden/>
              </w:rPr>
              <w:fldChar w:fldCharType="separate"/>
            </w:r>
            <w:r w:rsidR="005E7D60">
              <w:rPr>
                <w:webHidden/>
              </w:rPr>
              <w:t>35</w:t>
            </w:r>
            <w:r w:rsidR="00532F40">
              <w:rPr>
                <w:webHidden/>
              </w:rPr>
              <w:fldChar w:fldCharType="end"/>
            </w:r>
          </w:hyperlink>
        </w:p>
        <w:p w14:paraId="5C21C84E" w14:textId="491D457F" w:rsidR="00532F40" w:rsidRDefault="00165F25">
          <w:pPr>
            <w:pStyle w:val="Obsah1"/>
            <w:rPr>
              <w:rFonts w:eastAsiaTheme="minorEastAsia" w:cstheme="minorBidi"/>
              <w:b w:val="0"/>
              <w:bCs w:val="0"/>
              <w:caps w:val="0"/>
              <w:color w:val="auto"/>
              <w:sz w:val="22"/>
              <w:szCs w:val="22"/>
              <w:lang w:eastAsia="sk-SK"/>
            </w:rPr>
          </w:pPr>
          <w:hyperlink w:anchor="_Toc87345119" w:history="1">
            <w:r w:rsidR="00532F40" w:rsidRPr="0001628C">
              <w:rPr>
                <w:rStyle w:val="Hypertextovprepojenie"/>
              </w:rPr>
              <w:t xml:space="preserve">Príloha: </w:t>
            </w:r>
            <w:r w:rsidR="00532F40" w:rsidRPr="0001628C">
              <w:rPr>
                <w:rStyle w:val="Hypertextovprepojenie"/>
                <w:rFonts w:eastAsia="Calibri" w:cs="Times New Roman"/>
              </w:rPr>
              <w:t>Vybrané výdavky ŠR na realizáciu programov vlády</w:t>
            </w:r>
            <w:r w:rsidR="00532F40">
              <w:rPr>
                <w:webHidden/>
              </w:rPr>
              <w:tab/>
            </w:r>
            <w:r w:rsidR="00532F40">
              <w:rPr>
                <w:webHidden/>
              </w:rPr>
              <w:fldChar w:fldCharType="begin"/>
            </w:r>
            <w:r w:rsidR="00532F40">
              <w:rPr>
                <w:webHidden/>
              </w:rPr>
              <w:instrText xml:space="preserve"> PAGEREF _Toc87345119 \h </w:instrText>
            </w:r>
            <w:r w:rsidR="00532F40">
              <w:rPr>
                <w:webHidden/>
              </w:rPr>
            </w:r>
            <w:r w:rsidR="00532F40">
              <w:rPr>
                <w:webHidden/>
              </w:rPr>
              <w:fldChar w:fldCharType="separate"/>
            </w:r>
            <w:r w:rsidR="005E7D60">
              <w:rPr>
                <w:webHidden/>
              </w:rPr>
              <w:t>37</w:t>
            </w:r>
            <w:r w:rsidR="00532F40">
              <w:rPr>
                <w:webHidden/>
              </w:rPr>
              <w:fldChar w:fldCharType="end"/>
            </w:r>
          </w:hyperlink>
        </w:p>
        <w:p w14:paraId="2E728DDA" w14:textId="6A9CABB0" w:rsidR="00F071B7" w:rsidRDefault="006C125B" w:rsidP="00F071B7">
          <w:pPr>
            <w:jc w:val="center"/>
            <w:rPr>
              <w:b/>
              <w:bCs/>
            </w:rPr>
          </w:pPr>
          <w:r>
            <w:rPr>
              <w:rFonts w:asciiTheme="minorHAnsi" w:hAnsiTheme="minorHAnsi" w:cstheme="minorHAnsi"/>
              <w:b/>
              <w:bCs/>
              <w:color w:val="314364" w:themeColor="text2"/>
              <w:szCs w:val="20"/>
            </w:rPr>
            <w:fldChar w:fldCharType="end"/>
          </w:r>
          <w:r w:rsidR="00F071B7">
            <w:rPr>
              <w:b/>
              <w:bCs/>
            </w:rPr>
            <w:br w:type="page"/>
          </w:r>
        </w:p>
      </w:sdtContent>
    </w:sdt>
    <w:p w14:paraId="35FFEFF7" w14:textId="58F68100" w:rsidR="001609D9" w:rsidRDefault="001609D9" w:rsidP="001609D9">
      <w:pPr>
        <w:pStyle w:val="Zhrnutie"/>
        <w:rPr>
          <w:b w:val="0"/>
          <w:sz w:val="28"/>
        </w:rPr>
      </w:pPr>
      <w:bookmarkStart w:id="0" w:name="_Toc53475706"/>
      <w:r w:rsidRPr="003B352D">
        <w:rPr>
          <w:b w:val="0"/>
          <w:sz w:val="28"/>
        </w:rPr>
        <w:lastRenderedPageBreak/>
        <w:t>Zoznam</w:t>
      </w:r>
      <w:r w:rsidRPr="007816E8">
        <w:rPr>
          <w:b w:val="0"/>
          <w:sz w:val="28"/>
        </w:rPr>
        <w:t xml:space="preserve"> skratiek</w:t>
      </w:r>
    </w:p>
    <w:tbl>
      <w:tblPr>
        <w:tblStyle w:val="Mriekatabu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133"/>
        <w:gridCol w:w="6937"/>
      </w:tblGrid>
      <w:tr w:rsidR="00392952" w:rsidRPr="00FD7EC8" w14:paraId="649AF01E" w14:textId="77777777" w:rsidTr="00037A18">
        <w:trPr>
          <w:trHeight w:val="288"/>
          <w:jc w:val="center"/>
        </w:trPr>
        <w:tc>
          <w:tcPr>
            <w:tcW w:w="1176" w:type="pct"/>
            <w:shd w:val="clear" w:color="auto" w:fill="auto"/>
            <w:vAlign w:val="bottom"/>
          </w:tcPr>
          <w:p w14:paraId="09F08C0A" w14:textId="77777777" w:rsidR="00392952" w:rsidRPr="00FD7EC8" w:rsidRDefault="00392952" w:rsidP="00037A18">
            <w:pPr>
              <w:spacing w:after="0"/>
              <w:rPr>
                <w:color w:val="314364" w:themeColor="text2"/>
                <w:sz w:val="18"/>
                <w:szCs w:val="18"/>
              </w:rPr>
            </w:pPr>
            <w:r>
              <w:rPr>
                <w:color w:val="314364" w:themeColor="text2"/>
                <w:sz w:val="18"/>
                <w:szCs w:val="18"/>
              </w:rPr>
              <w:t>COVID-19</w:t>
            </w:r>
          </w:p>
        </w:tc>
        <w:tc>
          <w:tcPr>
            <w:tcW w:w="3824" w:type="pct"/>
            <w:shd w:val="clear" w:color="auto" w:fill="auto"/>
            <w:vAlign w:val="bottom"/>
          </w:tcPr>
          <w:p w14:paraId="6C391301" w14:textId="3875F2BC" w:rsidR="00392952" w:rsidRPr="00FD7EC8" w:rsidRDefault="00074731" w:rsidP="00037A18">
            <w:pPr>
              <w:spacing w:after="0"/>
              <w:rPr>
                <w:sz w:val="18"/>
                <w:szCs w:val="18"/>
              </w:rPr>
            </w:pPr>
            <w:r>
              <w:rPr>
                <w:sz w:val="18"/>
                <w:szCs w:val="18"/>
              </w:rPr>
              <w:t>i</w:t>
            </w:r>
            <w:r w:rsidR="00392952">
              <w:rPr>
                <w:sz w:val="18"/>
                <w:szCs w:val="18"/>
              </w:rPr>
              <w:t xml:space="preserve">nfekčné ochorenie vyvolané </w:t>
            </w:r>
            <w:proofErr w:type="spellStart"/>
            <w:r w:rsidR="00392952">
              <w:rPr>
                <w:sz w:val="18"/>
                <w:szCs w:val="18"/>
              </w:rPr>
              <w:t>koronavírusom</w:t>
            </w:r>
            <w:proofErr w:type="spellEnd"/>
            <w:r w:rsidR="00392952">
              <w:rPr>
                <w:sz w:val="18"/>
                <w:szCs w:val="18"/>
              </w:rPr>
              <w:t xml:space="preserve"> SARS-CoV-2</w:t>
            </w:r>
          </w:p>
        </w:tc>
      </w:tr>
      <w:tr w:rsidR="00392952" w:rsidRPr="00FD7EC8" w14:paraId="36B67B87" w14:textId="77777777" w:rsidTr="00037A18">
        <w:trPr>
          <w:trHeight w:val="288"/>
          <w:jc w:val="center"/>
        </w:trPr>
        <w:tc>
          <w:tcPr>
            <w:tcW w:w="1176" w:type="pct"/>
            <w:shd w:val="clear" w:color="auto" w:fill="auto"/>
            <w:vAlign w:val="bottom"/>
          </w:tcPr>
          <w:p w14:paraId="26FA9853" w14:textId="77777777" w:rsidR="00392952" w:rsidRPr="00FD7EC8" w:rsidRDefault="00392952" w:rsidP="00037A18">
            <w:pPr>
              <w:spacing w:after="0"/>
              <w:rPr>
                <w:color w:val="314364" w:themeColor="text2"/>
                <w:sz w:val="18"/>
                <w:szCs w:val="18"/>
              </w:rPr>
            </w:pPr>
            <w:r>
              <w:rPr>
                <w:color w:val="314364" w:themeColor="text2"/>
                <w:sz w:val="18"/>
                <w:szCs w:val="18"/>
              </w:rPr>
              <w:t>CVTI SR</w:t>
            </w:r>
          </w:p>
        </w:tc>
        <w:tc>
          <w:tcPr>
            <w:tcW w:w="3824" w:type="pct"/>
            <w:shd w:val="clear" w:color="auto" w:fill="auto"/>
            <w:vAlign w:val="bottom"/>
          </w:tcPr>
          <w:p w14:paraId="76B2716E" w14:textId="77777777" w:rsidR="00392952" w:rsidRPr="00FD7EC8" w:rsidRDefault="00392952" w:rsidP="00037A18">
            <w:pPr>
              <w:spacing w:after="0"/>
              <w:rPr>
                <w:sz w:val="18"/>
                <w:szCs w:val="18"/>
              </w:rPr>
            </w:pPr>
            <w:r>
              <w:rPr>
                <w:sz w:val="18"/>
                <w:szCs w:val="18"/>
              </w:rPr>
              <w:t>Centrum vedecko-technických informácií Slovenskej republiky</w:t>
            </w:r>
          </w:p>
        </w:tc>
      </w:tr>
      <w:tr w:rsidR="00392952" w:rsidRPr="00FD7EC8" w14:paraId="1E8A1E69" w14:textId="77777777" w:rsidTr="00037A18">
        <w:trPr>
          <w:trHeight w:val="288"/>
          <w:jc w:val="center"/>
        </w:trPr>
        <w:tc>
          <w:tcPr>
            <w:tcW w:w="1176" w:type="pct"/>
            <w:shd w:val="clear" w:color="auto" w:fill="auto"/>
            <w:vAlign w:val="bottom"/>
          </w:tcPr>
          <w:p w14:paraId="11ADB98C" w14:textId="77777777" w:rsidR="00392952" w:rsidRPr="00FD7EC8" w:rsidRDefault="00392952" w:rsidP="00037A18">
            <w:pPr>
              <w:spacing w:after="0"/>
              <w:rPr>
                <w:color w:val="314364" w:themeColor="text2"/>
                <w:sz w:val="18"/>
                <w:szCs w:val="18"/>
              </w:rPr>
            </w:pPr>
            <w:r>
              <w:rPr>
                <w:color w:val="314364" w:themeColor="text2"/>
                <w:sz w:val="18"/>
                <w:szCs w:val="18"/>
              </w:rPr>
              <w:t>DPH</w:t>
            </w:r>
          </w:p>
        </w:tc>
        <w:tc>
          <w:tcPr>
            <w:tcW w:w="3824" w:type="pct"/>
            <w:shd w:val="clear" w:color="auto" w:fill="auto"/>
            <w:vAlign w:val="bottom"/>
          </w:tcPr>
          <w:p w14:paraId="50B3D89F" w14:textId="77777777" w:rsidR="00392952" w:rsidRPr="00FD7EC8" w:rsidRDefault="00392952" w:rsidP="00037A18">
            <w:pPr>
              <w:spacing w:after="0"/>
              <w:rPr>
                <w:sz w:val="18"/>
                <w:szCs w:val="18"/>
              </w:rPr>
            </w:pPr>
            <w:r>
              <w:rPr>
                <w:sz w:val="18"/>
                <w:szCs w:val="18"/>
              </w:rPr>
              <w:t>Daň z pridanej hodnoty</w:t>
            </w:r>
          </w:p>
        </w:tc>
      </w:tr>
      <w:tr w:rsidR="00843A1C" w:rsidRPr="00FD7EC8" w14:paraId="6F2226D9" w14:textId="77777777" w:rsidTr="00037A18">
        <w:trPr>
          <w:trHeight w:val="288"/>
          <w:jc w:val="center"/>
        </w:trPr>
        <w:tc>
          <w:tcPr>
            <w:tcW w:w="1176" w:type="pct"/>
            <w:shd w:val="clear" w:color="auto" w:fill="auto"/>
            <w:vAlign w:val="bottom"/>
          </w:tcPr>
          <w:p w14:paraId="64AFAE00" w14:textId="2FFDDFF9" w:rsidR="00843A1C" w:rsidRDefault="00843A1C" w:rsidP="00037A18">
            <w:pPr>
              <w:spacing w:after="0"/>
              <w:rPr>
                <w:color w:val="314364" w:themeColor="text2"/>
                <w:sz w:val="18"/>
                <w:szCs w:val="18"/>
              </w:rPr>
            </w:pPr>
            <w:r>
              <w:rPr>
                <w:color w:val="314364" w:themeColor="text2"/>
                <w:sz w:val="18"/>
                <w:szCs w:val="18"/>
              </w:rPr>
              <w:t>DPFO</w:t>
            </w:r>
          </w:p>
        </w:tc>
        <w:tc>
          <w:tcPr>
            <w:tcW w:w="3824" w:type="pct"/>
            <w:shd w:val="clear" w:color="auto" w:fill="auto"/>
            <w:vAlign w:val="bottom"/>
          </w:tcPr>
          <w:p w14:paraId="42B32F16" w14:textId="2E55D230" w:rsidR="00843A1C" w:rsidRDefault="00843A1C" w:rsidP="00037A18">
            <w:pPr>
              <w:spacing w:after="0"/>
              <w:rPr>
                <w:sz w:val="18"/>
                <w:szCs w:val="18"/>
              </w:rPr>
            </w:pPr>
            <w:r>
              <w:rPr>
                <w:sz w:val="18"/>
                <w:szCs w:val="18"/>
              </w:rPr>
              <w:t>Daň z príjmov fyzických osôb</w:t>
            </w:r>
          </w:p>
        </w:tc>
      </w:tr>
      <w:tr w:rsidR="00392952" w:rsidRPr="00FD7EC8" w14:paraId="55903424" w14:textId="77777777" w:rsidTr="00037A18">
        <w:trPr>
          <w:trHeight w:val="288"/>
          <w:jc w:val="center"/>
        </w:trPr>
        <w:tc>
          <w:tcPr>
            <w:tcW w:w="1176" w:type="pct"/>
            <w:shd w:val="clear" w:color="auto" w:fill="auto"/>
            <w:vAlign w:val="bottom"/>
          </w:tcPr>
          <w:p w14:paraId="33BD6309" w14:textId="77777777" w:rsidR="00392952" w:rsidRPr="00FD7EC8" w:rsidRDefault="00392952" w:rsidP="00037A18">
            <w:pPr>
              <w:spacing w:after="0"/>
              <w:rPr>
                <w:color w:val="314364" w:themeColor="text2"/>
                <w:sz w:val="18"/>
                <w:szCs w:val="18"/>
              </w:rPr>
            </w:pPr>
            <w:r>
              <w:rPr>
                <w:color w:val="314364" w:themeColor="text2"/>
                <w:sz w:val="18"/>
                <w:szCs w:val="18"/>
              </w:rPr>
              <w:t>DPPO</w:t>
            </w:r>
          </w:p>
        </w:tc>
        <w:tc>
          <w:tcPr>
            <w:tcW w:w="3824" w:type="pct"/>
            <w:shd w:val="clear" w:color="auto" w:fill="auto"/>
            <w:vAlign w:val="bottom"/>
          </w:tcPr>
          <w:p w14:paraId="038D0F4A" w14:textId="77777777" w:rsidR="00392952" w:rsidRPr="00FD7EC8" w:rsidRDefault="00392952" w:rsidP="00037A18">
            <w:pPr>
              <w:spacing w:after="0"/>
              <w:rPr>
                <w:sz w:val="18"/>
                <w:szCs w:val="18"/>
              </w:rPr>
            </w:pPr>
            <w:r>
              <w:rPr>
                <w:sz w:val="18"/>
                <w:szCs w:val="18"/>
              </w:rPr>
              <w:t>Daň z príjmu právnických osôb</w:t>
            </w:r>
          </w:p>
        </w:tc>
      </w:tr>
      <w:tr w:rsidR="00392952" w:rsidRPr="00FD7EC8" w14:paraId="7F17C574" w14:textId="77777777" w:rsidTr="00037A18">
        <w:trPr>
          <w:trHeight w:val="288"/>
          <w:jc w:val="center"/>
        </w:trPr>
        <w:tc>
          <w:tcPr>
            <w:tcW w:w="1176" w:type="pct"/>
            <w:shd w:val="clear" w:color="auto" w:fill="auto"/>
            <w:vAlign w:val="bottom"/>
          </w:tcPr>
          <w:p w14:paraId="182D3401" w14:textId="77777777" w:rsidR="00392952" w:rsidRPr="00FD7EC8" w:rsidRDefault="00392952" w:rsidP="00037A18">
            <w:pPr>
              <w:spacing w:after="0"/>
              <w:rPr>
                <w:color w:val="314364" w:themeColor="text2"/>
                <w:sz w:val="18"/>
                <w:szCs w:val="18"/>
              </w:rPr>
            </w:pPr>
            <w:r>
              <w:rPr>
                <w:color w:val="314364" w:themeColor="text2"/>
                <w:sz w:val="18"/>
                <w:szCs w:val="18"/>
              </w:rPr>
              <w:t>EK</w:t>
            </w:r>
          </w:p>
        </w:tc>
        <w:tc>
          <w:tcPr>
            <w:tcW w:w="3824" w:type="pct"/>
            <w:shd w:val="clear" w:color="auto" w:fill="auto"/>
            <w:vAlign w:val="bottom"/>
          </w:tcPr>
          <w:p w14:paraId="1930C58F" w14:textId="77777777" w:rsidR="00392952" w:rsidRPr="00FD7EC8" w:rsidRDefault="00392952" w:rsidP="00037A18">
            <w:pPr>
              <w:spacing w:after="0"/>
              <w:rPr>
                <w:sz w:val="18"/>
                <w:szCs w:val="18"/>
              </w:rPr>
            </w:pPr>
            <w:r>
              <w:rPr>
                <w:sz w:val="18"/>
                <w:szCs w:val="18"/>
              </w:rPr>
              <w:t>Európska komisia</w:t>
            </w:r>
          </w:p>
        </w:tc>
      </w:tr>
      <w:tr w:rsidR="00392952" w:rsidRPr="00FD7EC8" w14:paraId="4697733B" w14:textId="77777777" w:rsidTr="00037A18">
        <w:trPr>
          <w:trHeight w:val="288"/>
          <w:jc w:val="center"/>
        </w:trPr>
        <w:tc>
          <w:tcPr>
            <w:tcW w:w="1176" w:type="pct"/>
            <w:shd w:val="clear" w:color="auto" w:fill="auto"/>
            <w:vAlign w:val="bottom"/>
          </w:tcPr>
          <w:p w14:paraId="4DFEF06C" w14:textId="77777777" w:rsidR="00392952" w:rsidRPr="00FD7EC8" w:rsidRDefault="00392952" w:rsidP="00037A18">
            <w:pPr>
              <w:spacing w:after="0"/>
              <w:rPr>
                <w:color w:val="314364" w:themeColor="text2"/>
                <w:sz w:val="18"/>
                <w:szCs w:val="18"/>
              </w:rPr>
            </w:pPr>
            <w:r>
              <w:rPr>
                <w:color w:val="314364" w:themeColor="text2"/>
                <w:sz w:val="18"/>
                <w:szCs w:val="18"/>
              </w:rPr>
              <w:t>ESF</w:t>
            </w:r>
          </w:p>
        </w:tc>
        <w:tc>
          <w:tcPr>
            <w:tcW w:w="3824" w:type="pct"/>
            <w:shd w:val="clear" w:color="auto" w:fill="auto"/>
            <w:vAlign w:val="bottom"/>
          </w:tcPr>
          <w:p w14:paraId="485A2DAF" w14:textId="77777777" w:rsidR="00392952" w:rsidRPr="00FD7EC8" w:rsidRDefault="00392952" w:rsidP="00037A18">
            <w:pPr>
              <w:spacing w:after="0"/>
              <w:rPr>
                <w:sz w:val="18"/>
                <w:szCs w:val="18"/>
              </w:rPr>
            </w:pPr>
            <w:r>
              <w:rPr>
                <w:sz w:val="18"/>
                <w:szCs w:val="18"/>
              </w:rPr>
              <w:t>Európsky sociálny fond</w:t>
            </w:r>
          </w:p>
        </w:tc>
      </w:tr>
      <w:tr w:rsidR="00392952" w:rsidRPr="00FD7EC8" w14:paraId="0353AC20" w14:textId="77777777" w:rsidTr="00037A18">
        <w:trPr>
          <w:trHeight w:val="288"/>
          <w:jc w:val="center"/>
        </w:trPr>
        <w:tc>
          <w:tcPr>
            <w:tcW w:w="1176" w:type="pct"/>
            <w:shd w:val="clear" w:color="auto" w:fill="auto"/>
            <w:vAlign w:val="bottom"/>
          </w:tcPr>
          <w:p w14:paraId="3B2C8469" w14:textId="77777777" w:rsidR="00392952" w:rsidRPr="00FD7EC8" w:rsidRDefault="00392952" w:rsidP="00037A18">
            <w:pPr>
              <w:spacing w:after="0"/>
              <w:rPr>
                <w:color w:val="314364" w:themeColor="text2"/>
                <w:sz w:val="18"/>
                <w:szCs w:val="18"/>
              </w:rPr>
            </w:pPr>
            <w:r>
              <w:rPr>
                <w:color w:val="314364" w:themeColor="text2"/>
                <w:sz w:val="18"/>
                <w:szCs w:val="18"/>
              </w:rPr>
              <w:t>EŠIF</w:t>
            </w:r>
          </w:p>
        </w:tc>
        <w:tc>
          <w:tcPr>
            <w:tcW w:w="3824" w:type="pct"/>
            <w:shd w:val="clear" w:color="auto" w:fill="auto"/>
            <w:vAlign w:val="bottom"/>
          </w:tcPr>
          <w:p w14:paraId="35E09227" w14:textId="77777777" w:rsidR="00392952" w:rsidRPr="00FD7EC8" w:rsidRDefault="00392952" w:rsidP="00037A18">
            <w:pPr>
              <w:spacing w:after="0"/>
              <w:rPr>
                <w:sz w:val="18"/>
                <w:szCs w:val="18"/>
              </w:rPr>
            </w:pPr>
            <w:r>
              <w:rPr>
                <w:sz w:val="18"/>
                <w:szCs w:val="18"/>
              </w:rPr>
              <w:t>Európske štrukturálne a investičné fondy</w:t>
            </w:r>
          </w:p>
        </w:tc>
      </w:tr>
      <w:tr w:rsidR="00392952" w:rsidRPr="00FD7EC8" w14:paraId="242523A8" w14:textId="77777777" w:rsidTr="00037A18">
        <w:trPr>
          <w:trHeight w:val="288"/>
          <w:jc w:val="center"/>
        </w:trPr>
        <w:tc>
          <w:tcPr>
            <w:tcW w:w="1176" w:type="pct"/>
            <w:shd w:val="clear" w:color="auto" w:fill="auto"/>
            <w:vAlign w:val="bottom"/>
          </w:tcPr>
          <w:p w14:paraId="3BFF05D1" w14:textId="77777777" w:rsidR="00392952" w:rsidRPr="00FD7EC8" w:rsidRDefault="00392952" w:rsidP="00037A18">
            <w:pPr>
              <w:spacing w:after="0"/>
              <w:rPr>
                <w:color w:val="314364" w:themeColor="text2"/>
                <w:sz w:val="18"/>
                <w:szCs w:val="18"/>
              </w:rPr>
            </w:pPr>
            <w:r>
              <w:rPr>
                <w:color w:val="314364" w:themeColor="text2"/>
                <w:sz w:val="18"/>
                <w:szCs w:val="18"/>
              </w:rPr>
              <w:t>EÚ</w:t>
            </w:r>
          </w:p>
        </w:tc>
        <w:tc>
          <w:tcPr>
            <w:tcW w:w="3824" w:type="pct"/>
            <w:shd w:val="clear" w:color="auto" w:fill="auto"/>
            <w:vAlign w:val="bottom"/>
          </w:tcPr>
          <w:p w14:paraId="418EF3A0" w14:textId="77777777" w:rsidR="00392952" w:rsidRPr="00FD7EC8" w:rsidRDefault="00392952" w:rsidP="00037A18">
            <w:pPr>
              <w:spacing w:after="0"/>
              <w:rPr>
                <w:sz w:val="18"/>
                <w:szCs w:val="18"/>
              </w:rPr>
            </w:pPr>
            <w:r>
              <w:rPr>
                <w:sz w:val="18"/>
                <w:szCs w:val="18"/>
              </w:rPr>
              <w:t>Európska únia</w:t>
            </w:r>
          </w:p>
        </w:tc>
      </w:tr>
      <w:tr w:rsidR="00392952" w:rsidRPr="00FD7EC8" w14:paraId="542111F2" w14:textId="77777777" w:rsidTr="00037A18">
        <w:trPr>
          <w:trHeight w:val="288"/>
          <w:jc w:val="center"/>
        </w:trPr>
        <w:tc>
          <w:tcPr>
            <w:tcW w:w="1176" w:type="pct"/>
            <w:shd w:val="clear" w:color="auto" w:fill="auto"/>
            <w:vAlign w:val="bottom"/>
          </w:tcPr>
          <w:p w14:paraId="3FD5B867" w14:textId="77777777" w:rsidR="00392952" w:rsidRPr="00FD7EC8" w:rsidRDefault="00392952" w:rsidP="00037A18">
            <w:pPr>
              <w:spacing w:after="0"/>
              <w:rPr>
                <w:color w:val="314364" w:themeColor="text2"/>
                <w:sz w:val="18"/>
                <w:szCs w:val="18"/>
              </w:rPr>
            </w:pPr>
            <w:r>
              <w:rPr>
                <w:color w:val="314364" w:themeColor="text2"/>
                <w:sz w:val="18"/>
                <w:szCs w:val="18"/>
              </w:rPr>
              <w:t>HDP</w:t>
            </w:r>
          </w:p>
        </w:tc>
        <w:tc>
          <w:tcPr>
            <w:tcW w:w="3824" w:type="pct"/>
            <w:shd w:val="clear" w:color="auto" w:fill="auto"/>
            <w:vAlign w:val="bottom"/>
          </w:tcPr>
          <w:p w14:paraId="05100F21" w14:textId="74A2D559" w:rsidR="00392952" w:rsidRPr="00FD7EC8" w:rsidRDefault="00074731" w:rsidP="00037A18">
            <w:pPr>
              <w:spacing w:after="0"/>
              <w:rPr>
                <w:sz w:val="18"/>
                <w:szCs w:val="18"/>
              </w:rPr>
            </w:pPr>
            <w:r>
              <w:rPr>
                <w:sz w:val="18"/>
                <w:szCs w:val="18"/>
              </w:rPr>
              <w:t>h</w:t>
            </w:r>
            <w:r w:rsidR="00392952">
              <w:rPr>
                <w:sz w:val="18"/>
                <w:szCs w:val="18"/>
              </w:rPr>
              <w:t>rubý domáci produkt</w:t>
            </w:r>
          </w:p>
        </w:tc>
      </w:tr>
      <w:tr w:rsidR="00392952" w:rsidRPr="00FD7EC8" w14:paraId="75156C48" w14:textId="77777777" w:rsidTr="00037A18">
        <w:trPr>
          <w:trHeight w:val="288"/>
          <w:jc w:val="center"/>
        </w:trPr>
        <w:tc>
          <w:tcPr>
            <w:tcW w:w="1176" w:type="pct"/>
            <w:shd w:val="clear" w:color="auto" w:fill="auto"/>
            <w:vAlign w:val="bottom"/>
          </w:tcPr>
          <w:p w14:paraId="13BA4A28" w14:textId="77777777" w:rsidR="00392952" w:rsidRPr="00FD7EC8" w:rsidRDefault="00392952" w:rsidP="00037A18">
            <w:pPr>
              <w:spacing w:after="0"/>
              <w:rPr>
                <w:color w:val="314364" w:themeColor="text2"/>
                <w:sz w:val="18"/>
                <w:szCs w:val="18"/>
              </w:rPr>
            </w:pPr>
            <w:r>
              <w:rPr>
                <w:color w:val="314364" w:themeColor="text2"/>
                <w:sz w:val="18"/>
                <w:szCs w:val="18"/>
              </w:rPr>
              <w:t>MDV SR</w:t>
            </w:r>
          </w:p>
        </w:tc>
        <w:tc>
          <w:tcPr>
            <w:tcW w:w="3824" w:type="pct"/>
            <w:shd w:val="clear" w:color="auto" w:fill="auto"/>
            <w:vAlign w:val="bottom"/>
          </w:tcPr>
          <w:p w14:paraId="6CBBA0D1" w14:textId="77777777" w:rsidR="00392952" w:rsidRPr="00FD7EC8" w:rsidRDefault="00392952" w:rsidP="00037A18">
            <w:pPr>
              <w:spacing w:after="0"/>
              <w:rPr>
                <w:sz w:val="18"/>
                <w:szCs w:val="18"/>
              </w:rPr>
            </w:pPr>
            <w:r>
              <w:rPr>
                <w:sz w:val="18"/>
                <w:szCs w:val="18"/>
              </w:rPr>
              <w:t>Ministerstvo dopravy a výstavby Slovenskej republiky</w:t>
            </w:r>
          </w:p>
        </w:tc>
      </w:tr>
      <w:tr w:rsidR="00392952" w:rsidRPr="00FD7EC8" w14:paraId="6AFE1830" w14:textId="77777777" w:rsidTr="00037A18">
        <w:trPr>
          <w:trHeight w:val="288"/>
          <w:jc w:val="center"/>
        </w:trPr>
        <w:tc>
          <w:tcPr>
            <w:tcW w:w="1176" w:type="pct"/>
            <w:shd w:val="clear" w:color="auto" w:fill="auto"/>
            <w:vAlign w:val="bottom"/>
          </w:tcPr>
          <w:p w14:paraId="51E7F7D2" w14:textId="77777777" w:rsidR="00392952" w:rsidRPr="00FD7EC8" w:rsidRDefault="00392952" w:rsidP="00037A18">
            <w:pPr>
              <w:spacing w:after="0"/>
              <w:rPr>
                <w:color w:val="314364" w:themeColor="text2"/>
                <w:sz w:val="18"/>
                <w:szCs w:val="18"/>
              </w:rPr>
            </w:pPr>
            <w:r>
              <w:rPr>
                <w:color w:val="314364" w:themeColor="text2"/>
                <w:sz w:val="18"/>
                <w:szCs w:val="18"/>
              </w:rPr>
              <w:t>MF SR</w:t>
            </w:r>
          </w:p>
        </w:tc>
        <w:tc>
          <w:tcPr>
            <w:tcW w:w="3824" w:type="pct"/>
            <w:shd w:val="clear" w:color="auto" w:fill="auto"/>
            <w:vAlign w:val="bottom"/>
          </w:tcPr>
          <w:p w14:paraId="4B1B2242" w14:textId="77777777" w:rsidR="00392952" w:rsidRPr="00FD7EC8" w:rsidRDefault="00392952" w:rsidP="00037A18">
            <w:pPr>
              <w:spacing w:after="0"/>
              <w:rPr>
                <w:sz w:val="18"/>
                <w:szCs w:val="18"/>
              </w:rPr>
            </w:pPr>
            <w:r>
              <w:rPr>
                <w:sz w:val="18"/>
                <w:szCs w:val="18"/>
              </w:rPr>
              <w:t>Ministerstvo financií Slovenskej republiky</w:t>
            </w:r>
          </w:p>
        </w:tc>
      </w:tr>
      <w:tr w:rsidR="00392952" w:rsidRPr="00FD7EC8" w14:paraId="6D826B90" w14:textId="77777777" w:rsidTr="00037A18">
        <w:trPr>
          <w:trHeight w:val="288"/>
          <w:jc w:val="center"/>
        </w:trPr>
        <w:tc>
          <w:tcPr>
            <w:tcW w:w="1176" w:type="pct"/>
            <w:shd w:val="clear" w:color="auto" w:fill="auto"/>
            <w:vAlign w:val="bottom"/>
          </w:tcPr>
          <w:p w14:paraId="30F2DDF4" w14:textId="77777777" w:rsidR="00392952" w:rsidRPr="00FD7EC8" w:rsidRDefault="00392952" w:rsidP="00037A18">
            <w:pPr>
              <w:spacing w:after="0"/>
              <w:rPr>
                <w:color w:val="314364" w:themeColor="text2"/>
                <w:sz w:val="18"/>
                <w:szCs w:val="18"/>
              </w:rPr>
            </w:pPr>
            <w:r>
              <w:rPr>
                <w:color w:val="314364" w:themeColor="text2"/>
                <w:sz w:val="18"/>
                <w:szCs w:val="18"/>
              </w:rPr>
              <w:t>MPSVR SR</w:t>
            </w:r>
          </w:p>
        </w:tc>
        <w:tc>
          <w:tcPr>
            <w:tcW w:w="3824" w:type="pct"/>
            <w:shd w:val="clear" w:color="auto" w:fill="auto"/>
            <w:vAlign w:val="bottom"/>
          </w:tcPr>
          <w:p w14:paraId="70399E7F" w14:textId="77777777" w:rsidR="00392952" w:rsidRPr="00FD7EC8" w:rsidRDefault="00392952" w:rsidP="00037A18">
            <w:pPr>
              <w:spacing w:after="0"/>
              <w:rPr>
                <w:sz w:val="18"/>
                <w:szCs w:val="18"/>
              </w:rPr>
            </w:pPr>
            <w:r>
              <w:rPr>
                <w:sz w:val="18"/>
                <w:szCs w:val="18"/>
              </w:rPr>
              <w:t>Ministerstvo práce, sociálnych vecí a rodiny Slovenskej republiky</w:t>
            </w:r>
          </w:p>
        </w:tc>
      </w:tr>
      <w:tr w:rsidR="00392952" w:rsidRPr="00FD7EC8" w14:paraId="482A7773" w14:textId="77777777" w:rsidTr="00037A18">
        <w:trPr>
          <w:trHeight w:val="288"/>
          <w:jc w:val="center"/>
        </w:trPr>
        <w:tc>
          <w:tcPr>
            <w:tcW w:w="1176" w:type="pct"/>
            <w:shd w:val="clear" w:color="auto" w:fill="auto"/>
            <w:vAlign w:val="bottom"/>
          </w:tcPr>
          <w:p w14:paraId="3F657636" w14:textId="77777777" w:rsidR="00392952" w:rsidRPr="00FD7EC8" w:rsidRDefault="00392952" w:rsidP="00037A18">
            <w:pPr>
              <w:spacing w:after="0"/>
              <w:rPr>
                <w:color w:val="314364" w:themeColor="text2"/>
                <w:sz w:val="18"/>
                <w:szCs w:val="18"/>
              </w:rPr>
            </w:pPr>
            <w:r>
              <w:rPr>
                <w:color w:val="314364" w:themeColor="text2"/>
                <w:sz w:val="18"/>
                <w:szCs w:val="18"/>
              </w:rPr>
              <w:t>MŠVVaŠ SR</w:t>
            </w:r>
          </w:p>
        </w:tc>
        <w:tc>
          <w:tcPr>
            <w:tcW w:w="3824" w:type="pct"/>
            <w:shd w:val="clear" w:color="auto" w:fill="auto"/>
            <w:vAlign w:val="bottom"/>
          </w:tcPr>
          <w:p w14:paraId="3274DC0C" w14:textId="77777777" w:rsidR="00392952" w:rsidRPr="00FD7EC8" w:rsidRDefault="00392952" w:rsidP="00037A18">
            <w:pPr>
              <w:spacing w:after="0"/>
              <w:rPr>
                <w:sz w:val="18"/>
                <w:szCs w:val="18"/>
              </w:rPr>
            </w:pPr>
            <w:r>
              <w:rPr>
                <w:sz w:val="18"/>
                <w:szCs w:val="18"/>
              </w:rPr>
              <w:t>Ministerstvo školstva, vedy, výskumu a športu Slovenskej republiky</w:t>
            </w:r>
          </w:p>
        </w:tc>
      </w:tr>
      <w:tr w:rsidR="00392952" w:rsidRPr="00FD7EC8" w14:paraId="4BD71635" w14:textId="77777777" w:rsidTr="00037A18">
        <w:trPr>
          <w:trHeight w:val="288"/>
          <w:jc w:val="center"/>
        </w:trPr>
        <w:tc>
          <w:tcPr>
            <w:tcW w:w="1176" w:type="pct"/>
            <w:shd w:val="clear" w:color="auto" w:fill="auto"/>
            <w:vAlign w:val="bottom"/>
          </w:tcPr>
          <w:p w14:paraId="20354E5F" w14:textId="77777777" w:rsidR="00392952" w:rsidRPr="00FD7EC8" w:rsidRDefault="00392952" w:rsidP="00037A18">
            <w:pPr>
              <w:spacing w:after="0"/>
              <w:rPr>
                <w:color w:val="314364" w:themeColor="text2"/>
                <w:sz w:val="18"/>
                <w:szCs w:val="18"/>
              </w:rPr>
            </w:pPr>
            <w:r>
              <w:rPr>
                <w:color w:val="314364" w:themeColor="text2"/>
                <w:sz w:val="18"/>
                <w:szCs w:val="18"/>
              </w:rPr>
              <w:t>MV SR</w:t>
            </w:r>
          </w:p>
        </w:tc>
        <w:tc>
          <w:tcPr>
            <w:tcW w:w="3824" w:type="pct"/>
            <w:shd w:val="clear" w:color="auto" w:fill="auto"/>
            <w:vAlign w:val="bottom"/>
          </w:tcPr>
          <w:p w14:paraId="380C52F3" w14:textId="77777777" w:rsidR="00392952" w:rsidRPr="00FD7EC8" w:rsidRDefault="00392952" w:rsidP="00037A18">
            <w:pPr>
              <w:spacing w:after="0"/>
              <w:rPr>
                <w:sz w:val="18"/>
                <w:szCs w:val="18"/>
              </w:rPr>
            </w:pPr>
            <w:r>
              <w:rPr>
                <w:sz w:val="18"/>
                <w:szCs w:val="18"/>
              </w:rPr>
              <w:t>Ministerstvo vnútra Slovenskej republiky</w:t>
            </w:r>
          </w:p>
        </w:tc>
      </w:tr>
      <w:tr w:rsidR="00392952" w:rsidRPr="00FD7EC8" w14:paraId="4353C816" w14:textId="77777777" w:rsidTr="00037A18">
        <w:trPr>
          <w:trHeight w:val="288"/>
          <w:jc w:val="center"/>
        </w:trPr>
        <w:tc>
          <w:tcPr>
            <w:tcW w:w="1176" w:type="pct"/>
            <w:shd w:val="clear" w:color="auto" w:fill="auto"/>
            <w:vAlign w:val="bottom"/>
          </w:tcPr>
          <w:p w14:paraId="157BD89B" w14:textId="77777777" w:rsidR="00392952" w:rsidRPr="00FD7EC8" w:rsidRDefault="00392952" w:rsidP="00037A18">
            <w:pPr>
              <w:spacing w:after="0"/>
              <w:rPr>
                <w:color w:val="314364" w:themeColor="text2"/>
                <w:sz w:val="18"/>
                <w:szCs w:val="18"/>
              </w:rPr>
            </w:pPr>
            <w:r>
              <w:rPr>
                <w:color w:val="314364" w:themeColor="text2"/>
                <w:sz w:val="18"/>
                <w:szCs w:val="18"/>
              </w:rPr>
              <w:t>MZ SR</w:t>
            </w:r>
          </w:p>
        </w:tc>
        <w:tc>
          <w:tcPr>
            <w:tcW w:w="3824" w:type="pct"/>
            <w:shd w:val="clear" w:color="auto" w:fill="auto"/>
            <w:vAlign w:val="bottom"/>
          </w:tcPr>
          <w:p w14:paraId="4B31749F" w14:textId="77777777" w:rsidR="00392952" w:rsidRPr="00FD7EC8" w:rsidRDefault="00392952" w:rsidP="00037A18">
            <w:pPr>
              <w:spacing w:after="0"/>
              <w:rPr>
                <w:sz w:val="18"/>
                <w:szCs w:val="18"/>
              </w:rPr>
            </w:pPr>
            <w:r>
              <w:rPr>
                <w:sz w:val="18"/>
                <w:szCs w:val="18"/>
              </w:rPr>
              <w:t>Ministerstvo zdravotníctva Slovenskej republiky</w:t>
            </w:r>
          </w:p>
        </w:tc>
      </w:tr>
      <w:tr w:rsidR="00392952" w:rsidRPr="00FD7EC8" w14:paraId="79A2D9DB" w14:textId="77777777" w:rsidTr="00037A18">
        <w:trPr>
          <w:trHeight w:val="288"/>
          <w:jc w:val="center"/>
        </w:trPr>
        <w:tc>
          <w:tcPr>
            <w:tcW w:w="1176" w:type="pct"/>
            <w:shd w:val="clear" w:color="auto" w:fill="auto"/>
            <w:vAlign w:val="bottom"/>
          </w:tcPr>
          <w:p w14:paraId="002FC30C" w14:textId="77777777" w:rsidR="00392952" w:rsidRPr="00FD7EC8" w:rsidRDefault="00392952" w:rsidP="00037A18">
            <w:pPr>
              <w:spacing w:after="0"/>
              <w:rPr>
                <w:color w:val="314364" w:themeColor="text2"/>
                <w:sz w:val="18"/>
                <w:szCs w:val="18"/>
              </w:rPr>
            </w:pPr>
            <w:r>
              <w:rPr>
                <w:color w:val="314364" w:themeColor="text2"/>
                <w:sz w:val="18"/>
                <w:szCs w:val="18"/>
              </w:rPr>
              <w:t>MŽP SR</w:t>
            </w:r>
          </w:p>
        </w:tc>
        <w:tc>
          <w:tcPr>
            <w:tcW w:w="3824" w:type="pct"/>
            <w:shd w:val="clear" w:color="auto" w:fill="auto"/>
            <w:vAlign w:val="bottom"/>
          </w:tcPr>
          <w:p w14:paraId="435A48AC" w14:textId="77777777" w:rsidR="00392952" w:rsidRPr="00FD7EC8" w:rsidRDefault="00392952" w:rsidP="00037A18">
            <w:pPr>
              <w:spacing w:after="0"/>
              <w:rPr>
                <w:sz w:val="18"/>
                <w:szCs w:val="18"/>
              </w:rPr>
            </w:pPr>
            <w:r>
              <w:rPr>
                <w:sz w:val="18"/>
                <w:szCs w:val="18"/>
              </w:rPr>
              <w:t>Ministerstvo životného prostredia Slovenskej republiky</w:t>
            </w:r>
          </w:p>
        </w:tc>
      </w:tr>
      <w:tr w:rsidR="00FD1E1F" w:rsidRPr="00FD7EC8" w14:paraId="0040FFD1" w14:textId="77777777" w:rsidTr="00037A18">
        <w:trPr>
          <w:trHeight w:val="288"/>
          <w:jc w:val="center"/>
        </w:trPr>
        <w:tc>
          <w:tcPr>
            <w:tcW w:w="1176" w:type="pct"/>
            <w:shd w:val="clear" w:color="auto" w:fill="auto"/>
            <w:vAlign w:val="bottom"/>
          </w:tcPr>
          <w:p w14:paraId="2C33A62C" w14:textId="1DB0B20D" w:rsidR="00FD1E1F" w:rsidRDefault="00FD1E1F" w:rsidP="00037A18">
            <w:pPr>
              <w:spacing w:after="0"/>
              <w:rPr>
                <w:color w:val="314364" w:themeColor="text2"/>
                <w:sz w:val="18"/>
                <w:szCs w:val="18"/>
              </w:rPr>
            </w:pPr>
            <w:r>
              <w:rPr>
                <w:color w:val="314364" w:themeColor="text2"/>
                <w:sz w:val="18"/>
                <w:szCs w:val="18"/>
              </w:rPr>
              <w:t>N</w:t>
            </w:r>
          </w:p>
        </w:tc>
        <w:tc>
          <w:tcPr>
            <w:tcW w:w="3824" w:type="pct"/>
            <w:shd w:val="clear" w:color="auto" w:fill="auto"/>
            <w:vAlign w:val="bottom"/>
          </w:tcPr>
          <w:p w14:paraId="547AA60C" w14:textId="42688C37" w:rsidR="00FD1E1F" w:rsidRDefault="00FD1E1F" w:rsidP="00037A18">
            <w:pPr>
              <w:spacing w:after="0"/>
              <w:rPr>
                <w:sz w:val="18"/>
                <w:szCs w:val="18"/>
              </w:rPr>
            </w:pPr>
            <w:r>
              <w:rPr>
                <w:sz w:val="18"/>
                <w:szCs w:val="18"/>
              </w:rPr>
              <w:t>návrh</w:t>
            </w:r>
          </w:p>
        </w:tc>
      </w:tr>
      <w:tr w:rsidR="00392952" w:rsidRPr="00FD7EC8" w14:paraId="1BD5B7C1" w14:textId="77777777" w:rsidTr="00037A18">
        <w:trPr>
          <w:trHeight w:val="288"/>
          <w:jc w:val="center"/>
        </w:trPr>
        <w:tc>
          <w:tcPr>
            <w:tcW w:w="1176" w:type="pct"/>
            <w:shd w:val="clear" w:color="auto" w:fill="auto"/>
            <w:vAlign w:val="bottom"/>
          </w:tcPr>
          <w:p w14:paraId="778C99F2" w14:textId="77777777" w:rsidR="00392952" w:rsidRPr="00FD7EC8" w:rsidRDefault="00392952" w:rsidP="00037A18">
            <w:pPr>
              <w:spacing w:after="0"/>
              <w:rPr>
                <w:color w:val="314364" w:themeColor="text2"/>
                <w:sz w:val="18"/>
                <w:szCs w:val="18"/>
              </w:rPr>
            </w:pPr>
            <w:r>
              <w:rPr>
                <w:color w:val="314364" w:themeColor="text2"/>
                <w:sz w:val="18"/>
                <w:szCs w:val="18"/>
              </w:rPr>
              <w:t>NKÚ SR</w:t>
            </w:r>
          </w:p>
        </w:tc>
        <w:tc>
          <w:tcPr>
            <w:tcW w:w="3824" w:type="pct"/>
            <w:shd w:val="clear" w:color="auto" w:fill="auto"/>
            <w:vAlign w:val="bottom"/>
          </w:tcPr>
          <w:p w14:paraId="67FACEA0" w14:textId="77777777" w:rsidR="00392952" w:rsidRPr="00FD7EC8" w:rsidRDefault="00392952" w:rsidP="00037A18">
            <w:pPr>
              <w:spacing w:after="0"/>
              <w:rPr>
                <w:sz w:val="18"/>
                <w:szCs w:val="18"/>
              </w:rPr>
            </w:pPr>
            <w:r>
              <w:rPr>
                <w:sz w:val="18"/>
                <w:szCs w:val="18"/>
              </w:rPr>
              <w:t>Najvyšší kontrolný úrad Slovenskej republiky</w:t>
            </w:r>
          </w:p>
        </w:tc>
      </w:tr>
      <w:tr w:rsidR="00392952" w:rsidRPr="00FD7EC8" w14:paraId="57912ACF" w14:textId="77777777" w:rsidTr="00037A18">
        <w:trPr>
          <w:trHeight w:val="288"/>
          <w:jc w:val="center"/>
        </w:trPr>
        <w:tc>
          <w:tcPr>
            <w:tcW w:w="1176" w:type="pct"/>
            <w:shd w:val="clear" w:color="auto" w:fill="auto"/>
            <w:vAlign w:val="bottom"/>
          </w:tcPr>
          <w:p w14:paraId="70F7229B" w14:textId="77777777" w:rsidR="00392952" w:rsidRPr="00FD7EC8" w:rsidRDefault="00392952" w:rsidP="00037A18">
            <w:pPr>
              <w:spacing w:after="0"/>
              <w:rPr>
                <w:color w:val="314364" w:themeColor="text2"/>
                <w:sz w:val="18"/>
                <w:szCs w:val="18"/>
              </w:rPr>
            </w:pPr>
            <w:r>
              <w:rPr>
                <w:color w:val="314364" w:themeColor="text2"/>
                <w:sz w:val="18"/>
                <w:szCs w:val="18"/>
              </w:rPr>
              <w:t>OČR</w:t>
            </w:r>
          </w:p>
        </w:tc>
        <w:tc>
          <w:tcPr>
            <w:tcW w:w="3824" w:type="pct"/>
            <w:shd w:val="clear" w:color="auto" w:fill="auto"/>
            <w:vAlign w:val="bottom"/>
          </w:tcPr>
          <w:p w14:paraId="53F776B0" w14:textId="5EAF97BA" w:rsidR="00392952" w:rsidRPr="00FD7EC8" w:rsidRDefault="00074731" w:rsidP="00037A18">
            <w:pPr>
              <w:spacing w:after="0"/>
              <w:rPr>
                <w:sz w:val="18"/>
                <w:szCs w:val="18"/>
              </w:rPr>
            </w:pPr>
            <w:r>
              <w:rPr>
                <w:sz w:val="18"/>
                <w:szCs w:val="18"/>
              </w:rPr>
              <w:t>o</w:t>
            </w:r>
            <w:r w:rsidR="00392952">
              <w:rPr>
                <w:sz w:val="18"/>
                <w:szCs w:val="18"/>
              </w:rPr>
              <w:t>šetrovné</w:t>
            </w:r>
          </w:p>
        </w:tc>
      </w:tr>
      <w:tr w:rsidR="00392952" w:rsidRPr="00FD7EC8" w14:paraId="1952BE11" w14:textId="77777777" w:rsidTr="00037A18">
        <w:trPr>
          <w:trHeight w:val="288"/>
          <w:jc w:val="center"/>
        </w:trPr>
        <w:tc>
          <w:tcPr>
            <w:tcW w:w="1176" w:type="pct"/>
            <w:shd w:val="clear" w:color="auto" w:fill="auto"/>
            <w:vAlign w:val="bottom"/>
          </w:tcPr>
          <w:p w14:paraId="77241E1D" w14:textId="77777777" w:rsidR="00392952" w:rsidRPr="00FD7EC8" w:rsidRDefault="00392952" w:rsidP="00037A18">
            <w:pPr>
              <w:spacing w:after="0"/>
              <w:rPr>
                <w:color w:val="314364" w:themeColor="text2"/>
                <w:sz w:val="18"/>
                <w:szCs w:val="18"/>
              </w:rPr>
            </w:pPr>
            <w:r>
              <w:rPr>
                <w:color w:val="314364" w:themeColor="text2"/>
                <w:sz w:val="18"/>
                <w:szCs w:val="18"/>
              </w:rPr>
              <w:t>OP</w:t>
            </w:r>
          </w:p>
        </w:tc>
        <w:tc>
          <w:tcPr>
            <w:tcW w:w="3824" w:type="pct"/>
            <w:shd w:val="clear" w:color="auto" w:fill="auto"/>
            <w:vAlign w:val="bottom"/>
          </w:tcPr>
          <w:p w14:paraId="3FA43359" w14:textId="77777777" w:rsidR="00392952" w:rsidRPr="00FD7EC8" w:rsidRDefault="00392952" w:rsidP="00037A18">
            <w:pPr>
              <w:spacing w:after="0"/>
              <w:rPr>
                <w:sz w:val="18"/>
                <w:szCs w:val="18"/>
              </w:rPr>
            </w:pPr>
            <w:r>
              <w:rPr>
                <w:sz w:val="18"/>
                <w:szCs w:val="18"/>
              </w:rPr>
              <w:t>Operačný program</w:t>
            </w:r>
          </w:p>
        </w:tc>
      </w:tr>
      <w:tr w:rsidR="0018541D" w:rsidRPr="00FD7EC8" w14:paraId="3C065797" w14:textId="77777777" w:rsidTr="00037A18">
        <w:trPr>
          <w:trHeight w:val="288"/>
          <w:jc w:val="center"/>
        </w:trPr>
        <w:tc>
          <w:tcPr>
            <w:tcW w:w="1176" w:type="pct"/>
            <w:shd w:val="clear" w:color="auto" w:fill="auto"/>
            <w:vAlign w:val="bottom"/>
          </w:tcPr>
          <w:p w14:paraId="49384E33" w14:textId="334B0A1D" w:rsidR="0018541D" w:rsidRDefault="0018541D" w:rsidP="00037A18">
            <w:pPr>
              <w:spacing w:after="0"/>
              <w:rPr>
                <w:color w:val="314364" w:themeColor="text2"/>
                <w:sz w:val="18"/>
                <w:szCs w:val="18"/>
              </w:rPr>
            </w:pPr>
            <w:r>
              <w:rPr>
                <w:color w:val="314364" w:themeColor="text2"/>
                <w:sz w:val="18"/>
                <w:szCs w:val="18"/>
              </w:rPr>
              <w:t>OS</w:t>
            </w:r>
          </w:p>
        </w:tc>
        <w:tc>
          <w:tcPr>
            <w:tcW w:w="3824" w:type="pct"/>
            <w:shd w:val="clear" w:color="auto" w:fill="auto"/>
            <w:vAlign w:val="bottom"/>
          </w:tcPr>
          <w:p w14:paraId="101CCD8D" w14:textId="3AA993E3" w:rsidR="0018541D" w:rsidRDefault="0018541D" w:rsidP="00037A18">
            <w:pPr>
              <w:spacing w:after="0"/>
              <w:rPr>
                <w:sz w:val="18"/>
                <w:szCs w:val="18"/>
              </w:rPr>
            </w:pPr>
            <w:r>
              <w:rPr>
                <w:sz w:val="18"/>
                <w:szCs w:val="18"/>
              </w:rPr>
              <w:t>očakávaná skutočnosť</w:t>
            </w:r>
          </w:p>
        </w:tc>
      </w:tr>
      <w:tr w:rsidR="00392952" w:rsidRPr="00FD7EC8" w14:paraId="2C96021E" w14:textId="77777777" w:rsidTr="00037A18">
        <w:trPr>
          <w:trHeight w:val="288"/>
          <w:jc w:val="center"/>
        </w:trPr>
        <w:tc>
          <w:tcPr>
            <w:tcW w:w="1176" w:type="pct"/>
            <w:shd w:val="clear" w:color="auto" w:fill="auto"/>
            <w:vAlign w:val="bottom"/>
          </w:tcPr>
          <w:p w14:paraId="165258C3" w14:textId="77777777" w:rsidR="00392952" w:rsidRPr="00FD7EC8" w:rsidRDefault="00392952" w:rsidP="00037A18">
            <w:pPr>
              <w:spacing w:after="0"/>
              <w:rPr>
                <w:color w:val="314364" w:themeColor="text2"/>
                <w:sz w:val="18"/>
                <w:szCs w:val="18"/>
              </w:rPr>
            </w:pPr>
            <w:r>
              <w:rPr>
                <w:color w:val="314364" w:themeColor="text2"/>
                <w:sz w:val="18"/>
                <w:szCs w:val="18"/>
              </w:rPr>
              <w:t>PN</w:t>
            </w:r>
          </w:p>
        </w:tc>
        <w:tc>
          <w:tcPr>
            <w:tcW w:w="3824" w:type="pct"/>
            <w:shd w:val="clear" w:color="auto" w:fill="auto"/>
            <w:vAlign w:val="bottom"/>
          </w:tcPr>
          <w:p w14:paraId="7023E85C" w14:textId="2D59C6AC" w:rsidR="00392952" w:rsidRPr="00776847" w:rsidRDefault="00074731" w:rsidP="00037A18">
            <w:pPr>
              <w:spacing w:after="0"/>
              <w:rPr>
                <w:sz w:val="18"/>
                <w:szCs w:val="18"/>
              </w:rPr>
            </w:pPr>
            <w:r>
              <w:rPr>
                <w:sz w:val="18"/>
                <w:szCs w:val="18"/>
              </w:rPr>
              <w:t>p</w:t>
            </w:r>
            <w:r w:rsidR="00392952">
              <w:rPr>
                <w:sz w:val="18"/>
                <w:szCs w:val="18"/>
              </w:rPr>
              <w:t>ráceneschopnosť</w:t>
            </w:r>
          </w:p>
        </w:tc>
      </w:tr>
      <w:tr w:rsidR="00392952" w:rsidRPr="00FD7EC8" w14:paraId="4F0BB9C0" w14:textId="77777777" w:rsidTr="00037A18">
        <w:trPr>
          <w:trHeight w:val="288"/>
          <w:jc w:val="center"/>
        </w:trPr>
        <w:tc>
          <w:tcPr>
            <w:tcW w:w="1176" w:type="pct"/>
            <w:shd w:val="clear" w:color="auto" w:fill="auto"/>
            <w:vAlign w:val="bottom"/>
          </w:tcPr>
          <w:p w14:paraId="11DBF392" w14:textId="77777777" w:rsidR="00392952" w:rsidRPr="00FD7EC8" w:rsidRDefault="00392952" w:rsidP="00037A18">
            <w:pPr>
              <w:spacing w:after="0"/>
              <w:rPr>
                <w:color w:val="314364" w:themeColor="text2"/>
                <w:sz w:val="18"/>
                <w:szCs w:val="18"/>
              </w:rPr>
            </w:pPr>
            <w:r>
              <w:rPr>
                <w:color w:val="314364" w:themeColor="text2"/>
                <w:sz w:val="18"/>
                <w:szCs w:val="18"/>
              </w:rPr>
              <w:t>PO</w:t>
            </w:r>
          </w:p>
        </w:tc>
        <w:tc>
          <w:tcPr>
            <w:tcW w:w="3824" w:type="pct"/>
            <w:shd w:val="clear" w:color="auto" w:fill="auto"/>
            <w:vAlign w:val="bottom"/>
          </w:tcPr>
          <w:p w14:paraId="3E1BE422" w14:textId="31CC2610" w:rsidR="00392952" w:rsidRPr="00FD7EC8" w:rsidRDefault="00074731" w:rsidP="00037A18">
            <w:pPr>
              <w:spacing w:after="0"/>
              <w:rPr>
                <w:sz w:val="18"/>
                <w:szCs w:val="18"/>
              </w:rPr>
            </w:pPr>
            <w:r>
              <w:rPr>
                <w:sz w:val="18"/>
                <w:szCs w:val="18"/>
              </w:rPr>
              <w:t>p</w:t>
            </w:r>
            <w:r w:rsidR="00392952">
              <w:rPr>
                <w:sz w:val="18"/>
                <w:szCs w:val="18"/>
              </w:rPr>
              <w:t>rogramové obdobie</w:t>
            </w:r>
          </w:p>
        </w:tc>
      </w:tr>
      <w:tr w:rsidR="00392952" w:rsidRPr="00FD7EC8" w14:paraId="172560E7" w14:textId="77777777" w:rsidTr="00037A18">
        <w:trPr>
          <w:trHeight w:val="288"/>
          <w:jc w:val="center"/>
        </w:trPr>
        <w:tc>
          <w:tcPr>
            <w:tcW w:w="1176" w:type="pct"/>
            <w:shd w:val="clear" w:color="auto" w:fill="auto"/>
            <w:vAlign w:val="bottom"/>
          </w:tcPr>
          <w:p w14:paraId="0FE1ECF2" w14:textId="77777777" w:rsidR="00392952" w:rsidRPr="00FD7EC8" w:rsidRDefault="00392952" w:rsidP="00037A18">
            <w:pPr>
              <w:spacing w:after="0"/>
              <w:rPr>
                <w:color w:val="314364" w:themeColor="text2"/>
                <w:sz w:val="18"/>
                <w:szCs w:val="18"/>
              </w:rPr>
            </w:pPr>
            <w:r>
              <w:rPr>
                <w:color w:val="314364" w:themeColor="text2"/>
                <w:sz w:val="18"/>
                <w:szCs w:val="18"/>
              </w:rPr>
              <w:t>PRV</w:t>
            </w:r>
          </w:p>
        </w:tc>
        <w:tc>
          <w:tcPr>
            <w:tcW w:w="3824" w:type="pct"/>
            <w:shd w:val="clear" w:color="auto" w:fill="auto"/>
            <w:vAlign w:val="bottom"/>
          </w:tcPr>
          <w:p w14:paraId="694BAC7F" w14:textId="77777777" w:rsidR="00392952" w:rsidRPr="00FD7EC8" w:rsidRDefault="00392952" w:rsidP="00037A18">
            <w:pPr>
              <w:spacing w:after="0"/>
              <w:rPr>
                <w:sz w:val="18"/>
                <w:szCs w:val="18"/>
              </w:rPr>
            </w:pPr>
            <w:r>
              <w:rPr>
                <w:sz w:val="18"/>
                <w:szCs w:val="18"/>
              </w:rPr>
              <w:t>Program rozvoja vidieka</w:t>
            </w:r>
          </w:p>
        </w:tc>
      </w:tr>
      <w:tr w:rsidR="00392952" w:rsidRPr="00FD7EC8" w14:paraId="29019964" w14:textId="77777777" w:rsidTr="00037A18">
        <w:trPr>
          <w:trHeight w:val="288"/>
          <w:jc w:val="center"/>
        </w:trPr>
        <w:tc>
          <w:tcPr>
            <w:tcW w:w="1176" w:type="pct"/>
            <w:shd w:val="clear" w:color="auto" w:fill="auto"/>
            <w:vAlign w:val="bottom"/>
          </w:tcPr>
          <w:p w14:paraId="10032C74" w14:textId="77777777" w:rsidR="00392952" w:rsidRPr="00FD7EC8" w:rsidRDefault="00392952" w:rsidP="00037A18">
            <w:pPr>
              <w:spacing w:after="0"/>
              <w:rPr>
                <w:color w:val="314364" w:themeColor="text2"/>
                <w:sz w:val="18"/>
                <w:szCs w:val="18"/>
              </w:rPr>
            </w:pPr>
            <w:r>
              <w:rPr>
                <w:color w:val="314364" w:themeColor="text2"/>
                <w:sz w:val="18"/>
                <w:szCs w:val="18"/>
              </w:rPr>
              <w:t>PVV</w:t>
            </w:r>
          </w:p>
        </w:tc>
        <w:tc>
          <w:tcPr>
            <w:tcW w:w="3824" w:type="pct"/>
            <w:shd w:val="clear" w:color="auto" w:fill="auto"/>
            <w:vAlign w:val="bottom"/>
          </w:tcPr>
          <w:p w14:paraId="64CD09E6" w14:textId="77777777" w:rsidR="00392952" w:rsidRPr="00FD7EC8" w:rsidRDefault="00392952" w:rsidP="00037A18">
            <w:pPr>
              <w:spacing w:after="0"/>
              <w:rPr>
                <w:sz w:val="18"/>
                <w:szCs w:val="18"/>
              </w:rPr>
            </w:pPr>
            <w:r>
              <w:rPr>
                <w:sz w:val="18"/>
                <w:szCs w:val="18"/>
              </w:rPr>
              <w:t>Programové vyhlásenie vlády</w:t>
            </w:r>
          </w:p>
        </w:tc>
      </w:tr>
      <w:tr w:rsidR="00392952" w:rsidRPr="00FD7EC8" w14:paraId="15DF9BB0" w14:textId="77777777" w:rsidTr="00037A18">
        <w:trPr>
          <w:trHeight w:val="288"/>
          <w:jc w:val="center"/>
        </w:trPr>
        <w:tc>
          <w:tcPr>
            <w:tcW w:w="1176" w:type="pct"/>
            <w:shd w:val="clear" w:color="auto" w:fill="auto"/>
            <w:vAlign w:val="bottom"/>
          </w:tcPr>
          <w:p w14:paraId="3D666D31" w14:textId="77777777" w:rsidR="00392952" w:rsidRPr="00FD7EC8" w:rsidRDefault="00392952" w:rsidP="00037A18">
            <w:pPr>
              <w:spacing w:after="0"/>
              <w:rPr>
                <w:color w:val="314364" w:themeColor="text2"/>
                <w:sz w:val="18"/>
                <w:szCs w:val="18"/>
              </w:rPr>
            </w:pPr>
            <w:r>
              <w:rPr>
                <w:color w:val="314364" w:themeColor="text2"/>
                <w:sz w:val="18"/>
                <w:szCs w:val="18"/>
              </w:rPr>
              <w:t>RC</w:t>
            </w:r>
          </w:p>
        </w:tc>
        <w:tc>
          <w:tcPr>
            <w:tcW w:w="3824" w:type="pct"/>
            <w:shd w:val="clear" w:color="auto" w:fill="auto"/>
            <w:vAlign w:val="bottom"/>
          </w:tcPr>
          <w:p w14:paraId="1D77BECE" w14:textId="60C7745A" w:rsidR="00392952" w:rsidRPr="00FD7EC8" w:rsidRDefault="00074731" w:rsidP="00037A18">
            <w:pPr>
              <w:spacing w:after="0"/>
              <w:rPr>
                <w:sz w:val="18"/>
                <w:szCs w:val="18"/>
              </w:rPr>
            </w:pPr>
            <w:r>
              <w:rPr>
                <w:sz w:val="18"/>
                <w:szCs w:val="18"/>
              </w:rPr>
              <w:t>r</w:t>
            </w:r>
            <w:r w:rsidR="00392952">
              <w:rPr>
                <w:sz w:val="18"/>
                <w:szCs w:val="18"/>
              </w:rPr>
              <w:t>ýchlostné cesty</w:t>
            </w:r>
          </w:p>
        </w:tc>
      </w:tr>
      <w:tr w:rsidR="00095320" w:rsidRPr="00FD7EC8" w14:paraId="229A0E43" w14:textId="77777777" w:rsidTr="00037A18">
        <w:trPr>
          <w:trHeight w:val="288"/>
          <w:jc w:val="center"/>
        </w:trPr>
        <w:tc>
          <w:tcPr>
            <w:tcW w:w="1176" w:type="pct"/>
            <w:shd w:val="clear" w:color="auto" w:fill="auto"/>
            <w:vAlign w:val="bottom"/>
          </w:tcPr>
          <w:p w14:paraId="3CB03917" w14:textId="4D92931C" w:rsidR="00095320" w:rsidRDefault="00095320" w:rsidP="00037A18">
            <w:pPr>
              <w:spacing w:after="0"/>
              <w:rPr>
                <w:color w:val="314364" w:themeColor="text2"/>
                <w:sz w:val="18"/>
                <w:szCs w:val="18"/>
              </w:rPr>
            </w:pPr>
            <w:r>
              <w:rPr>
                <w:color w:val="314364" w:themeColor="text2"/>
                <w:sz w:val="18"/>
                <w:szCs w:val="18"/>
              </w:rPr>
              <w:t>RIS</w:t>
            </w:r>
          </w:p>
        </w:tc>
        <w:tc>
          <w:tcPr>
            <w:tcW w:w="3824" w:type="pct"/>
            <w:shd w:val="clear" w:color="auto" w:fill="auto"/>
            <w:vAlign w:val="bottom"/>
          </w:tcPr>
          <w:p w14:paraId="4F8B005F" w14:textId="0318E09C" w:rsidR="00095320" w:rsidRDefault="00095320" w:rsidP="00037A18">
            <w:pPr>
              <w:spacing w:after="0"/>
              <w:rPr>
                <w:sz w:val="18"/>
                <w:szCs w:val="18"/>
              </w:rPr>
            </w:pPr>
            <w:r>
              <w:rPr>
                <w:sz w:val="18"/>
                <w:szCs w:val="18"/>
              </w:rPr>
              <w:t>Rozpočtový informačný systém</w:t>
            </w:r>
          </w:p>
        </w:tc>
      </w:tr>
      <w:tr w:rsidR="00607ED0" w:rsidRPr="00FD7EC8" w14:paraId="63B9272B" w14:textId="77777777" w:rsidTr="00037A18">
        <w:trPr>
          <w:trHeight w:val="288"/>
          <w:jc w:val="center"/>
        </w:trPr>
        <w:tc>
          <w:tcPr>
            <w:tcW w:w="1176" w:type="pct"/>
            <w:shd w:val="clear" w:color="auto" w:fill="auto"/>
            <w:vAlign w:val="bottom"/>
          </w:tcPr>
          <w:p w14:paraId="33D83A2A" w14:textId="55A611E7" w:rsidR="00607ED0" w:rsidRDefault="00607ED0" w:rsidP="00037A18">
            <w:pPr>
              <w:spacing w:after="0"/>
              <w:rPr>
                <w:color w:val="314364" w:themeColor="text2"/>
                <w:sz w:val="18"/>
                <w:szCs w:val="18"/>
              </w:rPr>
            </w:pPr>
            <w:r>
              <w:rPr>
                <w:color w:val="314364" w:themeColor="text2"/>
                <w:sz w:val="18"/>
                <w:szCs w:val="18"/>
              </w:rPr>
              <w:t>RRZ</w:t>
            </w:r>
          </w:p>
        </w:tc>
        <w:tc>
          <w:tcPr>
            <w:tcW w:w="3824" w:type="pct"/>
            <w:shd w:val="clear" w:color="auto" w:fill="auto"/>
            <w:vAlign w:val="bottom"/>
          </w:tcPr>
          <w:p w14:paraId="093C2737" w14:textId="47155B04" w:rsidR="00607ED0" w:rsidRDefault="00607ED0" w:rsidP="00037A18">
            <w:pPr>
              <w:spacing w:after="0"/>
              <w:rPr>
                <w:sz w:val="18"/>
                <w:szCs w:val="18"/>
              </w:rPr>
            </w:pPr>
            <w:r>
              <w:rPr>
                <w:sz w:val="18"/>
                <w:szCs w:val="18"/>
              </w:rPr>
              <w:t>Rada pre rozpočtovú zodpovednosť</w:t>
            </w:r>
          </w:p>
        </w:tc>
      </w:tr>
      <w:tr w:rsidR="00392952" w:rsidRPr="00FD7EC8" w14:paraId="50E3CE49" w14:textId="77777777" w:rsidTr="00037A18">
        <w:trPr>
          <w:trHeight w:val="288"/>
          <w:jc w:val="center"/>
        </w:trPr>
        <w:tc>
          <w:tcPr>
            <w:tcW w:w="1176" w:type="pct"/>
            <w:shd w:val="clear" w:color="auto" w:fill="auto"/>
            <w:vAlign w:val="bottom"/>
          </w:tcPr>
          <w:p w14:paraId="3E6460EA" w14:textId="77777777" w:rsidR="00392952" w:rsidRPr="00FD7EC8" w:rsidRDefault="00392952" w:rsidP="00037A18">
            <w:pPr>
              <w:spacing w:after="0"/>
              <w:rPr>
                <w:color w:val="314364" w:themeColor="text2"/>
                <w:sz w:val="18"/>
                <w:szCs w:val="18"/>
              </w:rPr>
            </w:pPr>
            <w:r>
              <w:rPr>
                <w:color w:val="314364" w:themeColor="text2"/>
                <w:sz w:val="18"/>
                <w:szCs w:val="18"/>
              </w:rPr>
              <w:t>RVS</w:t>
            </w:r>
          </w:p>
        </w:tc>
        <w:tc>
          <w:tcPr>
            <w:tcW w:w="3824" w:type="pct"/>
            <w:shd w:val="clear" w:color="auto" w:fill="auto"/>
            <w:vAlign w:val="bottom"/>
          </w:tcPr>
          <w:p w14:paraId="2BE6D0C5" w14:textId="78B00E4E" w:rsidR="00392952" w:rsidRPr="00FD7EC8" w:rsidRDefault="00074731" w:rsidP="00037A18">
            <w:pPr>
              <w:spacing w:after="0"/>
              <w:rPr>
                <w:sz w:val="18"/>
                <w:szCs w:val="18"/>
              </w:rPr>
            </w:pPr>
            <w:r>
              <w:rPr>
                <w:sz w:val="18"/>
                <w:szCs w:val="18"/>
              </w:rPr>
              <w:t>r</w:t>
            </w:r>
            <w:r w:rsidR="00392952">
              <w:rPr>
                <w:sz w:val="18"/>
                <w:szCs w:val="18"/>
              </w:rPr>
              <w:t>ozpočet verejnej správy</w:t>
            </w:r>
          </w:p>
        </w:tc>
      </w:tr>
      <w:tr w:rsidR="00FD1E1F" w:rsidRPr="00FD7EC8" w14:paraId="224199F9" w14:textId="77777777" w:rsidTr="00037A18">
        <w:trPr>
          <w:trHeight w:val="288"/>
          <w:jc w:val="center"/>
        </w:trPr>
        <w:tc>
          <w:tcPr>
            <w:tcW w:w="1176" w:type="pct"/>
            <w:shd w:val="clear" w:color="auto" w:fill="auto"/>
            <w:vAlign w:val="bottom"/>
          </w:tcPr>
          <w:p w14:paraId="5828813F" w14:textId="398F6CCB" w:rsidR="00FD1E1F" w:rsidRDefault="00FD1E1F" w:rsidP="00037A18">
            <w:pPr>
              <w:spacing w:after="0"/>
              <w:rPr>
                <w:color w:val="314364" w:themeColor="text2"/>
                <w:sz w:val="18"/>
                <w:szCs w:val="18"/>
              </w:rPr>
            </w:pPr>
            <w:r>
              <w:rPr>
                <w:color w:val="314364" w:themeColor="text2"/>
                <w:sz w:val="18"/>
                <w:szCs w:val="18"/>
              </w:rPr>
              <w:t>S</w:t>
            </w:r>
          </w:p>
        </w:tc>
        <w:tc>
          <w:tcPr>
            <w:tcW w:w="3824" w:type="pct"/>
            <w:shd w:val="clear" w:color="auto" w:fill="auto"/>
            <w:vAlign w:val="bottom"/>
          </w:tcPr>
          <w:p w14:paraId="24F33B95" w14:textId="749D9FB3" w:rsidR="00FD1E1F" w:rsidRDefault="00FD1E1F" w:rsidP="00037A18">
            <w:pPr>
              <w:spacing w:after="0"/>
              <w:rPr>
                <w:sz w:val="18"/>
                <w:szCs w:val="18"/>
              </w:rPr>
            </w:pPr>
            <w:r>
              <w:rPr>
                <w:sz w:val="18"/>
                <w:szCs w:val="18"/>
              </w:rPr>
              <w:t>skutočnosť</w:t>
            </w:r>
          </w:p>
        </w:tc>
      </w:tr>
      <w:tr w:rsidR="00392952" w:rsidRPr="00FD7EC8" w14:paraId="7E9FAF01" w14:textId="77777777" w:rsidTr="00037A18">
        <w:trPr>
          <w:trHeight w:val="288"/>
          <w:jc w:val="center"/>
        </w:trPr>
        <w:tc>
          <w:tcPr>
            <w:tcW w:w="1176" w:type="pct"/>
            <w:shd w:val="clear" w:color="auto" w:fill="auto"/>
            <w:vAlign w:val="bottom"/>
          </w:tcPr>
          <w:p w14:paraId="4E6DB39D" w14:textId="77777777" w:rsidR="00392952" w:rsidRPr="00FD7EC8" w:rsidRDefault="00392952" w:rsidP="00037A18">
            <w:pPr>
              <w:spacing w:after="0"/>
              <w:rPr>
                <w:color w:val="314364" w:themeColor="text2"/>
                <w:sz w:val="18"/>
                <w:szCs w:val="18"/>
              </w:rPr>
            </w:pPr>
            <w:r>
              <w:rPr>
                <w:color w:val="314364" w:themeColor="text2"/>
                <w:sz w:val="18"/>
                <w:szCs w:val="18"/>
              </w:rPr>
              <w:t>SAŽP</w:t>
            </w:r>
          </w:p>
        </w:tc>
        <w:tc>
          <w:tcPr>
            <w:tcW w:w="3824" w:type="pct"/>
            <w:shd w:val="clear" w:color="auto" w:fill="auto"/>
            <w:vAlign w:val="bottom"/>
          </w:tcPr>
          <w:p w14:paraId="619079DB" w14:textId="77777777" w:rsidR="00392952" w:rsidRPr="00FD7EC8" w:rsidRDefault="00392952" w:rsidP="00037A18">
            <w:pPr>
              <w:spacing w:after="0"/>
              <w:rPr>
                <w:sz w:val="18"/>
                <w:szCs w:val="18"/>
              </w:rPr>
            </w:pPr>
            <w:r>
              <w:rPr>
                <w:sz w:val="18"/>
                <w:szCs w:val="18"/>
              </w:rPr>
              <w:t>Slovenská agentúra životného prostredia</w:t>
            </w:r>
          </w:p>
        </w:tc>
      </w:tr>
      <w:tr w:rsidR="00392952" w:rsidRPr="00FD7EC8" w14:paraId="03D10502" w14:textId="77777777" w:rsidTr="00037A18">
        <w:trPr>
          <w:trHeight w:val="288"/>
          <w:jc w:val="center"/>
        </w:trPr>
        <w:tc>
          <w:tcPr>
            <w:tcW w:w="1176" w:type="pct"/>
            <w:shd w:val="clear" w:color="auto" w:fill="auto"/>
            <w:vAlign w:val="bottom"/>
          </w:tcPr>
          <w:p w14:paraId="4F09C182" w14:textId="77777777" w:rsidR="00392952" w:rsidRPr="00FD7EC8" w:rsidRDefault="00392952" w:rsidP="00037A18">
            <w:pPr>
              <w:spacing w:after="0"/>
              <w:rPr>
                <w:color w:val="314364" w:themeColor="text2"/>
                <w:sz w:val="18"/>
                <w:szCs w:val="18"/>
              </w:rPr>
            </w:pPr>
            <w:r>
              <w:rPr>
                <w:color w:val="314364" w:themeColor="text2"/>
                <w:sz w:val="18"/>
                <w:szCs w:val="18"/>
              </w:rPr>
              <w:t>SR</w:t>
            </w:r>
          </w:p>
        </w:tc>
        <w:tc>
          <w:tcPr>
            <w:tcW w:w="3824" w:type="pct"/>
            <w:shd w:val="clear" w:color="auto" w:fill="auto"/>
            <w:vAlign w:val="bottom"/>
          </w:tcPr>
          <w:p w14:paraId="445173B7" w14:textId="77777777" w:rsidR="00392952" w:rsidRPr="00FD7EC8" w:rsidRDefault="00392952" w:rsidP="00037A18">
            <w:pPr>
              <w:spacing w:after="0"/>
              <w:rPr>
                <w:sz w:val="18"/>
                <w:szCs w:val="18"/>
              </w:rPr>
            </w:pPr>
            <w:r>
              <w:rPr>
                <w:sz w:val="18"/>
                <w:szCs w:val="18"/>
              </w:rPr>
              <w:t>Slovenská republika</w:t>
            </w:r>
          </w:p>
        </w:tc>
      </w:tr>
      <w:tr w:rsidR="008A116D" w:rsidRPr="00FD7EC8" w14:paraId="54372695" w14:textId="77777777" w:rsidTr="00037A18">
        <w:trPr>
          <w:trHeight w:val="288"/>
          <w:jc w:val="center"/>
        </w:trPr>
        <w:tc>
          <w:tcPr>
            <w:tcW w:w="1176" w:type="pct"/>
            <w:shd w:val="clear" w:color="auto" w:fill="auto"/>
            <w:vAlign w:val="bottom"/>
          </w:tcPr>
          <w:p w14:paraId="4DAF4BCE" w14:textId="6087090A" w:rsidR="008A116D" w:rsidRDefault="008A116D" w:rsidP="00037A18">
            <w:pPr>
              <w:spacing w:after="0"/>
              <w:rPr>
                <w:color w:val="314364" w:themeColor="text2"/>
                <w:sz w:val="18"/>
                <w:szCs w:val="18"/>
              </w:rPr>
            </w:pPr>
            <w:r>
              <w:rPr>
                <w:color w:val="314364" w:themeColor="text2"/>
                <w:sz w:val="18"/>
                <w:szCs w:val="18"/>
              </w:rPr>
              <w:t>SVP, š. p.</w:t>
            </w:r>
          </w:p>
        </w:tc>
        <w:tc>
          <w:tcPr>
            <w:tcW w:w="3824" w:type="pct"/>
            <w:shd w:val="clear" w:color="auto" w:fill="auto"/>
            <w:vAlign w:val="bottom"/>
          </w:tcPr>
          <w:p w14:paraId="58FBF01B" w14:textId="623A6854" w:rsidR="008A116D" w:rsidRDefault="008A116D" w:rsidP="00037A18">
            <w:pPr>
              <w:spacing w:after="0"/>
              <w:rPr>
                <w:sz w:val="18"/>
                <w:szCs w:val="18"/>
              </w:rPr>
            </w:pPr>
            <w:r>
              <w:rPr>
                <w:sz w:val="18"/>
                <w:szCs w:val="18"/>
              </w:rPr>
              <w:t>Slovenský vodohospodársky podnik, štátny podnik</w:t>
            </w:r>
          </w:p>
        </w:tc>
      </w:tr>
      <w:tr w:rsidR="00392952" w:rsidRPr="00FD7EC8" w14:paraId="2029C7B2" w14:textId="77777777" w:rsidTr="00037A18">
        <w:trPr>
          <w:trHeight w:val="288"/>
          <w:jc w:val="center"/>
        </w:trPr>
        <w:tc>
          <w:tcPr>
            <w:tcW w:w="1176" w:type="pct"/>
            <w:shd w:val="clear" w:color="auto" w:fill="auto"/>
            <w:vAlign w:val="bottom"/>
          </w:tcPr>
          <w:p w14:paraId="04B9C2D2" w14:textId="77777777" w:rsidR="00392952" w:rsidRPr="00FD7EC8" w:rsidRDefault="00392952" w:rsidP="00037A18">
            <w:pPr>
              <w:spacing w:after="0"/>
              <w:rPr>
                <w:color w:val="314364" w:themeColor="text2"/>
                <w:sz w:val="18"/>
                <w:szCs w:val="18"/>
              </w:rPr>
            </w:pPr>
            <w:r>
              <w:rPr>
                <w:color w:val="314364" w:themeColor="text2"/>
                <w:sz w:val="18"/>
                <w:szCs w:val="18"/>
              </w:rPr>
              <w:t>ŠR</w:t>
            </w:r>
          </w:p>
        </w:tc>
        <w:tc>
          <w:tcPr>
            <w:tcW w:w="3824" w:type="pct"/>
            <w:shd w:val="clear" w:color="auto" w:fill="auto"/>
            <w:vAlign w:val="bottom"/>
          </w:tcPr>
          <w:p w14:paraId="6573A264" w14:textId="72B1FD50" w:rsidR="00392952" w:rsidRPr="00FD7EC8" w:rsidRDefault="00074731" w:rsidP="00037A18">
            <w:pPr>
              <w:spacing w:after="0"/>
              <w:rPr>
                <w:sz w:val="18"/>
                <w:szCs w:val="18"/>
              </w:rPr>
            </w:pPr>
            <w:r>
              <w:rPr>
                <w:sz w:val="18"/>
                <w:szCs w:val="18"/>
              </w:rPr>
              <w:t>š</w:t>
            </w:r>
            <w:r w:rsidR="00392952">
              <w:rPr>
                <w:sz w:val="18"/>
                <w:szCs w:val="18"/>
              </w:rPr>
              <w:t>tátny rozpočet</w:t>
            </w:r>
          </w:p>
        </w:tc>
      </w:tr>
      <w:tr w:rsidR="00392952" w:rsidRPr="00FD7EC8" w14:paraId="4BAAA42F" w14:textId="77777777" w:rsidTr="00037A18">
        <w:trPr>
          <w:trHeight w:val="288"/>
          <w:jc w:val="center"/>
        </w:trPr>
        <w:tc>
          <w:tcPr>
            <w:tcW w:w="1176" w:type="pct"/>
            <w:shd w:val="clear" w:color="auto" w:fill="auto"/>
            <w:vAlign w:val="bottom"/>
          </w:tcPr>
          <w:p w14:paraId="7DDECAAE" w14:textId="77777777" w:rsidR="00392952" w:rsidRPr="00FD7EC8" w:rsidRDefault="00392952" w:rsidP="00037A18">
            <w:pPr>
              <w:spacing w:after="0"/>
              <w:rPr>
                <w:color w:val="314364" w:themeColor="text2"/>
                <w:sz w:val="18"/>
                <w:szCs w:val="18"/>
              </w:rPr>
            </w:pPr>
            <w:r>
              <w:rPr>
                <w:color w:val="314364" w:themeColor="text2"/>
                <w:sz w:val="18"/>
                <w:szCs w:val="18"/>
              </w:rPr>
              <w:t>ŠÚ SR</w:t>
            </w:r>
          </w:p>
        </w:tc>
        <w:tc>
          <w:tcPr>
            <w:tcW w:w="3824" w:type="pct"/>
            <w:shd w:val="clear" w:color="auto" w:fill="auto"/>
            <w:vAlign w:val="bottom"/>
          </w:tcPr>
          <w:p w14:paraId="67127F4D" w14:textId="77777777" w:rsidR="00392952" w:rsidRPr="00FD7EC8" w:rsidRDefault="00392952" w:rsidP="00037A18">
            <w:pPr>
              <w:spacing w:after="0"/>
              <w:rPr>
                <w:sz w:val="18"/>
                <w:szCs w:val="18"/>
              </w:rPr>
            </w:pPr>
            <w:r>
              <w:rPr>
                <w:sz w:val="18"/>
                <w:szCs w:val="18"/>
              </w:rPr>
              <w:t>Štatistický úrad Slovenskej republiky</w:t>
            </w:r>
          </w:p>
        </w:tc>
      </w:tr>
      <w:tr w:rsidR="008E0CEC" w:rsidRPr="00FD7EC8" w14:paraId="58529E04" w14:textId="77777777" w:rsidTr="00037A18">
        <w:trPr>
          <w:trHeight w:val="288"/>
          <w:jc w:val="center"/>
        </w:trPr>
        <w:tc>
          <w:tcPr>
            <w:tcW w:w="1176" w:type="pct"/>
            <w:shd w:val="clear" w:color="auto" w:fill="auto"/>
            <w:vAlign w:val="bottom"/>
          </w:tcPr>
          <w:p w14:paraId="2818674A" w14:textId="39D0E4CF" w:rsidR="008E0CEC" w:rsidRDefault="008E0CEC" w:rsidP="00037A18">
            <w:pPr>
              <w:spacing w:after="0"/>
              <w:rPr>
                <w:color w:val="314364" w:themeColor="text2"/>
                <w:sz w:val="18"/>
                <w:szCs w:val="18"/>
              </w:rPr>
            </w:pPr>
            <w:r>
              <w:rPr>
                <w:color w:val="314364" w:themeColor="text2"/>
                <w:sz w:val="18"/>
                <w:szCs w:val="18"/>
              </w:rPr>
              <w:t>ÚDZS</w:t>
            </w:r>
          </w:p>
        </w:tc>
        <w:tc>
          <w:tcPr>
            <w:tcW w:w="3824" w:type="pct"/>
            <w:shd w:val="clear" w:color="auto" w:fill="auto"/>
            <w:vAlign w:val="bottom"/>
          </w:tcPr>
          <w:p w14:paraId="4B3F5953" w14:textId="500C67FA" w:rsidR="008E0CEC" w:rsidRDefault="008E0CEC" w:rsidP="00037A18">
            <w:pPr>
              <w:spacing w:after="0"/>
              <w:rPr>
                <w:sz w:val="18"/>
                <w:szCs w:val="18"/>
              </w:rPr>
            </w:pPr>
            <w:r>
              <w:rPr>
                <w:sz w:val="18"/>
                <w:szCs w:val="18"/>
              </w:rPr>
              <w:t>Úrad pre dohľad nad zdravotnou starostlivosťou</w:t>
            </w:r>
          </w:p>
        </w:tc>
      </w:tr>
      <w:tr w:rsidR="00392952" w:rsidRPr="00FD7EC8" w14:paraId="741F2D38" w14:textId="77777777" w:rsidTr="00037A18">
        <w:trPr>
          <w:trHeight w:val="288"/>
          <w:jc w:val="center"/>
        </w:trPr>
        <w:tc>
          <w:tcPr>
            <w:tcW w:w="1176" w:type="pct"/>
            <w:shd w:val="clear" w:color="auto" w:fill="auto"/>
            <w:vAlign w:val="bottom"/>
          </w:tcPr>
          <w:p w14:paraId="6C697889" w14:textId="77777777" w:rsidR="00392952" w:rsidRPr="00FD7EC8" w:rsidRDefault="00392952" w:rsidP="00037A18">
            <w:pPr>
              <w:spacing w:after="0"/>
              <w:rPr>
                <w:color w:val="314364" w:themeColor="text2"/>
                <w:sz w:val="18"/>
                <w:szCs w:val="18"/>
              </w:rPr>
            </w:pPr>
            <w:proofErr w:type="spellStart"/>
            <w:r>
              <w:rPr>
                <w:color w:val="314364" w:themeColor="text2"/>
                <w:sz w:val="18"/>
                <w:szCs w:val="18"/>
              </w:rPr>
              <w:t>VpDP</w:t>
            </w:r>
            <w:proofErr w:type="spellEnd"/>
          </w:p>
        </w:tc>
        <w:tc>
          <w:tcPr>
            <w:tcW w:w="3824" w:type="pct"/>
            <w:shd w:val="clear" w:color="auto" w:fill="auto"/>
            <w:vAlign w:val="bottom"/>
          </w:tcPr>
          <w:p w14:paraId="25421B54" w14:textId="77777777" w:rsidR="00392952" w:rsidRPr="00FD7EC8" w:rsidRDefault="00392952" w:rsidP="00037A18">
            <w:pPr>
              <w:spacing w:after="0"/>
              <w:rPr>
                <w:sz w:val="18"/>
                <w:szCs w:val="18"/>
              </w:rPr>
            </w:pPr>
            <w:r>
              <w:rPr>
                <w:sz w:val="18"/>
                <w:szCs w:val="18"/>
              </w:rPr>
              <w:t>Výbor pre daňové prognózy</w:t>
            </w:r>
          </w:p>
        </w:tc>
      </w:tr>
      <w:tr w:rsidR="00392952" w:rsidRPr="00FD7EC8" w14:paraId="6225BF62" w14:textId="77777777" w:rsidTr="00037A18">
        <w:trPr>
          <w:trHeight w:val="288"/>
          <w:jc w:val="center"/>
        </w:trPr>
        <w:tc>
          <w:tcPr>
            <w:tcW w:w="1176" w:type="pct"/>
            <w:shd w:val="clear" w:color="auto" w:fill="auto"/>
            <w:vAlign w:val="bottom"/>
          </w:tcPr>
          <w:p w14:paraId="6B16B706" w14:textId="77777777" w:rsidR="00392952" w:rsidRPr="00FD7EC8" w:rsidRDefault="00392952" w:rsidP="00037A18">
            <w:pPr>
              <w:spacing w:after="0"/>
              <w:rPr>
                <w:color w:val="314364" w:themeColor="text2"/>
                <w:sz w:val="18"/>
                <w:szCs w:val="18"/>
              </w:rPr>
            </w:pPr>
            <w:r>
              <w:rPr>
                <w:color w:val="314364" w:themeColor="text2"/>
                <w:sz w:val="18"/>
                <w:szCs w:val="18"/>
              </w:rPr>
              <w:t>VPS</w:t>
            </w:r>
          </w:p>
        </w:tc>
        <w:tc>
          <w:tcPr>
            <w:tcW w:w="3824" w:type="pct"/>
            <w:shd w:val="clear" w:color="auto" w:fill="auto"/>
            <w:vAlign w:val="bottom"/>
          </w:tcPr>
          <w:p w14:paraId="617860C8" w14:textId="77777777" w:rsidR="00392952" w:rsidRPr="00FD7EC8" w:rsidRDefault="00392952" w:rsidP="00037A18">
            <w:pPr>
              <w:spacing w:after="0"/>
              <w:rPr>
                <w:sz w:val="18"/>
                <w:szCs w:val="18"/>
              </w:rPr>
            </w:pPr>
            <w:r>
              <w:rPr>
                <w:sz w:val="18"/>
                <w:szCs w:val="18"/>
              </w:rPr>
              <w:t>Všeobecná pokladničná správa</w:t>
            </w:r>
          </w:p>
        </w:tc>
      </w:tr>
      <w:tr w:rsidR="00392952" w:rsidRPr="00FD7EC8" w14:paraId="7E4FD2F4" w14:textId="77777777" w:rsidTr="00037A18">
        <w:trPr>
          <w:trHeight w:val="288"/>
          <w:jc w:val="center"/>
        </w:trPr>
        <w:tc>
          <w:tcPr>
            <w:tcW w:w="1176" w:type="pct"/>
            <w:shd w:val="clear" w:color="auto" w:fill="auto"/>
            <w:vAlign w:val="bottom"/>
          </w:tcPr>
          <w:p w14:paraId="5D2BED90" w14:textId="77777777" w:rsidR="00392952" w:rsidRPr="00FD7EC8" w:rsidRDefault="00392952" w:rsidP="00037A18">
            <w:pPr>
              <w:spacing w:after="0"/>
              <w:rPr>
                <w:color w:val="314364" w:themeColor="text2"/>
                <w:sz w:val="18"/>
                <w:szCs w:val="18"/>
              </w:rPr>
            </w:pPr>
            <w:r>
              <w:rPr>
                <w:color w:val="314364" w:themeColor="text2"/>
                <w:sz w:val="18"/>
                <w:szCs w:val="18"/>
              </w:rPr>
              <w:t>VS</w:t>
            </w:r>
          </w:p>
        </w:tc>
        <w:tc>
          <w:tcPr>
            <w:tcW w:w="3824" w:type="pct"/>
            <w:shd w:val="clear" w:color="auto" w:fill="auto"/>
            <w:vAlign w:val="bottom"/>
          </w:tcPr>
          <w:p w14:paraId="79459AC8" w14:textId="2E3CEB18" w:rsidR="00392952" w:rsidRPr="00FD7EC8" w:rsidRDefault="00074731" w:rsidP="00037A18">
            <w:pPr>
              <w:spacing w:after="0"/>
              <w:rPr>
                <w:sz w:val="18"/>
                <w:szCs w:val="18"/>
              </w:rPr>
            </w:pPr>
            <w:r>
              <w:rPr>
                <w:sz w:val="18"/>
                <w:szCs w:val="18"/>
              </w:rPr>
              <w:t>v</w:t>
            </w:r>
            <w:r w:rsidR="00392952">
              <w:rPr>
                <w:sz w:val="18"/>
                <w:szCs w:val="18"/>
              </w:rPr>
              <w:t>erejná správa</w:t>
            </w:r>
          </w:p>
        </w:tc>
      </w:tr>
      <w:tr w:rsidR="00392952" w:rsidRPr="00FD7EC8" w14:paraId="0477A117" w14:textId="77777777" w:rsidTr="00037A18">
        <w:trPr>
          <w:trHeight w:val="288"/>
          <w:jc w:val="center"/>
        </w:trPr>
        <w:tc>
          <w:tcPr>
            <w:tcW w:w="1176" w:type="pct"/>
            <w:shd w:val="clear" w:color="auto" w:fill="auto"/>
            <w:vAlign w:val="bottom"/>
          </w:tcPr>
          <w:p w14:paraId="575CD4D9" w14:textId="77777777" w:rsidR="00392952" w:rsidRPr="00FD7EC8" w:rsidRDefault="00392952" w:rsidP="00037A18">
            <w:pPr>
              <w:spacing w:after="0"/>
              <w:rPr>
                <w:color w:val="314364" w:themeColor="text2"/>
                <w:sz w:val="18"/>
                <w:szCs w:val="18"/>
              </w:rPr>
            </w:pPr>
            <w:r>
              <w:rPr>
                <w:color w:val="314364" w:themeColor="text2"/>
                <w:sz w:val="18"/>
                <w:szCs w:val="18"/>
              </w:rPr>
              <w:t>VÚC</w:t>
            </w:r>
          </w:p>
        </w:tc>
        <w:tc>
          <w:tcPr>
            <w:tcW w:w="3824" w:type="pct"/>
            <w:shd w:val="clear" w:color="auto" w:fill="auto"/>
            <w:vAlign w:val="bottom"/>
          </w:tcPr>
          <w:p w14:paraId="1F5E6C90" w14:textId="19EEBAAF" w:rsidR="00392952" w:rsidRPr="00FD7EC8" w:rsidRDefault="00074731" w:rsidP="00037A18">
            <w:pPr>
              <w:spacing w:after="0"/>
              <w:rPr>
                <w:sz w:val="18"/>
                <w:szCs w:val="18"/>
              </w:rPr>
            </w:pPr>
            <w:r>
              <w:rPr>
                <w:sz w:val="18"/>
                <w:szCs w:val="18"/>
              </w:rPr>
              <w:t>v</w:t>
            </w:r>
            <w:r w:rsidR="00392952">
              <w:rPr>
                <w:sz w:val="18"/>
                <w:szCs w:val="18"/>
              </w:rPr>
              <w:t>yšší územný celok</w:t>
            </w:r>
          </w:p>
        </w:tc>
      </w:tr>
      <w:tr w:rsidR="00392952" w:rsidRPr="00FD7EC8" w14:paraId="6C851DD3" w14:textId="77777777" w:rsidTr="00037A18">
        <w:trPr>
          <w:trHeight w:val="288"/>
          <w:jc w:val="center"/>
        </w:trPr>
        <w:tc>
          <w:tcPr>
            <w:tcW w:w="1176" w:type="pct"/>
            <w:shd w:val="clear" w:color="auto" w:fill="auto"/>
            <w:vAlign w:val="bottom"/>
          </w:tcPr>
          <w:p w14:paraId="7C6B9B7C" w14:textId="77777777" w:rsidR="00392952" w:rsidRPr="00FD7EC8" w:rsidRDefault="00392952" w:rsidP="00037A18">
            <w:pPr>
              <w:spacing w:after="0"/>
              <w:rPr>
                <w:color w:val="314364" w:themeColor="text2"/>
                <w:sz w:val="18"/>
                <w:szCs w:val="18"/>
              </w:rPr>
            </w:pPr>
            <w:r>
              <w:rPr>
                <w:color w:val="314364" w:themeColor="text2"/>
                <w:sz w:val="18"/>
                <w:szCs w:val="18"/>
              </w:rPr>
              <w:t>VZP</w:t>
            </w:r>
          </w:p>
        </w:tc>
        <w:tc>
          <w:tcPr>
            <w:tcW w:w="3824" w:type="pct"/>
            <w:shd w:val="clear" w:color="auto" w:fill="auto"/>
            <w:vAlign w:val="bottom"/>
          </w:tcPr>
          <w:p w14:paraId="4738E3B9" w14:textId="435EFE57" w:rsidR="00392952" w:rsidRPr="00FD7EC8" w:rsidRDefault="00074731" w:rsidP="00037A18">
            <w:pPr>
              <w:spacing w:after="0"/>
              <w:rPr>
                <w:sz w:val="18"/>
                <w:szCs w:val="18"/>
              </w:rPr>
            </w:pPr>
            <w:r>
              <w:rPr>
                <w:sz w:val="18"/>
                <w:szCs w:val="18"/>
              </w:rPr>
              <w:t>v</w:t>
            </w:r>
            <w:r w:rsidR="00392952">
              <w:rPr>
                <w:sz w:val="18"/>
                <w:szCs w:val="18"/>
              </w:rPr>
              <w:t>erejné zdravotné poistenie</w:t>
            </w:r>
          </w:p>
        </w:tc>
      </w:tr>
      <w:tr w:rsidR="00392952" w:rsidRPr="00FD7EC8" w14:paraId="233C431C" w14:textId="77777777" w:rsidTr="00037A18">
        <w:trPr>
          <w:trHeight w:val="288"/>
          <w:jc w:val="center"/>
        </w:trPr>
        <w:tc>
          <w:tcPr>
            <w:tcW w:w="1176" w:type="pct"/>
            <w:shd w:val="clear" w:color="auto" w:fill="auto"/>
            <w:vAlign w:val="bottom"/>
          </w:tcPr>
          <w:p w14:paraId="49D61DE4" w14:textId="77777777" w:rsidR="00392952" w:rsidRPr="00FD7EC8" w:rsidRDefault="00392952" w:rsidP="00037A18">
            <w:pPr>
              <w:spacing w:after="0"/>
              <w:rPr>
                <w:color w:val="314364" w:themeColor="text2"/>
                <w:sz w:val="18"/>
                <w:szCs w:val="18"/>
              </w:rPr>
            </w:pPr>
            <w:r>
              <w:rPr>
                <w:color w:val="314364" w:themeColor="text2"/>
                <w:sz w:val="18"/>
                <w:szCs w:val="18"/>
              </w:rPr>
              <w:t>ZMOS</w:t>
            </w:r>
          </w:p>
        </w:tc>
        <w:tc>
          <w:tcPr>
            <w:tcW w:w="3824" w:type="pct"/>
            <w:shd w:val="clear" w:color="auto" w:fill="auto"/>
            <w:vAlign w:val="bottom"/>
          </w:tcPr>
          <w:p w14:paraId="36457F95" w14:textId="77777777" w:rsidR="00392952" w:rsidRPr="00FD7EC8" w:rsidRDefault="00392952" w:rsidP="00037A18">
            <w:pPr>
              <w:spacing w:after="0"/>
              <w:rPr>
                <w:sz w:val="18"/>
                <w:szCs w:val="18"/>
              </w:rPr>
            </w:pPr>
            <w:r>
              <w:rPr>
                <w:sz w:val="18"/>
                <w:szCs w:val="18"/>
              </w:rPr>
              <w:t>Združenie miest a obcí Slovenska</w:t>
            </w:r>
          </w:p>
        </w:tc>
      </w:tr>
      <w:tr w:rsidR="008E0CEC" w:rsidRPr="00FD7EC8" w14:paraId="0D87A143" w14:textId="77777777" w:rsidTr="00037A18">
        <w:trPr>
          <w:trHeight w:val="288"/>
          <w:jc w:val="center"/>
        </w:trPr>
        <w:tc>
          <w:tcPr>
            <w:tcW w:w="1176" w:type="pct"/>
            <w:shd w:val="clear" w:color="auto" w:fill="auto"/>
            <w:vAlign w:val="bottom"/>
          </w:tcPr>
          <w:p w14:paraId="7C9D409C" w14:textId="2567F8FA" w:rsidR="008E0CEC" w:rsidRDefault="008E0CEC" w:rsidP="00037A18">
            <w:pPr>
              <w:spacing w:after="0"/>
              <w:rPr>
                <w:color w:val="314364" w:themeColor="text2"/>
                <w:sz w:val="18"/>
                <w:szCs w:val="18"/>
              </w:rPr>
            </w:pPr>
            <w:r>
              <w:rPr>
                <w:color w:val="314364" w:themeColor="text2"/>
                <w:sz w:val="18"/>
                <w:szCs w:val="18"/>
              </w:rPr>
              <w:t>ZS</w:t>
            </w:r>
          </w:p>
        </w:tc>
        <w:tc>
          <w:tcPr>
            <w:tcW w:w="3824" w:type="pct"/>
            <w:shd w:val="clear" w:color="auto" w:fill="auto"/>
            <w:vAlign w:val="bottom"/>
          </w:tcPr>
          <w:p w14:paraId="37C4A200" w14:textId="624AFF54" w:rsidR="008E0CEC" w:rsidRDefault="008E0CEC" w:rsidP="00037A18">
            <w:pPr>
              <w:spacing w:after="0"/>
              <w:rPr>
                <w:sz w:val="18"/>
                <w:szCs w:val="18"/>
              </w:rPr>
            </w:pPr>
            <w:r>
              <w:rPr>
                <w:sz w:val="18"/>
                <w:szCs w:val="18"/>
              </w:rPr>
              <w:t>zdravotná starostlivosť</w:t>
            </w:r>
          </w:p>
        </w:tc>
      </w:tr>
      <w:tr w:rsidR="00392952" w:rsidRPr="00FD7EC8" w14:paraId="1FDE9AEF" w14:textId="77777777" w:rsidTr="00037A18">
        <w:trPr>
          <w:trHeight w:val="288"/>
          <w:jc w:val="center"/>
        </w:trPr>
        <w:tc>
          <w:tcPr>
            <w:tcW w:w="1176" w:type="pct"/>
            <w:shd w:val="clear" w:color="auto" w:fill="auto"/>
            <w:vAlign w:val="bottom"/>
          </w:tcPr>
          <w:p w14:paraId="59E743B1" w14:textId="77777777" w:rsidR="00392952" w:rsidRPr="00FD7EC8" w:rsidRDefault="00392952" w:rsidP="00037A18">
            <w:pPr>
              <w:spacing w:after="0"/>
              <w:rPr>
                <w:color w:val="314364" w:themeColor="text2"/>
                <w:sz w:val="18"/>
                <w:szCs w:val="18"/>
              </w:rPr>
            </w:pPr>
            <w:r>
              <w:rPr>
                <w:color w:val="314364" w:themeColor="text2"/>
                <w:sz w:val="18"/>
                <w:szCs w:val="18"/>
              </w:rPr>
              <w:t>ZVJS</w:t>
            </w:r>
          </w:p>
        </w:tc>
        <w:tc>
          <w:tcPr>
            <w:tcW w:w="3824" w:type="pct"/>
            <w:shd w:val="clear" w:color="auto" w:fill="auto"/>
            <w:vAlign w:val="bottom"/>
          </w:tcPr>
          <w:p w14:paraId="181CB1D3" w14:textId="77777777" w:rsidR="00392952" w:rsidRPr="00FD7EC8" w:rsidRDefault="00392952" w:rsidP="00037A18">
            <w:pPr>
              <w:spacing w:after="0"/>
              <w:rPr>
                <w:sz w:val="18"/>
                <w:szCs w:val="18"/>
              </w:rPr>
            </w:pPr>
            <w:r>
              <w:rPr>
                <w:sz w:val="18"/>
                <w:szCs w:val="18"/>
              </w:rPr>
              <w:t>Zbor väzenskej a justičnej stráže</w:t>
            </w:r>
          </w:p>
        </w:tc>
      </w:tr>
      <w:tr w:rsidR="00392952" w:rsidRPr="00FD7EC8" w14:paraId="5D5993E3" w14:textId="77777777" w:rsidTr="00037A18">
        <w:trPr>
          <w:trHeight w:val="288"/>
          <w:jc w:val="center"/>
        </w:trPr>
        <w:tc>
          <w:tcPr>
            <w:tcW w:w="1176" w:type="pct"/>
            <w:shd w:val="clear" w:color="auto" w:fill="auto"/>
            <w:vAlign w:val="bottom"/>
          </w:tcPr>
          <w:p w14:paraId="39EA8DE7" w14:textId="77777777" w:rsidR="00392952" w:rsidRDefault="00392952" w:rsidP="00037A18">
            <w:pPr>
              <w:spacing w:after="0"/>
              <w:rPr>
                <w:color w:val="314364" w:themeColor="text2"/>
                <w:sz w:val="18"/>
                <w:szCs w:val="18"/>
              </w:rPr>
            </w:pPr>
          </w:p>
        </w:tc>
        <w:tc>
          <w:tcPr>
            <w:tcW w:w="3824" w:type="pct"/>
            <w:shd w:val="clear" w:color="auto" w:fill="auto"/>
            <w:vAlign w:val="bottom"/>
          </w:tcPr>
          <w:p w14:paraId="7652B0E7" w14:textId="77777777" w:rsidR="00392952" w:rsidRPr="00FD7EC8" w:rsidRDefault="00392952" w:rsidP="00037A18">
            <w:pPr>
              <w:spacing w:after="0"/>
              <w:rPr>
                <w:sz w:val="18"/>
                <w:szCs w:val="18"/>
              </w:rPr>
            </w:pPr>
          </w:p>
        </w:tc>
      </w:tr>
    </w:tbl>
    <w:p w14:paraId="03AADF1D" w14:textId="57A17268" w:rsidR="001609D9" w:rsidRDefault="001609D9" w:rsidP="00277C8B">
      <w:pPr>
        <w:pStyle w:val="vodZverZhrnutie"/>
      </w:pPr>
      <w:bookmarkStart w:id="1" w:name="_Toc86396371"/>
      <w:bookmarkStart w:id="2" w:name="_Toc87345104"/>
      <w:r>
        <w:lastRenderedPageBreak/>
        <w:t>Zhrnutie</w:t>
      </w:r>
      <w:bookmarkEnd w:id="1"/>
      <w:bookmarkEnd w:id="2"/>
    </w:p>
    <w:p w14:paraId="0CFB5FF0" w14:textId="0E813502" w:rsidR="00F50F0D" w:rsidRPr="000A451D" w:rsidRDefault="00E20209" w:rsidP="00F50F0D">
      <w:pPr>
        <w:pStyle w:val="Textpoznmkypodiarou"/>
        <w:spacing w:after="120" w:line="276" w:lineRule="auto"/>
        <w:rPr>
          <w:sz w:val="20"/>
        </w:rPr>
      </w:pPr>
      <w:r w:rsidRPr="00E20209">
        <w:rPr>
          <w:sz w:val="20"/>
        </w:rPr>
        <w:t>Príprava návrhu ŠR prebiehala v podmienkach pokračujúcej pandémie ochorenia COVID-19 a neisto</w:t>
      </w:r>
      <w:r w:rsidR="000A451D">
        <w:rPr>
          <w:sz w:val="20"/>
        </w:rPr>
        <w:t>ty ohľadne jej budúceho vývoja.</w:t>
      </w:r>
      <w:r w:rsidR="00162997">
        <w:rPr>
          <w:sz w:val="20"/>
        </w:rPr>
        <w:t xml:space="preserve"> </w:t>
      </w:r>
      <w:r w:rsidR="000A451D" w:rsidRPr="000A451D">
        <w:rPr>
          <w:sz w:val="20"/>
        </w:rPr>
        <w:t xml:space="preserve">Rast HDP </w:t>
      </w:r>
      <w:r w:rsidR="009757BD">
        <w:rPr>
          <w:sz w:val="20"/>
        </w:rPr>
        <w:t xml:space="preserve">v budúcom roku </w:t>
      </w:r>
      <w:r w:rsidR="000A451D" w:rsidRPr="000A451D">
        <w:rPr>
          <w:sz w:val="20"/>
        </w:rPr>
        <w:t>bude podporený aj vďaka čerpaniu fondov EÚ a čerpaniu prostriedkov z Plánu obnovy a</w:t>
      </w:r>
      <w:r w:rsidR="009757BD">
        <w:rPr>
          <w:sz w:val="20"/>
        </w:rPr>
        <w:t> </w:t>
      </w:r>
      <w:r w:rsidR="000A451D" w:rsidRPr="000A451D">
        <w:rPr>
          <w:sz w:val="20"/>
        </w:rPr>
        <w:t>odolnosti</w:t>
      </w:r>
      <w:r w:rsidR="009757BD">
        <w:rPr>
          <w:sz w:val="20"/>
        </w:rPr>
        <w:t>, na</w:t>
      </w:r>
      <w:r w:rsidR="000A451D" w:rsidRPr="000A451D">
        <w:rPr>
          <w:sz w:val="20"/>
        </w:rPr>
        <w:t xml:space="preserve"> zníženie rastu ekonomiky bude mať </w:t>
      </w:r>
      <w:r w:rsidR="009757BD">
        <w:rPr>
          <w:sz w:val="20"/>
        </w:rPr>
        <w:t xml:space="preserve">však </w:t>
      </w:r>
      <w:r w:rsidR="000A451D" w:rsidRPr="000A451D">
        <w:rPr>
          <w:sz w:val="20"/>
        </w:rPr>
        <w:t xml:space="preserve">vplyv </w:t>
      </w:r>
      <w:r w:rsidR="009757BD">
        <w:rPr>
          <w:sz w:val="20"/>
        </w:rPr>
        <w:t xml:space="preserve">aj </w:t>
      </w:r>
      <w:r w:rsidR="000A451D" w:rsidRPr="000A451D">
        <w:rPr>
          <w:sz w:val="20"/>
        </w:rPr>
        <w:t>zrýchľovanie inflácie</w:t>
      </w:r>
      <w:r w:rsidR="009757BD">
        <w:rPr>
          <w:sz w:val="20"/>
        </w:rPr>
        <w:t>.</w:t>
      </w:r>
      <w:r w:rsidR="00F50F0D" w:rsidRPr="00F50F0D">
        <w:rPr>
          <w:sz w:val="20"/>
        </w:rPr>
        <w:t xml:space="preserve"> </w:t>
      </w:r>
      <w:r w:rsidR="000634F6">
        <w:rPr>
          <w:sz w:val="20"/>
        </w:rPr>
        <w:t>Aj keď p</w:t>
      </w:r>
      <w:r w:rsidR="00F50F0D" w:rsidRPr="000A451D">
        <w:rPr>
          <w:sz w:val="20"/>
        </w:rPr>
        <w:t xml:space="preserve">odľa PVV </w:t>
      </w:r>
      <w:r w:rsidR="000634F6">
        <w:rPr>
          <w:sz w:val="20"/>
        </w:rPr>
        <w:t xml:space="preserve">chce </w:t>
      </w:r>
      <w:r w:rsidR="00F50F0D" w:rsidRPr="000A451D">
        <w:rPr>
          <w:sz w:val="20"/>
        </w:rPr>
        <w:t>vláda zvýšiť ekonomický rast aj pomocou daňovo-odvodovej reform</w:t>
      </w:r>
      <w:r w:rsidR="000634F6">
        <w:rPr>
          <w:sz w:val="20"/>
        </w:rPr>
        <w:t xml:space="preserve">y, v návrhu rozpočtu na rok 2022 </w:t>
      </w:r>
      <w:r w:rsidR="00A817A6">
        <w:rPr>
          <w:sz w:val="20"/>
        </w:rPr>
        <w:t xml:space="preserve">nie je </w:t>
      </w:r>
      <w:r w:rsidR="000634F6">
        <w:rPr>
          <w:sz w:val="20"/>
        </w:rPr>
        <w:t>premietnutá</w:t>
      </w:r>
      <w:r w:rsidR="00F50F0D" w:rsidRPr="000A451D">
        <w:rPr>
          <w:sz w:val="20"/>
        </w:rPr>
        <w:t xml:space="preserve">. </w:t>
      </w:r>
    </w:p>
    <w:p w14:paraId="58C1D2CD" w14:textId="71DAA160" w:rsidR="009757BD" w:rsidRPr="000A451D" w:rsidRDefault="009757BD" w:rsidP="009757BD">
      <w:pPr>
        <w:pStyle w:val="Textpoznmkypodiarou"/>
        <w:spacing w:after="120" w:line="276" w:lineRule="auto"/>
        <w:rPr>
          <w:sz w:val="20"/>
        </w:rPr>
      </w:pPr>
      <w:r w:rsidRPr="000A451D">
        <w:rPr>
          <w:sz w:val="20"/>
        </w:rPr>
        <w:t xml:space="preserve">Rozpočet VS predpokladá v roku 2022 </w:t>
      </w:r>
      <w:r w:rsidRPr="00EE1C17">
        <w:rPr>
          <w:b/>
          <w:sz w:val="20"/>
        </w:rPr>
        <w:t>deficit VS na úrovni 4,9 %</w:t>
      </w:r>
      <w:r w:rsidRPr="000A451D">
        <w:rPr>
          <w:sz w:val="20"/>
        </w:rPr>
        <w:t>, čo predstavuje viac ako 5 213,5 mil. eur. Od roku 2022 sa začnú uplatňovať pravidlá Paktu stability a rastu, čo znamená, že na základe nominálneho deficitu nad 3 % vstúpi S</w:t>
      </w:r>
      <w:r w:rsidR="000634F6">
        <w:rPr>
          <w:sz w:val="20"/>
        </w:rPr>
        <w:t>R</w:t>
      </w:r>
      <w:r w:rsidRPr="000A451D">
        <w:rPr>
          <w:sz w:val="20"/>
        </w:rPr>
        <w:t xml:space="preserve"> do procedúry nadmerného deficitu. Podľa aktuálne platnej legislatívy sa vyžaduje už v roku 2024 dosiahnutie vyrovnaného rozpočtu</w:t>
      </w:r>
      <w:r w:rsidR="00A817A6">
        <w:rPr>
          <w:sz w:val="20"/>
        </w:rPr>
        <w:t>.</w:t>
      </w:r>
      <w:r w:rsidRPr="000A451D">
        <w:rPr>
          <w:sz w:val="20"/>
        </w:rPr>
        <w:t xml:space="preserve"> </w:t>
      </w:r>
      <w:r w:rsidR="00A817A6">
        <w:rPr>
          <w:sz w:val="20"/>
        </w:rPr>
        <w:t>P</w:t>
      </w:r>
      <w:r w:rsidRPr="000A451D">
        <w:rPr>
          <w:sz w:val="20"/>
        </w:rPr>
        <w:t xml:space="preserve">ri momentálnej situácii existuje vysoké riziko </w:t>
      </w:r>
      <w:r w:rsidR="00AA01EB">
        <w:rPr>
          <w:sz w:val="20"/>
        </w:rPr>
        <w:t xml:space="preserve">pre </w:t>
      </w:r>
      <w:r w:rsidRPr="000A451D">
        <w:rPr>
          <w:sz w:val="20"/>
        </w:rPr>
        <w:t>nesplnenie tohto cieľa.</w:t>
      </w:r>
      <w:r w:rsidR="000634F6">
        <w:rPr>
          <w:sz w:val="20"/>
        </w:rPr>
        <w:t xml:space="preserve"> D</w:t>
      </w:r>
      <w:r w:rsidRPr="000A451D">
        <w:rPr>
          <w:sz w:val="20"/>
        </w:rPr>
        <w:t xml:space="preserve">lh VS </w:t>
      </w:r>
      <w:r w:rsidR="000634F6">
        <w:rPr>
          <w:sz w:val="20"/>
        </w:rPr>
        <w:t xml:space="preserve">by mal v roku 2022 </w:t>
      </w:r>
      <w:r w:rsidRPr="000A451D">
        <w:rPr>
          <w:sz w:val="20"/>
        </w:rPr>
        <w:t xml:space="preserve">zotrvať na úrovni </w:t>
      </w:r>
      <w:r w:rsidRPr="00EE1C17">
        <w:rPr>
          <w:b/>
          <w:sz w:val="20"/>
        </w:rPr>
        <w:t>61,5 % HDP</w:t>
      </w:r>
      <w:r w:rsidRPr="000A451D">
        <w:rPr>
          <w:sz w:val="20"/>
        </w:rPr>
        <w:t xml:space="preserve">, čo je o 13,4 % HDP viac oproti predkrízovému roku 2019. </w:t>
      </w:r>
      <w:r w:rsidR="004C4E08" w:rsidRPr="004C4E08">
        <w:rPr>
          <w:b/>
          <w:sz w:val="20"/>
        </w:rPr>
        <w:t>NR SR</w:t>
      </w:r>
      <w:r w:rsidRPr="00EE1C17">
        <w:rPr>
          <w:b/>
          <w:sz w:val="20"/>
        </w:rPr>
        <w:t xml:space="preserve"> však zatiaľ neschválila sprísnenie ústavného zákona o rozpočtovej zodpovednosti, ktorý obsahuje upravené sankcie a viacročné výdavkové stropy.</w:t>
      </w:r>
      <w:r w:rsidRPr="000A451D">
        <w:rPr>
          <w:sz w:val="20"/>
        </w:rPr>
        <w:t xml:space="preserve"> Vláda tiež zatiaľ nepredstavila opatrenia na zníženie </w:t>
      </w:r>
      <w:r w:rsidR="000634F6">
        <w:rPr>
          <w:sz w:val="20"/>
        </w:rPr>
        <w:t xml:space="preserve">dlhu </w:t>
      </w:r>
      <w:r w:rsidRPr="000A451D">
        <w:rPr>
          <w:sz w:val="20"/>
        </w:rPr>
        <w:t>a odložila konsolidačnú stratégiu až od roku 2023.</w:t>
      </w:r>
    </w:p>
    <w:p w14:paraId="2E2A4430" w14:textId="28AD17B7" w:rsidR="00AA01EB" w:rsidRPr="000A451D" w:rsidRDefault="00AA01EB" w:rsidP="00AA01EB">
      <w:pPr>
        <w:pStyle w:val="Textpoznmkypodiarou"/>
        <w:spacing w:after="120" w:line="276" w:lineRule="auto"/>
        <w:rPr>
          <w:sz w:val="20"/>
        </w:rPr>
      </w:pPr>
      <w:r w:rsidRPr="000A451D">
        <w:rPr>
          <w:sz w:val="20"/>
        </w:rPr>
        <w:t xml:space="preserve">V </w:t>
      </w:r>
      <w:r w:rsidRPr="00AA01EB">
        <w:rPr>
          <w:b/>
          <w:sz w:val="20"/>
        </w:rPr>
        <w:t>rozpočtových vzťahoch s</w:t>
      </w:r>
      <w:r w:rsidRPr="0095388D">
        <w:rPr>
          <w:b/>
          <w:sz w:val="20"/>
        </w:rPr>
        <w:t xml:space="preserve"> EÚ</w:t>
      </w:r>
      <w:r w:rsidRPr="000A451D">
        <w:rPr>
          <w:sz w:val="20"/>
        </w:rPr>
        <w:t xml:space="preserve"> sa S</w:t>
      </w:r>
      <w:r>
        <w:rPr>
          <w:sz w:val="20"/>
        </w:rPr>
        <w:t>R</w:t>
      </w:r>
      <w:r w:rsidRPr="000A451D">
        <w:rPr>
          <w:sz w:val="20"/>
        </w:rPr>
        <w:t xml:space="preserve"> nachádza </w:t>
      </w:r>
      <w:r w:rsidR="00F77423">
        <w:rPr>
          <w:sz w:val="20"/>
        </w:rPr>
        <w:t xml:space="preserve">SR </w:t>
      </w:r>
      <w:r w:rsidRPr="000A451D">
        <w:rPr>
          <w:sz w:val="20"/>
        </w:rPr>
        <w:t xml:space="preserve">v období, kedy má k dispozícii ešte 7,9 mld. eur z </w:t>
      </w:r>
      <w:r w:rsidRPr="00EE1C17">
        <w:rPr>
          <w:b/>
          <w:sz w:val="20"/>
        </w:rPr>
        <w:t>PO 2014 – 2020</w:t>
      </w:r>
      <w:r w:rsidR="00F77423">
        <w:rPr>
          <w:sz w:val="20"/>
        </w:rPr>
        <w:t>,</w:t>
      </w:r>
      <w:r w:rsidRPr="000A451D">
        <w:rPr>
          <w:sz w:val="20"/>
        </w:rPr>
        <w:t xml:space="preserve"> a zároveň bude môcť do roku 2026 čerpať prostriedky z </w:t>
      </w:r>
      <w:r w:rsidRPr="00EE1C17">
        <w:rPr>
          <w:b/>
          <w:sz w:val="20"/>
        </w:rPr>
        <w:t>Plánu obnovy a odolnosti</w:t>
      </w:r>
      <w:r w:rsidRPr="000A451D">
        <w:rPr>
          <w:sz w:val="20"/>
        </w:rPr>
        <w:t>. V</w:t>
      </w:r>
      <w:r>
        <w:rPr>
          <w:sz w:val="20"/>
        </w:rPr>
        <w:t xml:space="preserve"> novom </w:t>
      </w:r>
      <w:r w:rsidRPr="00EE1C17">
        <w:rPr>
          <w:b/>
          <w:sz w:val="20"/>
        </w:rPr>
        <w:t>PO 2021 – 2027</w:t>
      </w:r>
      <w:r w:rsidRPr="000A451D">
        <w:rPr>
          <w:sz w:val="20"/>
        </w:rPr>
        <w:t xml:space="preserve"> </w:t>
      </w:r>
      <w:r>
        <w:rPr>
          <w:sz w:val="20"/>
        </w:rPr>
        <w:t xml:space="preserve">bude mať SR možnosť čerpať financie </w:t>
      </w:r>
      <w:r w:rsidRPr="000A451D">
        <w:rPr>
          <w:sz w:val="20"/>
        </w:rPr>
        <w:t>v objeme 12,8 mld. eur. V</w:t>
      </w:r>
      <w:r w:rsidR="00A817A6">
        <w:rPr>
          <w:sz w:val="20"/>
        </w:rPr>
        <w:t> aktuálnom, treťom</w:t>
      </w:r>
      <w:r w:rsidRPr="000A451D">
        <w:rPr>
          <w:sz w:val="20"/>
        </w:rPr>
        <w:t xml:space="preserve"> PO 2014 – 2020 sa čerpanie EŠIF (bez PRV) dostalo k 30. 9. 2021 na 45 %, čím sa SR dostala na posledné miesto v rámci EÚ27. Prostriedky z tohto PO možno čerpať už iba do konca roku 2023</w:t>
      </w:r>
      <w:r>
        <w:rPr>
          <w:sz w:val="20"/>
        </w:rPr>
        <w:t>.</w:t>
      </w:r>
      <w:r w:rsidRPr="000A451D">
        <w:rPr>
          <w:sz w:val="20"/>
        </w:rPr>
        <w:t xml:space="preserve"> Existuje teda riziko nedočerpania alokovaných prostriedkov. Schválená alokácia Plánu obnovy a odolnosti predstavuje pre SR sumu 6,3 mld. eur, pričom prvá </w:t>
      </w:r>
      <w:r>
        <w:rPr>
          <w:sz w:val="20"/>
        </w:rPr>
        <w:t>platba</w:t>
      </w:r>
      <w:r w:rsidRPr="000A451D">
        <w:rPr>
          <w:sz w:val="20"/>
        </w:rPr>
        <w:t xml:space="preserve"> (822,7 mil. eur) už bola prijatá. Plánované reformy a investičné aktivity majú za cieľ posilniť identifikované sla</w:t>
      </w:r>
      <w:r w:rsidR="00A817A6">
        <w:rPr>
          <w:sz w:val="20"/>
        </w:rPr>
        <w:t>bé miesta slovenskej ekonomiky.</w:t>
      </w:r>
    </w:p>
    <w:p w14:paraId="0D7465D7" w14:textId="7D3D0273" w:rsidR="000A451D" w:rsidRPr="000A451D" w:rsidRDefault="000634F6" w:rsidP="000634F6">
      <w:pPr>
        <w:pStyle w:val="Textpoznmkypodiarou"/>
        <w:spacing w:after="120" w:line="276" w:lineRule="auto"/>
        <w:rPr>
          <w:sz w:val="20"/>
        </w:rPr>
      </w:pPr>
      <w:r w:rsidRPr="000634F6">
        <w:rPr>
          <w:sz w:val="20"/>
        </w:rPr>
        <w:t xml:space="preserve">V návrhu ŠR sa objavujú </w:t>
      </w:r>
      <w:r w:rsidRPr="00EE1C17">
        <w:rPr>
          <w:b/>
          <w:sz w:val="20"/>
        </w:rPr>
        <w:t xml:space="preserve">riziká pri rozpočtovaní výdavkov najmä </w:t>
      </w:r>
      <w:r w:rsidR="00B45069">
        <w:rPr>
          <w:b/>
          <w:sz w:val="20"/>
        </w:rPr>
        <w:t xml:space="preserve">v </w:t>
      </w:r>
      <w:r w:rsidRPr="00EE1C17">
        <w:rPr>
          <w:b/>
          <w:sz w:val="20"/>
        </w:rPr>
        <w:t>oblasti programového rozpočtovania, v rozpočtovaní kapitálových výdavkov, rezerv a tiež pri vzniku samostatných rozpočtových organizácií</w:t>
      </w:r>
      <w:r>
        <w:rPr>
          <w:sz w:val="20"/>
        </w:rPr>
        <w:t xml:space="preserve">. </w:t>
      </w:r>
      <w:r w:rsidR="000A451D" w:rsidRPr="000A451D">
        <w:rPr>
          <w:sz w:val="20"/>
        </w:rPr>
        <w:t xml:space="preserve">Vláda v PVV uviedla, že posilní rozpočtovanie orientované na výsledky a informovanie o cieľoch verejných politík. V rozpočte síce boli stanovené kľúčové ukazovatele pre jednotlivé ministerstvá, ale o sfunkčnení programového rozpočtovania zatiaľ nemôžeme hovoriť. </w:t>
      </w:r>
      <w:r>
        <w:rPr>
          <w:sz w:val="20"/>
        </w:rPr>
        <w:t>R</w:t>
      </w:r>
      <w:r w:rsidR="000A451D" w:rsidRPr="000A451D">
        <w:rPr>
          <w:sz w:val="20"/>
        </w:rPr>
        <w:t>ozpočet kapitálových výdavkov na rok 2022 je poznačený tzv. nulovým štartovacím rozpočtom (</w:t>
      </w:r>
      <w:proofErr w:type="spellStart"/>
      <w:r w:rsidR="000A451D" w:rsidRPr="000A451D">
        <w:rPr>
          <w:sz w:val="20"/>
        </w:rPr>
        <w:t>zero-based</w:t>
      </w:r>
      <w:proofErr w:type="spellEnd"/>
      <w:r w:rsidR="000A451D" w:rsidRPr="000A451D">
        <w:rPr>
          <w:sz w:val="20"/>
        </w:rPr>
        <w:t xml:space="preserve"> </w:t>
      </w:r>
      <w:proofErr w:type="spellStart"/>
      <w:r w:rsidR="000A451D" w:rsidRPr="000A451D">
        <w:rPr>
          <w:sz w:val="20"/>
        </w:rPr>
        <w:t>budgeting</w:t>
      </w:r>
      <w:proofErr w:type="spellEnd"/>
      <w:r w:rsidR="000A451D" w:rsidRPr="000A451D">
        <w:rPr>
          <w:sz w:val="20"/>
        </w:rPr>
        <w:t xml:space="preserve">). Ten bol prvýkrát predstavený v návrhu rozpočtu na rok 2021. Filozofia je podporovať z rozpočtu iba </w:t>
      </w:r>
      <w:r w:rsidR="00735C7A">
        <w:rPr>
          <w:sz w:val="20"/>
        </w:rPr>
        <w:t>pripravené a návratné</w:t>
      </w:r>
      <w:r w:rsidR="000A451D" w:rsidRPr="000A451D">
        <w:rPr>
          <w:sz w:val="20"/>
        </w:rPr>
        <w:t xml:space="preserve"> projekty. Ktoré projekty by mali byť podporené v roku 2022 sa však občan z návrhu rozpočtu nedozvie. Pri vzniku samostatných rozpočtových organizácií NKÚ SR odporúča, aby verejné vyhodnotenie nákladov a prínosov rozširovania VS bolo súčasťou každého zvažovaného vzniku nového subjektu.</w:t>
      </w:r>
    </w:p>
    <w:p w14:paraId="4573A0B4" w14:textId="65D6A9E4" w:rsidR="000A451D" w:rsidRDefault="000A451D" w:rsidP="000A451D">
      <w:pPr>
        <w:pStyle w:val="Textpoznmkypodiarou"/>
        <w:spacing w:after="120" w:line="276" w:lineRule="auto"/>
        <w:rPr>
          <w:sz w:val="20"/>
        </w:rPr>
      </w:pPr>
      <w:r w:rsidRPr="000A451D">
        <w:rPr>
          <w:sz w:val="20"/>
        </w:rPr>
        <w:t xml:space="preserve">V PVV sa vláda zaviazala k zabezpečeniu adekvátneho ohodnotenia pedagogických a odborných zamestnancov </w:t>
      </w:r>
      <w:r w:rsidRPr="000634F6">
        <w:rPr>
          <w:b/>
          <w:sz w:val="20"/>
        </w:rPr>
        <w:t>v rezorte školstva</w:t>
      </w:r>
      <w:r w:rsidRPr="000A451D">
        <w:rPr>
          <w:sz w:val="20"/>
        </w:rPr>
        <w:t xml:space="preserve"> a</w:t>
      </w:r>
      <w:r w:rsidR="00F77423">
        <w:rPr>
          <w:sz w:val="20"/>
        </w:rPr>
        <w:t xml:space="preserve"> k </w:t>
      </w:r>
      <w:r w:rsidRPr="000A451D">
        <w:rPr>
          <w:sz w:val="20"/>
        </w:rPr>
        <w:t xml:space="preserve">vytvoreniu podmienok na kontinuálny rast ich platov. </w:t>
      </w:r>
      <w:r w:rsidR="0059169C">
        <w:rPr>
          <w:sz w:val="20"/>
        </w:rPr>
        <w:t xml:space="preserve">Napriek tomu návrh rozpočtu </w:t>
      </w:r>
      <w:r w:rsidR="005B513E">
        <w:rPr>
          <w:sz w:val="20"/>
        </w:rPr>
        <w:t>počíta so</w:t>
      </w:r>
      <w:r w:rsidR="0059169C" w:rsidRPr="000A451D">
        <w:rPr>
          <w:sz w:val="20"/>
        </w:rPr>
        <w:t xml:space="preserve"> znížen</w:t>
      </w:r>
      <w:r w:rsidR="005B513E">
        <w:rPr>
          <w:sz w:val="20"/>
        </w:rPr>
        <w:t>ím</w:t>
      </w:r>
      <w:r w:rsidR="0059169C" w:rsidRPr="000A451D">
        <w:rPr>
          <w:sz w:val="20"/>
        </w:rPr>
        <w:t xml:space="preserve"> nominálnych miezd v regionálnom školstve </w:t>
      </w:r>
      <w:r w:rsidR="0059169C">
        <w:rPr>
          <w:sz w:val="20"/>
        </w:rPr>
        <w:t xml:space="preserve">na rok 2022 </w:t>
      </w:r>
      <w:r w:rsidR="0059169C" w:rsidRPr="000A451D">
        <w:rPr>
          <w:sz w:val="20"/>
        </w:rPr>
        <w:t xml:space="preserve">o približne 1 % oproti očakávanej skutočnosti 2021. </w:t>
      </w:r>
      <w:r w:rsidRPr="000A451D">
        <w:rPr>
          <w:sz w:val="20"/>
        </w:rPr>
        <w:t xml:space="preserve">To spolu s vysokou infláciou spôsobí pokles reálnych platov učiteľov, a teda zníženie už v súčasnosti nízkej atraktivity učiteľského povolania. </w:t>
      </w:r>
      <w:r w:rsidR="0095388D" w:rsidRPr="000A451D">
        <w:rPr>
          <w:sz w:val="20"/>
        </w:rPr>
        <w:t xml:space="preserve">Znižovanie miezd vytvára významné riziká či už vo vzťahu ku kvalite vzdelávania a k fungovaniu školstva ako takého. Rizikom sa javí aj nezohľadnenie prognózovaného nárastu počtu žiakov. </w:t>
      </w:r>
      <w:r w:rsidRPr="000A451D">
        <w:rPr>
          <w:sz w:val="20"/>
        </w:rPr>
        <w:t>Ešte výraznejší pokles priemerných mzdových výdavkov sa má</w:t>
      </w:r>
      <w:r w:rsidR="005B513E">
        <w:rPr>
          <w:sz w:val="20"/>
        </w:rPr>
        <w:t xml:space="preserve"> týkať verejných vysokých škôl.</w:t>
      </w:r>
    </w:p>
    <w:p w14:paraId="0E43E633" w14:textId="146214A5" w:rsidR="003A5A60" w:rsidRPr="000A451D" w:rsidRDefault="003A5A60" w:rsidP="003A5A60">
      <w:pPr>
        <w:pStyle w:val="Textpoznmkypodiarou"/>
        <w:spacing w:after="120" w:line="276" w:lineRule="auto"/>
        <w:rPr>
          <w:sz w:val="20"/>
        </w:rPr>
      </w:pPr>
      <w:r w:rsidRPr="000634F6">
        <w:rPr>
          <w:b/>
          <w:sz w:val="20"/>
        </w:rPr>
        <w:lastRenderedPageBreak/>
        <w:t>V rezorte zdravotníctva</w:t>
      </w:r>
      <w:r w:rsidRPr="000A451D">
        <w:rPr>
          <w:sz w:val="20"/>
        </w:rPr>
        <w:t xml:space="preserve"> navrhovaný rozpočet môže znamenať výrazné riziko </w:t>
      </w:r>
      <w:proofErr w:type="spellStart"/>
      <w:r w:rsidRPr="000A451D">
        <w:rPr>
          <w:sz w:val="20"/>
        </w:rPr>
        <w:t>podfinancovania</w:t>
      </w:r>
      <w:proofErr w:type="spellEnd"/>
      <w:r w:rsidRPr="000A451D">
        <w:rPr>
          <w:sz w:val="20"/>
        </w:rPr>
        <w:t xml:space="preserve"> riadneho chodu zdravotníctva. </w:t>
      </w:r>
      <w:r>
        <w:rPr>
          <w:sz w:val="20"/>
        </w:rPr>
        <w:t>Naďalej pretrvávajú riziká plynúce z absencie</w:t>
      </w:r>
      <w:r w:rsidRPr="000A451D">
        <w:rPr>
          <w:sz w:val="20"/>
        </w:rPr>
        <w:t xml:space="preserve"> koncepčn</w:t>
      </w:r>
      <w:r>
        <w:rPr>
          <w:sz w:val="20"/>
        </w:rPr>
        <w:t>ých</w:t>
      </w:r>
      <w:r w:rsidRPr="000A451D">
        <w:rPr>
          <w:sz w:val="20"/>
        </w:rPr>
        <w:t xml:space="preserve"> riešen</w:t>
      </w:r>
      <w:r>
        <w:rPr>
          <w:sz w:val="20"/>
        </w:rPr>
        <w:t xml:space="preserve">í </w:t>
      </w:r>
      <w:r w:rsidRPr="000A451D">
        <w:rPr>
          <w:sz w:val="20"/>
        </w:rPr>
        <w:t>financovania VZP zo strany štátu</w:t>
      </w:r>
      <w:r>
        <w:rPr>
          <w:sz w:val="20"/>
        </w:rPr>
        <w:t xml:space="preserve"> či oddlženia </w:t>
      </w:r>
      <w:r w:rsidRPr="000A451D">
        <w:rPr>
          <w:sz w:val="20"/>
        </w:rPr>
        <w:t>zdravotníckych zariadení</w:t>
      </w:r>
      <w:r>
        <w:rPr>
          <w:sz w:val="20"/>
        </w:rPr>
        <w:t>. Ako vážny a nedostatočne riešený sa ukazuje aj problém odchodu zdravotníckych pracovníkov zo slovenského zdravotníctva.</w:t>
      </w:r>
      <w:r w:rsidRPr="000A451D">
        <w:rPr>
          <w:sz w:val="20"/>
        </w:rPr>
        <w:t xml:space="preserve"> </w:t>
      </w:r>
      <w:r>
        <w:rPr>
          <w:sz w:val="20"/>
        </w:rPr>
        <w:t>Návrh rozpočtu nepočíta ani so žiadnym významným riešením oblasti prevencie. Z</w:t>
      </w:r>
      <w:r w:rsidRPr="000A451D">
        <w:rPr>
          <w:sz w:val="20"/>
        </w:rPr>
        <w:t xml:space="preserve"> posledných dostupných údajov vyplýva, že</w:t>
      </w:r>
      <w:r>
        <w:rPr>
          <w:sz w:val="20"/>
        </w:rPr>
        <w:t xml:space="preserve"> výdavky</w:t>
      </w:r>
      <w:r w:rsidRPr="000A451D">
        <w:rPr>
          <w:sz w:val="20"/>
        </w:rPr>
        <w:t xml:space="preserve"> SR </w:t>
      </w:r>
      <w:r>
        <w:rPr>
          <w:sz w:val="20"/>
        </w:rPr>
        <w:t>na preventívnu zdravotnú starostlivosť sú najnižšie</w:t>
      </w:r>
      <w:r w:rsidRPr="000A451D">
        <w:rPr>
          <w:sz w:val="20"/>
        </w:rPr>
        <w:t xml:space="preserve"> spomedzi všetkých krajín EÚ.</w:t>
      </w:r>
    </w:p>
    <w:p w14:paraId="18DAC996" w14:textId="5526E0E0" w:rsidR="009C4845" w:rsidRPr="000A451D" w:rsidRDefault="009C4845" w:rsidP="009C4845">
      <w:pPr>
        <w:pStyle w:val="Textpoznmkypodiarou"/>
        <w:spacing w:after="120" w:line="276" w:lineRule="auto"/>
        <w:rPr>
          <w:sz w:val="20"/>
        </w:rPr>
      </w:pPr>
      <w:r w:rsidRPr="000634F6">
        <w:rPr>
          <w:b/>
          <w:sz w:val="20"/>
        </w:rPr>
        <w:t>V rezorte práce a sociálnych vecí</w:t>
      </w:r>
      <w:r w:rsidRPr="000A451D">
        <w:rPr>
          <w:sz w:val="20"/>
        </w:rPr>
        <w:t xml:space="preserve"> nie </w:t>
      </w:r>
      <w:r>
        <w:rPr>
          <w:sz w:val="20"/>
        </w:rPr>
        <w:t xml:space="preserve">je </w:t>
      </w:r>
      <w:r w:rsidRPr="000A451D">
        <w:rPr>
          <w:sz w:val="20"/>
        </w:rPr>
        <w:t>dostato</w:t>
      </w:r>
      <w:r>
        <w:rPr>
          <w:sz w:val="20"/>
        </w:rPr>
        <w:t>k rozpočtovaných</w:t>
      </w:r>
      <w:r w:rsidRPr="000A451D">
        <w:rPr>
          <w:sz w:val="20"/>
        </w:rPr>
        <w:t xml:space="preserve"> prostriedk</w:t>
      </w:r>
      <w:r>
        <w:rPr>
          <w:sz w:val="20"/>
        </w:rPr>
        <w:t>ov</w:t>
      </w:r>
      <w:r w:rsidRPr="000A451D">
        <w:rPr>
          <w:sz w:val="20"/>
        </w:rPr>
        <w:t xml:space="preserve"> na </w:t>
      </w:r>
      <w:r>
        <w:rPr>
          <w:sz w:val="20"/>
        </w:rPr>
        <w:t xml:space="preserve">jednotlivé </w:t>
      </w:r>
      <w:r w:rsidRPr="000A451D">
        <w:rPr>
          <w:sz w:val="20"/>
        </w:rPr>
        <w:t xml:space="preserve">programy. </w:t>
      </w:r>
      <w:r w:rsidR="0024149A">
        <w:rPr>
          <w:sz w:val="20"/>
        </w:rPr>
        <w:t>Napr. v</w:t>
      </w:r>
      <w:r w:rsidRPr="000A451D">
        <w:rPr>
          <w:sz w:val="20"/>
        </w:rPr>
        <w:t xml:space="preserve"> programe Ľudské zdroje</w:t>
      </w:r>
      <w:r>
        <w:rPr>
          <w:sz w:val="20"/>
        </w:rPr>
        <w:t xml:space="preserve"> chýba</w:t>
      </w:r>
      <w:r w:rsidRPr="000A451D">
        <w:rPr>
          <w:sz w:val="20"/>
        </w:rPr>
        <w:t xml:space="preserve"> 59,6 mil. eur na aktívne opatrenia trhu práce a v programe Sociálna inklúzia 20 mil. eur na nov</w:t>
      </w:r>
      <w:r>
        <w:rPr>
          <w:sz w:val="20"/>
        </w:rPr>
        <w:t xml:space="preserve">é dotačné tituly. </w:t>
      </w:r>
      <w:r w:rsidRPr="000A451D">
        <w:rPr>
          <w:sz w:val="20"/>
        </w:rPr>
        <w:t>V oblasti rodiny sa podarilo legislatívne pripraviť vytvorenie Rady vlády SR pre rodinu a demografický vývoj. Ostatné opatrenia ako je napr. zvýšenie rodičovského príspevku, zjednotenie výšky príspevku pri narodení dieťaťa, postupné zvyšovanie rodinných prídavkov podľa veku dieťaťa a pod. doposiaľ neboli zavedené</w:t>
      </w:r>
      <w:r>
        <w:rPr>
          <w:sz w:val="20"/>
        </w:rPr>
        <w:t>.</w:t>
      </w:r>
      <w:r w:rsidRPr="000A451D">
        <w:rPr>
          <w:sz w:val="20"/>
        </w:rPr>
        <w:t xml:space="preserve"> Kapitálové výdavky rozpočtované vo výške 3,9 mil. eur </w:t>
      </w:r>
      <w:r w:rsidR="00735C7A">
        <w:rPr>
          <w:sz w:val="20"/>
        </w:rPr>
        <w:t>nebudú stačiť na pokrytie všetkých investícií</w:t>
      </w:r>
      <w:r w:rsidRPr="000A451D">
        <w:rPr>
          <w:sz w:val="20"/>
        </w:rPr>
        <w:t xml:space="preserve">. </w:t>
      </w:r>
    </w:p>
    <w:p w14:paraId="29C7C504" w14:textId="22D0F8A7" w:rsidR="00E23E0D" w:rsidRPr="000A451D" w:rsidRDefault="00E23E0D" w:rsidP="00E23E0D">
      <w:pPr>
        <w:pStyle w:val="Textpoznmkypodiarou"/>
        <w:spacing w:after="120" w:line="276" w:lineRule="auto"/>
        <w:rPr>
          <w:sz w:val="20"/>
        </w:rPr>
      </w:pPr>
      <w:r w:rsidRPr="000A451D">
        <w:rPr>
          <w:sz w:val="20"/>
        </w:rPr>
        <w:t xml:space="preserve">Z návrhu rozpočtu </w:t>
      </w:r>
      <w:r w:rsidRPr="000634F6">
        <w:rPr>
          <w:b/>
          <w:sz w:val="20"/>
        </w:rPr>
        <w:t>v rezorte  dopravy</w:t>
      </w:r>
      <w:r w:rsidRPr="000A451D">
        <w:rPr>
          <w:sz w:val="20"/>
        </w:rPr>
        <w:t xml:space="preserve"> </w:t>
      </w:r>
      <w:r>
        <w:rPr>
          <w:sz w:val="20"/>
        </w:rPr>
        <w:t xml:space="preserve">nie je jasné, ktoré projekty budú v roku </w:t>
      </w:r>
      <w:r w:rsidRPr="000A451D">
        <w:rPr>
          <w:sz w:val="20"/>
        </w:rPr>
        <w:t xml:space="preserve"> 2022</w:t>
      </w:r>
      <w:r>
        <w:rPr>
          <w:sz w:val="20"/>
        </w:rPr>
        <w:t xml:space="preserve"> podporené. Z toho</w:t>
      </w:r>
      <w:r w:rsidRPr="000A451D">
        <w:rPr>
          <w:sz w:val="20"/>
        </w:rPr>
        <w:t xml:space="preserve"> vyplýva riziko, že nie všetky naplánované </w:t>
      </w:r>
      <w:r>
        <w:rPr>
          <w:sz w:val="20"/>
        </w:rPr>
        <w:t>investície</w:t>
      </w:r>
      <w:r w:rsidRPr="000A451D">
        <w:rPr>
          <w:sz w:val="20"/>
        </w:rPr>
        <w:t xml:space="preserve"> budú mať zabezpečené krytie</w:t>
      </w:r>
      <w:r>
        <w:rPr>
          <w:sz w:val="20"/>
        </w:rPr>
        <w:t>.</w:t>
      </w:r>
      <w:r w:rsidRPr="000A451D">
        <w:rPr>
          <w:sz w:val="20"/>
        </w:rPr>
        <w:t xml:space="preserve"> NKÚ SR v tejto súvislosti odporúča zverejniť aktualizovaný harmonogram</w:t>
      </w:r>
      <w:r>
        <w:rPr>
          <w:sz w:val="20"/>
        </w:rPr>
        <w:t xml:space="preserve"> investícií</w:t>
      </w:r>
      <w:r w:rsidRPr="000A451D">
        <w:rPr>
          <w:sz w:val="20"/>
        </w:rPr>
        <w:t xml:space="preserve"> spolu so zoznamom projektov, ktoré majú byť podporené (vrátane výšky nákladov, zdrojov financovania a kapitoly, v ktorej sa výdavky nachádzajú) v súlade s alokovanými výdavkami uvedenými v návrhu RVS. </w:t>
      </w:r>
      <w:r>
        <w:rPr>
          <w:sz w:val="20"/>
        </w:rPr>
        <w:t>A</w:t>
      </w:r>
      <w:r w:rsidR="00EC6F47">
        <w:rPr>
          <w:sz w:val="20"/>
        </w:rPr>
        <w:t>ni</w:t>
      </w:r>
      <w:r>
        <w:rPr>
          <w:sz w:val="20"/>
        </w:rPr>
        <w:t xml:space="preserve"> alokovanie kapitálových výdavkov v programovej štruktúre kapitoly </w:t>
      </w:r>
      <w:r w:rsidR="00EC6F47">
        <w:rPr>
          <w:sz w:val="20"/>
        </w:rPr>
        <w:t xml:space="preserve">nie </w:t>
      </w:r>
      <w:r>
        <w:rPr>
          <w:sz w:val="20"/>
        </w:rPr>
        <w:t xml:space="preserve">je prehľadné. Pre zvýšenie transparentnosti rozpočtu a zjednodušenie štruktúry toku výdavkov je podľa NKÚ SR potrebné </w:t>
      </w:r>
      <w:r w:rsidRPr="007A0C9E">
        <w:rPr>
          <w:sz w:val="20"/>
        </w:rPr>
        <w:t xml:space="preserve">rozpočtovať prostriedky </w:t>
      </w:r>
      <w:r w:rsidR="007A0C9E" w:rsidRPr="007A0C9E">
        <w:rPr>
          <w:sz w:val="20"/>
        </w:rPr>
        <w:t>podľa účelu ich použitia</w:t>
      </w:r>
      <w:r w:rsidRPr="007A0C9E">
        <w:rPr>
          <w:sz w:val="20"/>
        </w:rPr>
        <w:t>.</w:t>
      </w:r>
    </w:p>
    <w:p w14:paraId="6A34AB4A" w14:textId="6C554F02" w:rsidR="000A451D" w:rsidRPr="000A451D" w:rsidRDefault="000A451D" w:rsidP="000A451D">
      <w:pPr>
        <w:pStyle w:val="Textpoznmkypodiarou"/>
        <w:spacing w:after="120" w:line="276" w:lineRule="auto"/>
        <w:rPr>
          <w:sz w:val="20"/>
        </w:rPr>
      </w:pPr>
      <w:r w:rsidRPr="000634F6">
        <w:rPr>
          <w:b/>
          <w:sz w:val="20"/>
        </w:rPr>
        <w:t>V</w:t>
      </w:r>
      <w:r w:rsidR="000634F6" w:rsidRPr="000634F6">
        <w:rPr>
          <w:b/>
          <w:sz w:val="20"/>
        </w:rPr>
        <w:t> rezorte životného prostredia</w:t>
      </w:r>
      <w:r w:rsidRPr="000A451D">
        <w:rPr>
          <w:sz w:val="20"/>
        </w:rPr>
        <w:t xml:space="preserve"> v oblasti vodného hospodárstva boli identifikované riziká v jeho riadení vzhľadom na neuplatňovanie </w:t>
      </w:r>
      <w:proofErr w:type="spellStart"/>
      <w:r w:rsidRPr="000A451D">
        <w:rPr>
          <w:sz w:val="20"/>
        </w:rPr>
        <w:t>priorizácie</w:t>
      </w:r>
      <w:proofErr w:type="spellEnd"/>
      <w:r w:rsidRPr="000A451D">
        <w:rPr>
          <w:sz w:val="20"/>
        </w:rPr>
        <w:t xml:space="preserve"> projektov protipovodňových opatrení, napojení na čistiarne odpadových vôd a aj v miere napojenia obyvateľstva na verejný vodovod. </w:t>
      </w:r>
      <w:r w:rsidR="000634F6">
        <w:rPr>
          <w:sz w:val="20"/>
        </w:rPr>
        <w:t>V SR</w:t>
      </w:r>
      <w:r w:rsidRPr="000A451D">
        <w:rPr>
          <w:sz w:val="20"/>
        </w:rPr>
        <w:t xml:space="preserve"> sa nachádza stále 477 obcí bez verejného vodovodu. Rezervy má SR aj v oblasti ochrany ovzdušia a k znižovaniu znečistenia ovzdušia má prispieť aj podpora z Plánu obnovy a odolnosti zameraná na rekonštrukciu budov s cieľom zvýšenia ich energetickej efektívnosti. </w:t>
      </w:r>
      <w:r w:rsidR="00735C7A">
        <w:rPr>
          <w:sz w:val="20"/>
        </w:rPr>
        <w:t>Medzi najmenej rozpočtovo pokryté oblasti patrí</w:t>
      </w:r>
      <w:r w:rsidRPr="000A451D">
        <w:rPr>
          <w:sz w:val="20"/>
        </w:rPr>
        <w:t xml:space="preserve"> Ochrana prírody a</w:t>
      </w:r>
      <w:r w:rsidR="00735C7A">
        <w:rPr>
          <w:sz w:val="20"/>
        </w:rPr>
        <w:t> </w:t>
      </w:r>
      <w:r w:rsidRPr="000A451D">
        <w:rPr>
          <w:sz w:val="20"/>
        </w:rPr>
        <w:t>krajiny</w:t>
      </w:r>
      <w:r w:rsidR="00735C7A">
        <w:rPr>
          <w:sz w:val="20"/>
        </w:rPr>
        <w:t>. NKÚ SR preto odporúča</w:t>
      </w:r>
      <w:r w:rsidRPr="000A451D">
        <w:rPr>
          <w:sz w:val="20"/>
        </w:rPr>
        <w:t xml:space="preserve"> zamerať sa pri prideľovaní prostriedkov pri správe chránených území na najvyššiu hodnotu za peniaze, implementovať do praxe inovatívne formy financovania štátnej ochrany prírody a dobudovať sústavu Natura 2000.</w:t>
      </w:r>
    </w:p>
    <w:p w14:paraId="20A6C54B" w14:textId="77777777" w:rsidR="00532F40" w:rsidRDefault="000A451D" w:rsidP="000A451D">
      <w:pPr>
        <w:pStyle w:val="Textpoznmkypodiarou"/>
        <w:spacing w:after="120" w:line="276" w:lineRule="auto"/>
        <w:rPr>
          <w:sz w:val="20"/>
        </w:rPr>
      </w:pPr>
      <w:r w:rsidRPr="000A451D">
        <w:rPr>
          <w:sz w:val="20"/>
        </w:rPr>
        <w:t xml:space="preserve">V oblasti rozpočtových vzťahov </w:t>
      </w:r>
      <w:r w:rsidRPr="0095388D">
        <w:rPr>
          <w:b/>
          <w:sz w:val="20"/>
        </w:rPr>
        <w:t>samosprávy a štátu</w:t>
      </w:r>
      <w:r w:rsidRPr="000A451D">
        <w:rPr>
          <w:sz w:val="20"/>
        </w:rPr>
        <w:t xml:space="preserve"> NKÚ SR zistil, že obce nemajú dostatok finančných prostriedkov na vykonávanie originálnych pôsobností, ale aj preneseného výkonu štátnej správy</w:t>
      </w:r>
      <w:r w:rsidR="00C4150B">
        <w:rPr>
          <w:sz w:val="20"/>
        </w:rPr>
        <w:t>.</w:t>
      </w:r>
      <w:r w:rsidRPr="000A451D">
        <w:rPr>
          <w:sz w:val="20"/>
        </w:rPr>
        <w:t xml:space="preserve"> </w:t>
      </w:r>
      <w:r w:rsidR="00C4150B">
        <w:rPr>
          <w:sz w:val="20"/>
        </w:rPr>
        <w:t xml:space="preserve">Navyše </w:t>
      </w:r>
      <w:r w:rsidRPr="000A451D">
        <w:rPr>
          <w:sz w:val="20"/>
        </w:rPr>
        <w:t>legislatívne návrhy, ktoré rozširovali úlohy a povinnosti pre samosprávy nemali vyčíslené negatívne vplyvy a</w:t>
      </w:r>
      <w:r w:rsidR="00F77423">
        <w:rPr>
          <w:sz w:val="20"/>
        </w:rPr>
        <w:t xml:space="preserve"> ani im </w:t>
      </w:r>
      <w:r w:rsidRPr="000A451D">
        <w:rPr>
          <w:sz w:val="20"/>
        </w:rPr>
        <w:t xml:space="preserve">neboli kompenzované. Štát nemá vytvorené mechanizmy na to, aby vedel, aký objem finančných prostriedkov predstavujú náklady na zabezpečenie preneseného výkonu štátnej správy. Na viacerých úsekoch sa objem finančných prostriedkov na krytie </w:t>
      </w:r>
      <w:r w:rsidR="00C4150B">
        <w:rPr>
          <w:sz w:val="20"/>
        </w:rPr>
        <w:t xml:space="preserve">jeho </w:t>
      </w:r>
      <w:r w:rsidRPr="000A451D">
        <w:rPr>
          <w:sz w:val="20"/>
        </w:rPr>
        <w:t xml:space="preserve">nákladov vôbec nemenil. Absenciou pravidelnej indexácie dotácií na prenesený výkon štátnej správy, vzhľadom na infláciu a rast priemernej mzdy v národnom hospodárstve, stráca samospráva zdroje na zabezpečenie udržateľného hospodárenia prenesených kompetencií. </w:t>
      </w:r>
      <w:r w:rsidR="00C4150B">
        <w:rPr>
          <w:sz w:val="20"/>
        </w:rPr>
        <w:t xml:space="preserve">NKÚ SR v tomto kontexte </w:t>
      </w:r>
      <w:r w:rsidRPr="000A451D">
        <w:rPr>
          <w:sz w:val="20"/>
        </w:rPr>
        <w:t>poukazuje</w:t>
      </w:r>
      <w:r w:rsidR="00C4150B">
        <w:rPr>
          <w:sz w:val="20"/>
        </w:rPr>
        <w:t xml:space="preserve"> aj </w:t>
      </w:r>
      <w:r w:rsidRPr="000A451D">
        <w:rPr>
          <w:sz w:val="20"/>
        </w:rPr>
        <w:t xml:space="preserve">na to, že vláda sa </w:t>
      </w:r>
      <w:r w:rsidR="00C4150B">
        <w:rPr>
          <w:sz w:val="20"/>
        </w:rPr>
        <w:t xml:space="preserve">v PVV </w:t>
      </w:r>
      <w:r w:rsidRPr="000A451D">
        <w:rPr>
          <w:sz w:val="20"/>
        </w:rPr>
        <w:t xml:space="preserve">zaviazala </w:t>
      </w:r>
      <w:r w:rsidR="00C4150B">
        <w:rPr>
          <w:sz w:val="20"/>
        </w:rPr>
        <w:t>riešiť</w:t>
      </w:r>
      <w:r w:rsidRPr="000A451D">
        <w:rPr>
          <w:sz w:val="20"/>
        </w:rPr>
        <w:t xml:space="preserve">, či aktuálne nastavenie financovania </w:t>
      </w:r>
      <w:r w:rsidR="00C4150B">
        <w:rPr>
          <w:sz w:val="20"/>
        </w:rPr>
        <w:t xml:space="preserve">samospráv </w:t>
      </w:r>
      <w:r w:rsidR="00532F40">
        <w:rPr>
          <w:sz w:val="20"/>
        </w:rPr>
        <w:t>zodpovedá ich kompetenciám.</w:t>
      </w:r>
    </w:p>
    <w:p w14:paraId="02F76A12" w14:textId="77777777" w:rsidR="00532F40" w:rsidRDefault="00532F40">
      <w:pPr>
        <w:spacing w:after="160" w:line="259" w:lineRule="auto"/>
        <w:jc w:val="left"/>
        <w:rPr>
          <w:szCs w:val="20"/>
        </w:rPr>
      </w:pPr>
      <w:r>
        <w:br w:type="page"/>
      </w:r>
    </w:p>
    <w:p w14:paraId="623167FB" w14:textId="0D767871" w:rsidR="000F6D77" w:rsidRPr="00B70CA3" w:rsidRDefault="00B61C21" w:rsidP="000A451D">
      <w:pPr>
        <w:pStyle w:val="Textpoznmkypodiarou"/>
        <w:spacing w:after="120" w:line="276" w:lineRule="auto"/>
        <w:rPr>
          <w:sz w:val="20"/>
          <w:highlight w:val="yellow"/>
        </w:rPr>
      </w:pPr>
      <w:r>
        <w:rPr>
          <w:noProof/>
          <w:sz w:val="20"/>
          <w:lang w:eastAsia="sk-SK"/>
        </w:rPr>
        <w:lastRenderedPageBreak/>
        <w:drawing>
          <wp:anchor distT="0" distB="0" distL="114300" distR="114300" simplePos="0" relativeHeight="251658240" behindDoc="0" locked="0" layoutInCell="1" allowOverlap="1" wp14:anchorId="192394FC" wp14:editId="1F2AAB90">
            <wp:simplePos x="0" y="0"/>
            <wp:positionH relativeFrom="margin">
              <wp:align>center</wp:align>
            </wp:positionH>
            <wp:positionV relativeFrom="margin">
              <wp:align>center</wp:align>
            </wp:positionV>
            <wp:extent cx="6099175" cy="7362825"/>
            <wp:effectExtent l="0" t="0" r="0" b="952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4B90E.tmp"/>
                    <pic:cNvPicPr/>
                  </pic:nvPicPr>
                  <pic:blipFill>
                    <a:blip r:embed="rId10">
                      <a:extLst>
                        <a:ext uri="{28A0092B-C50C-407E-A947-70E740481C1C}">
                          <a14:useLocalDpi xmlns:a14="http://schemas.microsoft.com/office/drawing/2010/main" val="0"/>
                        </a:ext>
                      </a:extLst>
                    </a:blip>
                    <a:stretch>
                      <a:fillRect/>
                    </a:stretch>
                  </pic:blipFill>
                  <pic:spPr>
                    <a:xfrm>
                      <a:off x="0" y="0"/>
                      <a:ext cx="6099175" cy="7362825"/>
                    </a:xfrm>
                    <a:prstGeom prst="rect">
                      <a:avLst/>
                    </a:prstGeom>
                  </pic:spPr>
                </pic:pic>
              </a:graphicData>
            </a:graphic>
            <wp14:sizeRelH relativeFrom="margin">
              <wp14:pctWidth>0</wp14:pctWidth>
            </wp14:sizeRelH>
            <wp14:sizeRelV relativeFrom="margin">
              <wp14:pctHeight>0</wp14:pctHeight>
            </wp14:sizeRelV>
          </wp:anchor>
        </w:drawing>
      </w:r>
      <w:r w:rsidR="00B70CA3">
        <w:rPr>
          <w:sz w:val="20"/>
          <w:highlight w:val="yellow"/>
        </w:rPr>
        <w:br w:type="page"/>
      </w:r>
      <w:bookmarkStart w:id="3" w:name="_GoBack"/>
      <w:bookmarkEnd w:id="3"/>
    </w:p>
    <w:p w14:paraId="1C6F03E5" w14:textId="77777777" w:rsidR="00B10EC5" w:rsidRDefault="00092577" w:rsidP="0011737A">
      <w:pPr>
        <w:pStyle w:val="Nadpis1"/>
      </w:pPr>
      <w:bookmarkStart w:id="4" w:name="_Toc86396372"/>
      <w:bookmarkStart w:id="5" w:name="_Toc87345105"/>
      <w:bookmarkStart w:id="6" w:name="_Toc53475707"/>
      <w:bookmarkEnd w:id="0"/>
      <w:r>
        <w:lastRenderedPageBreak/>
        <w:t>Makroekonomick</w:t>
      </w:r>
      <w:r w:rsidR="00F36F51">
        <w:t>é predpoklady rozpočtu</w:t>
      </w:r>
      <w:bookmarkEnd w:id="4"/>
      <w:bookmarkEnd w:id="5"/>
    </w:p>
    <w:p w14:paraId="69F51765" w14:textId="280CE404" w:rsidR="009F2FCD" w:rsidRDefault="001E0A12" w:rsidP="009F2FCD">
      <w:r>
        <w:t xml:space="preserve">Návrh rozpočtu bol </w:t>
      </w:r>
      <w:r w:rsidR="009F5B70">
        <w:t>pripravovaný</w:t>
      </w:r>
      <w:r>
        <w:t xml:space="preserve"> počas zotavovania </w:t>
      </w:r>
      <w:r w:rsidR="00EC6F47">
        <w:t xml:space="preserve">sa </w:t>
      </w:r>
      <w:r w:rsidR="009F2FCD">
        <w:t>z minuloročnej recesie vyvolanej pandémiou COVID-19. Medziná</w:t>
      </w:r>
      <w:r w:rsidR="009F5B70">
        <w:t xml:space="preserve">rodný menový fond </w:t>
      </w:r>
      <w:r w:rsidR="005224B6">
        <w:t xml:space="preserve">v októbri </w:t>
      </w:r>
      <w:r w:rsidR="009F5B70">
        <w:t>mierne zhoršil</w:t>
      </w:r>
      <w:r w:rsidR="009F2FCD">
        <w:t xml:space="preserve"> prognózu </w:t>
      </w:r>
      <w:r w:rsidR="009F5B70">
        <w:t>rastu</w:t>
      </w:r>
      <w:r w:rsidR="009F2FCD">
        <w:t xml:space="preserve"> globálnej ekonomiky </w:t>
      </w:r>
      <w:r w:rsidR="001576E9">
        <w:t xml:space="preserve">na rok 2021 </w:t>
      </w:r>
      <w:r>
        <w:t>a</w:t>
      </w:r>
      <w:r w:rsidR="009F2FCD">
        <w:t xml:space="preserve"> </w:t>
      </w:r>
      <w:r>
        <w:t>s</w:t>
      </w:r>
      <w:r w:rsidR="009F2FCD">
        <w:t>lovenská ekonomika na tom nie je inak</w:t>
      </w:r>
      <w:r w:rsidR="00F77423">
        <w:t>;</w:t>
      </w:r>
      <w:r>
        <w:t xml:space="preserve"> keď</w:t>
      </w:r>
      <w:r w:rsidR="009F2FCD">
        <w:t xml:space="preserve"> MF SR </w:t>
      </w:r>
      <w:r w:rsidR="005224B6">
        <w:t xml:space="preserve">ešte </w:t>
      </w:r>
      <w:r w:rsidR="009F2FCD">
        <w:t xml:space="preserve">v septembri </w:t>
      </w:r>
      <w:r w:rsidR="005224B6">
        <w:t xml:space="preserve">korigovalo </w:t>
      </w:r>
      <w:r w:rsidR="009F2FCD">
        <w:t>prognóz</w:t>
      </w:r>
      <w:r>
        <w:t>u</w:t>
      </w:r>
      <w:r w:rsidR="005224B6">
        <w:t xml:space="preserve"> jej rastu smerom nadol</w:t>
      </w:r>
      <w:r w:rsidR="009F2FCD">
        <w:t xml:space="preserve">. Návrh </w:t>
      </w:r>
      <w:r w:rsidR="00F969E3">
        <w:t>RVS</w:t>
      </w:r>
      <w:r w:rsidR="009F2FCD">
        <w:t xml:space="preserve"> na rok 2022 </w:t>
      </w:r>
      <w:r w:rsidR="00F969E3">
        <w:t xml:space="preserve">tak </w:t>
      </w:r>
      <w:r w:rsidR="009F2FCD">
        <w:t>počíta</w:t>
      </w:r>
      <w:r w:rsidR="00F969E3">
        <w:t xml:space="preserve"> s rastom slovenskej ekonomiky v roku 2021 medziročne o</w:t>
      </w:r>
      <w:r>
        <w:t> 3,7 %</w:t>
      </w:r>
      <w:r w:rsidR="00F969E3">
        <w:t xml:space="preserve">, na rozdiel od </w:t>
      </w:r>
      <w:r w:rsidR="00091260">
        <w:t>júnovej prognóz</w:t>
      </w:r>
      <w:r w:rsidR="00F969E3">
        <w:t>y</w:t>
      </w:r>
      <w:r w:rsidR="001576E9">
        <w:t xml:space="preserve"> 4,6 %.</w:t>
      </w:r>
    </w:p>
    <w:p w14:paraId="6DBB8072" w14:textId="149131DD" w:rsidR="00024931" w:rsidRDefault="00024931" w:rsidP="00024931">
      <w:r>
        <w:t>Pokračujúca pandémia utlmí ekonomiku aj v budúcom roku, v dôsledku čoho rezort financií znížil odhad rastu HDP z </w:t>
      </w:r>
      <w:r w:rsidR="00A92E80">
        <w:t>júnových</w:t>
      </w:r>
      <w:r>
        <w:t xml:space="preserve"> 5 % na 4,2 %. </w:t>
      </w:r>
      <w:r w:rsidR="00077243">
        <w:t>Rast HDP bude podporený aj vďaka</w:t>
      </w:r>
      <w:r w:rsidR="00077243" w:rsidRPr="00077243">
        <w:t xml:space="preserve"> čerp</w:t>
      </w:r>
      <w:r w:rsidR="00077243">
        <w:t>a</w:t>
      </w:r>
      <w:r w:rsidR="00077243" w:rsidRPr="00077243">
        <w:t>ni</w:t>
      </w:r>
      <w:r w:rsidR="00077243">
        <w:t>u</w:t>
      </w:r>
      <w:r w:rsidR="00077243" w:rsidRPr="00077243">
        <w:t xml:space="preserve"> </w:t>
      </w:r>
      <w:r w:rsidR="00077243">
        <w:t>fondov</w:t>
      </w:r>
      <w:r w:rsidR="00077243" w:rsidRPr="00077243">
        <w:t xml:space="preserve"> EÚ</w:t>
      </w:r>
      <w:r w:rsidR="00077243">
        <w:t xml:space="preserve"> (</w:t>
      </w:r>
      <w:r w:rsidR="00077243" w:rsidRPr="007A4609">
        <w:rPr>
          <w:i/>
        </w:rPr>
        <w:t xml:space="preserve">viac v kapitole </w:t>
      </w:r>
      <w:r w:rsidR="00B42065">
        <w:rPr>
          <w:i/>
        </w:rPr>
        <w:t xml:space="preserve">3 </w:t>
      </w:r>
      <w:r w:rsidR="00077243" w:rsidRPr="007A4609">
        <w:rPr>
          <w:i/>
        </w:rPr>
        <w:t>Rozpočtové vzťahy SR a EÚ</w:t>
      </w:r>
      <w:r w:rsidR="00077243">
        <w:t xml:space="preserve">), k čomu sa </w:t>
      </w:r>
      <w:r w:rsidR="00077243" w:rsidRPr="00077243">
        <w:t xml:space="preserve">pridá aj čerpanie prostriedkov </w:t>
      </w:r>
      <w:r w:rsidR="00077243">
        <w:t xml:space="preserve">z </w:t>
      </w:r>
      <w:r w:rsidR="00077243" w:rsidRPr="00077243">
        <w:t>Plánu obnovy a</w:t>
      </w:r>
      <w:r w:rsidR="00F969E3">
        <w:t> </w:t>
      </w:r>
      <w:r w:rsidR="00077243" w:rsidRPr="00077243">
        <w:t>odolnosti</w:t>
      </w:r>
      <w:r w:rsidR="00F969E3">
        <w:t>.</w:t>
      </w:r>
      <w:r w:rsidR="00077243">
        <w:t xml:space="preserve"> </w:t>
      </w:r>
      <w:r w:rsidR="00F969E3">
        <w:t>C</w:t>
      </w:r>
      <w:r w:rsidR="00077243" w:rsidRPr="00077243">
        <w:t xml:space="preserve">elkové investície v ekonomike </w:t>
      </w:r>
      <w:r w:rsidR="0064125B">
        <w:t xml:space="preserve">by tak mali v roku 2022 </w:t>
      </w:r>
      <w:r w:rsidR="00077243" w:rsidRPr="00077243">
        <w:t>stúpn</w:t>
      </w:r>
      <w:r w:rsidR="0064125B">
        <w:t>uť</w:t>
      </w:r>
      <w:r w:rsidR="00077243" w:rsidRPr="00077243">
        <w:t xml:space="preserve"> medziročne o 16,7 %.</w:t>
      </w:r>
      <w:r w:rsidR="00077243">
        <w:t xml:space="preserve"> Na druhej strane, </w:t>
      </w:r>
      <w:r>
        <w:t xml:space="preserve">na zníženie rastu </w:t>
      </w:r>
      <w:r w:rsidR="00077243">
        <w:t xml:space="preserve">ekonomiky </w:t>
      </w:r>
      <w:r>
        <w:t xml:space="preserve">má vplyv zrýchľovanie inflácie, čo bude tlmiť rast reálnych príjmov a spotreby. K zhruba 4,2 % medziročnému rastu cien v roku 2022 </w:t>
      </w:r>
      <w:r w:rsidR="00A92E80">
        <w:t xml:space="preserve">by malo </w:t>
      </w:r>
      <w:r>
        <w:t>prisp</w:t>
      </w:r>
      <w:r w:rsidR="00A92E80">
        <w:t>ieť</w:t>
      </w:r>
      <w:r>
        <w:t xml:space="preserve"> opätovné oživenie dopytu na svetových trhoch, rast ceny emisných povoleniek či vyššie ceny energetických komodít. Začiatkom roka bude pre pomalší rast ekonomiky stagnovať aj trh práce</w:t>
      </w:r>
      <w:r w:rsidR="00A92E80">
        <w:t>, ale postupne by</w:t>
      </w:r>
      <w:r>
        <w:t xml:space="preserve"> miera nezamestnanosti mala klesnúť k 6,7 %. Nominálne mzdy si v budúcom roku udržia pomerne vysoký rast</w:t>
      </w:r>
      <w:r w:rsidR="0064125B">
        <w:t>, avšak reálne</w:t>
      </w:r>
      <w:r>
        <w:t xml:space="preserve"> mzdy </w:t>
      </w:r>
      <w:r w:rsidR="0064125B">
        <w:t>by</w:t>
      </w:r>
      <w:r>
        <w:t xml:space="preserve"> pre vysokú infláciu </w:t>
      </w:r>
      <w:r w:rsidR="0064125B">
        <w:t xml:space="preserve">mali </w:t>
      </w:r>
      <w:r>
        <w:t>stúpnu</w:t>
      </w:r>
      <w:r w:rsidR="0064125B">
        <w:t>ť</w:t>
      </w:r>
      <w:r>
        <w:t xml:space="preserve"> len </w:t>
      </w:r>
      <w:r w:rsidR="007A4609">
        <w:t>mierne</w:t>
      </w:r>
      <w:r>
        <w:t xml:space="preserve">.  </w:t>
      </w:r>
    </w:p>
    <w:p w14:paraId="6B2B77D8" w14:textId="7D371685" w:rsidR="00B559C2" w:rsidRDefault="00B559C2" w:rsidP="00B559C2">
      <w:r>
        <w:t>S</w:t>
      </w:r>
      <w:r w:rsidR="009F2FCD" w:rsidRPr="00A5537C">
        <w:t>poľahlivosť makroekonomick</w:t>
      </w:r>
      <w:r>
        <w:t>ých</w:t>
      </w:r>
      <w:r w:rsidR="009F2FCD" w:rsidRPr="00A5537C">
        <w:t xml:space="preserve"> prognóz </w:t>
      </w:r>
      <w:r w:rsidR="00EC6F47">
        <w:t xml:space="preserve">je </w:t>
      </w:r>
      <w:r w:rsidR="009F2FCD" w:rsidRPr="00A5537C">
        <w:t>v návrh</w:t>
      </w:r>
      <w:r w:rsidR="00091260">
        <w:t>och</w:t>
      </w:r>
      <w:r w:rsidR="009F2FCD" w:rsidRPr="00A5537C">
        <w:t xml:space="preserve"> ŠR </w:t>
      </w:r>
      <w:r w:rsidR="0064125B">
        <w:t xml:space="preserve">od roku 2008 </w:t>
      </w:r>
      <w:r>
        <w:t>vysoká, keďže v</w:t>
      </w:r>
      <w:r w:rsidR="00091260">
        <w:t> období medzi krízami</w:t>
      </w:r>
      <w:r>
        <w:t xml:space="preserve"> vykazovali prognózy </w:t>
      </w:r>
      <w:r w:rsidR="00091260">
        <w:t>hlavných makroekonomických ukazovateľov</w:t>
      </w:r>
      <w:r>
        <w:t xml:space="preserve"> </w:t>
      </w:r>
      <w:r w:rsidR="00091260">
        <w:t>(</w:t>
      </w:r>
      <w:r>
        <w:t>HDP, zamestnanosť v metodike ESA</w:t>
      </w:r>
      <w:r w:rsidR="00091260">
        <w:t>,</w:t>
      </w:r>
      <w:r>
        <w:t xml:space="preserve"> infláci</w:t>
      </w:r>
      <w:r w:rsidR="00091260">
        <w:t>a)</w:t>
      </w:r>
      <w:r>
        <w:t xml:space="preserve"> len malé odchýlky od skutočnosti (Graf 1). Významnejšie odchýlky sa prejavili len v krízovom a pokrízovom období (roky 2009/2010 a 2020/2021), čo je prejavom nečakaného vplyvu externého šoku na ekonomiku. Ak </w:t>
      </w:r>
      <w:r w:rsidR="000C1766">
        <w:t>nenastanú ďalšie neočakávané okolnosti</w:t>
      </w:r>
      <w:r>
        <w:t>, makro</w:t>
      </w:r>
      <w:r w:rsidR="0064125B">
        <w:t xml:space="preserve">ekonomická </w:t>
      </w:r>
      <w:r>
        <w:t xml:space="preserve">prognóza </w:t>
      </w:r>
      <w:r w:rsidR="000C1766">
        <w:t xml:space="preserve">pre </w:t>
      </w:r>
      <w:r>
        <w:t xml:space="preserve">rok 2022 </w:t>
      </w:r>
      <w:r w:rsidR="000C1766">
        <w:t>by mala byť blízka</w:t>
      </w:r>
      <w:r>
        <w:t xml:space="preserve"> realite.</w:t>
      </w:r>
    </w:p>
    <w:p w14:paraId="7B878261" w14:textId="2CD233DB" w:rsidR="009F2FCD" w:rsidRPr="00BC3CA3" w:rsidRDefault="009F2FCD" w:rsidP="009F2FCD">
      <w:pPr>
        <w:pStyle w:val="Popis"/>
        <w:keepNext/>
        <w:rPr>
          <w:color w:val="314364"/>
        </w:rPr>
      </w:pPr>
      <w:r w:rsidRPr="00BC3CA3">
        <w:rPr>
          <w:color w:val="314364"/>
        </w:rPr>
        <w:t xml:space="preserve">Graf </w:t>
      </w:r>
      <w:r w:rsidRPr="00BC3CA3">
        <w:rPr>
          <w:color w:val="314364"/>
        </w:rPr>
        <w:fldChar w:fldCharType="begin"/>
      </w:r>
      <w:r w:rsidRPr="00BC3CA3">
        <w:rPr>
          <w:color w:val="314364"/>
        </w:rPr>
        <w:instrText xml:space="preserve"> SEQ Graf \* ARABIC </w:instrText>
      </w:r>
      <w:r w:rsidRPr="00BC3CA3">
        <w:rPr>
          <w:color w:val="314364"/>
        </w:rPr>
        <w:fldChar w:fldCharType="separate"/>
      </w:r>
      <w:r w:rsidR="005E7D60">
        <w:rPr>
          <w:noProof/>
          <w:color w:val="314364"/>
        </w:rPr>
        <w:t>1</w:t>
      </w:r>
      <w:r w:rsidRPr="00BC3CA3">
        <w:rPr>
          <w:color w:val="314364"/>
        </w:rPr>
        <w:fldChar w:fldCharType="end"/>
      </w:r>
      <w:r w:rsidRPr="00BC3CA3">
        <w:rPr>
          <w:color w:val="314364"/>
        </w:rPr>
        <w:t>:</w:t>
      </w:r>
      <w:r>
        <w:rPr>
          <w:color w:val="314364"/>
        </w:rPr>
        <w:t xml:space="preserve"> Spoľahlivosť makroekonomických prognóz vybraných ukazovateľov za roky 2008 až 2021</w:t>
      </w:r>
      <w:r w:rsidR="00F969E3">
        <w:rPr>
          <w:color w:val="314364"/>
        </w:rPr>
        <w:t xml:space="preserve"> (medziročná zmena v %)</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9F2FCD" w:rsidRPr="00C75134" w14:paraId="100D40CD" w14:textId="77777777" w:rsidTr="00C3271C">
        <w:trPr>
          <w:trHeight w:val="3685"/>
        </w:trPr>
        <w:tc>
          <w:tcPr>
            <w:tcW w:w="9070" w:type="dxa"/>
            <w:tcBorders>
              <w:top w:val="single" w:sz="4" w:space="0" w:color="314364"/>
              <w:bottom w:val="single" w:sz="4" w:space="0" w:color="314364"/>
            </w:tcBorders>
            <w:vAlign w:val="center"/>
          </w:tcPr>
          <w:p w14:paraId="18A1BE46" w14:textId="77777777" w:rsidR="009F2FCD" w:rsidRPr="00C75134" w:rsidRDefault="009F2FCD" w:rsidP="00C3271C">
            <w:pPr>
              <w:spacing w:after="0"/>
              <w:rPr>
                <w:b/>
                <w:color w:val="576431"/>
              </w:rPr>
            </w:pPr>
            <w:r>
              <w:rPr>
                <w:noProof/>
                <w:lang w:eastAsia="sk-SK"/>
              </w:rPr>
              <w:drawing>
                <wp:inline distT="0" distB="0" distL="0" distR="0" wp14:anchorId="7BEC35E6" wp14:editId="2FDCB277">
                  <wp:extent cx="5759450" cy="2339340"/>
                  <wp:effectExtent l="0" t="0" r="0" b="381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6755022" w14:textId="029B481B" w:rsidR="002C7A6A" w:rsidRDefault="009F2FCD" w:rsidP="009F2FCD">
      <w:pPr>
        <w:pStyle w:val="Zdroj"/>
      </w:pPr>
      <w:r w:rsidRPr="00627D87">
        <w:t xml:space="preserve">Zdroj: </w:t>
      </w:r>
      <w:r>
        <w:t>MF SR; spracovanie NKÚ SR</w:t>
      </w:r>
      <w:r>
        <w:br/>
        <w:t>s – skutočnosť, p – prognóza, ktorá bola uvedená v návrhu RVS na nasledujúci rok</w:t>
      </w:r>
    </w:p>
    <w:p w14:paraId="77E7C00D" w14:textId="46D61667" w:rsidR="00C3271C" w:rsidRPr="009E7E3C" w:rsidRDefault="00024931" w:rsidP="00C3271C">
      <w:r w:rsidRPr="00BA7479">
        <w:rPr>
          <w:b/>
        </w:rPr>
        <w:t>NKÚ SR hodnotí pozitívne, že vzhľadom na pretrvávajúcu neistotu o</w:t>
      </w:r>
      <w:r w:rsidR="00553554">
        <w:rPr>
          <w:b/>
        </w:rPr>
        <w:t xml:space="preserve">hľadom vývoja pandémie </w:t>
      </w:r>
      <w:r w:rsidRPr="00BA7479">
        <w:rPr>
          <w:b/>
        </w:rPr>
        <w:t xml:space="preserve">rezort financií spracoval dva alternatívne scenáre prognózy, </w:t>
      </w:r>
      <w:r w:rsidR="007B045C" w:rsidRPr="00BA7479">
        <w:rPr>
          <w:b/>
        </w:rPr>
        <w:t>ktoré zohľadňujú možné riziká predpokladaného makroekonomického vývoja</w:t>
      </w:r>
      <w:r w:rsidR="007B045C">
        <w:rPr>
          <w:b/>
        </w:rPr>
        <w:t>. Upozorňujeme však na to, že</w:t>
      </w:r>
      <w:r w:rsidR="008122BD">
        <w:rPr>
          <w:b/>
        </w:rPr>
        <w:t xml:space="preserve"> </w:t>
      </w:r>
      <w:r w:rsidR="00691E3F">
        <w:rPr>
          <w:b/>
        </w:rPr>
        <w:t xml:space="preserve">z </w:t>
      </w:r>
      <w:r w:rsidR="007B045C">
        <w:rPr>
          <w:b/>
        </w:rPr>
        <w:t>návrh</w:t>
      </w:r>
      <w:r w:rsidR="00691E3F">
        <w:rPr>
          <w:b/>
        </w:rPr>
        <w:t>u</w:t>
      </w:r>
      <w:r w:rsidR="007B045C">
        <w:rPr>
          <w:b/>
        </w:rPr>
        <w:t xml:space="preserve"> rozpočtu </w:t>
      </w:r>
      <w:r w:rsidR="00691E3F">
        <w:rPr>
          <w:b/>
        </w:rPr>
        <w:t xml:space="preserve">nie je zrejmé, či je pre naplnenie týchto rizikových scenárov </w:t>
      </w:r>
      <w:r w:rsidR="007B045C">
        <w:rPr>
          <w:b/>
        </w:rPr>
        <w:t>vyčlen</w:t>
      </w:r>
      <w:r w:rsidR="00691E3F">
        <w:rPr>
          <w:b/>
        </w:rPr>
        <w:t xml:space="preserve">ená </w:t>
      </w:r>
      <w:r w:rsidR="00553554">
        <w:rPr>
          <w:b/>
        </w:rPr>
        <w:t xml:space="preserve">dostatočná </w:t>
      </w:r>
      <w:r w:rsidR="00691E3F">
        <w:rPr>
          <w:b/>
        </w:rPr>
        <w:t>rezerva</w:t>
      </w:r>
      <w:r w:rsidR="007B045C">
        <w:rPr>
          <w:b/>
        </w:rPr>
        <w:t xml:space="preserve"> </w:t>
      </w:r>
      <w:r w:rsidR="00C264AE">
        <w:rPr>
          <w:b/>
        </w:rPr>
        <w:t xml:space="preserve">v prípade </w:t>
      </w:r>
      <w:r w:rsidR="007B045C">
        <w:rPr>
          <w:b/>
        </w:rPr>
        <w:t>ich naplneni</w:t>
      </w:r>
      <w:r w:rsidR="00C264AE">
        <w:rPr>
          <w:b/>
        </w:rPr>
        <w:t>a</w:t>
      </w:r>
      <w:r w:rsidRPr="00BA7479">
        <w:rPr>
          <w:b/>
        </w:rPr>
        <w:t>.</w:t>
      </w:r>
      <w:r w:rsidR="00C3271C">
        <w:t xml:space="preserve"> V prvom scenári je namodelované riziko opätovného obmedzenia ekonomiky zavedením </w:t>
      </w:r>
      <w:proofErr w:type="spellStart"/>
      <w:r w:rsidR="00C3271C">
        <w:t>lockdownu</w:t>
      </w:r>
      <w:proofErr w:type="spellEnd"/>
      <w:r w:rsidR="00C3271C">
        <w:t xml:space="preserve"> nad rámec súčasného COVID automatu. Sprísnenie opatrení by </w:t>
      </w:r>
      <w:r>
        <w:t>u</w:t>
      </w:r>
      <w:r w:rsidR="00C3271C">
        <w:t xml:space="preserve">tlmilo </w:t>
      </w:r>
      <w:r w:rsidR="00C3271C">
        <w:lastRenderedPageBreak/>
        <w:t xml:space="preserve">ekonomiku v tomto roku o 0,3 p. b. a HDP by </w:t>
      </w:r>
      <w:r>
        <w:t xml:space="preserve">tak </w:t>
      </w:r>
      <w:r w:rsidR="00C3271C">
        <w:t xml:space="preserve">vzrástlo o 3,4 %. Takéto sprísnenie by v budúcom roku </w:t>
      </w:r>
      <w:r w:rsidR="00EC6F47">
        <w:t>spomalilo</w:t>
      </w:r>
      <w:r w:rsidR="00C3271C">
        <w:t xml:space="preserve"> rast HDP o 0,1 p. b. Druhý scenár modeluje riziko nižšieho čerpania zdrojov z EÚ, a to na úrovni 70 % dostupného objemu. Nižšie čerpanie prostriedkov by ekonomiku ovplyvnilo v budúcom roku len mierne (pokles o 0,1 p. b.), no v roku 2023 by </w:t>
      </w:r>
      <w:r w:rsidR="005A7563">
        <w:t xml:space="preserve">rast </w:t>
      </w:r>
      <w:r w:rsidR="00C3271C">
        <w:t xml:space="preserve">HDP </w:t>
      </w:r>
      <w:r w:rsidR="005A7563">
        <w:t>spomalil</w:t>
      </w:r>
      <w:r>
        <w:t xml:space="preserve"> o 1,7 p. b.</w:t>
      </w:r>
    </w:p>
    <w:p w14:paraId="522767EE" w14:textId="6228EDAD" w:rsidR="00CD108B" w:rsidRDefault="00CD108B" w:rsidP="00CD108B">
      <w:r>
        <w:t xml:space="preserve">MF SR sa obáva v septembrovej prognóze silnejšej tretej vlny, ktorá by mohla spôsobiť rast výdavkov na </w:t>
      </w:r>
      <w:proofErr w:type="spellStart"/>
      <w:r>
        <w:t>pandemické</w:t>
      </w:r>
      <w:proofErr w:type="spellEnd"/>
      <w:r>
        <w:t xml:space="preserve"> dávky PN a OČR. Vrchol počtu poberateľov dáv</w:t>
      </w:r>
      <w:r w:rsidR="003B5630">
        <w:t>o</w:t>
      </w:r>
      <w:r>
        <w:t>k odhaduj</w:t>
      </w:r>
      <w:r w:rsidR="003B5630">
        <w:t>e</w:t>
      </w:r>
      <w:r>
        <w:t xml:space="preserve"> v novembri 2021, čo by sa prenieslo aj do roku 2022 s tým, že by sa počet dávok OČR mal ustáliť na priemernú úroveň už pred letom</w:t>
      </w:r>
      <w:r w:rsidR="003B5630">
        <w:t xml:space="preserve"> 2022</w:t>
      </w:r>
      <w:r>
        <w:t>. M</w:t>
      </w:r>
      <w:r w:rsidR="003B5630">
        <w:t>F SR</w:t>
      </w:r>
      <w:r>
        <w:t xml:space="preserve"> počíta v návrhu ŠR na rok 2022 s výrazne nižšou podporou na </w:t>
      </w:r>
      <w:proofErr w:type="spellStart"/>
      <w:r>
        <w:t>pandemickú</w:t>
      </w:r>
      <w:proofErr w:type="spellEnd"/>
      <w:r>
        <w:t xml:space="preserve"> pomoc (0,73 % HDP) ako bola vyčlenená v rokoch 2020 a 2021 (Tabuľka 1). Neistá veľkosť tretej vlny však môže rozpočtované výdavky v budúcom roku navýšiť, tak ako tomu bolo aj v tomto roku. Pôvodne boli </w:t>
      </w:r>
      <w:r w:rsidR="00F969E3">
        <w:t>na rok 2021 rozpočtované</w:t>
      </w:r>
      <w:r>
        <w:t xml:space="preserve"> prostriedky na boj s pandémiou v roku 2021 vo výške 1,1 % HDP, no kvôli silnej druhej vlne na začiatku tohto roka musela vláda navýšiť v polovici rok</w:t>
      </w:r>
      <w:r w:rsidR="00F071B7">
        <w:t>a výdavky o viac ako 2,1 % HDP.</w:t>
      </w:r>
    </w:p>
    <w:p w14:paraId="6C8A62B1" w14:textId="769665E5" w:rsidR="00F071B7" w:rsidRDefault="00F071B7" w:rsidP="00F071B7">
      <w:pPr>
        <w:pStyle w:val="Popis"/>
        <w:keepNext/>
      </w:pPr>
      <w:r>
        <w:t xml:space="preserve">Tabuľka </w:t>
      </w:r>
      <w:fldSimple w:instr=" SEQ Tabuľka \* ARABIC ">
        <w:r w:rsidR="005E7D60">
          <w:rPr>
            <w:noProof/>
          </w:rPr>
          <w:t>1</w:t>
        </w:r>
      </w:fldSimple>
      <w:r>
        <w:t xml:space="preserve">: </w:t>
      </w:r>
      <w:r>
        <w:rPr>
          <w:color w:val="314364"/>
        </w:rPr>
        <w:t xml:space="preserve">Prehľad výdavkov na opatrenia proti </w:t>
      </w:r>
      <w:r w:rsidR="00F969E3">
        <w:rPr>
          <w:color w:val="314364"/>
        </w:rPr>
        <w:t xml:space="preserve">pandémii </w:t>
      </w:r>
      <w:r>
        <w:rPr>
          <w:color w:val="314364"/>
        </w:rPr>
        <w:t xml:space="preserve">COVID-19 </w:t>
      </w:r>
    </w:p>
    <w:tbl>
      <w:tblPr>
        <w:tblpPr w:leftFromText="141" w:rightFromText="141" w:vertAnchor="text" w:horzAnchor="margin" w:tblpXSpec="right" w:tblpY="118"/>
        <w:tblOverlap w:val="never"/>
        <w:tblW w:w="5000" w:type="pct"/>
        <w:tblCellMar>
          <w:top w:w="28" w:type="dxa"/>
        </w:tblCellMar>
        <w:tblLook w:val="04A0" w:firstRow="1" w:lastRow="0" w:firstColumn="1" w:lastColumn="0" w:noHBand="0" w:noVBand="1"/>
      </w:tblPr>
      <w:tblGrid>
        <w:gridCol w:w="2918"/>
        <w:gridCol w:w="705"/>
        <w:gridCol w:w="832"/>
        <w:gridCol w:w="706"/>
        <w:gridCol w:w="833"/>
        <w:gridCol w:w="706"/>
        <w:gridCol w:w="833"/>
        <w:gridCol w:w="706"/>
        <w:gridCol w:w="831"/>
      </w:tblGrid>
      <w:tr w:rsidR="00F071B7" w14:paraId="0C96740C" w14:textId="77777777" w:rsidTr="00381348">
        <w:trPr>
          <w:trHeight w:val="20"/>
        </w:trPr>
        <w:tc>
          <w:tcPr>
            <w:tcW w:w="1609" w:type="pct"/>
            <w:vMerge w:val="restart"/>
            <w:shd w:val="clear" w:color="auto" w:fill="314364"/>
            <w:vAlign w:val="center"/>
          </w:tcPr>
          <w:p w14:paraId="13F92035" w14:textId="77777777" w:rsidR="00F071B7" w:rsidRDefault="00F071B7" w:rsidP="00381348">
            <w:pPr>
              <w:spacing w:after="0" w:line="259" w:lineRule="auto"/>
              <w:jc w:val="left"/>
              <w:rPr>
                <w:b/>
                <w:color w:val="FFFFFF" w:themeColor="background1"/>
                <w:sz w:val="18"/>
              </w:rPr>
            </w:pPr>
            <w:r>
              <w:rPr>
                <w:b/>
                <w:color w:val="FFFFFF" w:themeColor="background1"/>
                <w:sz w:val="18"/>
              </w:rPr>
              <w:t>Ukazovateľ</w:t>
            </w:r>
          </w:p>
        </w:tc>
        <w:tc>
          <w:tcPr>
            <w:tcW w:w="847" w:type="pct"/>
            <w:gridSpan w:val="2"/>
            <w:tcBorders>
              <w:bottom w:val="single" w:sz="4" w:space="0" w:color="314364"/>
            </w:tcBorders>
            <w:shd w:val="clear" w:color="auto" w:fill="314364"/>
            <w:vAlign w:val="center"/>
          </w:tcPr>
          <w:p w14:paraId="57554720" w14:textId="77777777" w:rsidR="00F071B7" w:rsidRDefault="00F071B7" w:rsidP="00381348">
            <w:pPr>
              <w:spacing w:after="0" w:line="259" w:lineRule="auto"/>
              <w:jc w:val="center"/>
              <w:rPr>
                <w:b/>
                <w:color w:val="FFFFFF" w:themeColor="background1"/>
                <w:sz w:val="18"/>
              </w:rPr>
            </w:pPr>
            <w:r>
              <w:rPr>
                <w:b/>
                <w:color w:val="FFFFFF" w:themeColor="background1"/>
                <w:sz w:val="18"/>
              </w:rPr>
              <w:t>2020</w:t>
            </w:r>
          </w:p>
        </w:tc>
        <w:tc>
          <w:tcPr>
            <w:tcW w:w="848" w:type="pct"/>
            <w:gridSpan w:val="2"/>
            <w:tcBorders>
              <w:bottom w:val="single" w:sz="4" w:space="0" w:color="314364"/>
            </w:tcBorders>
            <w:shd w:val="clear" w:color="auto" w:fill="314364"/>
            <w:vAlign w:val="center"/>
          </w:tcPr>
          <w:p w14:paraId="7D968777" w14:textId="77777777" w:rsidR="00F071B7" w:rsidRDefault="00F071B7" w:rsidP="00381348">
            <w:pPr>
              <w:spacing w:after="0" w:line="259" w:lineRule="auto"/>
              <w:jc w:val="center"/>
              <w:rPr>
                <w:b/>
                <w:color w:val="FFFFFF" w:themeColor="background1"/>
                <w:sz w:val="18"/>
              </w:rPr>
            </w:pPr>
            <w:r>
              <w:rPr>
                <w:b/>
                <w:color w:val="FFFFFF" w:themeColor="background1"/>
                <w:sz w:val="18"/>
              </w:rPr>
              <w:t>2021</w:t>
            </w:r>
          </w:p>
        </w:tc>
        <w:tc>
          <w:tcPr>
            <w:tcW w:w="848" w:type="pct"/>
            <w:gridSpan w:val="2"/>
            <w:tcBorders>
              <w:bottom w:val="single" w:sz="4" w:space="0" w:color="314364"/>
            </w:tcBorders>
            <w:shd w:val="clear" w:color="auto" w:fill="314364"/>
            <w:vAlign w:val="center"/>
          </w:tcPr>
          <w:p w14:paraId="12D7CF34" w14:textId="77777777" w:rsidR="00F071B7" w:rsidRDefault="00F071B7" w:rsidP="00381348">
            <w:pPr>
              <w:spacing w:after="0" w:line="259" w:lineRule="auto"/>
              <w:jc w:val="center"/>
              <w:rPr>
                <w:b/>
                <w:color w:val="FFFFFF" w:themeColor="background1"/>
                <w:sz w:val="18"/>
              </w:rPr>
            </w:pPr>
            <w:r>
              <w:rPr>
                <w:b/>
                <w:color w:val="FFFFFF" w:themeColor="background1"/>
                <w:sz w:val="18"/>
              </w:rPr>
              <w:t>2022</w:t>
            </w:r>
          </w:p>
        </w:tc>
        <w:tc>
          <w:tcPr>
            <w:tcW w:w="847" w:type="pct"/>
            <w:gridSpan w:val="2"/>
            <w:tcBorders>
              <w:bottom w:val="single" w:sz="4" w:space="0" w:color="314364"/>
            </w:tcBorders>
            <w:shd w:val="clear" w:color="auto" w:fill="314364"/>
            <w:vAlign w:val="center"/>
          </w:tcPr>
          <w:p w14:paraId="7C34B1D0" w14:textId="77777777" w:rsidR="00F071B7" w:rsidRDefault="00F071B7" w:rsidP="00381348">
            <w:pPr>
              <w:spacing w:after="0" w:line="259" w:lineRule="auto"/>
              <w:jc w:val="center"/>
              <w:rPr>
                <w:b/>
                <w:color w:val="FFFFFF" w:themeColor="background1"/>
                <w:sz w:val="18"/>
              </w:rPr>
            </w:pPr>
            <w:r>
              <w:rPr>
                <w:b/>
                <w:color w:val="FFFFFF" w:themeColor="background1"/>
                <w:sz w:val="18"/>
              </w:rPr>
              <w:t>Spolu</w:t>
            </w:r>
          </w:p>
        </w:tc>
      </w:tr>
      <w:tr w:rsidR="00F071B7" w14:paraId="1F9C6769" w14:textId="77777777" w:rsidTr="00381348">
        <w:trPr>
          <w:trHeight w:val="20"/>
        </w:trPr>
        <w:tc>
          <w:tcPr>
            <w:tcW w:w="1609" w:type="pct"/>
            <w:vMerge/>
            <w:tcBorders>
              <w:bottom w:val="single" w:sz="4" w:space="0" w:color="314364"/>
            </w:tcBorders>
            <w:shd w:val="clear" w:color="auto" w:fill="314364"/>
            <w:vAlign w:val="center"/>
          </w:tcPr>
          <w:p w14:paraId="02EEB107" w14:textId="77777777" w:rsidR="00F071B7" w:rsidRPr="0032280E" w:rsidRDefault="00F071B7" w:rsidP="00381348">
            <w:pPr>
              <w:spacing w:after="0" w:line="259" w:lineRule="auto"/>
              <w:jc w:val="left"/>
              <w:rPr>
                <w:b/>
                <w:color w:val="FFFFFF" w:themeColor="background1"/>
                <w:sz w:val="18"/>
              </w:rPr>
            </w:pPr>
          </w:p>
        </w:tc>
        <w:tc>
          <w:tcPr>
            <w:tcW w:w="389" w:type="pct"/>
            <w:tcBorders>
              <w:bottom w:val="single" w:sz="4" w:space="0" w:color="314364"/>
            </w:tcBorders>
            <w:shd w:val="clear" w:color="auto" w:fill="314364"/>
            <w:vAlign w:val="center"/>
          </w:tcPr>
          <w:p w14:paraId="1A0A03A8" w14:textId="77777777" w:rsidR="00F071B7" w:rsidRDefault="00F071B7" w:rsidP="00381348">
            <w:pPr>
              <w:spacing w:after="0" w:line="259" w:lineRule="auto"/>
              <w:jc w:val="right"/>
              <w:rPr>
                <w:b/>
                <w:color w:val="FFFFFF" w:themeColor="background1"/>
                <w:sz w:val="18"/>
              </w:rPr>
            </w:pPr>
            <w:r>
              <w:rPr>
                <w:b/>
                <w:color w:val="FFFFFF" w:themeColor="background1"/>
                <w:sz w:val="18"/>
              </w:rPr>
              <w:t>v mil.</w:t>
            </w:r>
          </w:p>
        </w:tc>
        <w:tc>
          <w:tcPr>
            <w:tcW w:w="459" w:type="pct"/>
            <w:tcBorders>
              <w:bottom w:val="single" w:sz="4" w:space="0" w:color="314364"/>
            </w:tcBorders>
            <w:shd w:val="clear" w:color="auto" w:fill="314364"/>
            <w:vAlign w:val="center"/>
          </w:tcPr>
          <w:p w14:paraId="0D3AFAA9" w14:textId="77777777" w:rsidR="00F071B7" w:rsidRDefault="00F071B7" w:rsidP="00381348">
            <w:pPr>
              <w:spacing w:after="0" w:line="259" w:lineRule="auto"/>
              <w:jc w:val="center"/>
              <w:rPr>
                <w:b/>
                <w:color w:val="FFFFFF" w:themeColor="background1"/>
                <w:sz w:val="18"/>
              </w:rPr>
            </w:pPr>
            <w:r>
              <w:rPr>
                <w:b/>
                <w:color w:val="FFFFFF" w:themeColor="background1"/>
                <w:sz w:val="18"/>
              </w:rPr>
              <w:t>% HDP</w:t>
            </w:r>
          </w:p>
        </w:tc>
        <w:tc>
          <w:tcPr>
            <w:tcW w:w="389" w:type="pct"/>
            <w:tcBorders>
              <w:bottom w:val="single" w:sz="4" w:space="0" w:color="314364"/>
            </w:tcBorders>
            <w:shd w:val="clear" w:color="auto" w:fill="314364"/>
            <w:vAlign w:val="center"/>
          </w:tcPr>
          <w:p w14:paraId="2AAED979" w14:textId="77777777" w:rsidR="00F071B7" w:rsidRDefault="00F071B7" w:rsidP="00381348">
            <w:pPr>
              <w:spacing w:after="0" w:line="259" w:lineRule="auto"/>
              <w:jc w:val="right"/>
              <w:rPr>
                <w:b/>
                <w:color w:val="FFFFFF" w:themeColor="background1"/>
                <w:sz w:val="18"/>
              </w:rPr>
            </w:pPr>
            <w:r>
              <w:rPr>
                <w:b/>
                <w:color w:val="FFFFFF" w:themeColor="background1"/>
                <w:sz w:val="18"/>
              </w:rPr>
              <w:t>v mil.</w:t>
            </w:r>
          </w:p>
        </w:tc>
        <w:tc>
          <w:tcPr>
            <w:tcW w:w="459" w:type="pct"/>
            <w:tcBorders>
              <w:bottom w:val="single" w:sz="4" w:space="0" w:color="314364"/>
            </w:tcBorders>
            <w:shd w:val="clear" w:color="auto" w:fill="314364"/>
            <w:vAlign w:val="center"/>
          </w:tcPr>
          <w:p w14:paraId="10D9B3A7" w14:textId="77777777" w:rsidR="00F071B7" w:rsidRDefault="00F071B7" w:rsidP="00381348">
            <w:pPr>
              <w:spacing w:after="0" w:line="259" w:lineRule="auto"/>
              <w:jc w:val="center"/>
              <w:rPr>
                <w:b/>
                <w:color w:val="FFFFFF" w:themeColor="background1"/>
                <w:sz w:val="18"/>
              </w:rPr>
            </w:pPr>
            <w:r>
              <w:rPr>
                <w:b/>
                <w:color w:val="FFFFFF" w:themeColor="background1"/>
                <w:sz w:val="18"/>
              </w:rPr>
              <w:t>% HDP</w:t>
            </w:r>
          </w:p>
        </w:tc>
        <w:tc>
          <w:tcPr>
            <w:tcW w:w="389" w:type="pct"/>
            <w:tcBorders>
              <w:bottom w:val="single" w:sz="4" w:space="0" w:color="314364"/>
            </w:tcBorders>
            <w:shd w:val="clear" w:color="auto" w:fill="314364"/>
            <w:vAlign w:val="center"/>
          </w:tcPr>
          <w:p w14:paraId="0ACDC618" w14:textId="77777777" w:rsidR="00F071B7" w:rsidRDefault="00F071B7" w:rsidP="00381348">
            <w:pPr>
              <w:spacing w:after="0" w:line="259" w:lineRule="auto"/>
              <w:jc w:val="right"/>
              <w:rPr>
                <w:b/>
                <w:color w:val="FFFFFF" w:themeColor="background1"/>
                <w:sz w:val="18"/>
              </w:rPr>
            </w:pPr>
            <w:r>
              <w:rPr>
                <w:b/>
                <w:color w:val="FFFFFF" w:themeColor="background1"/>
                <w:sz w:val="18"/>
              </w:rPr>
              <w:t>v mil.</w:t>
            </w:r>
          </w:p>
        </w:tc>
        <w:tc>
          <w:tcPr>
            <w:tcW w:w="459" w:type="pct"/>
            <w:tcBorders>
              <w:bottom w:val="single" w:sz="4" w:space="0" w:color="314364"/>
            </w:tcBorders>
            <w:shd w:val="clear" w:color="auto" w:fill="314364"/>
            <w:vAlign w:val="center"/>
          </w:tcPr>
          <w:p w14:paraId="13353195" w14:textId="77777777" w:rsidR="00F071B7" w:rsidRDefault="00F071B7" w:rsidP="00381348">
            <w:pPr>
              <w:spacing w:after="0" w:line="259" w:lineRule="auto"/>
              <w:jc w:val="center"/>
              <w:rPr>
                <w:b/>
                <w:color w:val="FFFFFF" w:themeColor="background1"/>
                <w:sz w:val="18"/>
              </w:rPr>
            </w:pPr>
            <w:r>
              <w:rPr>
                <w:b/>
                <w:color w:val="FFFFFF" w:themeColor="background1"/>
                <w:sz w:val="18"/>
              </w:rPr>
              <w:t>% HDP</w:t>
            </w:r>
          </w:p>
        </w:tc>
        <w:tc>
          <w:tcPr>
            <w:tcW w:w="389" w:type="pct"/>
            <w:tcBorders>
              <w:bottom w:val="single" w:sz="4" w:space="0" w:color="314364"/>
            </w:tcBorders>
            <w:shd w:val="clear" w:color="auto" w:fill="314364"/>
            <w:vAlign w:val="center"/>
          </w:tcPr>
          <w:p w14:paraId="7ABBD0B5" w14:textId="77777777" w:rsidR="00F071B7" w:rsidRDefault="00F071B7" w:rsidP="00381348">
            <w:pPr>
              <w:spacing w:after="0" w:line="259" w:lineRule="auto"/>
              <w:jc w:val="right"/>
              <w:rPr>
                <w:b/>
                <w:color w:val="FFFFFF" w:themeColor="background1"/>
                <w:sz w:val="18"/>
              </w:rPr>
            </w:pPr>
            <w:r>
              <w:rPr>
                <w:b/>
                <w:color w:val="FFFFFF" w:themeColor="background1"/>
                <w:sz w:val="18"/>
              </w:rPr>
              <w:t>v mil.</w:t>
            </w:r>
          </w:p>
        </w:tc>
        <w:tc>
          <w:tcPr>
            <w:tcW w:w="458" w:type="pct"/>
            <w:tcBorders>
              <w:bottom w:val="single" w:sz="4" w:space="0" w:color="314364"/>
            </w:tcBorders>
            <w:shd w:val="clear" w:color="auto" w:fill="314364"/>
            <w:vAlign w:val="center"/>
          </w:tcPr>
          <w:p w14:paraId="124296B5" w14:textId="77777777" w:rsidR="00F071B7" w:rsidRDefault="00F071B7" w:rsidP="00381348">
            <w:pPr>
              <w:spacing w:after="0" w:line="259" w:lineRule="auto"/>
              <w:jc w:val="center"/>
              <w:rPr>
                <w:b/>
                <w:color w:val="FFFFFF" w:themeColor="background1"/>
                <w:sz w:val="18"/>
              </w:rPr>
            </w:pPr>
            <w:r>
              <w:rPr>
                <w:b/>
                <w:color w:val="FFFFFF" w:themeColor="background1"/>
                <w:sz w:val="18"/>
              </w:rPr>
              <w:t>% HDP</w:t>
            </w:r>
          </w:p>
        </w:tc>
      </w:tr>
      <w:tr w:rsidR="00F071B7" w14:paraId="704286DA" w14:textId="77777777" w:rsidTr="00381348">
        <w:trPr>
          <w:trHeight w:val="20"/>
        </w:trPr>
        <w:tc>
          <w:tcPr>
            <w:tcW w:w="1609" w:type="pct"/>
            <w:tcBorders>
              <w:top w:val="single" w:sz="4" w:space="0" w:color="314364"/>
            </w:tcBorders>
            <w:vAlign w:val="center"/>
          </w:tcPr>
          <w:p w14:paraId="4E37EFD3" w14:textId="77777777" w:rsidR="00F071B7" w:rsidRPr="00480C81" w:rsidRDefault="00F071B7" w:rsidP="00381348">
            <w:pPr>
              <w:spacing w:after="0" w:line="259" w:lineRule="auto"/>
              <w:jc w:val="left"/>
              <w:rPr>
                <w:sz w:val="18"/>
              </w:rPr>
            </w:pPr>
            <w:r>
              <w:rPr>
                <w:sz w:val="18"/>
              </w:rPr>
              <w:t xml:space="preserve">Podpora udržania zamestnanosti </w:t>
            </w:r>
          </w:p>
        </w:tc>
        <w:tc>
          <w:tcPr>
            <w:tcW w:w="389" w:type="pct"/>
            <w:tcBorders>
              <w:top w:val="single" w:sz="4" w:space="0" w:color="314364"/>
            </w:tcBorders>
            <w:vAlign w:val="center"/>
          </w:tcPr>
          <w:p w14:paraId="52F852D5" w14:textId="77777777" w:rsidR="00F071B7" w:rsidRDefault="00F071B7" w:rsidP="00381348">
            <w:pPr>
              <w:spacing w:after="0" w:line="259" w:lineRule="auto"/>
              <w:jc w:val="right"/>
              <w:rPr>
                <w:sz w:val="18"/>
              </w:rPr>
            </w:pPr>
            <w:r>
              <w:rPr>
                <w:sz w:val="18"/>
              </w:rPr>
              <w:t>927</w:t>
            </w:r>
          </w:p>
        </w:tc>
        <w:tc>
          <w:tcPr>
            <w:tcW w:w="459" w:type="pct"/>
            <w:tcBorders>
              <w:top w:val="single" w:sz="4" w:space="0" w:color="314364"/>
            </w:tcBorders>
            <w:vAlign w:val="center"/>
          </w:tcPr>
          <w:p w14:paraId="1B8EA5C6" w14:textId="77777777" w:rsidR="00F071B7" w:rsidRDefault="00F071B7" w:rsidP="00381348">
            <w:pPr>
              <w:spacing w:after="0" w:line="259" w:lineRule="auto"/>
              <w:jc w:val="center"/>
              <w:rPr>
                <w:sz w:val="18"/>
              </w:rPr>
            </w:pPr>
            <w:r>
              <w:rPr>
                <w:sz w:val="18"/>
              </w:rPr>
              <w:t>1,01</w:t>
            </w:r>
          </w:p>
        </w:tc>
        <w:tc>
          <w:tcPr>
            <w:tcW w:w="389" w:type="pct"/>
            <w:tcBorders>
              <w:top w:val="single" w:sz="4" w:space="0" w:color="314364"/>
            </w:tcBorders>
            <w:vAlign w:val="center"/>
          </w:tcPr>
          <w:p w14:paraId="4A7A6217" w14:textId="77777777" w:rsidR="00F071B7" w:rsidRDefault="00F071B7" w:rsidP="00381348">
            <w:pPr>
              <w:spacing w:after="0" w:line="259" w:lineRule="auto"/>
              <w:jc w:val="right"/>
              <w:rPr>
                <w:sz w:val="18"/>
              </w:rPr>
            </w:pPr>
            <w:r>
              <w:rPr>
                <w:sz w:val="18"/>
              </w:rPr>
              <w:t>1 844</w:t>
            </w:r>
          </w:p>
        </w:tc>
        <w:tc>
          <w:tcPr>
            <w:tcW w:w="459" w:type="pct"/>
            <w:tcBorders>
              <w:top w:val="single" w:sz="4" w:space="0" w:color="314364"/>
            </w:tcBorders>
            <w:vAlign w:val="center"/>
          </w:tcPr>
          <w:p w14:paraId="5411D8EE" w14:textId="77777777" w:rsidR="00F071B7" w:rsidRDefault="00F071B7" w:rsidP="00381348">
            <w:pPr>
              <w:spacing w:after="0" w:line="259" w:lineRule="auto"/>
              <w:jc w:val="center"/>
              <w:rPr>
                <w:sz w:val="18"/>
              </w:rPr>
            </w:pPr>
            <w:r>
              <w:rPr>
                <w:sz w:val="18"/>
              </w:rPr>
              <w:t>1,86</w:t>
            </w:r>
          </w:p>
        </w:tc>
        <w:tc>
          <w:tcPr>
            <w:tcW w:w="389" w:type="pct"/>
            <w:tcBorders>
              <w:top w:val="single" w:sz="4" w:space="0" w:color="314364"/>
            </w:tcBorders>
            <w:vAlign w:val="center"/>
          </w:tcPr>
          <w:p w14:paraId="4BBC14BA" w14:textId="77777777" w:rsidR="00F071B7" w:rsidRDefault="00F071B7" w:rsidP="00381348">
            <w:pPr>
              <w:spacing w:after="0" w:line="259" w:lineRule="auto"/>
              <w:jc w:val="right"/>
              <w:rPr>
                <w:sz w:val="18"/>
              </w:rPr>
            </w:pPr>
            <w:r>
              <w:rPr>
                <w:sz w:val="18"/>
              </w:rPr>
              <w:t>330</w:t>
            </w:r>
          </w:p>
        </w:tc>
        <w:tc>
          <w:tcPr>
            <w:tcW w:w="459" w:type="pct"/>
            <w:tcBorders>
              <w:top w:val="single" w:sz="4" w:space="0" w:color="314364"/>
            </w:tcBorders>
            <w:vAlign w:val="center"/>
          </w:tcPr>
          <w:p w14:paraId="0973FD7D" w14:textId="77777777" w:rsidR="00F071B7" w:rsidRDefault="00F071B7" w:rsidP="00381348">
            <w:pPr>
              <w:spacing w:after="0" w:line="259" w:lineRule="auto"/>
              <w:jc w:val="center"/>
              <w:rPr>
                <w:sz w:val="18"/>
              </w:rPr>
            </w:pPr>
            <w:r>
              <w:rPr>
                <w:sz w:val="18"/>
              </w:rPr>
              <w:t>0,31</w:t>
            </w:r>
          </w:p>
        </w:tc>
        <w:tc>
          <w:tcPr>
            <w:tcW w:w="389" w:type="pct"/>
            <w:tcBorders>
              <w:top w:val="single" w:sz="4" w:space="0" w:color="314364"/>
            </w:tcBorders>
            <w:vAlign w:val="center"/>
          </w:tcPr>
          <w:p w14:paraId="41D056B0" w14:textId="77777777" w:rsidR="00F071B7" w:rsidRPr="002929AB" w:rsidRDefault="00F071B7" w:rsidP="00381348">
            <w:pPr>
              <w:spacing w:after="0" w:line="259" w:lineRule="auto"/>
              <w:jc w:val="right"/>
              <w:rPr>
                <w:b/>
                <w:sz w:val="18"/>
              </w:rPr>
            </w:pPr>
            <w:r w:rsidRPr="002929AB">
              <w:rPr>
                <w:b/>
                <w:sz w:val="18"/>
              </w:rPr>
              <w:t>3 067</w:t>
            </w:r>
          </w:p>
        </w:tc>
        <w:tc>
          <w:tcPr>
            <w:tcW w:w="458" w:type="pct"/>
            <w:tcBorders>
              <w:top w:val="single" w:sz="4" w:space="0" w:color="314364"/>
            </w:tcBorders>
            <w:vAlign w:val="center"/>
          </w:tcPr>
          <w:p w14:paraId="709A7334" w14:textId="77777777" w:rsidR="00F071B7" w:rsidRPr="002929AB" w:rsidRDefault="00F071B7" w:rsidP="00381348">
            <w:pPr>
              <w:spacing w:after="0" w:line="259" w:lineRule="auto"/>
              <w:jc w:val="center"/>
              <w:rPr>
                <w:b/>
                <w:sz w:val="18"/>
              </w:rPr>
            </w:pPr>
            <w:r w:rsidRPr="002929AB">
              <w:rPr>
                <w:b/>
                <w:sz w:val="18"/>
              </w:rPr>
              <w:t>3,18</w:t>
            </w:r>
          </w:p>
        </w:tc>
      </w:tr>
      <w:tr w:rsidR="00F071B7" w14:paraId="43008A08" w14:textId="77777777" w:rsidTr="00381348">
        <w:trPr>
          <w:trHeight w:val="20"/>
        </w:trPr>
        <w:tc>
          <w:tcPr>
            <w:tcW w:w="1609" w:type="pct"/>
            <w:vAlign w:val="center"/>
          </w:tcPr>
          <w:p w14:paraId="433C47DD" w14:textId="77777777" w:rsidR="00F071B7" w:rsidRPr="00480C81" w:rsidRDefault="00F071B7" w:rsidP="00381348">
            <w:pPr>
              <w:spacing w:after="0" w:line="259" w:lineRule="auto"/>
              <w:jc w:val="left"/>
              <w:rPr>
                <w:sz w:val="18"/>
              </w:rPr>
            </w:pPr>
            <w:r>
              <w:rPr>
                <w:sz w:val="18"/>
              </w:rPr>
              <w:t>Sociálna pomoc</w:t>
            </w:r>
          </w:p>
        </w:tc>
        <w:tc>
          <w:tcPr>
            <w:tcW w:w="389" w:type="pct"/>
            <w:vAlign w:val="center"/>
          </w:tcPr>
          <w:p w14:paraId="7A9DCE0F" w14:textId="77777777" w:rsidR="00F071B7" w:rsidRPr="00480C81" w:rsidRDefault="00F071B7" w:rsidP="00381348">
            <w:pPr>
              <w:spacing w:after="0" w:line="259" w:lineRule="auto"/>
              <w:jc w:val="right"/>
              <w:rPr>
                <w:sz w:val="18"/>
              </w:rPr>
            </w:pPr>
            <w:r>
              <w:rPr>
                <w:sz w:val="18"/>
              </w:rPr>
              <w:t>301</w:t>
            </w:r>
          </w:p>
        </w:tc>
        <w:tc>
          <w:tcPr>
            <w:tcW w:w="459" w:type="pct"/>
            <w:vAlign w:val="center"/>
          </w:tcPr>
          <w:p w14:paraId="12F7216B" w14:textId="77777777" w:rsidR="00F071B7" w:rsidRPr="00480C81" w:rsidRDefault="00F071B7" w:rsidP="00381348">
            <w:pPr>
              <w:spacing w:after="0" w:line="259" w:lineRule="auto"/>
              <w:jc w:val="center"/>
              <w:rPr>
                <w:sz w:val="18"/>
              </w:rPr>
            </w:pPr>
            <w:r>
              <w:rPr>
                <w:sz w:val="18"/>
              </w:rPr>
              <w:t>0,33</w:t>
            </w:r>
          </w:p>
        </w:tc>
        <w:tc>
          <w:tcPr>
            <w:tcW w:w="389" w:type="pct"/>
            <w:vAlign w:val="center"/>
          </w:tcPr>
          <w:p w14:paraId="2DC9C509" w14:textId="77777777" w:rsidR="00F071B7" w:rsidRPr="00480C81" w:rsidRDefault="00F071B7" w:rsidP="00381348">
            <w:pPr>
              <w:spacing w:after="0" w:line="259" w:lineRule="auto"/>
              <w:jc w:val="right"/>
              <w:rPr>
                <w:sz w:val="18"/>
              </w:rPr>
            </w:pPr>
            <w:r>
              <w:rPr>
                <w:sz w:val="18"/>
              </w:rPr>
              <w:t>504</w:t>
            </w:r>
          </w:p>
        </w:tc>
        <w:tc>
          <w:tcPr>
            <w:tcW w:w="459" w:type="pct"/>
            <w:vAlign w:val="center"/>
          </w:tcPr>
          <w:p w14:paraId="3098C8D5" w14:textId="77777777" w:rsidR="00F071B7" w:rsidRPr="00480C81" w:rsidRDefault="00F071B7" w:rsidP="00381348">
            <w:pPr>
              <w:spacing w:after="0" w:line="259" w:lineRule="auto"/>
              <w:jc w:val="center"/>
              <w:rPr>
                <w:sz w:val="18"/>
              </w:rPr>
            </w:pPr>
            <w:r>
              <w:rPr>
                <w:sz w:val="18"/>
              </w:rPr>
              <w:t>0,52</w:t>
            </w:r>
          </w:p>
        </w:tc>
        <w:tc>
          <w:tcPr>
            <w:tcW w:w="389" w:type="pct"/>
            <w:vAlign w:val="center"/>
          </w:tcPr>
          <w:p w14:paraId="705D4FB2" w14:textId="77777777" w:rsidR="00F071B7" w:rsidRPr="00480C81" w:rsidRDefault="00F071B7" w:rsidP="00381348">
            <w:pPr>
              <w:spacing w:after="0" w:line="259" w:lineRule="auto"/>
              <w:jc w:val="right"/>
              <w:rPr>
                <w:sz w:val="18"/>
              </w:rPr>
            </w:pPr>
            <w:r>
              <w:rPr>
                <w:sz w:val="18"/>
              </w:rPr>
              <w:t>145</w:t>
            </w:r>
          </w:p>
        </w:tc>
        <w:tc>
          <w:tcPr>
            <w:tcW w:w="459" w:type="pct"/>
            <w:vAlign w:val="center"/>
          </w:tcPr>
          <w:p w14:paraId="46C741F8" w14:textId="77777777" w:rsidR="00F071B7" w:rsidRPr="00480C81" w:rsidRDefault="00F071B7" w:rsidP="00381348">
            <w:pPr>
              <w:spacing w:after="0" w:line="259" w:lineRule="auto"/>
              <w:jc w:val="center"/>
              <w:rPr>
                <w:sz w:val="18"/>
              </w:rPr>
            </w:pPr>
            <w:r>
              <w:rPr>
                <w:sz w:val="18"/>
              </w:rPr>
              <w:t>0,14</w:t>
            </w:r>
          </w:p>
        </w:tc>
        <w:tc>
          <w:tcPr>
            <w:tcW w:w="389" w:type="pct"/>
            <w:vAlign w:val="center"/>
          </w:tcPr>
          <w:p w14:paraId="653AACEB" w14:textId="77777777" w:rsidR="00F071B7" w:rsidRPr="002929AB" w:rsidRDefault="00F071B7" w:rsidP="00381348">
            <w:pPr>
              <w:spacing w:after="0" w:line="259" w:lineRule="auto"/>
              <w:jc w:val="right"/>
              <w:rPr>
                <w:b/>
                <w:sz w:val="18"/>
              </w:rPr>
            </w:pPr>
            <w:r w:rsidRPr="002929AB">
              <w:rPr>
                <w:b/>
                <w:sz w:val="18"/>
              </w:rPr>
              <w:t>953</w:t>
            </w:r>
          </w:p>
        </w:tc>
        <w:tc>
          <w:tcPr>
            <w:tcW w:w="458" w:type="pct"/>
            <w:vAlign w:val="center"/>
          </w:tcPr>
          <w:p w14:paraId="1708ADCF" w14:textId="77777777" w:rsidR="00F071B7" w:rsidRPr="002929AB" w:rsidRDefault="00F071B7" w:rsidP="00381348">
            <w:pPr>
              <w:spacing w:after="0" w:line="259" w:lineRule="auto"/>
              <w:jc w:val="center"/>
              <w:rPr>
                <w:b/>
                <w:sz w:val="18"/>
              </w:rPr>
            </w:pPr>
            <w:r w:rsidRPr="002929AB">
              <w:rPr>
                <w:b/>
                <w:sz w:val="18"/>
              </w:rPr>
              <w:t>0,98</w:t>
            </w:r>
          </w:p>
        </w:tc>
      </w:tr>
      <w:tr w:rsidR="00F071B7" w:rsidRPr="00325BDA" w14:paraId="2BF88E75" w14:textId="77777777" w:rsidTr="00381348">
        <w:trPr>
          <w:trHeight w:val="20"/>
        </w:trPr>
        <w:tc>
          <w:tcPr>
            <w:tcW w:w="1609" w:type="pct"/>
            <w:vAlign w:val="center"/>
          </w:tcPr>
          <w:p w14:paraId="06BC38B7" w14:textId="77777777" w:rsidR="00F071B7" w:rsidRPr="00480C81" w:rsidRDefault="00F071B7" w:rsidP="00381348">
            <w:pPr>
              <w:spacing w:after="0" w:line="259" w:lineRule="auto"/>
              <w:jc w:val="left"/>
              <w:rPr>
                <w:sz w:val="18"/>
              </w:rPr>
            </w:pPr>
            <w:r>
              <w:rPr>
                <w:sz w:val="18"/>
              </w:rPr>
              <w:t>Odpustenie daní a odvodov</w:t>
            </w:r>
          </w:p>
        </w:tc>
        <w:tc>
          <w:tcPr>
            <w:tcW w:w="389" w:type="pct"/>
            <w:vAlign w:val="center"/>
          </w:tcPr>
          <w:p w14:paraId="7DD875DB" w14:textId="77777777" w:rsidR="00F071B7" w:rsidRPr="00480C81" w:rsidRDefault="00F071B7" w:rsidP="00381348">
            <w:pPr>
              <w:spacing w:after="0" w:line="259" w:lineRule="auto"/>
              <w:jc w:val="right"/>
              <w:rPr>
                <w:sz w:val="18"/>
              </w:rPr>
            </w:pPr>
            <w:r>
              <w:rPr>
                <w:sz w:val="18"/>
              </w:rPr>
              <w:t>88</w:t>
            </w:r>
          </w:p>
        </w:tc>
        <w:tc>
          <w:tcPr>
            <w:tcW w:w="459" w:type="pct"/>
            <w:vAlign w:val="center"/>
          </w:tcPr>
          <w:p w14:paraId="742E474B" w14:textId="77777777" w:rsidR="00F071B7" w:rsidRPr="00480C81" w:rsidRDefault="00F071B7" w:rsidP="00381348">
            <w:pPr>
              <w:spacing w:after="0" w:line="259" w:lineRule="auto"/>
              <w:jc w:val="center"/>
              <w:rPr>
                <w:sz w:val="18"/>
              </w:rPr>
            </w:pPr>
            <w:r>
              <w:rPr>
                <w:sz w:val="18"/>
              </w:rPr>
              <w:t>0,10</w:t>
            </w:r>
          </w:p>
        </w:tc>
        <w:tc>
          <w:tcPr>
            <w:tcW w:w="389" w:type="pct"/>
            <w:vAlign w:val="center"/>
          </w:tcPr>
          <w:p w14:paraId="2E720873" w14:textId="77777777" w:rsidR="00F071B7" w:rsidRPr="00480C81" w:rsidRDefault="00F071B7" w:rsidP="00381348">
            <w:pPr>
              <w:spacing w:after="0" w:line="259" w:lineRule="auto"/>
              <w:jc w:val="right"/>
              <w:rPr>
                <w:sz w:val="18"/>
              </w:rPr>
            </w:pPr>
            <w:r>
              <w:rPr>
                <w:sz w:val="18"/>
              </w:rPr>
              <w:t>16</w:t>
            </w:r>
          </w:p>
        </w:tc>
        <w:tc>
          <w:tcPr>
            <w:tcW w:w="459" w:type="pct"/>
            <w:vAlign w:val="center"/>
          </w:tcPr>
          <w:p w14:paraId="67BAF586" w14:textId="77777777" w:rsidR="00F071B7" w:rsidRPr="00480C81" w:rsidRDefault="00F071B7" w:rsidP="00381348">
            <w:pPr>
              <w:spacing w:after="0" w:line="259" w:lineRule="auto"/>
              <w:jc w:val="center"/>
              <w:rPr>
                <w:sz w:val="18"/>
              </w:rPr>
            </w:pPr>
            <w:r>
              <w:rPr>
                <w:sz w:val="18"/>
              </w:rPr>
              <w:t>0,02</w:t>
            </w:r>
          </w:p>
        </w:tc>
        <w:tc>
          <w:tcPr>
            <w:tcW w:w="389" w:type="pct"/>
            <w:vAlign w:val="center"/>
          </w:tcPr>
          <w:p w14:paraId="0A69F60B" w14:textId="77777777" w:rsidR="00F071B7" w:rsidRPr="00480C81" w:rsidRDefault="00F071B7" w:rsidP="00381348">
            <w:pPr>
              <w:spacing w:after="0" w:line="259" w:lineRule="auto"/>
              <w:jc w:val="right"/>
              <w:rPr>
                <w:sz w:val="18"/>
              </w:rPr>
            </w:pPr>
            <w:r>
              <w:rPr>
                <w:sz w:val="18"/>
              </w:rPr>
              <w:t>-</w:t>
            </w:r>
          </w:p>
        </w:tc>
        <w:tc>
          <w:tcPr>
            <w:tcW w:w="459" w:type="pct"/>
            <w:vAlign w:val="center"/>
          </w:tcPr>
          <w:p w14:paraId="1E10A7BD" w14:textId="77777777" w:rsidR="00F071B7" w:rsidRPr="00480C81" w:rsidRDefault="00F071B7" w:rsidP="00381348">
            <w:pPr>
              <w:spacing w:after="0" w:line="259" w:lineRule="auto"/>
              <w:jc w:val="center"/>
              <w:rPr>
                <w:sz w:val="18"/>
              </w:rPr>
            </w:pPr>
            <w:r>
              <w:rPr>
                <w:sz w:val="18"/>
              </w:rPr>
              <w:t>-</w:t>
            </w:r>
          </w:p>
        </w:tc>
        <w:tc>
          <w:tcPr>
            <w:tcW w:w="389" w:type="pct"/>
            <w:vAlign w:val="center"/>
          </w:tcPr>
          <w:p w14:paraId="7FFFC9C9" w14:textId="77777777" w:rsidR="00F071B7" w:rsidRPr="002929AB" w:rsidRDefault="00F071B7" w:rsidP="00381348">
            <w:pPr>
              <w:spacing w:after="0" w:line="259" w:lineRule="auto"/>
              <w:jc w:val="right"/>
              <w:rPr>
                <w:b/>
                <w:sz w:val="18"/>
              </w:rPr>
            </w:pPr>
            <w:r w:rsidRPr="002929AB">
              <w:rPr>
                <w:b/>
                <w:sz w:val="18"/>
              </w:rPr>
              <w:t>104</w:t>
            </w:r>
          </w:p>
        </w:tc>
        <w:tc>
          <w:tcPr>
            <w:tcW w:w="458" w:type="pct"/>
            <w:vAlign w:val="center"/>
          </w:tcPr>
          <w:p w14:paraId="12ED12D7" w14:textId="77777777" w:rsidR="00F071B7" w:rsidRPr="002929AB" w:rsidRDefault="00F071B7" w:rsidP="00381348">
            <w:pPr>
              <w:spacing w:after="0" w:line="259" w:lineRule="auto"/>
              <w:jc w:val="center"/>
              <w:rPr>
                <w:b/>
                <w:sz w:val="18"/>
              </w:rPr>
            </w:pPr>
            <w:r w:rsidRPr="002929AB">
              <w:rPr>
                <w:b/>
                <w:sz w:val="18"/>
              </w:rPr>
              <w:t>0,11</w:t>
            </w:r>
          </w:p>
        </w:tc>
      </w:tr>
      <w:tr w:rsidR="00F071B7" w:rsidRPr="00480C81" w14:paraId="75C211F8" w14:textId="77777777" w:rsidTr="00381348">
        <w:trPr>
          <w:trHeight w:val="20"/>
        </w:trPr>
        <w:tc>
          <w:tcPr>
            <w:tcW w:w="1609" w:type="pct"/>
            <w:vAlign w:val="center"/>
          </w:tcPr>
          <w:p w14:paraId="797DFBDD" w14:textId="77777777" w:rsidR="00F071B7" w:rsidRPr="00725098" w:rsidRDefault="00F071B7" w:rsidP="00381348">
            <w:pPr>
              <w:spacing w:after="0" w:line="259" w:lineRule="auto"/>
              <w:jc w:val="left"/>
              <w:rPr>
                <w:sz w:val="18"/>
              </w:rPr>
            </w:pPr>
            <w:r w:rsidRPr="00725098">
              <w:rPr>
                <w:sz w:val="18"/>
              </w:rPr>
              <w:t>Zvýšené výdavky v zdravotníctve</w:t>
            </w:r>
          </w:p>
        </w:tc>
        <w:tc>
          <w:tcPr>
            <w:tcW w:w="389" w:type="pct"/>
            <w:vAlign w:val="center"/>
          </w:tcPr>
          <w:p w14:paraId="7134338F" w14:textId="77777777" w:rsidR="00F071B7" w:rsidRPr="00725098" w:rsidRDefault="00F071B7" w:rsidP="00381348">
            <w:pPr>
              <w:spacing w:after="0" w:line="259" w:lineRule="auto"/>
              <w:jc w:val="right"/>
              <w:rPr>
                <w:sz w:val="18"/>
              </w:rPr>
            </w:pPr>
            <w:r>
              <w:rPr>
                <w:sz w:val="18"/>
              </w:rPr>
              <w:t>377</w:t>
            </w:r>
          </w:p>
        </w:tc>
        <w:tc>
          <w:tcPr>
            <w:tcW w:w="459" w:type="pct"/>
            <w:vAlign w:val="center"/>
          </w:tcPr>
          <w:p w14:paraId="7AAAF2E7" w14:textId="77777777" w:rsidR="00F071B7" w:rsidRPr="00725098" w:rsidRDefault="00F071B7" w:rsidP="00381348">
            <w:pPr>
              <w:spacing w:after="0" w:line="259" w:lineRule="auto"/>
              <w:jc w:val="center"/>
              <w:rPr>
                <w:sz w:val="18"/>
              </w:rPr>
            </w:pPr>
            <w:r>
              <w:rPr>
                <w:sz w:val="18"/>
              </w:rPr>
              <w:t>0,41</w:t>
            </w:r>
          </w:p>
        </w:tc>
        <w:tc>
          <w:tcPr>
            <w:tcW w:w="389" w:type="pct"/>
            <w:vAlign w:val="center"/>
          </w:tcPr>
          <w:p w14:paraId="0B356ECC" w14:textId="77777777" w:rsidR="00F071B7" w:rsidRPr="00725098" w:rsidRDefault="00F071B7" w:rsidP="00381348">
            <w:pPr>
              <w:spacing w:after="0" w:line="259" w:lineRule="auto"/>
              <w:jc w:val="right"/>
              <w:rPr>
                <w:sz w:val="18"/>
              </w:rPr>
            </w:pPr>
            <w:r>
              <w:rPr>
                <w:sz w:val="18"/>
              </w:rPr>
              <w:t>641</w:t>
            </w:r>
          </w:p>
        </w:tc>
        <w:tc>
          <w:tcPr>
            <w:tcW w:w="459" w:type="pct"/>
            <w:vAlign w:val="center"/>
          </w:tcPr>
          <w:p w14:paraId="1BE84AB9" w14:textId="77777777" w:rsidR="00F071B7" w:rsidRPr="00725098" w:rsidRDefault="00F071B7" w:rsidP="00381348">
            <w:pPr>
              <w:spacing w:after="0" w:line="259" w:lineRule="auto"/>
              <w:jc w:val="center"/>
              <w:rPr>
                <w:sz w:val="18"/>
              </w:rPr>
            </w:pPr>
            <w:r>
              <w:rPr>
                <w:sz w:val="18"/>
              </w:rPr>
              <w:t>0,66</w:t>
            </w:r>
          </w:p>
        </w:tc>
        <w:tc>
          <w:tcPr>
            <w:tcW w:w="389" w:type="pct"/>
            <w:vAlign w:val="center"/>
          </w:tcPr>
          <w:p w14:paraId="3987610A" w14:textId="77777777" w:rsidR="00F071B7" w:rsidRPr="00725098" w:rsidRDefault="00F071B7" w:rsidP="00381348">
            <w:pPr>
              <w:spacing w:after="0" w:line="259" w:lineRule="auto"/>
              <w:jc w:val="right"/>
              <w:rPr>
                <w:sz w:val="18"/>
              </w:rPr>
            </w:pPr>
            <w:r>
              <w:rPr>
                <w:sz w:val="18"/>
              </w:rPr>
              <w:t>193</w:t>
            </w:r>
          </w:p>
        </w:tc>
        <w:tc>
          <w:tcPr>
            <w:tcW w:w="459" w:type="pct"/>
            <w:vAlign w:val="center"/>
          </w:tcPr>
          <w:p w14:paraId="19A2A190" w14:textId="77777777" w:rsidR="00F071B7" w:rsidRPr="00725098" w:rsidRDefault="00F071B7" w:rsidP="00381348">
            <w:pPr>
              <w:spacing w:after="0" w:line="259" w:lineRule="auto"/>
              <w:jc w:val="center"/>
              <w:rPr>
                <w:sz w:val="18"/>
              </w:rPr>
            </w:pPr>
            <w:r>
              <w:rPr>
                <w:sz w:val="18"/>
              </w:rPr>
              <w:t>0,18</w:t>
            </w:r>
          </w:p>
        </w:tc>
        <w:tc>
          <w:tcPr>
            <w:tcW w:w="389" w:type="pct"/>
            <w:vAlign w:val="center"/>
          </w:tcPr>
          <w:p w14:paraId="0F1CDE7E" w14:textId="77777777" w:rsidR="00F071B7" w:rsidRPr="002929AB" w:rsidRDefault="00F071B7" w:rsidP="00381348">
            <w:pPr>
              <w:spacing w:after="0" w:line="259" w:lineRule="auto"/>
              <w:jc w:val="right"/>
              <w:rPr>
                <w:b/>
                <w:sz w:val="18"/>
              </w:rPr>
            </w:pPr>
            <w:r w:rsidRPr="002929AB">
              <w:rPr>
                <w:b/>
                <w:sz w:val="18"/>
              </w:rPr>
              <w:t>1 211</w:t>
            </w:r>
          </w:p>
        </w:tc>
        <w:tc>
          <w:tcPr>
            <w:tcW w:w="458" w:type="pct"/>
            <w:vAlign w:val="center"/>
          </w:tcPr>
          <w:p w14:paraId="61903EB2" w14:textId="77777777" w:rsidR="00F071B7" w:rsidRPr="002929AB" w:rsidRDefault="00F071B7" w:rsidP="00381348">
            <w:pPr>
              <w:spacing w:after="0" w:line="259" w:lineRule="auto"/>
              <w:jc w:val="center"/>
              <w:rPr>
                <w:b/>
                <w:sz w:val="18"/>
              </w:rPr>
            </w:pPr>
            <w:r w:rsidRPr="002929AB">
              <w:rPr>
                <w:b/>
                <w:sz w:val="18"/>
              </w:rPr>
              <w:t>1,25</w:t>
            </w:r>
          </w:p>
        </w:tc>
      </w:tr>
      <w:tr w:rsidR="00F071B7" w:rsidRPr="00480C81" w14:paraId="44B505DD" w14:textId="77777777" w:rsidTr="00381348">
        <w:trPr>
          <w:trHeight w:val="20"/>
        </w:trPr>
        <w:tc>
          <w:tcPr>
            <w:tcW w:w="1609" w:type="pct"/>
            <w:vAlign w:val="center"/>
          </w:tcPr>
          <w:p w14:paraId="31385918" w14:textId="77777777" w:rsidR="00F071B7" w:rsidRPr="00725098" w:rsidRDefault="00F071B7" w:rsidP="00381348">
            <w:pPr>
              <w:spacing w:after="0" w:line="259" w:lineRule="auto"/>
              <w:jc w:val="left"/>
              <w:rPr>
                <w:sz w:val="18"/>
              </w:rPr>
            </w:pPr>
            <w:r w:rsidRPr="00725098">
              <w:rPr>
                <w:sz w:val="18"/>
              </w:rPr>
              <w:t>Iné opatrenia</w:t>
            </w:r>
          </w:p>
        </w:tc>
        <w:tc>
          <w:tcPr>
            <w:tcW w:w="389" w:type="pct"/>
            <w:vAlign w:val="center"/>
          </w:tcPr>
          <w:p w14:paraId="59BECD40" w14:textId="77777777" w:rsidR="00F071B7" w:rsidRPr="00725098" w:rsidRDefault="00F071B7" w:rsidP="00381348">
            <w:pPr>
              <w:spacing w:after="0" w:line="259" w:lineRule="auto"/>
              <w:jc w:val="right"/>
              <w:rPr>
                <w:sz w:val="18"/>
              </w:rPr>
            </w:pPr>
            <w:r>
              <w:rPr>
                <w:sz w:val="18"/>
              </w:rPr>
              <w:t>266</w:t>
            </w:r>
          </w:p>
        </w:tc>
        <w:tc>
          <w:tcPr>
            <w:tcW w:w="459" w:type="pct"/>
            <w:vAlign w:val="center"/>
          </w:tcPr>
          <w:p w14:paraId="07D500CC" w14:textId="77777777" w:rsidR="00F071B7" w:rsidRPr="00725098" w:rsidRDefault="00F071B7" w:rsidP="00381348">
            <w:pPr>
              <w:spacing w:after="0" w:line="259" w:lineRule="auto"/>
              <w:jc w:val="center"/>
              <w:rPr>
                <w:sz w:val="18"/>
              </w:rPr>
            </w:pPr>
            <w:r>
              <w:rPr>
                <w:sz w:val="18"/>
              </w:rPr>
              <w:t>0,29</w:t>
            </w:r>
          </w:p>
        </w:tc>
        <w:tc>
          <w:tcPr>
            <w:tcW w:w="389" w:type="pct"/>
            <w:vAlign w:val="center"/>
          </w:tcPr>
          <w:p w14:paraId="118C3ED8" w14:textId="77777777" w:rsidR="00F071B7" w:rsidRPr="00725098" w:rsidRDefault="00F071B7" w:rsidP="00381348">
            <w:pPr>
              <w:spacing w:after="0" w:line="259" w:lineRule="auto"/>
              <w:jc w:val="right"/>
              <w:rPr>
                <w:sz w:val="18"/>
              </w:rPr>
            </w:pPr>
            <w:r>
              <w:rPr>
                <w:sz w:val="18"/>
              </w:rPr>
              <w:t>187</w:t>
            </w:r>
          </w:p>
        </w:tc>
        <w:tc>
          <w:tcPr>
            <w:tcW w:w="459" w:type="pct"/>
            <w:vAlign w:val="center"/>
          </w:tcPr>
          <w:p w14:paraId="4C53A8CE" w14:textId="77777777" w:rsidR="00F071B7" w:rsidRPr="00725098" w:rsidRDefault="00F071B7" w:rsidP="00381348">
            <w:pPr>
              <w:spacing w:after="0" w:line="259" w:lineRule="auto"/>
              <w:jc w:val="center"/>
              <w:rPr>
                <w:sz w:val="18"/>
              </w:rPr>
            </w:pPr>
            <w:r>
              <w:rPr>
                <w:sz w:val="18"/>
              </w:rPr>
              <w:t>0,21</w:t>
            </w:r>
          </w:p>
        </w:tc>
        <w:tc>
          <w:tcPr>
            <w:tcW w:w="389" w:type="pct"/>
            <w:vAlign w:val="center"/>
          </w:tcPr>
          <w:p w14:paraId="407FB37D" w14:textId="77777777" w:rsidR="00F071B7" w:rsidRPr="00725098" w:rsidRDefault="00F071B7" w:rsidP="00381348">
            <w:pPr>
              <w:spacing w:after="0" w:line="259" w:lineRule="auto"/>
              <w:jc w:val="right"/>
              <w:rPr>
                <w:sz w:val="18"/>
              </w:rPr>
            </w:pPr>
            <w:r>
              <w:rPr>
                <w:sz w:val="18"/>
              </w:rPr>
              <w:t>99</w:t>
            </w:r>
          </w:p>
        </w:tc>
        <w:tc>
          <w:tcPr>
            <w:tcW w:w="459" w:type="pct"/>
            <w:vAlign w:val="center"/>
          </w:tcPr>
          <w:p w14:paraId="7E159547" w14:textId="77777777" w:rsidR="00F071B7" w:rsidRPr="00725098" w:rsidRDefault="00F071B7" w:rsidP="00381348">
            <w:pPr>
              <w:spacing w:after="0" w:line="259" w:lineRule="auto"/>
              <w:jc w:val="center"/>
              <w:rPr>
                <w:sz w:val="18"/>
              </w:rPr>
            </w:pPr>
            <w:r>
              <w:rPr>
                <w:sz w:val="18"/>
              </w:rPr>
              <w:t>0,09</w:t>
            </w:r>
          </w:p>
        </w:tc>
        <w:tc>
          <w:tcPr>
            <w:tcW w:w="389" w:type="pct"/>
            <w:vAlign w:val="center"/>
          </w:tcPr>
          <w:p w14:paraId="1D0CC0F4" w14:textId="77777777" w:rsidR="00F071B7" w:rsidRPr="002929AB" w:rsidRDefault="00F071B7" w:rsidP="00381348">
            <w:pPr>
              <w:spacing w:after="0" w:line="259" w:lineRule="auto"/>
              <w:jc w:val="right"/>
              <w:rPr>
                <w:b/>
                <w:sz w:val="18"/>
              </w:rPr>
            </w:pPr>
            <w:r w:rsidRPr="002929AB">
              <w:rPr>
                <w:b/>
                <w:sz w:val="18"/>
              </w:rPr>
              <w:t>572</w:t>
            </w:r>
          </w:p>
        </w:tc>
        <w:tc>
          <w:tcPr>
            <w:tcW w:w="458" w:type="pct"/>
            <w:vAlign w:val="center"/>
          </w:tcPr>
          <w:p w14:paraId="0D53035F" w14:textId="77777777" w:rsidR="00F071B7" w:rsidRPr="002929AB" w:rsidRDefault="00F071B7" w:rsidP="00381348">
            <w:pPr>
              <w:spacing w:after="0" w:line="259" w:lineRule="auto"/>
              <w:jc w:val="center"/>
              <w:rPr>
                <w:b/>
                <w:sz w:val="18"/>
              </w:rPr>
            </w:pPr>
            <w:r w:rsidRPr="002929AB">
              <w:rPr>
                <w:b/>
                <w:sz w:val="18"/>
              </w:rPr>
              <w:t>0,60</w:t>
            </w:r>
          </w:p>
        </w:tc>
      </w:tr>
      <w:tr w:rsidR="00F071B7" w:rsidRPr="00480C81" w14:paraId="2BDA725D" w14:textId="77777777" w:rsidTr="00381348">
        <w:trPr>
          <w:trHeight w:val="20"/>
        </w:trPr>
        <w:tc>
          <w:tcPr>
            <w:tcW w:w="1609" w:type="pct"/>
            <w:vAlign w:val="center"/>
          </w:tcPr>
          <w:p w14:paraId="6FAECB85" w14:textId="77777777" w:rsidR="00F071B7" w:rsidRPr="00725098" w:rsidRDefault="00F071B7" w:rsidP="00381348">
            <w:pPr>
              <w:spacing w:after="0" w:line="259" w:lineRule="auto"/>
              <w:jc w:val="left"/>
              <w:rPr>
                <w:sz w:val="18"/>
              </w:rPr>
            </w:pPr>
            <w:r w:rsidRPr="00725098">
              <w:rPr>
                <w:sz w:val="18"/>
              </w:rPr>
              <w:t>Financovanie z EU zdrojov</w:t>
            </w:r>
          </w:p>
        </w:tc>
        <w:tc>
          <w:tcPr>
            <w:tcW w:w="389" w:type="pct"/>
            <w:vAlign w:val="center"/>
          </w:tcPr>
          <w:p w14:paraId="1FC29E29" w14:textId="77777777" w:rsidR="00F071B7" w:rsidRPr="00725098" w:rsidRDefault="00F071B7" w:rsidP="00381348">
            <w:pPr>
              <w:spacing w:after="0" w:line="259" w:lineRule="auto"/>
              <w:jc w:val="right"/>
              <w:rPr>
                <w:sz w:val="18"/>
              </w:rPr>
            </w:pPr>
            <w:r>
              <w:rPr>
                <w:sz w:val="18"/>
              </w:rPr>
              <w:t>343</w:t>
            </w:r>
          </w:p>
        </w:tc>
        <w:tc>
          <w:tcPr>
            <w:tcW w:w="459" w:type="pct"/>
            <w:vAlign w:val="center"/>
          </w:tcPr>
          <w:p w14:paraId="083A53A7" w14:textId="77777777" w:rsidR="00F071B7" w:rsidRPr="00725098" w:rsidRDefault="00F071B7" w:rsidP="00381348">
            <w:pPr>
              <w:spacing w:after="0" w:line="259" w:lineRule="auto"/>
              <w:jc w:val="center"/>
              <w:rPr>
                <w:sz w:val="18"/>
              </w:rPr>
            </w:pPr>
            <w:r>
              <w:rPr>
                <w:sz w:val="18"/>
              </w:rPr>
              <w:t>0,37</w:t>
            </w:r>
          </w:p>
        </w:tc>
        <w:tc>
          <w:tcPr>
            <w:tcW w:w="389" w:type="pct"/>
            <w:vAlign w:val="center"/>
          </w:tcPr>
          <w:p w14:paraId="40A7EF75" w14:textId="77777777" w:rsidR="00F071B7" w:rsidRPr="00725098" w:rsidRDefault="00F071B7" w:rsidP="00381348">
            <w:pPr>
              <w:spacing w:after="0" w:line="259" w:lineRule="auto"/>
              <w:jc w:val="right"/>
              <w:rPr>
                <w:sz w:val="18"/>
              </w:rPr>
            </w:pPr>
            <w:r>
              <w:rPr>
                <w:sz w:val="18"/>
              </w:rPr>
              <w:t>148</w:t>
            </w:r>
          </w:p>
        </w:tc>
        <w:tc>
          <w:tcPr>
            <w:tcW w:w="459" w:type="pct"/>
            <w:vAlign w:val="center"/>
          </w:tcPr>
          <w:p w14:paraId="059A216A" w14:textId="77777777" w:rsidR="00F071B7" w:rsidRPr="00725098" w:rsidRDefault="00F071B7" w:rsidP="00381348">
            <w:pPr>
              <w:spacing w:after="0" w:line="259" w:lineRule="auto"/>
              <w:jc w:val="center"/>
              <w:rPr>
                <w:sz w:val="18"/>
              </w:rPr>
            </w:pPr>
            <w:r>
              <w:rPr>
                <w:sz w:val="18"/>
              </w:rPr>
              <w:t>0,14</w:t>
            </w:r>
          </w:p>
        </w:tc>
        <w:tc>
          <w:tcPr>
            <w:tcW w:w="389" w:type="pct"/>
            <w:vAlign w:val="center"/>
          </w:tcPr>
          <w:p w14:paraId="0500A50C" w14:textId="77777777" w:rsidR="00F071B7" w:rsidRPr="00725098" w:rsidRDefault="00F071B7" w:rsidP="00381348">
            <w:pPr>
              <w:spacing w:after="0" w:line="259" w:lineRule="auto"/>
              <w:jc w:val="right"/>
              <w:rPr>
                <w:sz w:val="18"/>
              </w:rPr>
            </w:pPr>
            <w:r>
              <w:rPr>
                <w:sz w:val="18"/>
              </w:rPr>
              <w:t>-</w:t>
            </w:r>
          </w:p>
        </w:tc>
        <w:tc>
          <w:tcPr>
            <w:tcW w:w="459" w:type="pct"/>
            <w:vAlign w:val="center"/>
          </w:tcPr>
          <w:p w14:paraId="04C8600E" w14:textId="77777777" w:rsidR="00F071B7" w:rsidRPr="00725098" w:rsidRDefault="00F071B7" w:rsidP="00381348">
            <w:pPr>
              <w:spacing w:after="0" w:line="259" w:lineRule="auto"/>
              <w:jc w:val="center"/>
              <w:rPr>
                <w:sz w:val="18"/>
              </w:rPr>
            </w:pPr>
            <w:r>
              <w:rPr>
                <w:sz w:val="18"/>
              </w:rPr>
              <w:t>-</w:t>
            </w:r>
          </w:p>
        </w:tc>
        <w:tc>
          <w:tcPr>
            <w:tcW w:w="389" w:type="pct"/>
            <w:vAlign w:val="center"/>
          </w:tcPr>
          <w:p w14:paraId="1619B063" w14:textId="77777777" w:rsidR="00F071B7" w:rsidRPr="002929AB" w:rsidRDefault="00F071B7" w:rsidP="00381348">
            <w:pPr>
              <w:spacing w:after="0" w:line="259" w:lineRule="auto"/>
              <w:jc w:val="right"/>
              <w:rPr>
                <w:b/>
                <w:sz w:val="18"/>
              </w:rPr>
            </w:pPr>
            <w:r w:rsidRPr="002929AB">
              <w:rPr>
                <w:b/>
                <w:sz w:val="18"/>
              </w:rPr>
              <w:t>481</w:t>
            </w:r>
          </w:p>
        </w:tc>
        <w:tc>
          <w:tcPr>
            <w:tcW w:w="458" w:type="pct"/>
            <w:vAlign w:val="center"/>
          </w:tcPr>
          <w:p w14:paraId="72907B63" w14:textId="77777777" w:rsidR="00F071B7" w:rsidRPr="002929AB" w:rsidRDefault="00F071B7" w:rsidP="00381348">
            <w:pPr>
              <w:spacing w:after="0" w:line="259" w:lineRule="auto"/>
              <w:jc w:val="center"/>
              <w:rPr>
                <w:b/>
                <w:sz w:val="18"/>
              </w:rPr>
            </w:pPr>
            <w:r w:rsidRPr="002929AB">
              <w:rPr>
                <w:b/>
                <w:sz w:val="18"/>
              </w:rPr>
              <w:t>0,51</w:t>
            </w:r>
          </w:p>
        </w:tc>
      </w:tr>
      <w:tr w:rsidR="00F071B7" w:rsidRPr="00480C81" w14:paraId="4BC75597" w14:textId="77777777" w:rsidTr="00381348">
        <w:trPr>
          <w:trHeight w:val="20"/>
        </w:trPr>
        <w:tc>
          <w:tcPr>
            <w:tcW w:w="1609" w:type="pct"/>
            <w:tcBorders>
              <w:bottom w:val="single" w:sz="4" w:space="0" w:color="314364" w:themeColor="text2"/>
            </w:tcBorders>
            <w:vAlign w:val="center"/>
          </w:tcPr>
          <w:p w14:paraId="766214C0" w14:textId="77777777" w:rsidR="00F071B7" w:rsidRDefault="00F071B7" w:rsidP="00381348">
            <w:pPr>
              <w:spacing w:after="0" w:line="259" w:lineRule="auto"/>
              <w:jc w:val="left"/>
              <w:rPr>
                <w:b/>
                <w:sz w:val="18"/>
              </w:rPr>
            </w:pPr>
            <w:r>
              <w:rPr>
                <w:b/>
                <w:sz w:val="18"/>
              </w:rPr>
              <w:t>Priama pomoc spolu</w:t>
            </w:r>
          </w:p>
        </w:tc>
        <w:tc>
          <w:tcPr>
            <w:tcW w:w="389" w:type="pct"/>
            <w:tcBorders>
              <w:bottom w:val="single" w:sz="4" w:space="0" w:color="314364" w:themeColor="text2"/>
            </w:tcBorders>
            <w:vAlign w:val="center"/>
          </w:tcPr>
          <w:p w14:paraId="2BC30815" w14:textId="77777777" w:rsidR="00F071B7" w:rsidRPr="002B41B6" w:rsidRDefault="00F071B7" w:rsidP="00381348">
            <w:pPr>
              <w:spacing w:after="0" w:line="259" w:lineRule="auto"/>
              <w:jc w:val="right"/>
              <w:rPr>
                <w:b/>
                <w:sz w:val="18"/>
              </w:rPr>
            </w:pPr>
            <w:r w:rsidRPr="002B41B6">
              <w:rPr>
                <w:b/>
                <w:sz w:val="18"/>
              </w:rPr>
              <w:t>1 959</w:t>
            </w:r>
          </w:p>
        </w:tc>
        <w:tc>
          <w:tcPr>
            <w:tcW w:w="459" w:type="pct"/>
            <w:tcBorders>
              <w:bottom w:val="single" w:sz="4" w:space="0" w:color="314364" w:themeColor="text2"/>
            </w:tcBorders>
            <w:vAlign w:val="center"/>
          </w:tcPr>
          <w:p w14:paraId="7419CAB1" w14:textId="77777777" w:rsidR="00F071B7" w:rsidRPr="002B41B6" w:rsidRDefault="00F071B7" w:rsidP="00381348">
            <w:pPr>
              <w:spacing w:after="0" w:line="259" w:lineRule="auto"/>
              <w:jc w:val="center"/>
              <w:rPr>
                <w:b/>
                <w:sz w:val="18"/>
              </w:rPr>
            </w:pPr>
            <w:r w:rsidRPr="002B41B6">
              <w:rPr>
                <w:b/>
                <w:sz w:val="18"/>
              </w:rPr>
              <w:t>2,13</w:t>
            </w:r>
          </w:p>
        </w:tc>
        <w:tc>
          <w:tcPr>
            <w:tcW w:w="389" w:type="pct"/>
            <w:tcBorders>
              <w:bottom w:val="single" w:sz="4" w:space="0" w:color="314364" w:themeColor="text2"/>
            </w:tcBorders>
            <w:vAlign w:val="center"/>
          </w:tcPr>
          <w:p w14:paraId="1C81E9EE" w14:textId="77777777" w:rsidR="00F071B7" w:rsidRPr="002B41B6" w:rsidRDefault="00F071B7" w:rsidP="00381348">
            <w:pPr>
              <w:spacing w:after="0" w:line="259" w:lineRule="auto"/>
              <w:jc w:val="right"/>
              <w:rPr>
                <w:b/>
                <w:sz w:val="18"/>
              </w:rPr>
            </w:pPr>
            <w:r w:rsidRPr="002B41B6">
              <w:rPr>
                <w:b/>
                <w:sz w:val="18"/>
              </w:rPr>
              <w:t>3 182</w:t>
            </w:r>
          </w:p>
        </w:tc>
        <w:tc>
          <w:tcPr>
            <w:tcW w:w="459" w:type="pct"/>
            <w:tcBorders>
              <w:bottom w:val="single" w:sz="4" w:space="0" w:color="314364" w:themeColor="text2"/>
            </w:tcBorders>
            <w:vAlign w:val="center"/>
          </w:tcPr>
          <w:p w14:paraId="3EF80C3A" w14:textId="77777777" w:rsidR="00F071B7" w:rsidRPr="002B41B6" w:rsidRDefault="00F071B7" w:rsidP="00381348">
            <w:pPr>
              <w:spacing w:after="0" w:line="259" w:lineRule="auto"/>
              <w:jc w:val="center"/>
              <w:rPr>
                <w:b/>
                <w:sz w:val="18"/>
              </w:rPr>
            </w:pPr>
            <w:r w:rsidRPr="002B41B6">
              <w:rPr>
                <w:b/>
                <w:sz w:val="18"/>
              </w:rPr>
              <w:t>3,27</w:t>
            </w:r>
          </w:p>
        </w:tc>
        <w:tc>
          <w:tcPr>
            <w:tcW w:w="389" w:type="pct"/>
            <w:tcBorders>
              <w:bottom w:val="single" w:sz="4" w:space="0" w:color="314364" w:themeColor="text2"/>
            </w:tcBorders>
            <w:vAlign w:val="center"/>
          </w:tcPr>
          <w:p w14:paraId="4CF9F2D3" w14:textId="77777777" w:rsidR="00F071B7" w:rsidRPr="002B41B6" w:rsidRDefault="00F071B7" w:rsidP="00381348">
            <w:pPr>
              <w:spacing w:after="0" w:line="259" w:lineRule="auto"/>
              <w:jc w:val="right"/>
              <w:rPr>
                <w:b/>
                <w:sz w:val="18"/>
              </w:rPr>
            </w:pPr>
            <w:r w:rsidRPr="002B41B6">
              <w:rPr>
                <w:b/>
                <w:sz w:val="18"/>
              </w:rPr>
              <w:t>767</w:t>
            </w:r>
          </w:p>
        </w:tc>
        <w:tc>
          <w:tcPr>
            <w:tcW w:w="459" w:type="pct"/>
            <w:tcBorders>
              <w:bottom w:val="single" w:sz="4" w:space="0" w:color="314364" w:themeColor="text2"/>
            </w:tcBorders>
            <w:vAlign w:val="center"/>
          </w:tcPr>
          <w:p w14:paraId="2BE555C1" w14:textId="77777777" w:rsidR="00F071B7" w:rsidRPr="002B41B6" w:rsidRDefault="00F071B7" w:rsidP="00381348">
            <w:pPr>
              <w:spacing w:after="0" w:line="259" w:lineRule="auto"/>
              <w:jc w:val="center"/>
              <w:rPr>
                <w:b/>
                <w:sz w:val="18"/>
              </w:rPr>
            </w:pPr>
            <w:r w:rsidRPr="002B41B6">
              <w:rPr>
                <w:b/>
                <w:sz w:val="18"/>
              </w:rPr>
              <w:t>0,73</w:t>
            </w:r>
          </w:p>
        </w:tc>
        <w:tc>
          <w:tcPr>
            <w:tcW w:w="389" w:type="pct"/>
            <w:tcBorders>
              <w:bottom w:val="single" w:sz="4" w:space="0" w:color="314364" w:themeColor="text2"/>
            </w:tcBorders>
            <w:vAlign w:val="center"/>
          </w:tcPr>
          <w:p w14:paraId="1817A36F" w14:textId="77777777" w:rsidR="00F071B7" w:rsidRPr="002B41B6" w:rsidRDefault="00F071B7" w:rsidP="00381348">
            <w:pPr>
              <w:spacing w:after="0" w:line="259" w:lineRule="auto"/>
              <w:jc w:val="right"/>
              <w:rPr>
                <w:b/>
                <w:sz w:val="18"/>
              </w:rPr>
            </w:pPr>
            <w:r w:rsidRPr="002B41B6">
              <w:rPr>
                <w:b/>
                <w:sz w:val="18"/>
              </w:rPr>
              <w:t>5 908</w:t>
            </w:r>
          </w:p>
        </w:tc>
        <w:tc>
          <w:tcPr>
            <w:tcW w:w="458" w:type="pct"/>
            <w:tcBorders>
              <w:bottom w:val="single" w:sz="4" w:space="0" w:color="314364" w:themeColor="text2"/>
            </w:tcBorders>
            <w:vAlign w:val="center"/>
          </w:tcPr>
          <w:p w14:paraId="5DE59664" w14:textId="77777777" w:rsidR="00F071B7" w:rsidRPr="002B41B6" w:rsidRDefault="00F071B7" w:rsidP="00381348">
            <w:pPr>
              <w:spacing w:after="0" w:line="259" w:lineRule="auto"/>
              <w:jc w:val="center"/>
              <w:rPr>
                <w:b/>
                <w:sz w:val="18"/>
              </w:rPr>
            </w:pPr>
            <w:r w:rsidRPr="002B41B6">
              <w:rPr>
                <w:b/>
                <w:sz w:val="18"/>
              </w:rPr>
              <w:t>6,12</w:t>
            </w:r>
          </w:p>
        </w:tc>
      </w:tr>
    </w:tbl>
    <w:p w14:paraId="392B64D6" w14:textId="4401DA04" w:rsidR="00F071B7" w:rsidRDefault="00F071B7" w:rsidP="00F071B7">
      <w:pPr>
        <w:pStyle w:val="Zdroj"/>
      </w:pPr>
      <w:r>
        <w:t xml:space="preserve">Zdroj: </w:t>
      </w:r>
      <w:r w:rsidR="00B45069">
        <w:t>Návrh r</w:t>
      </w:r>
      <w:r w:rsidR="00462C0B">
        <w:t>ozpočtov</w:t>
      </w:r>
      <w:r w:rsidR="00B45069">
        <w:t>ého</w:t>
      </w:r>
      <w:r w:rsidR="00462C0B">
        <w:t xml:space="preserve"> plán</w:t>
      </w:r>
      <w:r w:rsidR="00B45069">
        <w:t>u SR na rok 2022</w:t>
      </w:r>
    </w:p>
    <w:p w14:paraId="59F546D8" w14:textId="4D082A95" w:rsidR="00BD3507" w:rsidRDefault="00092577" w:rsidP="00BF2818">
      <w:pPr>
        <w:pStyle w:val="Nadpis1"/>
      </w:pPr>
      <w:bookmarkStart w:id="7" w:name="_Toc86396373"/>
      <w:bookmarkStart w:id="8" w:name="_Toc87345106"/>
      <w:bookmarkEnd w:id="6"/>
      <w:r>
        <w:lastRenderedPageBreak/>
        <w:t>Východiskový rámec návrhu RVS</w:t>
      </w:r>
      <w:bookmarkEnd w:id="7"/>
      <w:bookmarkEnd w:id="8"/>
    </w:p>
    <w:p w14:paraId="03C3A9D4" w14:textId="0633434C" w:rsidR="00E2702C" w:rsidRDefault="00E2702C" w:rsidP="00E2702C">
      <w:r>
        <w:t xml:space="preserve">Aj napriek poklesu ekonomiky v roku 2020 dopadol výber daňovo-odvodových príjmov lepšie než predpokladal </w:t>
      </w:r>
      <w:proofErr w:type="spellStart"/>
      <w:r>
        <w:t>VpDP</w:t>
      </w:r>
      <w:proofErr w:type="spellEnd"/>
      <w:r>
        <w:t xml:space="preserve"> v apríli 2020 (prepad o 6,9 %). Celkové príjmy z daní a odvodov neklesli v roku 2020 takmer vôbec (-0,1 %, resp. -42 mil. eur), na čom má zásluhu aj stabilný výber príjmov zo zdanenia práce a spotreby. Aj zväčša </w:t>
      </w:r>
      <w:proofErr w:type="spellStart"/>
      <w:r>
        <w:t>procyklický</w:t>
      </w:r>
      <w:proofErr w:type="spellEnd"/>
      <w:r>
        <w:t xml:space="preserve"> výber DPPO sa udržal na stabilnej úrovni, v roku 2020 klesol len o 1 %. </w:t>
      </w:r>
    </w:p>
    <w:p w14:paraId="0456D33B" w14:textId="53D41694" w:rsidR="00E2702C" w:rsidRDefault="00E2702C" w:rsidP="00E2702C">
      <w:r w:rsidRPr="00AE01AE">
        <w:t xml:space="preserve">Daňové príjmy </w:t>
      </w:r>
      <w:r>
        <w:t xml:space="preserve">VS (v metodike ESA 2010) by sa podľa septembrovej prognózy </w:t>
      </w:r>
      <w:proofErr w:type="spellStart"/>
      <w:r>
        <w:t>VpDP</w:t>
      </w:r>
      <w:proofErr w:type="spellEnd"/>
      <w:r>
        <w:t xml:space="preserve"> mali zvýšiť v roku 2021 oproti schválenému rozpočtu o 1,34 mld. eur (56 % navýšenia tvoria príjmy z DPPO a štvrtinu z DPH).</w:t>
      </w:r>
      <w:r w:rsidRPr="00BA7479">
        <w:t xml:space="preserve"> </w:t>
      </w:r>
      <w:r>
        <w:t xml:space="preserve">Vďaka silnejšiemu rastu spotreby domácností rástol výber DPH v druhom kvartáli medziročne o 7 </w:t>
      </w:r>
      <w:r w:rsidR="00607ED0">
        <w:t> </w:t>
      </w:r>
      <w:r>
        <w:t xml:space="preserve">% a vrátil sa tak k predkrízovým hodnotám. Mimo toho má vláda v pláne (podľa PVV na obdobie rokov 2021 – 2024) zvýšiť ekonomický rast aj pomocou daňovo-odvodovej reformy, ktorá by mala zvýšiť podiel zdaňovania spotreby, majetku a negatívnych </w:t>
      </w:r>
      <w:proofErr w:type="spellStart"/>
      <w:r>
        <w:t>externalít</w:t>
      </w:r>
      <w:proofErr w:type="spellEnd"/>
      <w:r>
        <w:t xml:space="preserve"> a naopak znížiť zdaňovanie ekonomickej aktivity. </w:t>
      </w:r>
      <w:r w:rsidR="00741B19">
        <w:t>Návrh rozpočtu na rok 2022 s touto reformou však nepočíta.</w:t>
      </w:r>
    </w:p>
    <w:p w14:paraId="11F22E2B" w14:textId="2B0D6094" w:rsidR="00E2702C" w:rsidRDefault="00E2702C" w:rsidP="00E2702C">
      <w:r>
        <w:t>Celkové príjmy na rok 2022 sú rozpočtované na úrovni 44,2 mld. eur, čo predstavuje 41,9 % HDP (príjmy sú medziročn</w:t>
      </w:r>
      <w:r w:rsidR="00741B19">
        <w:t>e</w:t>
      </w:r>
      <w:r>
        <w:t xml:space="preserve"> vyššie o 11,4 %</w:t>
      </w:r>
      <w:r w:rsidR="00B07608">
        <w:t xml:space="preserve"> oproti rozpočtu</w:t>
      </w:r>
      <w:r>
        <w:t>). Daňové príjmy svojim rozpočtovaným objemom 20,3 mld. eur (medziročné zvýšenie o 14,2 %) na ďalší rok tak predstavujú hlavný zdroj príjmov rozpočtu. Najväčšiu časť tvorí DPH (7,99 mld. eur) a dane z príjmov (7,82 mld. eur). Druhou najvýznamnejšou časťou rozpočtu sú príspevky na sociálne zabezpečenie, ktoré medziročne vzrástli o 3,9 % na úroveň 15,8 mld. eur.</w:t>
      </w:r>
    </w:p>
    <w:p w14:paraId="7BED1347" w14:textId="47C20C47" w:rsidR="00E2702C" w:rsidRDefault="00E2702C" w:rsidP="00E2702C">
      <w:r w:rsidRPr="00864EAB">
        <w:t xml:space="preserve">Výdavky ŠR (v metodike ESA 2010) by mali v roku 2021 prekročiť </w:t>
      </w:r>
      <w:r w:rsidR="00864EAB">
        <w:t xml:space="preserve">ešte v roku 2020 schválený </w:t>
      </w:r>
      <w:r w:rsidRPr="00864EAB">
        <w:t>rozpočet o 648 mil. eur.</w:t>
      </w:r>
      <w:r>
        <w:t xml:space="preserve"> Primárnym dôvodom je financovanie opatrení proti pandémii nad rámec pôvodne schválenej rezervy o 1,32 mld. eur. Okrem toho došlo v rámci novely zákona o ŠR aj k navýšeniu výdavkov </w:t>
      </w:r>
      <w:r w:rsidRPr="00607ED0">
        <w:t xml:space="preserve">nesúvisiacich s opatreniami proti pandémii v celkovej výške 264 mil. eur </w:t>
      </w:r>
      <w:r w:rsidR="004C00A0" w:rsidRPr="00607ED0">
        <w:t>(</w:t>
      </w:r>
      <w:r w:rsidRPr="00607ED0">
        <w:t>napr. pre Plán obnovy, policajné odchodné či dofinancovanie rozpočtu ZVJS). Aktuálne</w:t>
      </w:r>
      <w:r>
        <w:t xml:space="preserve"> plánované výdavky počítajú na budúci rok s nižšou rezervou na </w:t>
      </w:r>
      <w:proofErr w:type="spellStart"/>
      <w:r>
        <w:t>protipandemické</w:t>
      </w:r>
      <w:proofErr w:type="spellEnd"/>
      <w:r>
        <w:t xml:space="preserve"> opatrenia (0,7 % HDP). Rezerva by mala pokryť najmä výdavky určené na </w:t>
      </w:r>
      <w:r w:rsidRPr="00873CD7">
        <w:rPr>
          <w:i/>
        </w:rPr>
        <w:t>„Prvú pomoc ++“</w:t>
      </w:r>
      <w:r>
        <w:t xml:space="preserve"> za nároky, ktoré vzniknú do konca tohto roka. V priebehu roka 2021 sa tiež prijalo niekoľko legislatívnych zmien, ktoré budú vplývať v nasledujúcich rokoch na výnos daní a odvodov (Tabuľka 2).</w:t>
      </w:r>
    </w:p>
    <w:p w14:paraId="519619DF" w14:textId="4CC6F53B" w:rsidR="00F071B7" w:rsidRDefault="00F071B7" w:rsidP="00F071B7">
      <w:pPr>
        <w:pStyle w:val="Popis"/>
        <w:keepNext/>
      </w:pPr>
      <w:r>
        <w:t xml:space="preserve">Tabuľka </w:t>
      </w:r>
      <w:fldSimple w:instr=" SEQ Tabuľka \* ARABIC ">
        <w:r w:rsidR="005E7D60">
          <w:rPr>
            <w:noProof/>
          </w:rPr>
          <w:t>2</w:t>
        </w:r>
      </w:fldSimple>
      <w:r>
        <w:t xml:space="preserve">: </w:t>
      </w:r>
      <w:r>
        <w:rPr>
          <w:color w:val="314364"/>
        </w:rPr>
        <w:t>Prehľad vplyvu vybraných legislatívnych zmien daní</w:t>
      </w:r>
      <w:r w:rsidR="00783E97">
        <w:rPr>
          <w:color w:val="314364"/>
        </w:rPr>
        <w:t xml:space="preserve"> a </w:t>
      </w:r>
      <w:r w:rsidR="00783E97" w:rsidRPr="00864EAB">
        <w:rPr>
          <w:color w:val="314364"/>
        </w:rPr>
        <w:t>odvodov</w:t>
      </w:r>
    </w:p>
    <w:tbl>
      <w:tblPr>
        <w:tblpPr w:leftFromText="141" w:rightFromText="141" w:vertAnchor="text" w:horzAnchor="margin" w:tblpXSpec="right" w:tblpY="118"/>
        <w:tblOverlap w:val="never"/>
        <w:tblW w:w="5000" w:type="pct"/>
        <w:tblCellMar>
          <w:top w:w="28" w:type="dxa"/>
        </w:tblCellMar>
        <w:tblLook w:val="04A0" w:firstRow="1" w:lastRow="0" w:firstColumn="1" w:lastColumn="0" w:noHBand="0" w:noVBand="1"/>
      </w:tblPr>
      <w:tblGrid>
        <w:gridCol w:w="5702"/>
        <w:gridCol w:w="842"/>
        <w:gridCol w:w="842"/>
        <w:gridCol w:w="842"/>
        <w:gridCol w:w="842"/>
      </w:tblGrid>
      <w:tr w:rsidR="00F071B7" w14:paraId="0361FC3D" w14:textId="77777777" w:rsidTr="005718D5">
        <w:trPr>
          <w:trHeight w:val="20"/>
        </w:trPr>
        <w:tc>
          <w:tcPr>
            <w:tcW w:w="3143" w:type="pct"/>
            <w:tcBorders>
              <w:bottom w:val="single" w:sz="4" w:space="0" w:color="314364"/>
            </w:tcBorders>
            <w:shd w:val="clear" w:color="auto" w:fill="314364"/>
            <w:vAlign w:val="center"/>
          </w:tcPr>
          <w:p w14:paraId="066B4E51" w14:textId="77777777" w:rsidR="00F071B7" w:rsidRPr="0032280E" w:rsidRDefault="00F071B7" w:rsidP="00381348">
            <w:pPr>
              <w:spacing w:after="0" w:line="259" w:lineRule="auto"/>
              <w:jc w:val="left"/>
              <w:rPr>
                <w:b/>
                <w:color w:val="FFFFFF" w:themeColor="background1"/>
                <w:sz w:val="18"/>
              </w:rPr>
            </w:pPr>
            <w:r>
              <w:rPr>
                <w:b/>
                <w:color w:val="FFFFFF" w:themeColor="background1"/>
                <w:sz w:val="18"/>
              </w:rPr>
              <w:t>Ukazovateľ (ESA 2010, mil. eur)</w:t>
            </w:r>
          </w:p>
        </w:tc>
        <w:tc>
          <w:tcPr>
            <w:tcW w:w="464" w:type="pct"/>
            <w:tcBorders>
              <w:bottom w:val="single" w:sz="4" w:space="0" w:color="314364"/>
            </w:tcBorders>
            <w:shd w:val="clear" w:color="auto" w:fill="314364"/>
            <w:vAlign w:val="center"/>
          </w:tcPr>
          <w:p w14:paraId="5DA825C8" w14:textId="77777777" w:rsidR="00F071B7" w:rsidRDefault="00F071B7" w:rsidP="00381348">
            <w:pPr>
              <w:spacing w:after="0" w:line="259" w:lineRule="auto"/>
              <w:jc w:val="center"/>
              <w:rPr>
                <w:b/>
                <w:color w:val="FFFFFF" w:themeColor="background1"/>
                <w:sz w:val="18"/>
              </w:rPr>
            </w:pPr>
            <w:r>
              <w:rPr>
                <w:b/>
                <w:color w:val="FFFFFF" w:themeColor="background1"/>
                <w:sz w:val="18"/>
              </w:rPr>
              <w:t>2021</w:t>
            </w:r>
          </w:p>
        </w:tc>
        <w:tc>
          <w:tcPr>
            <w:tcW w:w="464" w:type="pct"/>
            <w:tcBorders>
              <w:bottom w:val="single" w:sz="4" w:space="0" w:color="314364"/>
            </w:tcBorders>
            <w:shd w:val="clear" w:color="auto" w:fill="314364"/>
            <w:vAlign w:val="center"/>
          </w:tcPr>
          <w:p w14:paraId="16BE57E1" w14:textId="77777777" w:rsidR="00F071B7" w:rsidRPr="0032280E" w:rsidRDefault="00F071B7" w:rsidP="00381348">
            <w:pPr>
              <w:spacing w:after="0" w:line="259" w:lineRule="auto"/>
              <w:jc w:val="center"/>
              <w:rPr>
                <w:b/>
                <w:color w:val="FFFFFF" w:themeColor="background1"/>
                <w:sz w:val="18"/>
              </w:rPr>
            </w:pPr>
            <w:r>
              <w:rPr>
                <w:b/>
                <w:color w:val="FFFFFF" w:themeColor="background1"/>
                <w:sz w:val="18"/>
              </w:rPr>
              <w:t>2022</w:t>
            </w:r>
          </w:p>
        </w:tc>
        <w:tc>
          <w:tcPr>
            <w:tcW w:w="464" w:type="pct"/>
            <w:tcBorders>
              <w:bottom w:val="single" w:sz="4" w:space="0" w:color="314364"/>
            </w:tcBorders>
            <w:shd w:val="clear" w:color="auto" w:fill="314364"/>
            <w:vAlign w:val="center"/>
          </w:tcPr>
          <w:p w14:paraId="1F3E0DA2" w14:textId="77777777" w:rsidR="00F071B7" w:rsidRDefault="00F071B7" w:rsidP="00381348">
            <w:pPr>
              <w:spacing w:after="0" w:line="259" w:lineRule="auto"/>
              <w:jc w:val="center"/>
              <w:rPr>
                <w:b/>
                <w:color w:val="FFFFFF" w:themeColor="background1"/>
                <w:sz w:val="18"/>
              </w:rPr>
            </w:pPr>
            <w:r>
              <w:rPr>
                <w:b/>
                <w:color w:val="FFFFFF" w:themeColor="background1"/>
                <w:sz w:val="18"/>
              </w:rPr>
              <w:t>2023</w:t>
            </w:r>
          </w:p>
        </w:tc>
        <w:tc>
          <w:tcPr>
            <w:tcW w:w="464" w:type="pct"/>
            <w:tcBorders>
              <w:bottom w:val="single" w:sz="4" w:space="0" w:color="314364"/>
            </w:tcBorders>
            <w:shd w:val="clear" w:color="auto" w:fill="314364"/>
            <w:vAlign w:val="center"/>
          </w:tcPr>
          <w:p w14:paraId="2A9DD0DA" w14:textId="77777777" w:rsidR="00F071B7" w:rsidRPr="0032280E" w:rsidRDefault="00F071B7" w:rsidP="00381348">
            <w:pPr>
              <w:spacing w:after="0" w:line="259" w:lineRule="auto"/>
              <w:jc w:val="center"/>
              <w:rPr>
                <w:b/>
                <w:color w:val="FFFFFF" w:themeColor="background1"/>
                <w:sz w:val="18"/>
              </w:rPr>
            </w:pPr>
            <w:r>
              <w:rPr>
                <w:b/>
                <w:color w:val="FFFFFF" w:themeColor="background1"/>
                <w:sz w:val="18"/>
              </w:rPr>
              <w:t>2024</w:t>
            </w:r>
          </w:p>
        </w:tc>
      </w:tr>
      <w:tr w:rsidR="00F071B7" w14:paraId="2756F300" w14:textId="77777777" w:rsidTr="005718D5">
        <w:trPr>
          <w:trHeight w:val="20"/>
        </w:trPr>
        <w:tc>
          <w:tcPr>
            <w:tcW w:w="3143" w:type="pct"/>
            <w:tcBorders>
              <w:top w:val="single" w:sz="4" w:space="0" w:color="314364"/>
            </w:tcBorders>
            <w:vAlign w:val="center"/>
          </w:tcPr>
          <w:p w14:paraId="611656BF" w14:textId="77777777" w:rsidR="00F071B7" w:rsidRPr="00480C81" w:rsidRDefault="00F071B7" w:rsidP="00381348">
            <w:pPr>
              <w:spacing w:after="0" w:line="259" w:lineRule="auto"/>
              <w:rPr>
                <w:sz w:val="18"/>
              </w:rPr>
            </w:pPr>
            <w:r>
              <w:rPr>
                <w:sz w:val="18"/>
              </w:rPr>
              <w:t xml:space="preserve">Úprava sadzieb daní z nehnuteľností </w:t>
            </w:r>
          </w:p>
        </w:tc>
        <w:tc>
          <w:tcPr>
            <w:tcW w:w="464" w:type="pct"/>
            <w:tcBorders>
              <w:top w:val="single" w:sz="4" w:space="0" w:color="314364"/>
            </w:tcBorders>
            <w:vAlign w:val="center"/>
          </w:tcPr>
          <w:p w14:paraId="310ACC22" w14:textId="77777777" w:rsidR="00F071B7" w:rsidRPr="001D3318" w:rsidRDefault="00F071B7" w:rsidP="00381348">
            <w:pPr>
              <w:spacing w:after="0" w:line="259" w:lineRule="auto"/>
              <w:jc w:val="center"/>
              <w:rPr>
                <w:sz w:val="18"/>
              </w:rPr>
            </w:pPr>
            <w:r w:rsidRPr="001D3318">
              <w:rPr>
                <w:sz w:val="18"/>
              </w:rPr>
              <w:t>17</w:t>
            </w:r>
          </w:p>
        </w:tc>
        <w:tc>
          <w:tcPr>
            <w:tcW w:w="464" w:type="pct"/>
            <w:tcBorders>
              <w:top w:val="single" w:sz="4" w:space="0" w:color="314364"/>
            </w:tcBorders>
            <w:shd w:val="clear" w:color="auto" w:fill="auto"/>
            <w:vAlign w:val="center"/>
          </w:tcPr>
          <w:p w14:paraId="0645F9AA" w14:textId="77777777" w:rsidR="00F071B7" w:rsidRPr="001D3318" w:rsidRDefault="00F071B7" w:rsidP="00381348">
            <w:pPr>
              <w:spacing w:after="0" w:line="259" w:lineRule="auto"/>
              <w:jc w:val="center"/>
              <w:rPr>
                <w:sz w:val="18"/>
              </w:rPr>
            </w:pPr>
            <w:r w:rsidRPr="001D3318">
              <w:rPr>
                <w:sz w:val="18"/>
              </w:rPr>
              <w:t>17</w:t>
            </w:r>
          </w:p>
        </w:tc>
        <w:tc>
          <w:tcPr>
            <w:tcW w:w="464" w:type="pct"/>
            <w:tcBorders>
              <w:top w:val="single" w:sz="4" w:space="0" w:color="314364"/>
            </w:tcBorders>
            <w:vAlign w:val="center"/>
          </w:tcPr>
          <w:p w14:paraId="4587A2E8" w14:textId="77777777" w:rsidR="00F071B7" w:rsidRPr="001D3318" w:rsidRDefault="00F071B7" w:rsidP="00381348">
            <w:pPr>
              <w:spacing w:after="0" w:line="259" w:lineRule="auto"/>
              <w:jc w:val="center"/>
              <w:rPr>
                <w:sz w:val="18"/>
              </w:rPr>
            </w:pPr>
            <w:r w:rsidRPr="001D3318">
              <w:rPr>
                <w:sz w:val="18"/>
              </w:rPr>
              <w:t>17</w:t>
            </w:r>
          </w:p>
        </w:tc>
        <w:tc>
          <w:tcPr>
            <w:tcW w:w="464" w:type="pct"/>
            <w:tcBorders>
              <w:top w:val="single" w:sz="4" w:space="0" w:color="314364"/>
            </w:tcBorders>
            <w:vAlign w:val="center"/>
          </w:tcPr>
          <w:p w14:paraId="7F81884D" w14:textId="77777777" w:rsidR="00F071B7" w:rsidRPr="001D3318" w:rsidRDefault="00F071B7" w:rsidP="00381348">
            <w:pPr>
              <w:spacing w:after="0" w:line="259" w:lineRule="auto"/>
              <w:jc w:val="center"/>
              <w:rPr>
                <w:sz w:val="18"/>
              </w:rPr>
            </w:pPr>
            <w:r w:rsidRPr="001D3318">
              <w:rPr>
                <w:sz w:val="18"/>
              </w:rPr>
              <w:t>17</w:t>
            </w:r>
          </w:p>
        </w:tc>
      </w:tr>
      <w:tr w:rsidR="00F071B7" w14:paraId="30270627" w14:textId="77777777" w:rsidTr="005718D5">
        <w:trPr>
          <w:trHeight w:val="20"/>
        </w:trPr>
        <w:tc>
          <w:tcPr>
            <w:tcW w:w="3143" w:type="pct"/>
            <w:vAlign w:val="center"/>
          </w:tcPr>
          <w:p w14:paraId="4DB518BF" w14:textId="77777777" w:rsidR="00F071B7" w:rsidRPr="00480C81" w:rsidRDefault="00F071B7" w:rsidP="00381348">
            <w:pPr>
              <w:spacing w:after="0" w:line="259" w:lineRule="auto"/>
              <w:rPr>
                <w:sz w:val="18"/>
              </w:rPr>
            </w:pPr>
            <w:r>
              <w:rPr>
                <w:sz w:val="18"/>
              </w:rPr>
              <w:t>Oslobodenie rekreačných šekov od daní a odvodov</w:t>
            </w:r>
          </w:p>
        </w:tc>
        <w:tc>
          <w:tcPr>
            <w:tcW w:w="464" w:type="pct"/>
            <w:vAlign w:val="center"/>
          </w:tcPr>
          <w:p w14:paraId="378337BF" w14:textId="77777777" w:rsidR="00F071B7" w:rsidRPr="001D3318" w:rsidRDefault="00F071B7" w:rsidP="00381348">
            <w:pPr>
              <w:spacing w:after="0" w:line="259" w:lineRule="auto"/>
              <w:jc w:val="center"/>
              <w:rPr>
                <w:sz w:val="18"/>
              </w:rPr>
            </w:pPr>
            <w:r w:rsidRPr="001D3318">
              <w:rPr>
                <w:sz w:val="18"/>
              </w:rPr>
              <w:t>10</w:t>
            </w:r>
          </w:p>
        </w:tc>
        <w:tc>
          <w:tcPr>
            <w:tcW w:w="464" w:type="pct"/>
            <w:shd w:val="clear" w:color="auto" w:fill="auto"/>
            <w:vAlign w:val="center"/>
          </w:tcPr>
          <w:p w14:paraId="3FFE647E" w14:textId="77777777" w:rsidR="00F071B7" w:rsidRPr="001D3318" w:rsidRDefault="00F071B7" w:rsidP="00381348">
            <w:pPr>
              <w:spacing w:after="0" w:line="259" w:lineRule="auto"/>
              <w:jc w:val="center"/>
              <w:rPr>
                <w:sz w:val="18"/>
              </w:rPr>
            </w:pPr>
            <w:r w:rsidRPr="001D3318">
              <w:rPr>
                <w:sz w:val="18"/>
              </w:rPr>
              <w:t>10</w:t>
            </w:r>
          </w:p>
        </w:tc>
        <w:tc>
          <w:tcPr>
            <w:tcW w:w="464" w:type="pct"/>
            <w:vAlign w:val="center"/>
          </w:tcPr>
          <w:p w14:paraId="1D6201E7" w14:textId="77777777" w:rsidR="00F071B7" w:rsidRPr="001D3318" w:rsidRDefault="00F071B7" w:rsidP="00381348">
            <w:pPr>
              <w:spacing w:after="0" w:line="259" w:lineRule="auto"/>
              <w:jc w:val="center"/>
              <w:rPr>
                <w:sz w:val="18"/>
              </w:rPr>
            </w:pPr>
            <w:r w:rsidRPr="001D3318">
              <w:rPr>
                <w:sz w:val="18"/>
              </w:rPr>
              <w:t>10</w:t>
            </w:r>
          </w:p>
        </w:tc>
        <w:tc>
          <w:tcPr>
            <w:tcW w:w="464" w:type="pct"/>
            <w:vAlign w:val="center"/>
          </w:tcPr>
          <w:p w14:paraId="53EFC35F" w14:textId="77777777" w:rsidR="00F071B7" w:rsidRPr="001D3318" w:rsidRDefault="00F071B7" w:rsidP="00381348">
            <w:pPr>
              <w:spacing w:after="0" w:line="259" w:lineRule="auto"/>
              <w:jc w:val="center"/>
              <w:rPr>
                <w:sz w:val="18"/>
              </w:rPr>
            </w:pPr>
            <w:r w:rsidRPr="001D3318">
              <w:rPr>
                <w:sz w:val="18"/>
              </w:rPr>
              <w:t>11</w:t>
            </w:r>
          </w:p>
        </w:tc>
      </w:tr>
      <w:tr w:rsidR="00F071B7" w:rsidRPr="00325BDA" w14:paraId="2C0FC93D" w14:textId="77777777" w:rsidTr="005718D5">
        <w:trPr>
          <w:trHeight w:val="20"/>
        </w:trPr>
        <w:tc>
          <w:tcPr>
            <w:tcW w:w="3143" w:type="pct"/>
            <w:vAlign w:val="center"/>
          </w:tcPr>
          <w:p w14:paraId="6423DC8F" w14:textId="77777777" w:rsidR="00F071B7" w:rsidRPr="00480C81" w:rsidRDefault="00F071B7" w:rsidP="00381348">
            <w:pPr>
              <w:spacing w:after="0" w:line="259" w:lineRule="auto"/>
              <w:rPr>
                <w:sz w:val="18"/>
              </w:rPr>
            </w:pPr>
            <w:r>
              <w:rPr>
                <w:sz w:val="18"/>
              </w:rPr>
              <w:t>Zvýšenie spotrebnej dane z tabakových výrobkov</w:t>
            </w:r>
          </w:p>
        </w:tc>
        <w:tc>
          <w:tcPr>
            <w:tcW w:w="464" w:type="pct"/>
            <w:vAlign w:val="center"/>
          </w:tcPr>
          <w:p w14:paraId="4ED14459" w14:textId="77777777" w:rsidR="00F071B7" w:rsidRPr="001D3318" w:rsidRDefault="00F071B7" w:rsidP="00381348">
            <w:pPr>
              <w:spacing w:after="0" w:line="259" w:lineRule="auto"/>
              <w:jc w:val="center"/>
              <w:rPr>
                <w:sz w:val="18"/>
              </w:rPr>
            </w:pPr>
            <w:r w:rsidRPr="001D3318">
              <w:rPr>
                <w:sz w:val="18"/>
              </w:rPr>
              <w:t>8</w:t>
            </w:r>
          </w:p>
        </w:tc>
        <w:tc>
          <w:tcPr>
            <w:tcW w:w="464" w:type="pct"/>
            <w:shd w:val="clear" w:color="auto" w:fill="auto"/>
            <w:vAlign w:val="center"/>
          </w:tcPr>
          <w:p w14:paraId="4D37E179" w14:textId="77777777" w:rsidR="00F071B7" w:rsidRPr="001D3318" w:rsidRDefault="00F071B7" w:rsidP="00381348">
            <w:pPr>
              <w:spacing w:after="0" w:line="259" w:lineRule="auto"/>
              <w:jc w:val="center"/>
              <w:rPr>
                <w:sz w:val="18"/>
              </w:rPr>
            </w:pPr>
            <w:r w:rsidRPr="001D3318">
              <w:rPr>
                <w:sz w:val="18"/>
              </w:rPr>
              <w:t>13</w:t>
            </w:r>
          </w:p>
        </w:tc>
        <w:tc>
          <w:tcPr>
            <w:tcW w:w="464" w:type="pct"/>
            <w:vAlign w:val="center"/>
          </w:tcPr>
          <w:p w14:paraId="73D1C24F" w14:textId="77777777" w:rsidR="00F071B7" w:rsidRPr="001D3318" w:rsidRDefault="00F071B7" w:rsidP="00381348">
            <w:pPr>
              <w:spacing w:after="0" w:line="259" w:lineRule="auto"/>
              <w:jc w:val="center"/>
              <w:rPr>
                <w:sz w:val="18"/>
              </w:rPr>
            </w:pPr>
            <w:r w:rsidRPr="001D3318">
              <w:rPr>
                <w:sz w:val="18"/>
              </w:rPr>
              <w:t>14</w:t>
            </w:r>
          </w:p>
        </w:tc>
        <w:tc>
          <w:tcPr>
            <w:tcW w:w="464" w:type="pct"/>
            <w:vAlign w:val="center"/>
          </w:tcPr>
          <w:p w14:paraId="51184B5B" w14:textId="77777777" w:rsidR="00F071B7" w:rsidRPr="001D3318" w:rsidRDefault="00F071B7" w:rsidP="00381348">
            <w:pPr>
              <w:spacing w:after="0" w:line="259" w:lineRule="auto"/>
              <w:jc w:val="center"/>
              <w:rPr>
                <w:sz w:val="18"/>
              </w:rPr>
            </w:pPr>
            <w:r w:rsidRPr="001D3318">
              <w:rPr>
                <w:sz w:val="18"/>
              </w:rPr>
              <w:t>14</w:t>
            </w:r>
          </w:p>
        </w:tc>
      </w:tr>
      <w:tr w:rsidR="00F071B7" w:rsidRPr="00325BDA" w14:paraId="4044ED25" w14:textId="77777777" w:rsidTr="005718D5">
        <w:trPr>
          <w:trHeight w:val="20"/>
        </w:trPr>
        <w:tc>
          <w:tcPr>
            <w:tcW w:w="3143" w:type="pct"/>
            <w:vAlign w:val="center"/>
          </w:tcPr>
          <w:p w14:paraId="74A7E134" w14:textId="77777777" w:rsidR="00F071B7" w:rsidRDefault="00F071B7" w:rsidP="00381348">
            <w:pPr>
              <w:spacing w:after="0" w:line="259" w:lineRule="auto"/>
              <w:rPr>
                <w:sz w:val="18"/>
              </w:rPr>
            </w:pPr>
            <w:r>
              <w:rPr>
                <w:sz w:val="18"/>
              </w:rPr>
              <w:t>Oprava základu dane DPH pri dodaní tovaru alebo služby</w:t>
            </w:r>
          </w:p>
        </w:tc>
        <w:tc>
          <w:tcPr>
            <w:tcW w:w="464" w:type="pct"/>
            <w:vAlign w:val="center"/>
          </w:tcPr>
          <w:p w14:paraId="677782FF" w14:textId="77777777" w:rsidR="00F071B7" w:rsidRPr="001D3318" w:rsidRDefault="00F071B7" w:rsidP="00381348">
            <w:pPr>
              <w:spacing w:after="0" w:line="259" w:lineRule="auto"/>
              <w:jc w:val="center"/>
              <w:rPr>
                <w:sz w:val="18"/>
              </w:rPr>
            </w:pPr>
            <w:r>
              <w:rPr>
                <w:sz w:val="18"/>
              </w:rPr>
              <w:t>6</w:t>
            </w:r>
          </w:p>
        </w:tc>
        <w:tc>
          <w:tcPr>
            <w:tcW w:w="464" w:type="pct"/>
            <w:shd w:val="clear" w:color="auto" w:fill="auto"/>
            <w:vAlign w:val="center"/>
          </w:tcPr>
          <w:p w14:paraId="6EE95B42" w14:textId="77777777" w:rsidR="00F071B7" w:rsidRPr="001D3318" w:rsidRDefault="00F071B7" w:rsidP="00381348">
            <w:pPr>
              <w:spacing w:after="0" w:line="259" w:lineRule="auto"/>
              <w:jc w:val="center"/>
              <w:rPr>
                <w:sz w:val="18"/>
              </w:rPr>
            </w:pPr>
            <w:r>
              <w:rPr>
                <w:sz w:val="18"/>
              </w:rPr>
              <w:t>6</w:t>
            </w:r>
          </w:p>
        </w:tc>
        <w:tc>
          <w:tcPr>
            <w:tcW w:w="464" w:type="pct"/>
            <w:vAlign w:val="center"/>
          </w:tcPr>
          <w:p w14:paraId="095EDF07" w14:textId="77777777" w:rsidR="00F071B7" w:rsidRPr="001D3318" w:rsidRDefault="00F071B7" w:rsidP="00381348">
            <w:pPr>
              <w:spacing w:after="0" w:line="259" w:lineRule="auto"/>
              <w:jc w:val="center"/>
              <w:rPr>
                <w:sz w:val="18"/>
              </w:rPr>
            </w:pPr>
            <w:r>
              <w:rPr>
                <w:sz w:val="18"/>
              </w:rPr>
              <w:t>6</w:t>
            </w:r>
          </w:p>
        </w:tc>
        <w:tc>
          <w:tcPr>
            <w:tcW w:w="464" w:type="pct"/>
            <w:vAlign w:val="center"/>
          </w:tcPr>
          <w:p w14:paraId="179EC053" w14:textId="77777777" w:rsidR="00F071B7" w:rsidRPr="001D3318" w:rsidRDefault="00F071B7" w:rsidP="00381348">
            <w:pPr>
              <w:spacing w:after="0" w:line="259" w:lineRule="auto"/>
              <w:jc w:val="center"/>
              <w:rPr>
                <w:sz w:val="18"/>
              </w:rPr>
            </w:pPr>
            <w:r>
              <w:rPr>
                <w:sz w:val="18"/>
              </w:rPr>
              <w:t>7</w:t>
            </w:r>
          </w:p>
        </w:tc>
      </w:tr>
      <w:tr w:rsidR="00F071B7" w:rsidRPr="00325BDA" w14:paraId="097066AA" w14:textId="77777777" w:rsidTr="005718D5">
        <w:trPr>
          <w:trHeight w:val="20"/>
        </w:trPr>
        <w:tc>
          <w:tcPr>
            <w:tcW w:w="3143" w:type="pct"/>
            <w:vAlign w:val="center"/>
          </w:tcPr>
          <w:p w14:paraId="2F4A78BD" w14:textId="77777777" w:rsidR="00F071B7" w:rsidRDefault="00F071B7" w:rsidP="00381348">
            <w:pPr>
              <w:spacing w:after="0" w:line="259" w:lineRule="auto"/>
              <w:rPr>
                <w:sz w:val="18"/>
              </w:rPr>
            </w:pPr>
            <w:r>
              <w:rPr>
                <w:sz w:val="18"/>
              </w:rPr>
              <w:t>15 % sadzba DPPO pre firmy s obradom do 100 tis. eur</w:t>
            </w:r>
          </w:p>
        </w:tc>
        <w:tc>
          <w:tcPr>
            <w:tcW w:w="464" w:type="pct"/>
            <w:vAlign w:val="center"/>
          </w:tcPr>
          <w:p w14:paraId="5706AB66" w14:textId="77777777" w:rsidR="00F071B7" w:rsidRPr="001D3318" w:rsidRDefault="00F071B7" w:rsidP="00381348">
            <w:pPr>
              <w:spacing w:after="0" w:line="259" w:lineRule="auto"/>
              <w:jc w:val="center"/>
              <w:rPr>
                <w:sz w:val="18"/>
              </w:rPr>
            </w:pPr>
            <w:r>
              <w:rPr>
                <w:sz w:val="18"/>
              </w:rPr>
              <w:t>4</w:t>
            </w:r>
          </w:p>
        </w:tc>
        <w:tc>
          <w:tcPr>
            <w:tcW w:w="464" w:type="pct"/>
            <w:shd w:val="clear" w:color="auto" w:fill="auto"/>
            <w:vAlign w:val="center"/>
          </w:tcPr>
          <w:p w14:paraId="35EA3F7F" w14:textId="77777777" w:rsidR="00F071B7" w:rsidRPr="001D3318" w:rsidRDefault="00F071B7" w:rsidP="00381348">
            <w:pPr>
              <w:spacing w:after="0" w:line="259" w:lineRule="auto"/>
              <w:jc w:val="center"/>
              <w:rPr>
                <w:sz w:val="18"/>
              </w:rPr>
            </w:pPr>
            <w:r>
              <w:rPr>
                <w:sz w:val="18"/>
              </w:rPr>
              <w:t>4</w:t>
            </w:r>
          </w:p>
        </w:tc>
        <w:tc>
          <w:tcPr>
            <w:tcW w:w="464" w:type="pct"/>
            <w:vAlign w:val="center"/>
          </w:tcPr>
          <w:p w14:paraId="7692C400" w14:textId="77777777" w:rsidR="00F071B7" w:rsidRPr="001D3318" w:rsidRDefault="00F071B7" w:rsidP="00381348">
            <w:pPr>
              <w:spacing w:after="0" w:line="259" w:lineRule="auto"/>
              <w:jc w:val="center"/>
              <w:rPr>
                <w:sz w:val="18"/>
              </w:rPr>
            </w:pPr>
            <w:r>
              <w:rPr>
                <w:sz w:val="18"/>
              </w:rPr>
              <w:t>4</w:t>
            </w:r>
          </w:p>
        </w:tc>
        <w:tc>
          <w:tcPr>
            <w:tcW w:w="464" w:type="pct"/>
            <w:vAlign w:val="center"/>
          </w:tcPr>
          <w:p w14:paraId="77761E2C" w14:textId="77777777" w:rsidR="00F071B7" w:rsidRPr="001D3318" w:rsidRDefault="00F071B7" w:rsidP="00381348">
            <w:pPr>
              <w:spacing w:after="0" w:line="259" w:lineRule="auto"/>
              <w:jc w:val="center"/>
              <w:rPr>
                <w:sz w:val="18"/>
              </w:rPr>
            </w:pPr>
            <w:r>
              <w:rPr>
                <w:sz w:val="18"/>
              </w:rPr>
              <w:t>4</w:t>
            </w:r>
          </w:p>
        </w:tc>
      </w:tr>
      <w:tr w:rsidR="00F071B7" w:rsidRPr="00325BDA" w14:paraId="5C5A910C" w14:textId="77777777" w:rsidTr="005718D5">
        <w:trPr>
          <w:trHeight w:val="20"/>
        </w:trPr>
        <w:tc>
          <w:tcPr>
            <w:tcW w:w="3143" w:type="pct"/>
            <w:vAlign w:val="center"/>
          </w:tcPr>
          <w:p w14:paraId="08F5FDA6" w14:textId="77777777" w:rsidR="00F071B7" w:rsidRDefault="00F071B7" w:rsidP="00381348">
            <w:pPr>
              <w:spacing w:after="0" w:line="259" w:lineRule="auto"/>
              <w:rPr>
                <w:sz w:val="18"/>
              </w:rPr>
            </w:pPr>
            <w:r>
              <w:rPr>
                <w:sz w:val="18"/>
              </w:rPr>
              <w:t>Zníženie hranice na uplatnenie 15 % sadzby dane</w:t>
            </w:r>
          </w:p>
        </w:tc>
        <w:tc>
          <w:tcPr>
            <w:tcW w:w="464" w:type="pct"/>
            <w:vAlign w:val="center"/>
          </w:tcPr>
          <w:p w14:paraId="60107104" w14:textId="77777777" w:rsidR="00F071B7" w:rsidRPr="001D3318" w:rsidRDefault="00F071B7" w:rsidP="00381348">
            <w:pPr>
              <w:spacing w:after="0" w:line="259" w:lineRule="auto"/>
              <w:jc w:val="center"/>
              <w:rPr>
                <w:sz w:val="18"/>
              </w:rPr>
            </w:pPr>
            <w:r>
              <w:rPr>
                <w:sz w:val="18"/>
              </w:rPr>
              <w:t>-2</w:t>
            </w:r>
          </w:p>
        </w:tc>
        <w:tc>
          <w:tcPr>
            <w:tcW w:w="464" w:type="pct"/>
            <w:shd w:val="clear" w:color="auto" w:fill="auto"/>
            <w:vAlign w:val="center"/>
          </w:tcPr>
          <w:p w14:paraId="71CC8AA1" w14:textId="77777777" w:rsidR="00F071B7" w:rsidRPr="001D3318" w:rsidRDefault="00F071B7" w:rsidP="00381348">
            <w:pPr>
              <w:spacing w:after="0" w:line="259" w:lineRule="auto"/>
              <w:jc w:val="center"/>
              <w:rPr>
                <w:sz w:val="18"/>
              </w:rPr>
            </w:pPr>
            <w:r>
              <w:rPr>
                <w:sz w:val="18"/>
              </w:rPr>
              <w:t>-2</w:t>
            </w:r>
          </w:p>
        </w:tc>
        <w:tc>
          <w:tcPr>
            <w:tcW w:w="464" w:type="pct"/>
            <w:vAlign w:val="center"/>
          </w:tcPr>
          <w:p w14:paraId="4EEF3D12" w14:textId="77777777" w:rsidR="00F071B7" w:rsidRPr="001D3318" w:rsidRDefault="00F071B7" w:rsidP="00381348">
            <w:pPr>
              <w:spacing w:after="0" w:line="259" w:lineRule="auto"/>
              <w:jc w:val="center"/>
              <w:rPr>
                <w:sz w:val="18"/>
              </w:rPr>
            </w:pPr>
            <w:r>
              <w:rPr>
                <w:sz w:val="18"/>
              </w:rPr>
              <w:t>-2</w:t>
            </w:r>
          </w:p>
        </w:tc>
        <w:tc>
          <w:tcPr>
            <w:tcW w:w="464" w:type="pct"/>
            <w:vAlign w:val="center"/>
          </w:tcPr>
          <w:p w14:paraId="4B06BBAC" w14:textId="77777777" w:rsidR="00F071B7" w:rsidRPr="001D3318" w:rsidRDefault="00F071B7" w:rsidP="00381348">
            <w:pPr>
              <w:spacing w:after="0" w:line="259" w:lineRule="auto"/>
              <w:jc w:val="center"/>
              <w:rPr>
                <w:sz w:val="18"/>
              </w:rPr>
            </w:pPr>
            <w:r>
              <w:rPr>
                <w:sz w:val="18"/>
              </w:rPr>
              <w:t>-2</w:t>
            </w:r>
          </w:p>
        </w:tc>
      </w:tr>
      <w:tr w:rsidR="00F071B7" w:rsidRPr="00325BDA" w14:paraId="6E1ABAE7" w14:textId="77777777" w:rsidTr="005718D5">
        <w:trPr>
          <w:trHeight w:val="20"/>
        </w:trPr>
        <w:tc>
          <w:tcPr>
            <w:tcW w:w="3143" w:type="pct"/>
            <w:vAlign w:val="center"/>
          </w:tcPr>
          <w:p w14:paraId="197B51DA" w14:textId="77777777" w:rsidR="00F071B7" w:rsidRDefault="00F071B7" w:rsidP="00381348">
            <w:pPr>
              <w:spacing w:after="0" w:line="259" w:lineRule="auto"/>
              <w:rPr>
                <w:sz w:val="18"/>
              </w:rPr>
            </w:pPr>
            <w:r>
              <w:rPr>
                <w:sz w:val="18"/>
              </w:rPr>
              <w:t>Zmeny v dani z motorových vozidiel</w:t>
            </w:r>
          </w:p>
        </w:tc>
        <w:tc>
          <w:tcPr>
            <w:tcW w:w="464" w:type="pct"/>
            <w:vAlign w:val="center"/>
          </w:tcPr>
          <w:p w14:paraId="2AFFDF87" w14:textId="77777777" w:rsidR="00F071B7" w:rsidRPr="001D3318" w:rsidRDefault="00F071B7" w:rsidP="00381348">
            <w:pPr>
              <w:spacing w:after="0" w:line="259" w:lineRule="auto"/>
              <w:jc w:val="center"/>
              <w:rPr>
                <w:sz w:val="18"/>
              </w:rPr>
            </w:pPr>
            <w:r>
              <w:rPr>
                <w:sz w:val="18"/>
              </w:rPr>
              <w:t>-5</w:t>
            </w:r>
          </w:p>
        </w:tc>
        <w:tc>
          <w:tcPr>
            <w:tcW w:w="464" w:type="pct"/>
            <w:shd w:val="clear" w:color="auto" w:fill="auto"/>
            <w:vAlign w:val="center"/>
          </w:tcPr>
          <w:p w14:paraId="352F14E3" w14:textId="77777777" w:rsidR="00F071B7" w:rsidRPr="001D3318" w:rsidRDefault="00F071B7" w:rsidP="00381348">
            <w:pPr>
              <w:spacing w:after="0" w:line="259" w:lineRule="auto"/>
              <w:jc w:val="center"/>
              <w:rPr>
                <w:sz w:val="18"/>
              </w:rPr>
            </w:pPr>
            <w:r>
              <w:rPr>
                <w:sz w:val="18"/>
              </w:rPr>
              <w:t>4</w:t>
            </w:r>
          </w:p>
        </w:tc>
        <w:tc>
          <w:tcPr>
            <w:tcW w:w="464" w:type="pct"/>
            <w:vAlign w:val="center"/>
          </w:tcPr>
          <w:p w14:paraId="6A410FF2" w14:textId="77777777" w:rsidR="00F071B7" w:rsidRPr="001D3318" w:rsidRDefault="00F071B7" w:rsidP="00381348">
            <w:pPr>
              <w:spacing w:after="0" w:line="259" w:lineRule="auto"/>
              <w:jc w:val="center"/>
              <w:rPr>
                <w:sz w:val="18"/>
              </w:rPr>
            </w:pPr>
            <w:r>
              <w:rPr>
                <w:sz w:val="18"/>
              </w:rPr>
              <w:t>4</w:t>
            </w:r>
          </w:p>
        </w:tc>
        <w:tc>
          <w:tcPr>
            <w:tcW w:w="464" w:type="pct"/>
            <w:vAlign w:val="center"/>
          </w:tcPr>
          <w:p w14:paraId="5D0D9BB1" w14:textId="77777777" w:rsidR="00F071B7" w:rsidRPr="001D3318" w:rsidRDefault="00F071B7" w:rsidP="00381348">
            <w:pPr>
              <w:spacing w:after="0" w:line="259" w:lineRule="auto"/>
              <w:jc w:val="center"/>
              <w:rPr>
                <w:sz w:val="18"/>
              </w:rPr>
            </w:pPr>
            <w:r>
              <w:rPr>
                <w:sz w:val="18"/>
              </w:rPr>
              <w:t>4</w:t>
            </w:r>
          </w:p>
        </w:tc>
      </w:tr>
      <w:tr w:rsidR="00F071B7" w:rsidRPr="00325BDA" w14:paraId="2756E62A" w14:textId="77777777" w:rsidTr="005718D5">
        <w:trPr>
          <w:trHeight w:val="20"/>
        </w:trPr>
        <w:tc>
          <w:tcPr>
            <w:tcW w:w="3143" w:type="pct"/>
            <w:vAlign w:val="center"/>
          </w:tcPr>
          <w:p w14:paraId="12811573" w14:textId="77777777" w:rsidR="00F071B7" w:rsidRPr="00783E97" w:rsidRDefault="00F071B7" w:rsidP="00381348">
            <w:pPr>
              <w:spacing w:after="0" w:line="259" w:lineRule="auto"/>
              <w:rPr>
                <w:sz w:val="18"/>
                <w:highlight w:val="yellow"/>
              </w:rPr>
            </w:pPr>
            <w:r w:rsidRPr="00864EAB">
              <w:rPr>
                <w:sz w:val="18"/>
              </w:rPr>
              <w:t>Postupné navyšovanie sadzby do II. piliera</w:t>
            </w:r>
          </w:p>
        </w:tc>
        <w:tc>
          <w:tcPr>
            <w:tcW w:w="464" w:type="pct"/>
            <w:vAlign w:val="center"/>
          </w:tcPr>
          <w:p w14:paraId="7D20950C" w14:textId="77777777" w:rsidR="00F071B7" w:rsidRPr="001D3318" w:rsidRDefault="00F071B7" w:rsidP="00381348">
            <w:pPr>
              <w:spacing w:after="0" w:line="259" w:lineRule="auto"/>
              <w:jc w:val="center"/>
              <w:rPr>
                <w:sz w:val="18"/>
              </w:rPr>
            </w:pPr>
            <w:r>
              <w:rPr>
                <w:sz w:val="18"/>
              </w:rPr>
              <w:t>0</w:t>
            </w:r>
          </w:p>
        </w:tc>
        <w:tc>
          <w:tcPr>
            <w:tcW w:w="464" w:type="pct"/>
            <w:shd w:val="clear" w:color="auto" w:fill="auto"/>
            <w:vAlign w:val="center"/>
          </w:tcPr>
          <w:p w14:paraId="6602D702" w14:textId="77777777" w:rsidR="00F071B7" w:rsidRPr="001D3318" w:rsidRDefault="00F071B7" w:rsidP="00381348">
            <w:pPr>
              <w:spacing w:after="0" w:line="259" w:lineRule="auto"/>
              <w:jc w:val="center"/>
              <w:rPr>
                <w:sz w:val="18"/>
              </w:rPr>
            </w:pPr>
            <w:r>
              <w:rPr>
                <w:sz w:val="18"/>
              </w:rPr>
              <w:t>-2</w:t>
            </w:r>
          </w:p>
        </w:tc>
        <w:tc>
          <w:tcPr>
            <w:tcW w:w="464" w:type="pct"/>
            <w:vAlign w:val="center"/>
          </w:tcPr>
          <w:p w14:paraId="15FF4610" w14:textId="77777777" w:rsidR="00F071B7" w:rsidRPr="001D3318" w:rsidRDefault="00F071B7" w:rsidP="00381348">
            <w:pPr>
              <w:spacing w:after="0" w:line="259" w:lineRule="auto"/>
              <w:jc w:val="center"/>
              <w:rPr>
                <w:sz w:val="18"/>
              </w:rPr>
            </w:pPr>
            <w:r>
              <w:rPr>
                <w:sz w:val="18"/>
              </w:rPr>
              <w:t>-5</w:t>
            </w:r>
          </w:p>
        </w:tc>
        <w:tc>
          <w:tcPr>
            <w:tcW w:w="464" w:type="pct"/>
            <w:vAlign w:val="center"/>
          </w:tcPr>
          <w:p w14:paraId="7D2FA196" w14:textId="77777777" w:rsidR="00F071B7" w:rsidRPr="001D3318" w:rsidRDefault="00F071B7" w:rsidP="00381348">
            <w:pPr>
              <w:spacing w:after="0" w:line="259" w:lineRule="auto"/>
              <w:jc w:val="center"/>
              <w:rPr>
                <w:sz w:val="18"/>
              </w:rPr>
            </w:pPr>
            <w:r>
              <w:rPr>
                <w:sz w:val="18"/>
              </w:rPr>
              <w:t>-8</w:t>
            </w:r>
          </w:p>
        </w:tc>
      </w:tr>
      <w:tr w:rsidR="00F071B7" w:rsidRPr="00480C81" w14:paraId="7B803721" w14:textId="77777777" w:rsidTr="005718D5">
        <w:trPr>
          <w:trHeight w:val="20"/>
        </w:trPr>
        <w:tc>
          <w:tcPr>
            <w:tcW w:w="3143" w:type="pct"/>
            <w:tcBorders>
              <w:bottom w:val="single" w:sz="4" w:space="0" w:color="314364" w:themeColor="text2"/>
            </w:tcBorders>
            <w:vAlign w:val="center"/>
          </w:tcPr>
          <w:p w14:paraId="4BC897AC" w14:textId="77777777" w:rsidR="00F071B7" w:rsidRPr="00480C81" w:rsidRDefault="00F071B7" w:rsidP="00381348">
            <w:pPr>
              <w:spacing w:after="0" w:line="259" w:lineRule="auto"/>
              <w:rPr>
                <w:b/>
                <w:sz w:val="18"/>
              </w:rPr>
            </w:pPr>
            <w:r>
              <w:rPr>
                <w:b/>
                <w:sz w:val="18"/>
              </w:rPr>
              <w:t>Aktualizovaná legislatíva</w:t>
            </w:r>
          </w:p>
        </w:tc>
        <w:tc>
          <w:tcPr>
            <w:tcW w:w="464" w:type="pct"/>
            <w:tcBorders>
              <w:bottom w:val="single" w:sz="4" w:space="0" w:color="314364" w:themeColor="text2"/>
            </w:tcBorders>
            <w:vAlign w:val="center"/>
          </w:tcPr>
          <w:p w14:paraId="696F8716" w14:textId="77777777" w:rsidR="00F071B7" w:rsidRPr="00894453" w:rsidRDefault="00F071B7" w:rsidP="00381348">
            <w:pPr>
              <w:spacing w:after="0" w:line="259" w:lineRule="auto"/>
              <w:jc w:val="center"/>
              <w:rPr>
                <w:b/>
                <w:sz w:val="18"/>
              </w:rPr>
            </w:pPr>
            <w:r w:rsidRPr="00894453">
              <w:rPr>
                <w:b/>
                <w:sz w:val="18"/>
              </w:rPr>
              <w:t>42</w:t>
            </w:r>
          </w:p>
        </w:tc>
        <w:tc>
          <w:tcPr>
            <w:tcW w:w="464" w:type="pct"/>
            <w:tcBorders>
              <w:bottom w:val="single" w:sz="4" w:space="0" w:color="314364" w:themeColor="text2"/>
            </w:tcBorders>
            <w:shd w:val="clear" w:color="auto" w:fill="auto"/>
            <w:vAlign w:val="center"/>
          </w:tcPr>
          <w:p w14:paraId="769E3C84" w14:textId="77777777" w:rsidR="00F071B7" w:rsidRPr="00894453" w:rsidRDefault="00F071B7" w:rsidP="00381348">
            <w:pPr>
              <w:spacing w:after="0" w:line="259" w:lineRule="auto"/>
              <w:jc w:val="center"/>
              <w:rPr>
                <w:b/>
                <w:sz w:val="18"/>
              </w:rPr>
            </w:pPr>
            <w:r w:rsidRPr="00894453">
              <w:rPr>
                <w:b/>
                <w:sz w:val="18"/>
              </w:rPr>
              <w:t>52</w:t>
            </w:r>
          </w:p>
        </w:tc>
        <w:tc>
          <w:tcPr>
            <w:tcW w:w="464" w:type="pct"/>
            <w:tcBorders>
              <w:bottom w:val="single" w:sz="4" w:space="0" w:color="314364" w:themeColor="text2"/>
            </w:tcBorders>
            <w:vAlign w:val="center"/>
          </w:tcPr>
          <w:p w14:paraId="2F8498E1" w14:textId="77777777" w:rsidR="00F071B7" w:rsidRPr="00894453" w:rsidRDefault="00F071B7" w:rsidP="00381348">
            <w:pPr>
              <w:spacing w:after="0" w:line="259" w:lineRule="auto"/>
              <w:jc w:val="center"/>
              <w:rPr>
                <w:b/>
                <w:sz w:val="18"/>
              </w:rPr>
            </w:pPr>
            <w:r w:rsidRPr="00894453">
              <w:rPr>
                <w:b/>
                <w:sz w:val="18"/>
              </w:rPr>
              <w:t>50</w:t>
            </w:r>
          </w:p>
        </w:tc>
        <w:tc>
          <w:tcPr>
            <w:tcW w:w="464" w:type="pct"/>
            <w:tcBorders>
              <w:bottom w:val="single" w:sz="4" w:space="0" w:color="314364" w:themeColor="text2"/>
            </w:tcBorders>
            <w:vAlign w:val="center"/>
          </w:tcPr>
          <w:p w14:paraId="0CE9AC35" w14:textId="77777777" w:rsidR="00F071B7" w:rsidRPr="00894453" w:rsidRDefault="00F071B7" w:rsidP="00381348">
            <w:pPr>
              <w:spacing w:after="0" w:line="259" w:lineRule="auto"/>
              <w:jc w:val="center"/>
              <w:rPr>
                <w:b/>
                <w:sz w:val="18"/>
              </w:rPr>
            </w:pPr>
            <w:r w:rsidRPr="00894453">
              <w:rPr>
                <w:b/>
                <w:sz w:val="18"/>
              </w:rPr>
              <w:t>48</w:t>
            </w:r>
          </w:p>
        </w:tc>
      </w:tr>
    </w:tbl>
    <w:p w14:paraId="00CFF0F1" w14:textId="77777777" w:rsidR="00F071B7" w:rsidRDefault="00F071B7" w:rsidP="00F071B7">
      <w:pPr>
        <w:pStyle w:val="Zdroj"/>
      </w:pPr>
      <w:r>
        <w:t>Zdroj: Návrh RVS na roky 2022 až 2024</w:t>
      </w:r>
    </w:p>
    <w:p w14:paraId="73F8629A" w14:textId="1C2F39D9" w:rsidR="00691C61" w:rsidRPr="006F529C" w:rsidRDefault="00691C61" w:rsidP="00BE49F7">
      <w:pPr>
        <w:rPr>
          <w:b/>
        </w:rPr>
      </w:pPr>
      <w:r>
        <w:t>S cieľom zlepšenia rozpočtového procesu</w:t>
      </w:r>
      <w:r w:rsidR="00626D05" w:rsidRPr="00E2702C">
        <w:rPr>
          <w:rStyle w:val="Odkaznapoznmkupodiarou"/>
          <w:i/>
        </w:rPr>
        <w:footnoteReference w:id="1"/>
      </w:r>
      <w:r w:rsidR="00E2702C" w:rsidRPr="00E2702C">
        <w:rPr>
          <w:i/>
          <w:vertAlign w:val="superscript"/>
        </w:rPr>
        <w:t>)</w:t>
      </w:r>
      <w:r>
        <w:t xml:space="preserve"> </w:t>
      </w:r>
      <w:r w:rsidR="00626D05" w:rsidRPr="00626D05">
        <w:rPr>
          <w:rFonts w:eastAsia="Times New Roman" w:cs="Segoe UI"/>
          <w:bCs/>
          <w:szCs w:val="20"/>
          <w:lang w:eastAsia="sk-SK"/>
        </w:rPr>
        <w:t xml:space="preserve">boli od marca 2021 rozšírené právomoci </w:t>
      </w:r>
      <w:proofErr w:type="spellStart"/>
      <w:r w:rsidR="00626D05" w:rsidRPr="00626D05">
        <w:rPr>
          <w:rFonts w:eastAsia="Times New Roman" w:cs="Segoe UI"/>
          <w:bCs/>
          <w:szCs w:val="20"/>
          <w:lang w:eastAsia="sk-SK"/>
        </w:rPr>
        <w:t>VpDP</w:t>
      </w:r>
      <w:proofErr w:type="spellEnd"/>
      <w:r w:rsidR="00626D05" w:rsidRPr="00626D05">
        <w:rPr>
          <w:rFonts w:eastAsia="Times New Roman" w:cs="Segoe UI"/>
          <w:bCs/>
          <w:i/>
          <w:szCs w:val="20"/>
          <w:vertAlign w:val="superscript"/>
          <w:lang w:eastAsia="sk-SK"/>
        </w:rPr>
        <w:t xml:space="preserve"> </w:t>
      </w:r>
      <w:r w:rsidR="00626D05" w:rsidRPr="00626D05">
        <w:rPr>
          <w:rFonts w:eastAsia="Times New Roman" w:cs="Segoe UI"/>
          <w:bCs/>
          <w:szCs w:val="20"/>
          <w:lang w:eastAsia="sk-SK"/>
        </w:rPr>
        <w:t>o prognózovanie vybraných nedaňových príjmov a výdavkov.</w:t>
      </w:r>
      <w:r w:rsidR="00626D05" w:rsidRPr="00626D05">
        <w:rPr>
          <w:rFonts w:eastAsia="Times New Roman" w:cs="Segoe UI"/>
          <w:b/>
          <w:bCs/>
          <w:szCs w:val="20"/>
          <w:lang w:eastAsia="sk-SK"/>
        </w:rPr>
        <w:t xml:space="preserve"> </w:t>
      </w:r>
      <w:r w:rsidR="00626D05" w:rsidRPr="00626D05">
        <w:rPr>
          <w:rFonts w:eastAsia="Times New Roman" w:cs="Segoe UI"/>
          <w:bCs/>
          <w:szCs w:val="20"/>
          <w:lang w:eastAsia="sk-SK"/>
        </w:rPr>
        <w:t xml:space="preserve">Činnosť </w:t>
      </w:r>
      <w:r w:rsidR="004117E6">
        <w:rPr>
          <w:rFonts w:eastAsia="Times New Roman" w:cs="Segoe UI"/>
          <w:bCs/>
          <w:szCs w:val="20"/>
          <w:lang w:eastAsia="sk-SK"/>
        </w:rPr>
        <w:t xml:space="preserve">výboru </w:t>
      </w:r>
      <w:r w:rsidR="00626D05" w:rsidRPr="00626D05">
        <w:rPr>
          <w:rFonts w:eastAsia="Times New Roman" w:cs="Segoe UI"/>
          <w:bCs/>
          <w:szCs w:val="20"/>
          <w:lang w:eastAsia="sk-SK"/>
        </w:rPr>
        <w:t xml:space="preserve">prispieva k zvýšeniu verejnej kontroly nad procesom tvorby rozpočtu VS prostredníctvom zapojenia odbornej verejnosti do </w:t>
      </w:r>
      <w:r w:rsidR="00626D05" w:rsidRPr="00626D05">
        <w:rPr>
          <w:rFonts w:eastAsia="Times New Roman" w:cs="Segoe UI"/>
          <w:bCs/>
          <w:szCs w:val="20"/>
          <w:lang w:eastAsia="sk-SK"/>
        </w:rPr>
        <w:lastRenderedPageBreak/>
        <w:t xml:space="preserve">diskusie. </w:t>
      </w:r>
      <w:r w:rsidR="00D77CAE">
        <w:rPr>
          <w:rFonts w:eastAsia="Times New Roman" w:cs="Segoe UI"/>
          <w:bCs/>
          <w:szCs w:val="20"/>
          <w:lang w:eastAsia="sk-SK"/>
        </w:rPr>
        <w:t>Postupne</w:t>
      </w:r>
      <w:r w:rsidR="004117E6">
        <w:rPr>
          <w:rFonts w:eastAsia="Times New Roman" w:cs="Segoe UI"/>
          <w:bCs/>
          <w:szCs w:val="20"/>
          <w:lang w:eastAsia="sk-SK"/>
        </w:rPr>
        <w:t xml:space="preserve"> sa </w:t>
      </w:r>
      <w:r w:rsidR="00D77CAE">
        <w:rPr>
          <w:rFonts w:eastAsia="Times New Roman" w:cs="Segoe UI"/>
          <w:bCs/>
          <w:szCs w:val="20"/>
          <w:lang w:eastAsia="sk-SK"/>
        </w:rPr>
        <w:t>v</w:t>
      </w:r>
      <w:r w:rsidR="00626D05" w:rsidRPr="00626D05">
        <w:rPr>
          <w:rFonts w:eastAsia="Times New Roman" w:cs="Segoe UI"/>
          <w:bCs/>
          <w:szCs w:val="20"/>
          <w:lang w:eastAsia="sk-SK"/>
        </w:rPr>
        <w:t> marci a septembri 2021 prognózy rozšírili o nedaňové príjmy za približne 1,1 mld. eur a výdavky za 7 až 8 mld. eur</w:t>
      </w:r>
      <w:r w:rsidR="00D77CAE">
        <w:rPr>
          <w:rFonts w:eastAsia="Times New Roman" w:cs="Segoe UI"/>
          <w:bCs/>
          <w:szCs w:val="20"/>
          <w:lang w:eastAsia="sk-SK"/>
        </w:rPr>
        <w:t>.</w:t>
      </w:r>
      <w:r w:rsidR="00626D05" w:rsidRPr="00626D05">
        <w:rPr>
          <w:rFonts w:eastAsia="Times New Roman" w:cs="Segoe UI"/>
          <w:bCs/>
          <w:szCs w:val="20"/>
          <w:lang w:eastAsia="sk-SK"/>
        </w:rPr>
        <w:t xml:space="preserve"> </w:t>
      </w:r>
      <w:r w:rsidR="004117E6">
        <w:rPr>
          <w:rFonts w:eastAsia="Times New Roman" w:cs="Segoe UI"/>
          <w:bCs/>
          <w:szCs w:val="20"/>
          <w:lang w:eastAsia="sk-SK"/>
        </w:rPr>
        <w:t xml:space="preserve">Ide o </w:t>
      </w:r>
      <w:r w:rsidR="00626D05" w:rsidRPr="00626D05">
        <w:rPr>
          <w:rFonts w:eastAsia="Times New Roman" w:cs="Segoe UI"/>
          <w:bCs/>
          <w:szCs w:val="20"/>
          <w:lang w:eastAsia="sk-SK"/>
        </w:rPr>
        <w:t>príjmy z</w:t>
      </w:r>
      <w:r w:rsidR="00D77CAE">
        <w:rPr>
          <w:rFonts w:eastAsia="Times New Roman" w:cs="Segoe UI"/>
          <w:bCs/>
          <w:szCs w:val="20"/>
          <w:lang w:eastAsia="sk-SK"/>
        </w:rPr>
        <w:t> obchodovania s </w:t>
      </w:r>
      <w:r w:rsidR="00626D05" w:rsidRPr="00626D05">
        <w:rPr>
          <w:rFonts w:eastAsia="Times New Roman" w:cs="Segoe UI"/>
          <w:bCs/>
          <w:szCs w:val="20"/>
          <w:lang w:eastAsia="sk-SK"/>
        </w:rPr>
        <w:t>emisný</w:t>
      </w:r>
      <w:r w:rsidR="00D77CAE">
        <w:rPr>
          <w:rFonts w:eastAsia="Times New Roman" w:cs="Segoe UI"/>
          <w:bCs/>
          <w:szCs w:val="20"/>
          <w:lang w:eastAsia="sk-SK"/>
        </w:rPr>
        <w:t>mi kvótami</w:t>
      </w:r>
      <w:r w:rsidR="00626D05" w:rsidRPr="00626D05">
        <w:rPr>
          <w:rFonts w:eastAsia="Times New Roman" w:cs="Segoe UI"/>
          <w:bCs/>
          <w:szCs w:val="20"/>
          <w:lang w:eastAsia="sk-SK"/>
        </w:rPr>
        <w:t xml:space="preserve">, príjmy z mýta a diaľničných </w:t>
      </w:r>
      <w:r w:rsidR="00D77CAE">
        <w:rPr>
          <w:rFonts w:eastAsia="Times New Roman" w:cs="Segoe UI"/>
          <w:bCs/>
          <w:szCs w:val="20"/>
          <w:lang w:eastAsia="sk-SK"/>
        </w:rPr>
        <w:t>známok</w:t>
      </w:r>
      <w:r w:rsidR="00626D05" w:rsidRPr="00626D05">
        <w:rPr>
          <w:rFonts w:eastAsia="Times New Roman" w:cs="Segoe UI"/>
          <w:bCs/>
          <w:szCs w:val="20"/>
          <w:lang w:eastAsia="sk-SK"/>
        </w:rPr>
        <w:t>, odvod z hazardných hier</w:t>
      </w:r>
      <w:r w:rsidR="004117E6">
        <w:rPr>
          <w:rFonts w:eastAsia="Times New Roman" w:cs="Segoe UI"/>
          <w:bCs/>
          <w:szCs w:val="20"/>
          <w:lang w:eastAsia="sk-SK"/>
        </w:rPr>
        <w:t>,</w:t>
      </w:r>
      <w:r w:rsidR="00626D05" w:rsidRPr="00626D05">
        <w:rPr>
          <w:rFonts w:eastAsia="Times New Roman" w:cs="Segoe UI"/>
          <w:bCs/>
          <w:szCs w:val="20"/>
          <w:lang w:eastAsia="sk-SK"/>
        </w:rPr>
        <w:t xml:space="preserve"> dividendy štátnych podnikov</w:t>
      </w:r>
      <w:r w:rsidR="004117E6">
        <w:rPr>
          <w:rFonts w:eastAsia="Times New Roman" w:cs="Segoe UI"/>
          <w:bCs/>
          <w:szCs w:val="20"/>
          <w:lang w:eastAsia="sk-SK"/>
        </w:rPr>
        <w:t>,</w:t>
      </w:r>
      <w:r w:rsidR="00626D05" w:rsidRPr="00626D05">
        <w:rPr>
          <w:rFonts w:eastAsia="Times New Roman" w:cs="Segoe UI"/>
          <w:bCs/>
          <w:szCs w:val="20"/>
          <w:lang w:eastAsia="sk-SK"/>
        </w:rPr>
        <w:t xml:space="preserve"> dávky v nezamestnanosti, nemocenské dávky a starobné dôchodky.</w:t>
      </w:r>
      <w:r w:rsidR="00626D05">
        <w:rPr>
          <w:rFonts w:eastAsia="Times New Roman" w:cs="Segoe UI"/>
          <w:bCs/>
          <w:szCs w:val="20"/>
          <w:lang w:eastAsia="sk-SK"/>
        </w:rPr>
        <w:t xml:space="preserve"> </w:t>
      </w:r>
      <w:r w:rsidRPr="006F529C">
        <w:rPr>
          <w:b/>
        </w:rPr>
        <w:t xml:space="preserve">NKÚ SR </w:t>
      </w:r>
      <w:r w:rsidR="00BA7479" w:rsidRPr="006F529C">
        <w:rPr>
          <w:b/>
        </w:rPr>
        <w:t>pozitívne</w:t>
      </w:r>
      <w:r w:rsidRPr="006F529C">
        <w:rPr>
          <w:b/>
        </w:rPr>
        <w:t xml:space="preserve"> hodnotí </w:t>
      </w:r>
      <w:r w:rsidR="00626D05" w:rsidRPr="00626D05">
        <w:rPr>
          <w:b/>
        </w:rPr>
        <w:t>rozšíren</w:t>
      </w:r>
      <w:r w:rsidR="00D77CAE">
        <w:rPr>
          <w:b/>
        </w:rPr>
        <w:t>ie</w:t>
      </w:r>
      <w:r w:rsidR="00626D05" w:rsidRPr="00626D05">
        <w:rPr>
          <w:b/>
        </w:rPr>
        <w:t xml:space="preserve"> právomoc</w:t>
      </w:r>
      <w:r w:rsidR="00D77CAE">
        <w:rPr>
          <w:b/>
        </w:rPr>
        <w:t>í</w:t>
      </w:r>
      <w:r w:rsidR="00626D05" w:rsidRPr="00626D05">
        <w:rPr>
          <w:b/>
        </w:rPr>
        <w:t xml:space="preserve"> </w:t>
      </w:r>
      <w:proofErr w:type="spellStart"/>
      <w:r w:rsidR="00626D05" w:rsidRPr="00626D05">
        <w:rPr>
          <w:b/>
        </w:rPr>
        <w:t>VpDP</w:t>
      </w:r>
      <w:proofErr w:type="spellEnd"/>
      <w:r w:rsidR="00626D05" w:rsidRPr="00626D05">
        <w:rPr>
          <w:b/>
        </w:rPr>
        <w:t xml:space="preserve"> o prognózovanie vybraných nedaňových príjmov a</w:t>
      </w:r>
      <w:r w:rsidR="00864EAB">
        <w:rPr>
          <w:b/>
        </w:rPr>
        <w:t> </w:t>
      </w:r>
      <w:r w:rsidR="00626D05" w:rsidRPr="00626D05">
        <w:rPr>
          <w:b/>
        </w:rPr>
        <w:t>výdavkov</w:t>
      </w:r>
      <w:r w:rsidR="00864EAB">
        <w:rPr>
          <w:b/>
        </w:rPr>
        <w:t xml:space="preserve"> a vníma ho ako krok</w:t>
      </w:r>
      <w:r w:rsidRPr="006F529C">
        <w:rPr>
          <w:b/>
        </w:rPr>
        <w:t xml:space="preserve"> k </w:t>
      </w:r>
      <w:r w:rsidR="00626D05">
        <w:rPr>
          <w:b/>
        </w:rPr>
        <w:t>zvýšeniu</w:t>
      </w:r>
      <w:r w:rsidR="00D77CAE">
        <w:rPr>
          <w:b/>
        </w:rPr>
        <w:t xml:space="preserve"> transparentnosti </w:t>
      </w:r>
      <w:r w:rsidRPr="006F529C">
        <w:rPr>
          <w:b/>
        </w:rPr>
        <w:t>a l</w:t>
      </w:r>
      <w:r w:rsidR="007D2232" w:rsidRPr="006F529C">
        <w:rPr>
          <w:b/>
        </w:rPr>
        <w:t>epšiemu prognózovaniu rozpočtu.</w:t>
      </w:r>
    </w:p>
    <w:p w14:paraId="1AEBAD67" w14:textId="1FC478D4" w:rsidR="00691C61" w:rsidRPr="00432AD8" w:rsidRDefault="00691C61" w:rsidP="00432AD8">
      <w:pPr>
        <w:pStyle w:val="Nadpis2"/>
      </w:pPr>
      <w:bookmarkStart w:id="9" w:name="_Toc86396374"/>
      <w:bookmarkStart w:id="10" w:name="_Toc87345107"/>
      <w:r w:rsidRPr="00432AD8">
        <w:t>Fiškálny rámec návrhu RVS</w:t>
      </w:r>
      <w:bookmarkEnd w:id="9"/>
      <w:bookmarkEnd w:id="10"/>
    </w:p>
    <w:p w14:paraId="1B729A35" w14:textId="28DD23A1" w:rsidR="00691C61" w:rsidRDefault="00691C61" w:rsidP="00691C61">
      <w:r>
        <w:t xml:space="preserve">V druhej polovici októbra zverejnil ŠÚ SR </w:t>
      </w:r>
      <w:r w:rsidRPr="00835DF6">
        <w:rPr>
          <w:i/>
        </w:rPr>
        <w:t>Správu o deficite a dlhu SR za roky 2017 až 2021</w:t>
      </w:r>
      <w:r>
        <w:t xml:space="preserve">, v ktorej spresnil hodnoty hospodárenia </w:t>
      </w:r>
      <w:r w:rsidR="00BA7479">
        <w:t xml:space="preserve">VS </w:t>
      </w:r>
      <w:r>
        <w:t xml:space="preserve">za rok 2020. </w:t>
      </w:r>
      <w:r w:rsidR="00432AD8">
        <w:t xml:space="preserve">Podľa II. notifikácie </w:t>
      </w:r>
      <w:proofErr w:type="spellStart"/>
      <w:r w:rsidR="00432AD8">
        <w:t>Eurostatu</w:t>
      </w:r>
      <w:proofErr w:type="spellEnd"/>
      <w:r w:rsidR="00432AD8">
        <w:t xml:space="preserve"> skončilo h</w:t>
      </w:r>
      <w:r>
        <w:t>ospodárenie štátu v</w:t>
      </w:r>
      <w:r w:rsidR="00432AD8">
        <w:t> </w:t>
      </w:r>
      <w:r>
        <w:t>roku</w:t>
      </w:r>
      <w:r w:rsidR="00432AD8">
        <w:t xml:space="preserve"> 2020</w:t>
      </w:r>
      <w:r>
        <w:t xml:space="preserve"> s deficitom </w:t>
      </w:r>
      <w:r w:rsidR="00432AD8">
        <w:t xml:space="preserve">nižším </w:t>
      </w:r>
      <w:r>
        <w:t>o takmer 547 mil. eur</w:t>
      </w:r>
      <w:r w:rsidR="003D7A71">
        <w:t xml:space="preserve">, t. j. </w:t>
      </w:r>
      <w:r>
        <w:t xml:space="preserve">na úrovni 5,5 % HDP (Graf 2). ŠÚ SR odhaduje deficit v tomto roku na úrovni 8,77 % </w:t>
      </w:r>
      <w:r w:rsidR="005634D1">
        <w:t xml:space="preserve">HDP </w:t>
      </w:r>
      <w:r w:rsidR="003D7A71">
        <w:t>(</w:t>
      </w:r>
      <w:r>
        <w:t>-8 509 mil. eur</w:t>
      </w:r>
      <w:r w:rsidR="003D7A71">
        <w:t>)</w:t>
      </w:r>
      <w:r w:rsidR="005634D1">
        <w:t xml:space="preserve"> a rezort financií na úrovni 7,92 % HDP.</w:t>
      </w:r>
      <w:r>
        <w:t xml:space="preserve"> </w:t>
      </w:r>
      <w:r w:rsidR="005634D1">
        <w:t>N</w:t>
      </w:r>
      <w:r>
        <w:t xml:space="preserve">ávrh </w:t>
      </w:r>
      <w:r w:rsidR="005634D1">
        <w:t>R</w:t>
      </w:r>
      <w:r>
        <w:t xml:space="preserve">VS na rok 2021 </w:t>
      </w:r>
      <w:r w:rsidR="005634D1">
        <w:t xml:space="preserve">pritom </w:t>
      </w:r>
      <w:r>
        <w:t xml:space="preserve">počítal so schodkom 7,41 % HDP (Tabuľka 3). </w:t>
      </w:r>
      <w:r w:rsidR="00432AD8">
        <w:t>Z</w:t>
      </w:r>
      <w:r>
        <w:t> dôvodu negatívnejšieho priebehu pandémie na začiatku roka bol</w:t>
      </w:r>
      <w:r w:rsidR="00432AD8">
        <w:t>a</w:t>
      </w:r>
      <w:r>
        <w:t xml:space="preserve"> prija</w:t>
      </w:r>
      <w:r w:rsidR="00432AD8">
        <w:t>tá novela</w:t>
      </w:r>
      <w:r>
        <w:t xml:space="preserve"> zákona o </w:t>
      </w:r>
      <w:r w:rsidR="00CA1767">
        <w:t>ŠR</w:t>
      </w:r>
      <w:r>
        <w:t xml:space="preserve">, </w:t>
      </w:r>
      <w:r w:rsidR="003D7A71">
        <w:t>ktorá umožnila</w:t>
      </w:r>
      <w:r>
        <w:t xml:space="preserve"> navýšiť fi</w:t>
      </w:r>
      <w:r w:rsidR="00741B19">
        <w:t xml:space="preserve">nancovanie na </w:t>
      </w:r>
      <w:proofErr w:type="spellStart"/>
      <w:r w:rsidR="00741B19">
        <w:t>pandemickú</w:t>
      </w:r>
      <w:proofErr w:type="spellEnd"/>
      <w:r w:rsidR="00741B19">
        <w:t xml:space="preserve"> pomoc.</w:t>
      </w:r>
    </w:p>
    <w:p w14:paraId="68BA3387" w14:textId="77777777" w:rsidR="00F071B7" w:rsidRPr="00BC3CA3" w:rsidRDefault="00F071B7" w:rsidP="00F071B7">
      <w:pPr>
        <w:pStyle w:val="Popis"/>
        <w:keepNext/>
        <w:rPr>
          <w:color w:val="314364"/>
        </w:rPr>
      </w:pPr>
      <w:r w:rsidRPr="00BC3CA3">
        <w:rPr>
          <w:color w:val="314364"/>
        </w:rPr>
        <w:t>Graf</w:t>
      </w:r>
      <w:r>
        <w:rPr>
          <w:color w:val="314364"/>
        </w:rPr>
        <w:t xml:space="preserve"> 2</w:t>
      </w:r>
      <w:r w:rsidRPr="00BC3CA3">
        <w:rPr>
          <w:color w:val="314364"/>
        </w:rPr>
        <w:t xml:space="preserve">: </w:t>
      </w:r>
      <w:r>
        <w:rPr>
          <w:color w:val="314364"/>
        </w:rPr>
        <w:t>Vývoj schodku VS v rokoch 2008 až 2024 (v % HDP)</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F071B7" w:rsidRPr="00C75134" w14:paraId="238A3F26" w14:textId="77777777" w:rsidTr="00381348">
        <w:trPr>
          <w:trHeight w:val="2847"/>
        </w:trPr>
        <w:tc>
          <w:tcPr>
            <w:tcW w:w="9070" w:type="dxa"/>
            <w:tcBorders>
              <w:top w:val="single" w:sz="4" w:space="0" w:color="314364"/>
              <w:bottom w:val="single" w:sz="4" w:space="0" w:color="314364" w:themeColor="text2"/>
            </w:tcBorders>
            <w:vAlign w:val="center"/>
          </w:tcPr>
          <w:p w14:paraId="4A57C0BF" w14:textId="77777777" w:rsidR="00F071B7" w:rsidRPr="00C75134" w:rsidRDefault="00F071B7" w:rsidP="00381348">
            <w:pPr>
              <w:spacing w:after="0"/>
              <w:rPr>
                <w:b/>
                <w:color w:val="576431"/>
              </w:rPr>
            </w:pPr>
            <w:r>
              <w:rPr>
                <w:noProof/>
                <w:lang w:eastAsia="sk-SK"/>
              </w:rPr>
              <w:drawing>
                <wp:inline distT="0" distB="0" distL="0" distR="0" wp14:anchorId="7C3766E1" wp14:editId="7472AE69">
                  <wp:extent cx="5759450" cy="180975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09A54D87" w14:textId="7A63023E" w:rsidR="00F071B7" w:rsidRPr="00AE01AE" w:rsidRDefault="00F071B7" w:rsidP="00F071B7">
      <w:pPr>
        <w:pStyle w:val="Zdroj"/>
      </w:pPr>
      <w:r>
        <w:t>Zdroj: Návrh RVS na roky 2022 až 2024</w:t>
      </w:r>
      <w:r>
        <w:rPr>
          <w:lang w:val="en-US"/>
        </w:rPr>
        <w:t>;</w:t>
      </w:r>
      <w:r>
        <w:t xml:space="preserve"> ŠÚ SR</w:t>
      </w:r>
      <w:r w:rsidR="005718D5">
        <w:rPr>
          <w:lang w:val="en-US"/>
        </w:rPr>
        <w:t xml:space="preserve">; </w:t>
      </w:r>
      <w:r>
        <w:t>*očakávaná skutočnosť; **prognóza</w:t>
      </w:r>
    </w:p>
    <w:p w14:paraId="3452443D" w14:textId="7EEE7118" w:rsidR="00B07608" w:rsidRPr="006736DD" w:rsidRDefault="00B07608" w:rsidP="00B07608">
      <w:r>
        <w:t xml:space="preserve">Rozpočet VS predpokladá v roku 2022 deficit VS na úrovni 4,9 % </w:t>
      </w:r>
      <w:r w:rsidR="00BD4DD4">
        <w:t>(</w:t>
      </w:r>
      <w:r>
        <w:t>viac ako 5,2 mld. eur</w:t>
      </w:r>
      <w:r w:rsidR="00BD4DD4">
        <w:t>)</w:t>
      </w:r>
      <w:r>
        <w:t xml:space="preserve">. Navyše sa od budúceho roka začnú uplatňovať pravidlá Paktu stability a rastu, a tak bude úsilím vlády dostať deficit pod úroveň 3 % HDP, vďaka čomu by sa dostali verejné financie mimo </w:t>
      </w:r>
      <w:proofErr w:type="spellStart"/>
      <w:r>
        <w:t>korektívnej</w:t>
      </w:r>
      <w:proofErr w:type="spellEnd"/>
      <w:r>
        <w:t xml:space="preserve"> časti Paktu stability a rastu. </w:t>
      </w:r>
      <w:r w:rsidRPr="00CD108B">
        <w:rPr>
          <w:b/>
        </w:rPr>
        <w:t>Podľa aktuálne platnej legislatívy sa vyžaduje už v roku 2024 dosiahnutie vyrovnaného rozpočtu, avšak pri momentálnej situácii existuje vysoké riziko nesplneni</w:t>
      </w:r>
      <w:r w:rsidR="00BD4DD4">
        <w:rPr>
          <w:b/>
        </w:rPr>
        <w:t>a</w:t>
      </w:r>
      <w:r w:rsidRPr="00CD108B">
        <w:rPr>
          <w:b/>
        </w:rPr>
        <w:t xml:space="preserve"> tohto cieľa.</w:t>
      </w:r>
    </w:p>
    <w:p w14:paraId="259BFAC7" w14:textId="3FD87188" w:rsidR="00F071B7" w:rsidRDefault="00F071B7" w:rsidP="00F071B7">
      <w:pPr>
        <w:pStyle w:val="Popis"/>
        <w:keepNext/>
      </w:pPr>
      <w:r>
        <w:t xml:space="preserve">Tabuľka </w:t>
      </w:r>
      <w:fldSimple w:instr=" SEQ Tabuľka \* ARABIC ">
        <w:r w:rsidR="005E7D60">
          <w:rPr>
            <w:noProof/>
          </w:rPr>
          <w:t>3</w:t>
        </w:r>
      </w:fldSimple>
      <w:r>
        <w:t xml:space="preserve">: </w:t>
      </w:r>
      <w:r>
        <w:rPr>
          <w:color w:val="314364"/>
        </w:rPr>
        <w:t>Porovnanie rozpočtovaného schodku VS s očakávanou skutočnosťou</w:t>
      </w:r>
    </w:p>
    <w:tbl>
      <w:tblPr>
        <w:tblpPr w:leftFromText="141" w:rightFromText="141" w:vertAnchor="text" w:horzAnchor="margin" w:tblpXSpec="right" w:tblpY="118"/>
        <w:tblOverlap w:val="never"/>
        <w:tblW w:w="5000" w:type="pct"/>
        <w:tblCellMar>
          <w:top w:w="28" w:type="dxa"/>
        </w:tblCellMar>
        <w:tblLook w:val="04A0" w:firstRow="1" w:lastRow="0" w:firstColumn="1" w:lastColumn="0" w:noHBand="0" w:noVBand="1"/>
      </w:tblPr>
      <w:tblGrid>
        <w:gridCol w:w="3010"/>
        <w:gridCol w:w="1110"/>
        <w:gridCol w:w="1108"/>
        <w:gridCol w:w="1110"/>
        <w:gridCol w:w="1114"/>
        <w:gridCol w:w="1618"/>
      </w:tblGrid>
      <w:tr w:rsidR="00F071B7" w14:paraId="6BBFC790" w14:textId="77777777" w:rsidTr="00381348">
        <w:trPr>
          <w:trHeight w:val="20"/>
        </w:trPr>
        <w:tc>
          <w:tcPr>
            <w:tcW w:w="1659" w:type="pct"/>
            <w:tcBorders>
              <w:bottom w:val="single" w:sz="4" w:space="0" w:color="314364"/>
            </w:tcBorders>
            <w:shd w:val="clear" w:color="auto" w:fill="314364"/>
            <w:vAlign w:val="center"/>
          </w:tcPr>
          <w:p w14:paraId="6BF069C0" w14:textId="77777777" w:rsidR="00F071B7" w:rsidRPr="0032280E" w:rsidRDefault="00F071B7" w:rsidP="00381348">
            <w:pPr>
              <w:spacing w:after="0" w:line="259" w:lineRule="auto"/>
              <w:jc w:val="left"/>
              <w:rPr>
                <w:b/>
                <w:color w:val="FFFFFF" w:themeColor="background1"/>
                <w:sz w:val="18"/>
              </w:rPr>
            </w:pPr>
            <w:r>
              <w:rPr>
                <w:b/>
                <w:color w:val="FFFFFF" w:themeColor="background1"/>
                <w:sz w:val="18"/>
              </w:rPr>
              <w:t>Schodok VS (ESA 2010, mil. eur)</w:t>
            </w:r>
          </w:p>
        </w:tc>
        <w:tc>
          <w:tcPr>
            <w:tcW w:w="612" w:type="pct"/>
            <w:tcBorders>
              <w:bottom w:val="single" w:sz="4" w:space="0" w:color="314364"/>
            </w:tcBorders>
            <w:shd w:val="clear" w:color="auto" w:fill="314364"/>
          </w:tcPr>
          <w:p w14:paraId="0115D334" w14:textId="77777777" w:rsidR="00F071B7" w:rsidRDefault="00F071B7" w:rsidP="00381348">
            <w:pPr>
              <w:spacing w:after="0" w:line="259" w:lineRule="auto"/>
              <w:jc w:val="center"/>
              <w:rPr>
                <w:b/>
                <w:color w:val="FFFFFF" w:themeColor="background1"/>
                <w:sz w:val="18"/>
              </w:rPr>
            </w:pPr>
            <w:r>
              <w:rPr>
                <w:b/>
                <w:color w:val="FFFFFF" w:themeColor="background1"/>
                <w:sz w:val="18"/>
              </w:rPr>
              <w:t>2021 R</w:t>
            </w:r>
          </w:p>
        </w:tc>
        <w:tc>
          <w:tcPr>
            <w:tcW w:w="611" w:type="pct"/>
            <w:tcBorders>
              <w:bottom w:val="single" w:sz="4" w:space="0" w:color="314364"/>
            </w:tcBorders>
            <w:shd w:val="clear" w:color="auto" w:fill="314364"/>
          </w:tcPr>
          <w:p w14:paraId="3D542D76" w14:textId="77777777" w:rsidR="00F071B7" w:rsidRPr="0032280E" w:rsidRDefault="00F071B7" w:rsidP="00381348">
            <w:pPr>
              <w:spacing w:after="0" w:line="259" w:lineRule="auto"/>
              <w:jc w:val="center"/>
              <w:rPr>
                <w:b/>
                <w:color w:val="FFFFFF" w:themeColor="background1"/>
                <w:sz w:val="18"/>
              </w:rPr>
            </w:pPr>
            <w:r>
              <w:rPr>
                <w:b/>
                <w:color w:val="FFFFFF" w:themeColor="background1"/>
                <w:sz w:val="18"/>
              </w:rPr>
              <w:t>2021 OS</w:t>
            </w:r>
          </w:p>
        </w:tc>
        <w:tc>
          <w:tcPr>
            <w:tcW w:w="612" w:type="pct"/>
            <w:tcBorders>
              <w:bottom w:val="single" w:sz="4" w:space="0" w:color="314364"/>
            </w:tcBorders>
            <w:shd w:val="clear" w:color="auto" w:fill="314364"/>
          </w:tcPr>
          <w:p w14:paraId="6160CADA" w14:textId="77777777" w:rsidR="00F071B7" w:rsidRDefault="00F071B7" w:rsidP="00381348">
            <w:pPr>
              <w:spacing w:after="0" w:line="259" w:lineRule="auto"/>
              <w:jc w:val="center"/>
              <w:rPr>
                <w:b/>
                <w:color w:val="FFFFFF" w:themeColor="background1"/>
                <w:sz w:val="18"/>
              </w:rPr>
            </w:pPr>
            <w:r>
              <w:rPr>
                <w:b/>
                <w:color w:val="FFFFFF" w:themeColor="background1"/>
                <w:sz w:val="18"/>
              </w:rPr>
              <w:t>2022 R</w:t>
            </w:r>
          </w:p>
        </w:tc>
        <w:tc>
          <w:tcPr>
            <w:tcW w:w="614" w:type="pct"/>
            <w:tcBorders>
              <w:bottom w:val="single" w:sz="4" w:space="0" w:color="314364"/>
            </w:tcBorders>
            <w:shd w:val="clear" w:color="auto" w:fill="314364"/>
          </w:tcPr>
          <w:p w14:paraId="59530155" w14:textId="77777777" w:rsidR="00F071B7" w:rsidRPr="0032280E" w:rsidRDefault="00F071B7" w:rsidP="00381348">
            <w:pPr>
              <w:spacing w:after="0" w:line="259" w:lineRule="auto"/>
              <w:jc w:val="center"/>
              <w:rPr>
                <w:b/>
                <w:color w:val="FFFFFF" w:themeColor="background1"/>
                <w:sz w:val="18"/>
              </w:rPr>
            </w:pPr>
            <w:r>
              <w:rPr>
                <w:b/>
                <w:color w:val="FFFFFF" w:themeColor="background1"/>
                <w:sz w:val="18"/>
              </w:rPr>
              <w:t>2023 R</w:t>
            </w:r>
          </w:p>
        </w:tc>
        <w:tc>
          <w:tcPr>
            <w:tcW w:w="892" w:type="pct"/>
            <w:tcBorders>
              <w:bottom w:val="single" w:sz="4" w:space="0" w:color="314364"/>
            </w:tcBorders>
            <w:shd w:val="clear" w:color="auto" w:fill="314364"/>
          </w:tcPr>
          <w:p w14:paraId="6067088C" w14:textId="77777777" w:rsidR="00F071B7" w:rsidRDefault="00F071B7" w:rsidP="00381348">
            <w:pPr>
              <w:spacing w:after="0" w:line="259" w:lineRule="auto"/>
              <w:jc w:val="center"/>
              <w:rPr>
                <w:b/>
                <w:color w:val="FFFFFF" w:themeColor="background1"/>
                <w:sz w:val="18"/>
              </w:rPr>
            </w:pPr>
            <w:r>
              <w:rPr>
                <w:b/>
                <w:color w:val="FFFFFF" w:themeColor="background1"/>
                <w:sz w:val="18"/>
              </w:rPr>
              <w:t>2021</w:t>
            </w:r>
            <w:r>
              <w:rPr>
                <w:b/>
                <w:color w:val="FFFFFF" w:themeColor="background1"/>
                <w:sz w:val="18"/>
                <w:vertAlign w:val="subscript"/>
              </w:rPr>
              <w:t>OS</w:t>
            </w:r>
            <w:r>
              <w:rPr>
                <w:b/>
                <w:color w:val="FFFFFF" w:themeColor="background1"/>
                <w:sz w:val="18"/>
              </w:rPr>
              <w:t xml:space="preserve"> - 2021</w:t>
            </w:r>
            <w:r>
              <w:rPr>
                <w:b/>
                <w:color w:val="FFFFFF" w:themeColor="background1"/>
                <w:sz w:val="18"/>
                <w:vertAlign w:val="subscript"/>
              </w:rPr>
              <w:t>R</w:t>
            </w:r>
          </w:p>
        </w:tc>
      </w:tr>
      <w:tr w:rsidR="00F071B7" w14:paraId="2CAD19D9" w14:textId="77777777" w:rsidTr="00381348">
        <w:trPr>
          <w:trHeight w:val="20"/>
        </w:trPr>
        <w:tc>
          <w:tcPr>
            <w:tcW w:w="1659" w:type="pct"/>
            <w:tcBorders>
              <w:top w:val="single" w:sz="4" w:space="0" w:color="314364"/>
            </w:tcBorders>
            <w:vAlign w:val="center"/>
          </w:tcPr>
          <w:p w14:paraId="3757BDF3" w14:textId="77777777" w:rsidR="00F071B7" w:rsidRPr="00325BDA" w:rsidRDefault="00F071B7" w:rsidP="00381348">
            <w:pPr>
              <w:spacing w:after="0" w:line="259" w:lineRule="auto"/>
              <w:rPr>
                <w:sz w:val="18"/>
              </w:rPr>
            </w:pPr>
            <w:r>
              <w:rPr>
                <w:sz w:val="18"/>
              </w:rPr>
              <w:t>Celkové príjmy VS</w:t>
            </w:r>
          </w:p>
        </w:tc>
        <w:tc>
          <w:tcPr>
            <w:tcW w:w="612" w:type="pct"/>
            <w:tcBorders>
              <w:top w:val="single" w:sz="4" w:space="0" w:color="314364"/>
            </w:tcBorders>
          </w:tcPr>
          <w:p w14:paraId="3C1ED6A3" w14:textId="77777777" w:rsidR="00F071B7" w:rsidRPr="0032280E" w:rsidRDefault="00F071B7" w:rsidP="00381348">
            <w:pPr>
              <w:spacing w:after="0" w:line="259" w:lineRule="auto"/>
              <w:jc w:val="center"/>
              <w:rPr>
                <w:sz w:val="18"/>
              </w:rPr>
            </w:pPr>
            <w:r>
              <w:rPr>
                <w:sz w:val="18"/>
              </w:rPr>
              <w:t>39 644,1</w:t>
            </w:r>
          </w:p>
        </w:tc>
        <w:tc>
          <w:tcPr>
            <w:tcW w:w="611" w:type="pct"/>
            <w:tcBorders>
              <w:top w:val="single" w:sz="4" w:space="0" w:color="314364"/>
            </w:tcBorders>
            <w:shd w:val="clear" w:color="auto" w:fill="auto"/>
            <w:vAlign w:val="center"/>
          </w:tcPr>
          <w:p w14:paraId="061D105F" w14:textId="77777777" w:rsidR="00F071B7" w:rsidRPr="0032280E" w:rsidRDefault="00F071B7" w:rsidP="00381348">
            <w:pPr>
              <w:spacing w:after="0" w:line="259" w:lineRule="auto"/>
              <w:jc w:val="center"/>
              <w:rPr>
                <w:sz w:val="18"/>
              </w:rPr>
            </w:pPr>
            <w:r>
              <w:rPr>
                <w:sz w:val="18"/>
              </w:rPr>
              <w:t>40 812,6</w:t>
            </w:r>
          </w:p>
        </w:tc>
        <w:tc>
          <w:tcPr>
            <w:tcW w:w="612" w:type="pct"/>
            <w:tcBorders>
              <w:top w:val="single" w:sz="4" w:space="0" w:color="314364"/>
            </w:tcBorders>
          </w:tcPr>
          <w:p w14:paraId="2409C83B" w14:textId="77777777" w:rsidR="00F071B7" w:rsidRPr="0032280E" w:rsidRDefault="00F071B7" w:rsidP="00381348">
            <w:pPr>
              <w:spacing w:after="0" w:line="259" w:lineRule="auto"/>
              <w:jc w:val="center"/>
              <w:rPr>
                <w:sz w:val="18"/>
              </w:rPr>
            </w:pPr>
            <w:r>
              <w:rPr>
                <w:sz w:val="18"/>
              </w:rPr>
              <w:t>44 173,9</w:t>
            </w:r>
          </w:p>
        </w:tc>
        <w:tc>
          <w:tcPr>
            <w:tcW w:w="614" w:type="pct"/>
            <w:tcBorders>
              <w:top w:val="single" w:sz="4" w:space="0" w:color="314364"/>
            </w:tcBorders>
            <w:vAlign w:val="center"/>
          </w:tcPr>
          <w:p w14:paraId="2653505C" w14:textId="77777777" w:rsidR="00F071B7" w:rsidRPr="0032280E" w:rsidRDefault="00F071B7" w:rsidP="00381348">
            <w:pPr>
              <w:spacing w:after="0" w:line="259" w:lineRule="auto"/>
              <w:jc w:val="center"/>
              <w:rPr>
                <w:sz w:val="18"/>
              </w:rPr>
            </w:pPr>
            <w:r>
              <w:rPr>
                <w:sz w:val="18"/>
              </w:rPr>
              <w:t>47 690,5</w:t>
            </w:r>
          </w:p>
        </w:tc>
        <w:tc>
          <w:tcPr>
            <w:tcW w:w="892" w:type="pct"/>
            <w:tcBorders>
              <w:top w:val="single" w:sz="4" w:space="0" w:color="314364"/>
            </w:tcBorders>
          </w:tcPr>
          <w:p w14:paraId="653E937D" w14:textId="77777777" w:rsidR="00F071B7" w:rsidRPr="00135DD9" w:rsidRDefault="00F071B7" w:rsidP="00381348">
            <w:pPr>
              <w:spacing w:after="0" w:line="259" w:lineRule="auto"/>
              <w:jc w:val="center"/>
              <w:rPr>
                <w:b/>
                <w:sz w:val="18"/>
              </w:rPr>
            </w:pPr>
            <w:r w:rsidRPr="00135DD9">
              <w:rPr>
                <w:b/>
                <w:sz w:val="18"/>
              </w:rPr>
              <w:t>1 168,5</w:t>
            </w:r>
          </w:p>
        </w:tc>
      </w:tr>
      <w:tr w:rsidR="00F071B7" w14:paraId="17286F49" w14:textId="77777777" w:rsidTr="00381348">
        <w:trPr>
          <w:trHeight w:val="20"/>
        </w:trPr>
        <w:tc>
          <w:tcPr>
            <w:tcW w:w="1659" w:type="pct"/>
            <w:vAlign w:val="center"/>
          </w:tcPr>
          <w:p w14:paraId="07C561D8" w14:textId="77777777" w:rsidR="00F071B7" w:rsidRPr="0032280E" w:rsidRDefault="00F071B7" w:rsidP="00381348">
            <w:pPr>
              <w:spacing w:after="0" w:line="259" w:lineRule="auto"/>
              <w:rPr>
                <w:sz w:val="18"/>
              </w:rPr>
            </w:pPr>
            <w:r>
              <w:rPr>
                <w:sz w:val="18"/>
              </w:rPr>
              <w:t>Celkové výdavky VS</w:t>
            </w:r>
          </w:p>
        </w:tc>
        <w:tc>
          <w:tcPr>
            <w:tcW w:w="612" w:type="pct"/>
          </w:tcPr>
          <w:p w14:paraId="3A473DF0" w14:textId="77777777" w:rsidR="00F071B7" w:rsidRPr="0032280E" w:rsidRDefault="00F071B7" w:rsidP="00381348">
            <w:pPr>
              <w:spacing w:after="0" w:line="259" w:lineRule="auto"/>
              <w:jc w:val="center"/>
              <w:rPr>
                <w:sz w:val="18"/>
              </w:rPr>
            </w:pPr>
            <w:r>
              <w:rPr>
                <w:sz w:val="18"/>
              </w:rPr>
              <w:t>46 734,6</w:t>
            </w:r>
          </w:p>
        </w:tc>
        <w:tc>
          <w:tcPr>
            <w:tcW w:w="611" w:type="pct"/>
            <w:shd w:val="clear" w:color="auto" w:fill="auto"/>
            <w:vAlign w:val="center"/>
          </w:tcPr>
          <w:p w14:paraId="5A1FE8F1" w14:textId="77777777" w:rsidR="00F071B7" w:rsidRPr="0032280E" w:rsidRDefault="00F071B7" w:rsidP="00381348">
            <w:pPr>
              <w:spacing w:after="0" w:line="259" w:lineRule="auto"/>
              <w:jc w:val="center"/>
              <w:rPr>
                <w:sz w:val="18"/>
              </w:rPr>
            </w:pPr>
            <w:r>
              <w:rPr>
                <w:sz w:val="18"/>
              </w:rPr>
              <w:t>48 530,7</w:t>
            </w:r>
          </w:p>
        </w:tc>
        <w:tc>
          <w:tcPr>
            <w:tcW w:w="612" w:type="pct"/>
          </w:tcPr>
          <w:p w14:paraId="15384DB4" w14:textId="77777777" w:rsidR="00F071B7" w:rsidRPr="0032280E" w:rsidRDefault="00F071B7" w:rsidP="00381348">
            <w:pPr>
              <w:spacing w:after="0" w:line="259" w:lineRule="auto"/>
              <w:jc w:val="center"/>
              <w:rPr>
                <w:sz w:val="18"/>
              </w:rPr>
            </w:pPr>
            <w:r>
              <w:rPr>
                <w:sz w:val="18"/>
              </w:rPr>
              <w:t>49 387,4</w:t>
            </w:r>
          </w:p>
        </w:tc>
        <w:tc>
          <w:tcPr>
            <w:tcW w:w="614" w:type="pct"/>
            <w:vAlign w:val="center"/>
          </w:tcPr>
          <w:p w14:paraId="2C09B84D" w14:textId="77777777" w:rsidR="00F071B7" w:rsidRPr="0032280E" w:rsidRDefault="00F071B7" w:rsidP="00381348">
            <w:pPr>
              <w:spacing w:after="0" w:line="259" w:lineRule="auto"/>
              <w:jc w:val="center"/>
              <w:rPr>
                <w:sz w:val="18"/>
              </w:rPr>
            </w:pPr>
            <w:r>
              <w:rPr>
                <w:sz w:val="18"/>
              </w:rPr>
              <w:t>51 554,8</w:t>
            </w:r>
          </w:p>
        </w:tc>
        <w:tc>
          <w:tcPr>
            <w:tcW w:w="892" w:type="pct"/>
          </w:tcPr>
          <w:p w14:paraId="0BF02782" w14:textId="77777777" w:rsidR="00F071B7" w:rsidRPr="00135DD9" w:rsidRDefault="00F071B7" w:rsidP="00381348">
            <w:pPr>
              <w:spacing w:after="0" w:line="259" w:lineRule="auto"/>
              <w:jc w:val="center"/>
              <w:rPr>
                <w:b/>
                <w:sz w:val="18"/>
              </w:rPr>
            </w:pPr>
            <w:r w:rsidRPr="00135DD9">
              <w:rPr>
                <w:b/>
                <w:sz w:val="18"/>
              </w:rPr>
              <w:t>1 796,1</w:t>
            </w:r>
          </w:p>
        </w:tc>
      </w:tr>
      <w:tr w:rsidR="00F071B7" w:rsidRPr="00325BDA" w14:paraId="53909F06" w14:textId="77777777" w:rsidTr="00381348">
        <w:trPr>
          <w:trHeight w:val="20"/>
        </w:trPr>
        <w:tc>
          <w:tcPr>
            <w:tcW w:w="1659" w:type="pct"/>
            <w:vAlign w:val="center"/>
          </w:tcPr>
          <w:p w14:paraId="0541FAD2" w14:textId="77777777" w:rsidR="00F071B7" w:rsidRPr="00064A98" w:rsidRDefault="00F071B7" w:rsidP="00381348">
            <w:pPr>
              <w:spacing w:after="0" w:line="259" w:lineRule="auto"/>
              <w:rPr>
                <w:b/>
                <w:sz w:val="18"/>
              </w:rPr>
            </w:pPr>
            <w:r w:rsidRPr="00064A98">
              <w:rPr>
                <w:b/>
                <w:sz w:val="18"/>
              </w:rPr>
              <w:t>Schodok (mil. eur)</w:t>
            </w:r>
          </w:p>
        </w:tc>
        <w:tc>
          <w:tcPr>
            <w:tcW w:w="612" w:type="pct"/>
          </w:tcPr>
          <w:p w14:paraId="4F3FFFB6" w14:textId="77777777" w:rsidR="00F071B7" w:rsidRPr="00064A98" w:rsidRDefault="00F071B7" w:rsidP="00381348">
            <w:pPr>
              <w:spacing w:after="0" w:line="259" w:lineRule="auto"/>
              <w:jc w:val="center"/>
              <w:rPr>
                <w:b/>
                <w:sz w:val="18"/>
              </w:rPr>
            </w:pPr>
            <w:r>
              <w:rPr>
                <w:b/>
                <w:sz w:val="18"/>
              </w:rPr>
              <w:t>- 7 090,5</w:t>
            </w:r>
          </w:p>
        </w:tc>
        <w:tc>
          <w:tcPr>
            <w:tcW w:w="611" w:type="pct"/>
            <w:shd w:val="clear" w:color="auto" w:fill="auto"/>
            <w:vAlign w:val="center"/>
          </w:tcPr>
          <w:p w14:paraId="6541D683" w14:textId="77777777" w:rsidR="00F071B7" w:rsidRPr="00064A98" w:rsidRDefault="00F071B7" w:rsidP="00381348">
            <w:pPr>
              <w:spacing w:after="0" w:line="259" w:lineRule="auto"/>
              <w:jc w:val="center"/>
              <w:rPr>
                <w:b/>
                <w:sz w:val="18"/>
              </w:rPr>
            </w:pPr>
            <w:r>
              <w:rPr>
                <w:b/>
                <w:sz w:val="18"/>
              </w:rPr>
              <w:t>- 7 718,1</w:t>
            </w:r>
          </w:p>
        </w:tc>
        <w:tc>
          <w:tcPr>
            <w:tcW w:w="612" w:type="pct"/>
          </w:tcPr>
          <w:p w14:paraId="29CF40EC" w14:textId="77777777" w:rsidR="00F071B7" w:rsidRPr="00064A98" w:rsidRDefault="00F071B7" w:rsidP="00381348">
            <w:pPr>
              <w:spacing w:after="0" w:line="259" w:lineRule="auto"/>
              <w:jc w:val="center"/>
              <w:rPr>
                <w:b/>
                <w:sz w:val="18"/>
              </w:rPr>
            </w:pPr>
            <w:r>
              <w:rPr>
                <w:b/>
                <w:sz w:val="18"/>
              </w:rPr>
              <w:t>- 5 213,5</w:t>
            </w:r>
          </w:p>
        </w:tc>
        <w:tc>
          <w:tcPr>
            <w:tcW w:w="614" w:type="pct"/>
            <w:vAlign w:val="center"/>
          </w:tcPr>
          <w:p w14:paraId="0EFA75B4" w14:textId="77777777" w:rsidR="00F071B7" w:rsidRPr="00064A98" w:rsidRDefault="00F071B7" w:rsidP="00381348">
            <w:pPr>
              <w:spacing w:after="0" w:line="259" w:lineRule="auto"/>
              <w:jc w:val="center"/>
              <w:rPr>
                <w:b/>
                <w:sz w:val="18"/>
              </w:rPr>
            </w:pPr>
            <w:r>
              <w:rPr>
                <w:b/>
                <w:sz w:val="18"/>
              </w:rPr>
              <w:t>- 3 864,3</w:t>
            </w:r>
          </w:p>
        </w:tc>
        <w:tc>
          <w:tcPr>
            <w:tcW w:w="892" w:type="pct"/>
          </w:tcPr>
          <w:p w14:paraId="3982374F" w14:textId="77777777" w:rsidR="00F071B7" w:rsidRPr="00064A98" w:rsidRDefault="00F071B7" w:rsidP="00381348">
            <w:pPr>
              <w:spacing w:after="0" w:line="259" w:lineRule="auto"/>
              <w:jc w:val="center"/>
              <w:rPr>
                <w:b/>
                <w:sz w:val="18"/>
              </w:rPr>
            </w:pPr>
            <w:r>
              <w:rPr>
                <w:b/>
                <w:sz w:val="18"/>
              </w:rPr>
              <w:t>- 627,6</w:t>
            </w:r>
          </w:p>
        </w:tc>
      </w:tr>
      <w:tr w:rsidR="00F071B7" w:rsidRPr="00325BDA" w14:paraId="52120682" w14:textId="77777777" w:rsidTr="00381348">
        <w:trPr>
          <w:trHeight w:val="20"/>
        </w:trPr>
        <w:tc>
          <w:tcPr>
            <w:tcW w:w="1659" w:type="pct"/>
            <w:tcBorders>
              <w:bottom w:val="single" w:sz="4" w:space="0" w:color="314364" w:themeColor="text2"/>
            </w:tcBorders>
            <w:vAlign w:val="center"/>
          </w:tcPr>
          <w:p w14:paraId="6E319466" w14:textId="77777777" w:rsidR="00F071B7" w:rsidRPr="00064A98" w:rsidRDefault="00F071B7" w:rsidP="00381348">
            <w:pPr>
              <w:spacing w:after="0" w:line="259" w:lineRule="auto"/>
              <w:rPr>
                <w:b/>
                <w:sz w:val="18"/>
              </w:rPr>
            </w:pPr>
            <w:r w:rsidRPr="00064A98">
              <w:rPr>
                <w:b/>
                <w:sz w:val="18"/>
              </w:rPr>
              <w:t>Schodok (% HDP)</w:t>
            </w:r>
          </w:p>
        </w:tc>
        <w:tc>
          <w:tcPr>
            <w:tcW w:w="612" w:type="pct"/>
            <w:tcBorders>
              <w:bottom w:val="single" w:sz="4" w:space="0" w:color="314364" w:themeColor="text2"/>
            </w:tcBorders>
          </w:tcPr>
          <w:p w14:paraId="7F170A7B" w14:textId="77777777" w:rsidR="00F071B7" w:rsidRPr="00064A98" w:rsidRDefault="00F071B7" w:rsidP="00381348">
            <w:pPr>
              <w:spacing w:after="0" w:line="259" w:lineRule="auto"/>
              <w:jc w:val="center"/>
              <w:rPr>
                <w:b/>
                <w:sz w:val="18"/>
              </w:rPr>
            </w:pPr>
            <w:r>
              <w:rPr>
                <w:b/>
                <w:sz w:val="18"/>
              </w:rPr>
              <w:t>- 7,41</w:t>
            </w:r>
          </w:p>
        </w:tc>
        <w:tc>
          <w:tcPr>
            <w:tcW w:w="611" w:type="pct"/>
            <w:tcBorders>
              <w:bottom w:val="single" w:sz="4" w:space="0" w:color="314364" w:themeColor="text2"/>
            </w:tcBorders>
            <w:shd w:val="clear" w:color="auto" w:fill="auto"/>
            <w:vAlign w:val="center"/>
          </w:tcPr>
          <w:p w14:paraId="31FA1396" w14:textId="77777777" w:rsidR="00F071B7" w:rsidRPr="00064A98" w:rsidRDefault="00F071B7" w:rsidP="00381348">
            <w:pPr>
              <w:spacing w:after="0" w:line="259" w:lineRule="auto"/>
              <w:jc w:val="center"/>
              <w:rPr>
                <w:b/>
                <w:sz w:val="18"/>
              </w:rPr>
            </w:pPr>
            <w:r>
              <w:rPr>
                <w:b/>
                <w:sz w:val="18"/>
              </w:rPr>
              <w:t>- 7,92</w:t>
            </w:r>
          </w:p>
        </w:tc>
        <w:tc>
          <w:tcPr>
            <w:tcW w:w="612" w:type="pct"/>
            <w:tcBorders>
              <w:bottom w:val="single" w:sz="4" w:space="0" w:color="314364" w:themeColor="text2"/>
            </w:tcBorders>
          </w:tcPr>
          <w:p w14:paraId="61CE218E" w14:textId="77777777" w:rsidR="00F071B7" w:rsidRPr="00064A98" w:rsidRDefault="00F071B7" w:rsidP="00381348">
            <w:pPr>
              <w:spacing w:after="0" w:line="259" w:lineRule="auto"/>
              <w:jc w:val="center"/>
              <w:rPr>
                <w:b/>
                <w:sz w:val="18"/>
              </w:rPr>
            </w:pPr>
            <w:r>
              <w:rPr>
                <w:b/>
                <w:sz w:val="18"/>
              </w:rPr>
              <w:t>- 4,94</w:t>
            </w:r>
          </w:p>
        </w:tc>
        <w:tc>
          <w:tcPr>
            <w:tcW w:w="614" w:type="pct"/>
            <w:tcBorders>
              <w:bottom w:val="single" w:sz="4" w:space="0" w:color="314364" w:themeColor="text2"/>
            </w:tcBorders>
            <w:vAlign w:val="center"/>
          </w:tcPr>
          <w:p w14:paraId="3BEA2A0A" w14:textId="77777777" w:rsidR="00F071B7" w:rsidRPr="00064A98" w:rsidRDefault="00F071B7" w:rsidP="00381348">
            <w:pPr>
              <w:spacing w:after="0" w:line="259" w:lineRule="auto"/>
              <w:jc w:val="center"/>
              <w:rPr>
                <w:b/>
                <w:sz w:val="18"/>
              </w:rPr>
            </w:pPr>
            <w:r>
              <w:rPr>
                <w:b/>
                <w:sz w:val="18"/>
              </w:rPr>
              <w:t>- 3,39</w:t>
            </w:r>
          </w:p>
        </w:tc>
        <w:tc>
          <w:tcPr>
            <w:tcW w:w="892" w:type="pct"/>
            <w:tcBorders>
              <w:bottom w:val="single" w:sz="4" w:space="0" w:color="314364" w:themeColor="text2"/>
            </w:tcBorders>
          </w:tcPr>
          <w:p w14:paraId="215B993A" w14:textId="77777777" w:rsidR="00F071B7" w:rsidRPr="00064A98" w:rsidRDefault="00F071B7" w:rsidP="00381348">
            <w:pPr>
              <w:spacing w:after="0" w:line="259" w:lineRule="auto"/>
              <w:jc w:val="center"/>
              <w:rPr>
                <w:b/>
                <w:sz w:val="18"/>
              </w:rPr>
            </w:pPr>
            <w:r>
              <w:rPr>
                <w:b/>
                <w:sz w:val="18"/>
              </w:rPr>
              <w:t>- 0,51</w:t>
            </w:r>
          </w:p>
        </w:tc>
      </w:tr>
    </w:tbl>
    <w:p w14:paraId="18908B29" w14:textId="26BF7EC1" w:rsidR="00F071B7" w:rsidRDefault="00F071B7" w:rsidP="00F071B7">
      <w:pPr>
        <w:pStyle w:val="Zdroj"/>
      </w:pPr>
      <w:r>
        <w:t>Zdroj: Návrh RVS na roky 2022 až 2024</w:t>
      </w:r>
      <w:r w:rsidR="005718D5">
        <w:rPr>
          <w:lang w:val="en-US"/>
        </w:rPr>
        <w:t xml:space="preserve">; </w:t>
      </w:r>
      <w:r>
        <w:t>OS – očakávaná skutočnosť, R – rozpočet</w:t>
      </w:r>
    </w:p>
    <w:p w14:paraId="6B0025EF" w14:textId="0ACFE0FD" w:rsidR="004117E6" w:rsidRDefault="004117E6" w:rsidP="004117E6">
      <w:r>
        <w:t xml:space="preserve">Z hľadiska dosiahnutia strednodobého rozpočtového cieľa sú dôležitým nástrojom výdavkové limity, ktoré slúžia na udržanie </w:t>
      </w:r>
      <w:proofErr w:type="spellStart"/>
      <w:r>
        <w:t>proticyklickej</w:t>
      </w:r>
      <w:proofErr w:type="spellEnd"/>
      <w:r>
        <w:t xml:space="preserve"> politiky. Kontrola NKÚ SR</w:t>
      </w:r>
      <w:r w:rsidRPr="008122BD">
        <w:rPr>
          <w:rStyle w:val="Odkaznapoznmkupodiarou"/>
          <w:i/>
        </w:rPr>
        <w:footnoteReference w:id="2"/>
      </w:r>
      <w:r w:rsidRPr="008122BD">
        <w:rPr>
          <w:i/>
          <w:vertAlign w:val="superscript"/>
        </w:rPr>
        <w:t>)</w:t>
      </w:r>
      <w:r>
        <w:t xml:space="preserve"> potvrdila, že SR doteraz nevyužila možnosť zavedenia výdavkových limitov</w:t>
      </w:r>
      <w:r w:rsidR="00E81967">
        <w:t xml:space="preserve"> (</w:t>
      </w:r>
      <w:r w:rsidR="00E81967" w:rsidRPr="00BE4CFE">
        <w:rPr>
          <w:i/>
        </w:rPr>
        <w:t>viac v</w:t>
      </w:r>
      <w:r w:rsidR="006C47F4">
        <w:rPr>
          <w:i/>
        </w:rPr>
        <w:t> </w:t>
      </w:r>
      <w:r w:rsidR="00E81967" w:rsidRPr="00BE4CFE">
        <w:rPr>
          <w:i/>
        </w:rPr>
        <w:t>BOX</w:t>
      </w:r>
      <w:r w:rsidR="006C47F4">
        <w:rPr>
          <w:i/>
        </w:rPr>
        <w:t>-</w:t>
      </w:r>
      <w:r w:rsidR="00E81967" w:rsidRPr="00BE4CFE">
        <w:rPr>
          <w:i/>
        </w:rPr>
        <w:t>e 1</w:t>
      </w:r>
      <w:r w:rsidR="00E81967">
        <w:t>)</w:t>
      </w:r>
      <w:r w:rsidRPr="008122BD">
        <w:t xml:space="preserve">. </w:t>
      </w:r>
      <w:r w:rsidRPr="008122BD">
        <w:rPr>
          <w:b/>
        </w:rPr>
        <w:t>MF SR uvažuje so zavedením výdavkových limitov až v rozpočte na rok 2023.</w:t>
      </w:r>
      <w:r w:rsidRPr="008122BD">
        <w:t xml:space="preserve"> Dobrá prax v zahraničí však poukazuje na </w:t>
      </w:r>
      <w:r>
        <w:t xml:space="preserve">ich </w:t>
      </w:r>
      <w:r w:rsidRPr="008122BD">
        <w:t xml:space="preserve">dôležitosť. Napríklad </w:t>
      </w:r>
      <w:r w:rsidRPr="008122BD">
        <w:lastRenderedPageBreak/>
        <w:t>NKÚ</w:t>
      </w:r>
      <w:r>
        <w:t xml:space="preserve"> Švédska</w:t>
      </w:r>
      <w:r w:rsidRPr="008122BD">
        <w:t xml:space="preserve"> vykonal v roku </w:t>
      </w:r>
      <w:r>
        <w:t xml:space="preserve">2020 </w:t>
      </w:r>
      <w:r w:rsidRPr="008122BD">
        <w:t xml:space="preserve">kontrolu </w:t>
      </w:r>
      <w:r>
        <w:t xml:space="preserve">súladu </w:t>
      </w:r>
      <w:r w:rsidRPr="008122BD">
        <w:t>fiškálnej politiky so strednodobým rozpočtovým rámcom</w:t>
      </w:r>
      <w:r w:rsidRPr="00A036D5">
        <w:rPr>
          <w:rStyle w:val="Odkaznapoznmkupodiarou"/>
          <w:i/>
        </w:rPr>
        <w:footnoteReference w:id="3"/>
      </w:r>
      <w:r w:rsidRPr="00A036D5">
        <w:rPr>
          <w:i/>
          <w:vertAlign w:val="superscript"/>
        </w:rPr>
        <w:t>)</w:t>
      </w:r>
      <w:r w:rsidRPr="008122BD">
        <w:t>. Tak ako na</w:t>
      </w:r>
      <w:r>
        <w:t xml:space="preserve"> Slovensku, aj vo Švédsku sú mnohé krízové opatrenia dočasné a po ich postupnom zrušení by sa mali verejné financie posilniť s tým, že v roku 2023 dosiahne Švédsko prebytkové hospodárenie. Tamojšia vláda má však rovnaký problém ako slovenská, neuvádza plán návratu k cieľovému prebytku. Podľa NKÚ Fínska upustila vláda v minulom roku od pravidla výdavkových limitov a jeho návrat v roku 2021 zahŕňal množstvo výnimiek</w:t>
      </w:r>
      <w:r w:rsidRPr="007B003F">
        <w:rPr>
          <w:rStyle w:val="Odkaznapoznmkupodiarou"/>
          <w:i/>
        </w:rPr>
        <w:footnoteReference w:id="4"/>
      </w:r>
      <w:r w:rsidRPr="007B003F">
        <w:rPr>
          <w:i/>
          <w:vertAlign w:val="superscript"/>
        </w:rPr>
        <w:t>)</w:t>
      </w:r>
      <w:r>
        <w:t>. Okrem toho zvýšila výdavkové limity na roky 2022 a 2023 ako výnimku z limitov dohodnutých na začiatku volebného obdobia. NKÚ Fínska však kritizuje prekročenie výdavkových limitov aj v krízových časoch, pretože to môže viesť v budúcnosti k ľahšiemu odchýleniu sa od nich. Fínski kontrolóri taktiež vidia riziko pri zvýšení úrovne výdavkov bez zodpovedajúceho navýšenia príjmov a to v odklone od rovnovážneho hospodárenia verejných financií v rokoch 2022 a 2023.</w:t>
      </w:r>
    </w:p>
    <w:tbl>
      <w:tblPr>
        <w:tblStyle w:val="Mriekatabuky"/>
        <w:tblW w:w="0" w:type="auto"/>
        <w:shd w:val="clear" w:color="auto" w:fill="EBF0FB" w:themeFill="background2" w:themeFillTint="33"/>
        <w:tblLook w:val="04A0" w:firstRow="1" w:lastRow="0" w:firstColumn="1" w:lastColumn="0" w:noHBand="0" w:noVBand="1"/>
      </w:tblPr>
      <w:tblGrid>
        <w:gridCol w:w="9060"/>
      </w:tblGrid>
      <w:tr w:rsidR="00F50F0D" w14:paraId="10D47CD1" w14:textId="77777777" w:rsidTr="00F50F0D">
        <w:tc>
          <w:tcPr>
            <w:tcW w:w="9060" w:type="dxa"/>
            <w:shd w:val="clear" w:color="auto" w:fill="EBF0FB" w:themeFill="background2" w:themeFillTint="33"/>
          </w:tcPr>
          <w:p w14:paraId="5AF47744" w14:textId="0B549B3B" w:rsidR="00F50F0D" w:rsidRPr="00912E54" w:rsidRDefault="00F50F0D" w:rsidP="00F50F0D">
            <w:pPr>
              <w:spacing w:before="120"/>
              <w:rPr>
                <w:b/>
              </w:rPr>
            </w:pPr>
            <w:r w:rsidRPr="00912E54">
              <w:rPr>
                <w:b/>
              </w:rPr>
              <w:t>BOX</w:t>
            </w:r>
            <w:r>
              <w:rPr>
                <w:b/>
              </w:rPr>
              <w:t xml:space="preserve"> 1</w:t>
            </w:r>
            <w:r w:rsidRPr="00912E54">
              <w:rPr>
                <w:b/>
              </w:rPr>
              <w:t xml:space="preserve">: </w:t>
            </w:r>
            <w:r w:rsidR="00462C0B">
              <w:rPr>
                <w:b/>
              </w:rPr>
              <w:t xml:space="preserve">Plnenie opatrení z kontroly strednodobých rozpočtových rámcov </w:t>
            </w:r>
            <w:r w:rsidR="006C47F4">
              <w:rPr>
                <w:sz w:val="18"/>
              </w:rPr>
              <w:t>–</w:t>
            </w:r>
            <w:r w:rsidR="00462C0B">
              <w:rPr>
                <w:b/>
              </w:rPr>
              <w:t xml:space="preserve"> výdavkové limity</w:t>
            </w:r>
          </w:p>
          <w:p w14:paraId="6F90537A" w14:textId="37889542" w:rsidR="00F50F0D" w:rsidRDefault="00F50F0D" w:rsidP="00F50F0D">
            <w:pPr>
              <w:spacing w:before="120"/>
              <w:rPr>
                <w:sz w:val="18"/>
              </w:rPr>
            </w:pPr>
            <w:r>
              <w:rPr>
                <w:sz w:val="18"/>
              </w:rPr>
              <w:t xml:space="preserve">MF SR v reakcii na kontrolu NKÚ SR poslalo začiatkom novembra správu o plnení opatrení na odstránenie kontrolou zistených nedostatkov. V rámci kontrolného zistenia </w:t>
            </w:r>
            <w:r w:rsidR="006C47F4">
              <w:rPr>
                <w:sz w:val="18"/>
              </w:rPr>
              <w:t>–</w:t>
            </w:r>
            <w:r w:rsidR="00462C0B">
              <w:rPr>
                <w:sz w:val="18"/>
              </w:rPr>
              <w:t xml:space="preserve"> </w:t>
            </w:r>
            <w:r>
              <w:rPr>
                <w:sz w:val="18"/>
              </w:rPr>
              <w:t>počas kontrolovaného obdobia sa nedarilo napĺňať stanovené fiškálne ciele</w:t>
            </w:r>
            <w:r w:rsidR="00462C0B">
              <w:rPr>
                <w:sz w:val="18"/>
              </w:rPr>
              <w:t xml:space="preserve"> </w:t>
            </w:r>
            <w:r w:rsidR="006C47F4">
              <w:rPr>
                <w:sz w:val="18"/>
              </w:rPr>
              <w:t>a</w:t>
            </w:r>
            <w:r>
              <w:rPr>
                <w:sz w:val="18"/>
              </w:rPr>
              <w:t xml:space="preserve"> </w:t>
            </w:r>
            <w:r w:rsidR="00462C0B">
              <w:rPr>
                <w:sz w:val="18"/>
              </w:rPr>
              <w:t xml:space="preserve">NKÚ </w:t>
            </w:r>
            <w:r w:rsidR="006C47F4">
              <w:rPr>
                <w:sz w:val="18"/>
              </w:rPr>
              <w:t xml:space="preserve">SR </w:t>
            </w:r>
            <w:r w:rsidR="00462C0B">
              <w:rPr>
                <w:sz w:val="18"/>
              </w:rPr>
              <w:t>odporúčalo</w:t>
            </w:r>
            <w:r>
              <w:rPr>
                <w:sz w:val="18"/>
              </w:rPr>
              <w:t xml:space="preserve"> MF SR </w:t>
            </w:r>
            <w:r w:rsidR="00462C0B">
              <w:rPr>
                <w:sz w:val="18"/>
              </w:rPr>
              <w:t>m</w:t>
            </w:r>
            <w:r>
              <w:rPr>
                <w:sz w:val="18"/>
              </w:rPr>
              <w:t>inimalizovať odchýlku plánovanej a skutočnej hodnoty ukazovateľov pre fiškálne ciele.</w:t>
            </w:r>
            <w:r w:rsidR="00462C0B">
              <w:rPr>
                <w:sz w:val="18"/>
              </w:rPr>
              <w:t xml:space="preserve"> Opatrenia MF SR sú nasledovné:</w:t>
            </w:r>
          </w:p>
          <w:p w14:paraId="0EDF5F1E" w14:textId="734F15BE" w:rsidR="00F50F0D" w:rsidRDefault="00F50F0D" w:rsidP="00F50F0D">
            <w:pPr>
              <w:pStyle w:val="Odsekzoznamu"/>
              <w:numPr>
                <w:ilvl w:val="0"/>
                <w:numId w:val="44"/>
              </w:numPr>
              <w:spacing w:before="120"/>
              <w:rPr>
                <w:sz w:val="18"/>
              </w:rPr>
            </w:pPr>
            <w:r>
              <w:rPr>
                <w:sz w:val="18"/>
              </w:rPr>
              <w:t xml:space="preserve">hlavným operatívnym nástrojom dosiahnutia MTO a fiškálnych cieľov od roku 2023 </w:t>
            </w:r>
            <w:r w:rsidR="00462C0B">
              <w:rPr>
                <w:sz w:val="18"/>
              </w:rPr>
              <w:t xml:space="preserve">majú byť </w:t>
            </w:r>
            <w:r>
              <w:rPr>
                <w:sz w:val="18"/>
              </w:rPr>
              <w:t>výdavkové limity a implementácia tohto nástroja je súčasťou pripravovanej novely ústavného zákona o rozpočtovej zodpovednosti, ktorú by mal parlament schvál</w:t>
            </w:r>
            <w:r w:rsidR="00462C0B">
              <w:rPr>
                <w:sz w:val="18"/>
              </w:rPr>
              <w:t>iť ešte v tomto roku</w:t>
            </w:r>
            <w:r w:rsidR="00462C0B">
              <w:rPr>
                <w:sz w:val="18"/>
                <w:lang w:val="en-US"/>
              </w:rPr>
              <w:t>;</w:t>
            </w:r>
          </w:p>
          <w:p w14:paraId="2A50B5AD" w14:textId="274E74C3" w:rsidR="00F50F0D" w:rsidRDefault="00462C0B" w:rsidP="00F50F0D">
            <w:pPr>
              <w:pStyle w:val="Odsekzoznamu"/>
              <w:numPr>
                <w:ilvl w:val="0"/>
                <w:numId w:val="44"/>
              </w:numPr>
              <w:spacing w:before="120"/>
              <w:rPr>
                <w:sz w:val="18"/>
              </w:rPr>
            </w:pPr>
            <w:r>
              <w:rPr>
                <w:sz w:val="18"/>
              </w:rPr>
              <w:t>v</w:t>
            </w:r>
            <w:r w:rsidR="00F50F0D">
              <w:rPr>
                <w:sz w:val="18"/>
              </w:rPr>
              <w:t>ýšku limitov verejných výdavkov vypočíta RRZ vždy pre 4-ročný volebný cyklus novej vlády a výdavkové limi</w:t>
            </w:r>
            <w:r>
              <w:rPr>
                <w:sz w:val="18"/>
              </w:rPr>
              <w:t>ty budú pre každú vládu záväzné;</w:t>
            </w:r>
          </w:p>
          <w:p w14:paraId="75567507" w14:textId="75EDEF39" w:rsidR="00F50F0D" w:rsidRPr="00912E54" w:rsidRDefault="00462C0B" w:rsidP="00F50F0D">
            <w:pPr>
              <w:pStyle w:val="Odsekzoznamu"/>
              <w:numPr>
                <w:ilvl w:val="0"/>
                <w:numId w:val="44"/>
              </w:numPr>
              <w:spacing w:before="120"/>
              <w:rPr>
                <w:sz w:val="18"/>
              </w:rPr>
            </w:pPr>
            <w:r>
              <w:rPr>
                <w:sz w:val="18"/>
              </w:rPr>
              <w:t>t</w:t>
            </w:r>
            <w:r w:rsidR="00F50F0D">
              <w:rPr>
                <w:sz w:val="18"/>
              </w:rPr>
              <w:t xml:space="preserve">rajektória k dosiahnutiu MTO bude pod dohľadom RRZ prostredníctvom kontroly plnenia výdavkových limitov a ich implementácia by mala zabezpečiť zníženie odchýlenia skutočnej od plánovanej hodnoty. </w:t>
            </w:r>
          </w:p>
        </w:tc>
      </w:tr>
    </w:tbl>
    <w:p w14:paraId="20B364DD" w14:textId="580B8B60" w:rsidR="000D05F7" w:rsidRDefault="000D05F7" w:rsidP="00432AD8">
      <w:pPr>
        <w:pStyle w:val="Nadpis2"/>
      </w:pPr>
      <w:bookmarkStart w:id="11" w:name="_Toc86919170"/>
      <w:bookmarkStart w:id="12" w:name="_Toc86396375"/>
      <w:bookmarkStart w:id="13" w:name="_Toc87345108"/>
      <w:bookmarkEnd w:id="11"/>
      <w:r>
        <w:t>Prognóza hrubého dlhu VS</w:t>
      </w:r>
      <w:bookmarkEnd w:id="12"/>
      <w:bookmarkEnd w:id="13"/>
    </w:p>
    <w:p w14:paraId="1469A2B7" w14:textId="10B42551" w:rsidR="00DF068C" w:rsidRDefault="00DF068C" w:rsidP="00DF068C">
      <w:pPr>
        <w:autoSpaceDE w:val="0"/>
        <w:autoSpaceDN w:val="0"/>
        <w:adjustRightInd w:val="0"/>
        <w:rPr>
          <w:rFonts w:cs="Segoe UI"/>
          <w:szCs w:val="20"/>
        </w:rPr>
      </w:pPr>
      <w:r w:rsidRPr="0092172D">
        <w:rPr>
          <w:rFonts w:eastAsia="Calibri" w:cs="Segoe UI"/>
          <w:szCs w:val="20"/>
        </w:rPr>
        <w:t xml:space="preserve">Podľa II. notifikácie </w:t>
      </w:r>
      <w:proofErr w:type="spellStart"/>
      <w:r w:rsidRPr="0092172D">
        <w:rPr>
          <w:rFonts w:eastAsia="Calibri" w:cs="Segoe UI"/>
          <w:szCs w:val="20"/>
        </w:rPr>
        <w:t>Eurostatu</w:t>
      </w:r>
      <w:proofErr w:type="spellEnd"/>
      <w:r w:rsidRPr="0092172D">
        <w:rPr>
          <w:rFonts w:eastAsia="Calibri" w:cs="Segoe UI"/>
          <w:szCs w:val="20"/>
        </w:rPr>
        <w:t xml:space="preserve"> </w:t>
      </w:r>
      <w:r>
        <w:rPr>
          <w:rFonts w:eastAsia="Calibri" w:cs="Segoe UI"/>
          <w:szCs w:val="20"/>
        </w:rPr>
        <w:t>dosi</w:t>
      </w:r>
      <w:r w:rsidR="004D09C6">
        <w:rPr>
          <w:rFonts w:eastAsia="Calibri" w:cs="Segoe UI"/>
          <w:szCs w:val="20"/>
        </w:rPr>
        <w:t>ahol dlh VS v roku 2020 výšku 59</w:t>
      </w:r>
      <w:r>
        <w:rPr>
          <w:rFonts w:eastAsia="Calibri" w:cs="Segoe UI"/>
          <w:szCs w:val="20"/>
        </w:rPr>
        <w:t>,7 % HDP, čo je o 0,9 % menej</w:t>
      </w:r>
      <w:r w:rsidRPr="0092172D">
        <w:rPr>
          <w:rFonts w:eastAsia="Calibri" w:cs="Segoe UI"/>
          <w:szCs w:val="20"/>
        </w:rPr>
        <w:t xml:space="preserve"> oproti </w:t>
      </w:r>
      <w:r>
        <w:rPr>
          <w:rFonts w:eastAsia="Calibri" w:cs="Segoe UI"/>
          <w:szCs w:val="20"/>
        </w:rPr>
        <w:t xml:space="preserve">I. notifikácii (Graf </w:t>
      </w:r>
      <w:r w:rsidR="003F19FB">
        <w:rPr>
          <w:rFonts w:eastAsia="Calibri" w:cs="Segoe UI"/>
          <w:szCs w:val="20"/>
        </w:rPr>
        <w:t>3</w:t>
      </w:r>
      <w:r w:rsidRPr="0092172D">
        <w:rPr>
          <w:rFonts w:eastAsia="Calibri" w:cs="Segoe UI"/>
          <w:szCs w:val="20"/>
        </w:rPr>
        <w:t xml:space="preserve">). Dlh VS </w:t>
      </w:r>
      <w:r>
        <w:rPr>
          <w:rFonts w:eastAsia="Calibri" w:cs="Segoe UI"/>
          <w:szCs w:val="20"/>
        </w:rPr>
        <w:t xml:space="preserve">síce nepresiahol </w:t>
      </w:r>
      <w:r w:rsidRPr="009853D8">
        <w:rPr>
          <w:rFonts w:cs="Segoe UI"/>
          <w:szCs w:val="20"/>
        </w:rPr>
        <w:t>maastrichtskú hranicu 60 % HDP</w:t>
      </w:r>
      <w:r>
        <w:rPr>
          <w:rFonts w:cs="Segoe UI"/>
          <w:szCs w:val="20"/>
        </w:rPr>
        <w:t xml:space="preserve">, ale </w:t>
      </w:r>
      <w:r w:rsidRPr="009853D8">
        <w:rPr>
          <w:rFonts w:cs="Segoe UI"/>
          <w:szCs w:val="20"/>
        </w:rPr>
        <w:t>dosiahol historicky</w:t>
      </w:r>
      <w:r>
        <w:rPr>
          <w:rFonts w:cs="Segoe UI"/>
          <w:szCs w:val="20"/>
        </w:rPr>
        <w:t xml:space="preserve"> </w:t>
      </w:r>
      <w:r w:rsidRPr="009853D8">
        <w:rPr>
          <w:rFonts w:cs="Segoe UI"/>
          <w:szCs w:val="20"/>
        </w:rPr>
        <w:t>najvyššiu úroveň a presiah</w:t>
      </w:r>
      <w:r>
        <w:rPr>
          <w:rFonts w:cs="Segoe UI"/>
          <w:szCs w:val="20"/>
        </w:rPr>
        <w:t xml:space="preserve">ol aj posledné 5. sankčné pásmo (57 %) zákona o rozpočtovej zodpovednosti. Dôvodom zníženia bola </w:t>
      </w:r>
      <w:r w:rsidR="00376D38">
        <w:rPr>
          <w:rFonts w:cs="Segoe UI"/>
          <w:szCs w:val="20"/>
        </w:rPr>
        <w:t>revízia</w:t>
      </w:r>
      <w:r w:rsidRPr="009853D8">
        <w:rPr>
          <w:rFonts w:cs="Segoe UI"/>
          <w:szCs w:val="20"/>
        </w:rPr>
        <w:t xml:space="preserve"> HDP a</w:t>
      </w:r>
      <w:r>
        <w:rPr>
          <w:rFonts w:cs="Segoe UI"/>
          <w:szCs w:val="20"/>
        </w:rPr>
        <w:t xml:space="preserve"> vyňatie</w:t>
      </w:r>
      <w:r w:rsidRPr="009853D8">
        <w:rPr>
          <w:rFonts w:cs="Segoe UI"/>
          <w:szCs w:val="20"/>
        </w:rPr>
        <w:t xml:space="preserve"> záruky za Kubu z dlhu SR.</w:t>
      </w:r>
    </w:p>
    <w:p w14:paraId="737478E6" w14:textId="77777777" w:rsidR="00656939" w:rsidRPr="0092172D" w:rsidRDefault="00656939" w:rsidP="00656939">
      <w:pPr>
        <w:keepNext/>
        <w:spacing w:after="0" w:line="240" w:lineRule="auto"/>
        <w:rPr>
          <w:rFonts w:eastAsia="Calibri" w:cs="Times New Roman"/>
          <w:b/>
          <w:iCs/>
          <w:color w:val="314364"/>
          <w:szCs w:val="18"/>
        </w:rPr>
      </w:pPr>
      <w:r w:rsidRPr="0092172D">
        <w:rPr>
          <w:rFonts w:eastAsia="Calibri" w:cs="Times New Roman"/>
          <w:b/>
          <w:iCs/>
          <w:color w:val="314364"/>
          <w:szCs w:val="18"/>
        </w:rPr>
        <w:t>Graf</w:t>
      </w:r>
      <w:r>
        <w:rPr>
          <w:rFonts w:eastAsia="Calibri" w:cs="Times New Roman"/>
          <w:b/>
          <w:iCs/>
          <w:color w:val="314364"/>
          <w:szCs w:val="18"/>
        </w:rPr>
        <w:t xml:space="preserve"> 3</w:t>
      </w:r>
      <w:r w:rsidRPr="0092172D">
        <w:rPr>
          <w:rFonts w:eastAsia="Calibri" w:cs="Times New Roman"/>
          <w:b/>
          <w:iCs/>
          <w:color w:val="314364"/>
          <w:szCs w:val="18"/>
        </w:rPr>
        <w:t xml:space="preserve">: Vývoj </w:t>
      </w:r>
      <w:r>
        <w:rPr>
          <w:rFonts w:eastAsia="Calibri" w:cs="Times New Roman"/>
          <w:b/>
          <w:iCs/>
          <w:color w:val="314364"/>
          <w:szCs w:val="18"/>
        </w:rPr>
        <w:t>hrubého a čistého dlhu VS v rokoch 2008 až 2024 (v % HDP)</w:t>
      </w:r>
    </w:p>
    <w:tbl>
      <w:tblPr>
        <w:tblStyle w:val="Mriekatabuky"/>
        <w:tblW w:w="0" w:type="auto"/>
        <w:tblBorders>
          <w:left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656939" w:rsidRPr="004E6AF3" w14:paraId="330DCC5C" w14:textId="77777777" w:rsidTr="00381348">
        <w:trPr>
          <w:trHeight w:val="3332"/>
        </w:trPr>
        <w:tc>
          <w:tcPr>
            <w:tcW w:w="9072" w:type="dxa"/>
            <w:tcBorders>
              <w:top w:val="single" w:sz="4" w:space="0" w:color="314364" w:themeColor="text2"/>
              <w:bottom w:val="single" w:sz="4" w:space="0" w:color="314364" w:themeColor="text2"/>
            </w:tcBorders>
          </w:tcPr>
          <w:p w14:paraId="564F160D" w14:textId="77777777" w:rsidR="00656939" w:rsidRPr="004E6AF3" w:rsidRDefault="00656939" w:rsidP="00381348">
            <w:pPr>
              <w:tabs>
                <w:tab w:val="left" w:pos="144"/>
              </w:tabs>
              <w:spacing w:after="0"/>
              <w:rPr>
                <w:rFonts w:eastAsia="Calibri" w:cs="Times New Roman"/>
                <w:szCs w:val="20"/>
              </w:rPr>
            </w:pPr>
            <w:r>
              <w:rPr>
                <w:noProof/>
                <w:lang w:eastAsia="sk-SK"/>
              </w:rPr>
              <w:drawing>
                <wp:inline distT="0" distB="0" distL="0" distR="0" wp14:anchorId="623ED54F" wp14:editId="1F8A3548">
                  <wp:extent cx="5760720" cy="2148840"/>
                  <wp:effectExtent l="0" t="0" r="0" b="381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3365C4E2" w14:textId="511EB815" w:rsidR="00656939" w:rsidRPr="0092172D" w:rsidRDefault="00656939" w:rsidP="00656939">
      <w:pPr>
        <w:autoSpaceDE w:val="0"/>
        <w:autoSpaceDN w:val="0"/>
        <w:adjustRightInd w:val="0"/>
        <w:spacing w:line="240" w:lineRule="auto"/>
        <w:jc w:val="left"/>
        <w:rPr>
          <w:rFonts w:eastAsia="Calibri" w:cs="Segoe UI"/>
          <w:color w:val="314364"/>
          <w:szCs w:val="20"/>
        </w:rPr>
      </w:pPr>
      <w:r w:rsidRPr="0092172D">
        <w:rPr>
          <w:rFonts w:eastAsia="Calibri" w:cs="Times New Roman"/>
          <w:i/>
          <w:color w:val="314364"/>
          <w:sz w:val="16"/>
        </w:rPr>
        <w:t>Zdroj: MF SR,</w:t>
      </w:r>
      <w:r>
        <w:rPr>
          <w:rFonts w:eastAsia="Calibri" w:cs="Times New Roman"/>
          <w:i/>
          <w:color w:val="314364"/>
          <w:sz w:val="16"/>
        </w:rPr>
        <w:t xml:space="preserve"> </w:t>
      </w:r>
      <w:proofErr w:type="spellStart"/>
      <w:r>
        <w:rPr>
          <w:rFonts w:eastAsia="Calibri" w:cs="Times New Roman"/>
          <w:i/>
          <w:color w:val="314364"/>
          <w:sz w:val="16"/>
        </w:rPr>
        <w:t>Eurostat</w:t>
      </w:r>
      <w:proofErr w:type="spellEnd"/>
      <w:r>
        <w:rPr>
          <w:rFonts w:eastAsia="Calibri" w:cs="Times New Roman"/>
          <w:i/>
          <w:color w:val="314364"/>
          <w:sz w:val="16"/>
          <w:lang w:val="en-US"/>
        </w:rPr>
        <w:t>;</w:t>
      </w:r>
      <w:r>
        <w:rPr>
          <w:rFonts w:eastAsia="Calibri" w:cs="Times New Roman"/>
          <w:i/>
          <w:color w:val="314364"/>
          <w:sz w:val="16"/>
        </w:rPr>
        <w:t xml:space="preserve"> Návrh RVS na roky 2022 až 2024</w:t>
      </w:r>
      <w:r w:rsidR="005718D5">
        <w:rPr>
          <w:rFonts w:eastAsia="Calibri" w:cs="Times New Roman"/>
          <w:i/>
          <w:color w:val="314364"/>
          <w:sz w:val="16"/>
          <w:lang w:val="en-US"/>
        </w:rPr>
        <w:t xml:space="preserve">; </w:t>
      </w:r>
      <w:r w:rsidRPr="0092172D">
        <w:rPr>
          <w:rFonts w:eastAsia="Calibri" w:cs="Times New Roman"/>
          <w:i/>
          <w:color w:val="314364"/>
          <w:sz w:val="16"/>
        </w:rPr>
        <w:t>*očakávaná</w:t>
      </w:r>
      <w:r>
        <w:rPr>
          <w:rFonts w:eastAsia="Calibri" w:cs="Times New Roman"/>
          <w:i/>
          <w:color w:val="314364"/>
          <w:sz w:val="16"/>
        </w:rPr>
        <w:t xml:space="preserve"> skutočnosť; </w:t>
      </w:r>
      <w:r w:rsidRPr="0092172D">
        <w:rPr>
          <w:rFonts w:eastAsia="Calibri" w:cs="Times New Roman"/>
          <w:i/>
          <w:color w:val="314364"/>
          <w:sz w:val="16"/>
        </w:rPr>
        <w:t>**prognóza</w:t>
      </w:r>
    </w:p>
    <w:p w14:paraId="574C0EED" w14:textId="4B2AA739" w:rsidR="00DF068C" w:rsidRDefault="00DF068C" w:rsidP="00DF068C">
      <w:pPr>
        <w:tabs>
          <w:tab w:val="left" w:pos="144"/>
        </w:tabs>
        <w:rPr>
          <w:rFonts w:cs="Segoe UI"/>
          <w:szCs w:val="20"/>
        </w:rPr>
      </w:pPr>
      <w:r>
        <w:rPr>
          <w:rFonts w:eastAsia="Calibri" w:cs="Times New Roman"/>
          <w:szCs w:val="20"/>
        </w:rPr>
        <w:lastRenderedPageBreak/>
        <w:t>Dlh VS by mal v roku 2021</w:t>
      </w:r>
      <w:r w:rsidRPr="0092172D">
        <w:rPr>
          <w:rFonts w:eastAsia="Calibri" w:cs="Times New Roman"/>
          <w:szCs w:val="20"/>
        </w:rPr>
        <w:t xml:space="preserve"> podľa od</w:t>
      </w:r>
      <w:r>
        <w:rPr>
          <w:rFonts w:eastAsia="Calibri" w:cs="Times New Roman"/>
          <w:szCs w:val="20"/>
        </w:rPr>
        <w:t>hadu MF SR dosiahnuť úroveň 61,5</w:t>
      </w:r>
      <w:r w:rsidRPr="0092172D">
        <w:rPr>
          <w:rFonts w:eastAsia="Calibri" w:cs="Times New Roman"/>
          <w:szCs w:val="20"/>
        </w:rPr>
        <w:t xml:space="preserve"> % HDP</w:t>
      </w:r>
      <w:r>
        <w:rPr>
          <w:rFonts w:eastAsia="Calibri" w:cs="Times New Roman"/>
          <w:szCs w:val="20"/>
        </w:rPr>
        <w:t>, čo je o 1,8 % HDP viac oproti skutočnému dlhu VS v roku 2020</w:t>
      </w:r>
      <w:r w:rsidRPr="0092172D">
        <w:rPr>
          <w:rFonts w:eastAsia="Calibri" w:cs="Times New Roman"/>
          <w:szCs w:val="20"/>
        </w:rPr>
        <w:t xml:space="preserve">. </w:t>
      </w:r>
      <w:r>
        <w:rPr>
          <w:rFonts w:eastAsia="Calibri" w:cs="Times New Roman"/>
          <w:szCs w:val="20"/>
        </w:rPr>
        <w:t>Príčinou rastu je očakávaný deficit VS vo výške 8 % HDP</w:t>
      </w:r>
      <w:r w:rsidR="004F207A">
        <w:rPr>
          <w:rFonts w:eastAsia="Calibri" w:cs="Times New Roman"/>
          <w:szCs w:val="20"/>
        </w:rPr>
        <w:t>. Naopak pozitívne bude vplývať</w:t>
      </w:r>
      <w:r>
        <w:rPr>
          <w:rFonts w:eastAsia="Calibri" w:cs="Times New Roman"/>
          <w:szCs w:val="20"/>
        </w:rPr>
        <w:t xml:space="preserve"> rast </w:t>
      </w:r>
      <w:r w:rsidRPr="009853D8">
        <w:rPr>
          <w:rFonts w:cs="Segoe UI"/>
          <w:szCs w:val="20"/>
        </w:rPr>
        <w:t>ekonomiky, zníženie hotovostnej rezervy štá</w:t>
      </w:r>
      <w:r>
        <w:rPr>
          <w:rFonts w:cs="Segoe UI"/>
          <w:szCs w:val="20"/>
        </w:rPr>
        <w:t xml:space="preserve">tu a vyššia miera inflácie. </w:t>
      </w:r>
    </w:p>
    <w:p w14:paraId="1BE5707E" w14:textId="2F6567B7" w:rsidR="00DF068C" w:rsidRPr="009853D8" w:rsidRDefault="00DF068C" w:rsidP="00DF068C">
      <w:pPr>
        <w:rPr>
          <w:rFonts w:cs="Segoe UI"/>
          <w:szCs w:val="20"/>
        </w:rPr>
      </w:pPr>
      <w:r w:rsidRPr="00E20E13">
        <w:rPr>
          <w:rFonts w:cs="Segoe UI"/>
          <w:szCs w:val="20"/>
        </w:rPr>
        <w:t xml:space="preserve">Rekonštrukcia vlády na jar 2021 aktivovala 24-mesačnú výnimku na uplatňovanie sankcií z prekročenia najvyšších pásiem dlhovej brzdy. </w:t>
      </w:r>
      <w:r w:rsidR="00593B17">
        <w:rPr>
          <w:rFonts w:cs="Segoe UI"/>
          <w:szCs w:val="20"/>
        </w:rPr>
        <w:t xml:space="preserve">Počas </w:t>
      </w:r>
      <w:r w:rsidRPr="00E20E13">
        <w:rPr>
          <w:rFonts w:cs="Segoe UI"/>
          <w:szCs w:val="20"/>
        </w:rPr>
        <w:t xml:space="preserve">tohto obdobia </w:t>
      </w:r>
      <w:r>
        <w:rPr>
          <w:rFonts w:cs="Segoe UI"/>
          <w:szCs w:val="20"/>
        </w:rPr>
        <w:t xml:space="preserve">je </w:t>
      </w:r>
      <w:r w:rsidRPr="00E20E13">
        <w:rPr>
          <w:rFonts w:cs="Segoe UI"/>
          <w:szCs w:val="20"/>
        </w:rPr>
        <w:t xml:space="preserve">vláda povinná </w:t>
      </w:r>
      <w:r w:rsidR="006C47F4">
        <w:rPr>
          <w:rFonts w:cs="Segoe UI"/>
          <w:szCs w:val="20"/>
        </w:rPr>
        <w:t xml:space="preserve">(i) </w:t>
      </w:r>
      <w:r w:rsidRPr="00E20E13">
        <w:rPr>
          <w:rFonts w:cs="Segoe UI"/>
          <w:szCs w:val="20"/>
        </w:rPr>
        <w:t>predkladať na rokovanie NR SR návrhy opatrení na zníženie dlhu a</w:t>
      </w:r>
      <w:r>
        <w:rPr>
          <w:rFonts w:cs="Segoe UI"/>
          <w:szCs w:val="20"/>
        </w:rPr>
        <w:t> </w:t>
      </w:r>
      <w:r w:rsidR="006C47F4">
        <w:rPr>
          <w:rFonts w:cs="Segoe UI"/>
          <w:szCs w:val="20"/>
        </w:rPr>
        <w:t xml:space="preserve">(ii) </w:t>
      </w:r>
      <w:r w:rsidRPr="00E20E13">
        <w:rPr>
          <w:rFonts w:cs="Segoe UI"/>
          <w:szCs w:val="20"/>
        </w:rPr>
        <w:t>zníž</w:t>
      </w:r>
      <w:r>
        <w:rPr>
          <w:rFonts w:cs="Segoe UI"/>
          <w:szCs w:val="20"/>
        </w:rPr>
        <w:t xml:space="preserve">iť </w:t>
      </w:r>
      <w:r w:rsidRPr="00E20E13">
        <w:rPr>
          <w:rFonts w:cs="Segoe UI"/>
          <w:szCs w:val="20"/>
        </w:rPr>
        <w:t xml:space="preserve">platy členov vlády. </w:t>
      </w:r>
    </w:p>
    <w:p w14:paraId="1691778F" w14:textId="6866C5A1" w:rsidR="00EF22CA" w:rsidRPr="00EF22CA" w:rsidRDefault="00DF068C" w:rsidP="00EF22CA">
      <w:pPr>
        <w:tabs>
          <w:tab w:val="left" w:pos="144"/>
        </w:tabs>
        <w:rPr>
          <w:rFonts w:eastAsia="Calibri" w:cs="Times New Roman"/>
          <w:b/>
          <w:color w:val="000000"/>
          <w:szCs w:val="20"/>
          <w:lang w:eastAsia="sk-SK" w:bidi="sk-SK"/>
        </w:rPr>
      </w:pPr>
      <w:r>
        <w:rPr>
          <w:rFonts w:eastAsia="Calibri" w:cs="Times New Roman"/>
          <w:color w:val="000000"/>
          <w:szCs w:val="20"/>
          <w:lang w:eastAsia="sk-SK" w:bidi="sk-SK"/>
        </w:rPr>
        <w:t xml:space="preserve">V roku 2022 by mal dlh VS zotrvať na úrovni 61,5 % HDP, čo je o 13,4 % HDP viac oproti predkrízovému roku 2019. </w:t>
      </w:r>
      <w:r w:rsidR="004C4E08" w:rsidRPr="004C4E08">
        <w:rPr>
          <w:rFonts w:eastAsia="Calibri" w:cs="Times New Roman"/>
          <w:b/>
          <w:color w:val="000000"/>
          <w:szCs w:val="20"/>
          <w:lang w:eastAsia="sk-SK" w:bidi="sk-SK"/>
        </w:rPr>
        <w:t>NR SR</w:t>
      </w:r>
      <w:r w:rsidRPr="00E20E13">
        <w:rPr>
          <w:rFonts w:eastAsia="Calibri" w:cs="Times New Roman"/>
          <w:b/>
          <w:color w:val="000000"/>
          <w:szCs w:val="20"/>
          <w:lang w:eastAsia="sk-SK" w:bidi="sk-SK"/>
        </w:rPr>
        <w:t xml:space="preserve"> </w:t>
      </w:r>
      <w:r w:rsidR="00CD108B">
        <w:rPr>
          <w:rFonts w:eastAsia="Calibri" w:cs="Times New Roman"/>
          <w:b/>
          <w:color w:val="000000"/>
          <w:szCs w:val="20"/>
          <w:lang w:eastAsia="sk-SK" w:bidi="sk-SK"/>
        </w:rPr>
        <w:t xml:space="preserve">však </w:t>
      </w:r>
      <w:r w:rsidRPr="00E20E13">
        <w:rPr>
          <w:rFonts w:eastAsia="Calibri" w:cs="Times New Roman"/>
          <w:b/>
          <w:color w:val="000000"/>
          <w:szCs w:val="20"/>
          <w:lang w:eastAsia="sk-SK" w:bidi="sk-SK"/>
        </w:rPr>
        <w:t>zatiaľ neschválila sprísnenie ústavného zákona o rozpočtovej zodpovednost</w:t>
      </w:r>
      <w:r>
        <w:rPr>
          <w:rFonts w:eastAsia="Calibri" w:cs="Times New Roman"/>
          <w:color w:val="000000"/>
          <w:szCs w:val="20"/>
          <w:lang w:eastAsia="sk-SK" w:bidi="sk-SK"/>
        </w:rPr>
        <w:t xml:space="preserve">i, ktorý obsahuje </w:t>
      </w:r>
      <w:r w:rsidRPr="00E20E13">
        <w:rPr>
          <w:rFonts w:eastAsia="Calibri" w:cs="Times New Roman"/>
          <w:color w:val="000000"/>
          <w:szCs w:val="20"/>
          <w:lang w:eastAsia="sk-SK" w:bidi="sk-SK"/>
        </w:rPr>
        <w:t xml:space="preserve">upravené sankcie a viacročné výdavkové stropy. </w:t>
      </w:r>
      <w:r>
        <w:rPr>
          <w:rFonts w:eastAsia="Calibri" w:cs="Times New Roman"/>
          <w:color w:val="000000"/>
          <w:szCs w:val="20"/>
          <w:lang w:eastAsia="sk-SK" w:bidi="sk-SK"/>
        </w:rPr>
        <w:t>Vláda tiež zatiaľ nepredstavila opatrenia na jeho zníženie a </w:t>
      </w:r>
      <w:r w:rsidRPr="00CD108B">
        <w:rPr>
          <w:rFonts w:eastAsia="Calibri" w:cs="Times New Roman"/>
          <w:b/>
          <w:color w:val="000000"/>
          <w:szCs w:val="20"/>
          <w:lang w:eastAsia="sk-SK" w:bidi="sk-SK"/>
        </w:rPr>
        <w:t>odložila konsolidačnú stratégiu až o</w:t>
      </w:r>
      <w:r w:rsidR="00EF22CA">
        <w:rPr>
          <w:rFonts w:eastAsia="Calibri" w:cs="Times New Roman"/>
          <w:b/>
          <w:color w:val="000000"/>
          <w:szCs w:val="20"/>
          <w:lang w:eastAsia="sk-SK" w:bidi="sk-SK"/>
        </w:rPr>
        <w:t>d roku 2023.</w:t>
      </w:r>
    </w:p>
    <w:p w14:paraId="754B57D8" w14:textId="6D2BA0AF" w:rsidR="00C30CC5" w:rsidRDefault="00C30CC5" w:rsidP="00C30CC5">
      <w:pPr>
        <w:pStyle w:val="Nadpis1"/>
      </w:pPr>
      <w:bookmarkStart w:id="14" w:name="_Toc86396376"/>
      <w:bookmarkStart w:id="15" w:name="_Toc87345109"/>
      <w:r>
        <w:lastRenderedPageBreak/>
        <w:t>Rozpočtové vzťahy SR a EÚ</w:t>
      </w:r>
      <w:bookmarkEnd w:id="14"/>
      <w:bookmarkEnd w:id="15"/>
    </w:p>
    <w:p w14:paraId="54EFCEE1" w14:textId="43B17DAA" w:rsidR="00B772C9" w:rsidRDefault="00B772C9" w:rsidP="00B772C9">
      <w:r>
        <w:t>Pre rok 2022 je rozpočtovaná o 46,5 % vyššia čistá finančná pozícia</w:t>
      </w:r>
      <w:r w:rsidRPr="002A3A7F">
        <w:rPr>
          <w:rStyle w:val="Odkaznapoznmkupodiarou"/>
          <w:i/>
        </w:rPr>
        <w:footnoteReference w:id="5"/>
      </w:r>
      <w:r w:rsidRPr="002A3A7F">
        <w:rPr>
          <w:i/>
          <w:vertAlign w:val="superscript"/>
        </w:rPr>
        <w:t>)</w:t>
      </w:r>
      <w:r>
        <w:t xml:space="preserve"> oproti roku</w:t>
      </w:r>
      <w:r w:rsidR="005634D1">
        <w:t xml:space="preserve"> 2020, v ktorom dosiahla </w:t>
      </w:r>
      <w:r w:rsidR="005634D1" w:rsidRPr="005634D1">
        <w:t>1</w:t>
      </w:r>
      <w:r w:rsidR="005634D1">
        <w:t>,</w:t>
      </w:r>
      <w:r w:rsidR="00D5008A">
        <w:t>58</w:t>
      </w:r>
      <w:r w:rsidR="005634D1">
        <w:t xml:space="preserve"> mld. eur</w:t>
      </w:r>
      <w:r>
        <w:t>. Vyššie rozpočtovanie čistej finančnej pozície má súvis najmä s časovým tlakom na dočerpávanie EŠIF ku koncu PO 2014 – 2020</w:t>
      </w:r>
      <w:r w:rsidRPr="002A3A7F">
        <w:t xml:space="preserve"> (MF SR predpokladá efektívne čerpanie na úrovni 97,5 % celkovej alokácie). Navyše sa k týmto zdrojom pridá aj čerpanie prostriedkov </w:t>
      </w:r>
      <w:r>
        <w:t xml:space="preserve">z </w:t>
      </w:r>
      <w:r w:rsidRPr="002A3A7F">
        <w:t>Plánu obnovy a odolnosti.</w:t>
      </w:r>
    </w:p>
    <w:p w14:paraId="633FAF02" w14:textId="2C2B8B42" w:rsidR="00656939" w:rsidRDefault="00656939" w:rsidP="00656939">
      <w:pPr>
        <w:rPr>
          <w:b/>
        </w:rPr>
      </w:pPr>
      <w:r>
        <w:t>V </w:t>
      </w:r>
      <w:r w:rsidRPr="003D111C">
        <w:rPr>
          <w:b/>
        </w:rPr>
        <w:t xml:space="preserve">3. </w:t>
      </w:r>
      <w:r>
        <w:rPr>
          <w:b/>
        </w:rPr>
        <w:t>PO</w:t>
      </w:r>
      <w:r w:rsidRPr="003D111C">
        <w:rPr>
          <w:b/>
        </w:rPr>
        <w:t xml:space="preserve"> </w:t>
      </w:r>
      <w:r>
        <w:rPr>
          <w:b/>
        </w:rPr>
        <w:t>2014 –</w:t>
      </w:r>
      <w:r w:rsidRPr="003D111C">
        <w:rPr>
          <w:b/>
        </w:rPr>
        <w:t xml:space="preserve"> 2020</w:t>
      </w:r>
      <w:r>
        <w:t xml:space="preserve"> sa čerpanie EŠIF (bez PRV</w:t>
      </w:r>
      <w:r w:rsidR="00DA6F5B" w:rsidRPr="00DA6F5B">
        <w:rPr>
          <w:rStyle w:val="Odkaznapoznmkupodiarou"/>
          <w:i/>
        </w:rPr>
        <w:footnoteReference w:id="6"/>
      </w:r>
      <w:r w:rsidR="00DA6F5B" w:rsidRPr="00DA6F5B">
        <w:rPr>
          <w:i/>
          <w:vertAlign w:val="superscript"/>
        </w:rPr>
        <w:t>)</w:t>
      </w:r>
      <w:r>
        <w:t xml:space="preserve">) dostalo k 30. 9. 2021 na 44,99 %, pričom kontrahovanie dosiahlo 85,70 % pri 706 platných výzvach a vyzvaniach. Údaj o kontrahovaní však nemusí reflektovať skutočný stav, pretože existuje riziko, že počet úspešne ukončených verejných obstarávaní a uzavretých zmlúv prijímateľov s dodávateľmi je v skutočnosti nižší. Prostriedky z tohto PO možno čerpať už iba do konca roku 2023, pričom ešte </w:t>
      </w:r>
      <w:r w:rsidRPr="00A55614">
        <w:rPr>
          <w:b/>
        </w:rPr>
        <w:t>zostáva dočerpať 7,9 mld. eur (bez PRV), čo je vyššia suma než sa podarilo vyčerpať od začiatku PO.</w:t>
      </w:r>
      <w:r>
        <w:t xml:space="preserve"> </w:t>
      </w:r>
      <w:r w:rsidRPr="003D4F20">
        <w:rPr>
          <w:b/>
        </w:rPr>
        <w:t xml:space="preserve">Existuje teda riziko nedočerpania alokovaných prostriedkov, resp. vytváranie náporu na rezorty, čo môže spôsobiť chybovosť projektov a vyššiu </w:t>
      </w:r>
      <w:r w:rsidR="00A55614">
        <w:rPr>
          <w:b/>
        </w:rPr>
        <w:t>mieru následných nezrovnalostí.</w:t>
      </w:r>
    </w:p>
    <w:tbl>
      <w:tblPr>
        <w:tblpPr w:leftFromText="141" w:rightFromText="141" w:vertAnchor="text" w:horzAnchor="margin" w:tblpY="-25"/>
        <w:tblOverlap w:val="never"/>
        <w:tblW w:w="3470" w:type="pct"/>
        <w:tblCellMar>
          <w:left w:w="10" w:type="dxa"/>
          <w:right w:w="10" w:type="dxa"/>
        </w:tblCellMar>
        <w:tblLook w:val="0000" w:firstRow="0" w:lastRow="0" w:firstColumn="0" w:lastColumn="0" w:noHBand="0" w:noVBand="0"/>
      </w:tblPr>
      <w:tblGrid>
        <w:gridCol w:w="2897"/>
        <w:gridCol w:w="844"/>
        <w:gridCol w:w="1041"/>
        <w:gridCol w:w="763"/>
        <w:gridCol w:w="750"/>
      </w:tblGrid>
      <w:tr w:rsidR="00A55614" w:rsidRPr="0014343D" w14:paraId="74DBE737" w14:textId="77777777" w:rsidTr="00037A18">
        <w:trPr>
          <w:trHeight w:hRule="exact" w:val="283"/>
        </w:trPr>
        <w:tc>
          <w:tcPr>
            <w:tcW w:w="5000" w:type="pct"/>
            <w:gridSpan w:val="5"/>
            <w:shd w:val="clear" w:color="auto" w:fill="auto"/>
            <w:vAlign w:val="center"/>
          </w:tcPr>
          <w:p w14:paraId="4EB34116" w14:textId="77777777" w:rsidR="00A55614" w:rsidRPr="00FD7441" w:rsidRDefault="00A55614" w:rsidP="00037A18">
            <w:pPr>
              <w:pStyle w:val="Popis"/>
              <w:keepNext/>
              <w:rPr>
                <w:color w:val="314364"/>
              </w:rPr>
            </w:pPr>
            <w:r w:rsidRPr="00CA606D">
              <w:rPr>
                <w:color w:val="314364"/>
              </w:rPr>
              <w:t xml:space="preserve">Tabuľka </w:t>
            </w:r>
            <w:r>
              <w:rPr>
                <w:color w:val="314364"/>
              </w:rPr>
              <w:t>4</w:t>
            </w:r>
            <w:r w:rsidRPr="00CA606D">
              <w:rPr>
                <w:color w:val="314364"/>
              </w:rPr>
              <w:t xml:space="preserve">: </w:t>
            </w:r>
            <w:r>
              <w:rPr>
                <w:color w:val="314364"/>
              </w:rPr>
              <w:t>Čerpanie OP k 30. 9. 2020 a 30. 9. 2021 (v tis. eur)</w:t>
            </w:r>
          </w:p>
          <w:p w14:paraId="4DD4B977" w14:textId="77777777" w:rsidR="00A55614" w:rsidRPr="0014343D" w:rsidRDefault="00A55614" w:rsidP="00037A18">
            <w:pPr>
              <w:pStyle w:val="In0"/>
              <w:shd w:val="clear" w:color="auto" w:fill="auto"/>
              <w:spacing w:after="0"/>
              <w:jc w:val="left"/>
              <w:rPr>
                <w:rFonts w:ascii="Segoe UI" w:hAnsi="Segoe UI" w:cs="Segoe UI"/>
                <w:b/>
                <w:bCs/>
                <w:color w:val="FFFFFF"/>
                <w:sz w:val="18"/>
                <w:szCs w:val="18"/>
                <w:lang w:eastAsia="sk-SK" w:bidi="sk-SK"/>
              </w:rPr>
            </w:pPr>
          </w:p>
        </w:tc>
      </w:tr>
      <w:tr w:rsidR="00A55614" w:rsidRPr="0014343D" w14:paraId="06EDCFBB" w14:textId="77777777" w:rsidTr="00037A18">
        <w:trPr>
          <w:trHeight w:hRule="exact" w:val="283"/>
        </w:trPr>
        <w:tc>
          <w:tcPr>
            <w:tcW w:w="2301" w:type="pct"/>
            <w:vMerge w:val="restart"/>
            <w:shd w:val="clear" w:color="auto" w:fill="314364"/>
            <w:vAlign w:val="center"/>
          </w:tcPr>
          <w:p w14:paraId="334212C8" w14:textId="77777777" w:rsidR="00A55614" w:rsidRPr="0014343D" w:rsidRDefault="00A55614" w:rsidP="00037A18">
            <w:pPr>
              <w:pStyle w:val="In0"/>
              <w:shd w:val="clear" w:color="auto" w:fill="auto"/>
              <w:spacing w:after="0"/>
              <w:jc w:val="left"/>
              <w:rPr>
                <w:rFonts w:ascii="Segoe UI" w:hAnsi="Segoe UI" w:cs="Segoe UI"/>
                <w:sz w:val="18"/>
                <w:szCs w:val="18"/>
              </w:rPr>
            </w:pPr>
            <w:r w:rsidRPr="0014343D">
              <w:rPr>
                <w:rFonts w:ascii="Segoe UI" w:hAnsi="Segoe UI" w:cs="Segoe UI"/>
                <w:b/>
                <w:bCs/>
                <w:color w:val="FFFFFF"/>
                <w:sz w:val="18"/>
                <w:szCs w:val="18"/>
                <w:lang w:eastAsia="sk-SK" w:bidi="sk-SK"/>
              </w:rPr>
              <w:t>Operačný program</w:t>
            </w:r>
          </w:p>
        </w:tc>
        <w:tc>
          <w:tcPr>
            <w:tcW w:w="670" w:type="pct"/>
            <w:vMerge w:val="restart"/>
            <w:shd w:val="clear" w:color="auto" w:fill="314364"/>
            <w:vAlign w:val="center"/>
          </w:tcPr>
          <w:p w14:paraId="08D7486B" w14:textId="77777777" w:rsidR="00A55614" w:rsidRPr="0014343D" w:rsidRDefault="00A55614" w:rsidP="00037A18">
            <w:pPr>
              <w:pStyle w:val="In0"/>
              <w:shd w:val="clear" w:color="auto" w:fill="auto"/>
              <w:spacing w:after="0"/>
              <w:jc w:val="center"/>
              <w:rPr>
                <w:rFonts w:ascii="Segoe UI" w:hAnsi="Segoe UI" w:cs="Segoe UI"/>
                <w:sz w:val="18"/>
                <w:szCs w:val="18"/>
              </w:rPr>
            </w:pPr>
            <w:r w:rsidRPr="0014343D">
              <w:rPr>
                <w:rFonts w:ascii="Segoe UI" w:hAnsi="Segoe UI" w:cs="Segoe UI"/>
                <w:b/>
                <w:bCs/>
                <w:color w:val="FFFFFF"/>
                <w:sz w:val="18"/>
                <w:szCs w:val="18"/>
                <w:lang w:eastAsia="sk-SK" w:bidi="sk-SK"/>
              </w:rPr>
              <w:t>Čerpanie   3</w:t>
            </w:r>
            <w:r>
              <w:rPr>
                <w:rFonts w:ascii="Segoe UI" w:hAnsi="Segoe UI" w:cs="Segoe UI"/>
                <w:b/>
                <w:bCs/>
                <w:color w:val="FFFFFF"/>
                <w:sz w:val="18"/>
                <w:szCs w:val="18"/>
                <w:lang w:eastAsia="sk-SK" w:bidi="sk-SK"/>
              </w:rPr>
              <w:t>0</w:t>
            </w:r>
            <w:r w:rsidRPr="0014343D">
              <w:rPr>
                <w:rFonts w:ascii="Segoe UI" w:hAnsi="Segoe UI" w:cs="Segoe UI"/>
                <w:b/>
                <w:bCs/>
                <w:color w:val="FFFFFF"/>
                <w:sz w:val="18"/>
                <w:szCs w:val="18"/>
                <w:lang w:eastAsia="sk-SK" w:bidi="sk-SK"/>
              </w:rPr>
              <w:t>.</w:t>
            </w:r>
            <w:r>
              <w:rPr>
                <w:rFonts w:ascii="Segoe UI" w:hAnsi="Segoe UI" w:cs="Segoe UI"/>
                <w:b/>
                <w:bCs/>
                <w:color w:val="FFFFFF"/>
                <w:sz w:val="18"/>
                <w:szCs w:val="18"/>
                <w:lang w:eastAsia="sk-SK" w:bidi="sk-SK"/>
              </w:rPr>
              <w:t>9</w:t>
            </w:r>
            <w:r w:rsidRPr="0014343D">
              <w:rPr>
                <w:rFonts w:ascii="Segoe UI" w:hAnsi="Segoe UI" w:cs="Segoe UI"/>
                <w:b/>
                <w:bCs/>
                <w:color w:val="FFFFFF"/>
                <w:sz w:val="18"/>
                <w:szCs w:val="18"/>
                <w:lang w:eastAsia="sk-SK" w:bidi="sk-SK"/>
              </w:rPr>
              <w:t>.2020</w:t>
            </w:r>
          </w:p>
        </w:tc>
        <w:tc>
          <w:tcPr>
            <w:tcW w:w="827" w:type="pct"/>
            <w:vMerge w:val="restart"/>
            <w:shd w:val="clear" w:color="auto" w:fill="314364"/>
            <w:vAlign w:val="center"/>
          </w:tcPr>
          <w:p w14:paraId="4601E878" w14:textId="77777777" w:rsidR="00A55614" w:rsidRPr="0014343D" w:rsidRDefault="00A55614" w:rsidP="00037A18">
            <w:pPr>
              <w:pStyle w:val="In0"/>
              <w:shd w:val="clear" w:color="auto" w:fill="auto"/>
              <w:spacing w:after="0"/>
              <w:jc w:val="center"/>
              <w:rPr>
                <w:rFonts w:ascii="Segoe UI" w:hAnsi="Segoe UI" w:cs="Segoe UI"/>
                <w:b/>
                <w:bCs/>
                <w:color w:val="FFFFFF"/>
                <w:sz w:val="18"/>
                <w:szCs w:val="18"/>
                <w:lang w:eastAsia="sk-SK" w:bidi="sk-SK"/>
              </w:rPr>
            </w:pPr>
            <w:r>
              <w:rPr>
                <w:rFonts w:ascii="Segoe UI" w:hAnsi="Segoe UI" w:cs="Segoe UI"/>
                <w:b/>
                <w:bCs/>
                <w:color w:val="FFFFFF"/>
                <w:sz w:val="18"/>
                <w:szCs w:val="18"/>
                <w:lang w:eastAsia="sk-SK" w:bidi="sk-SK"/>
              </w:rPr>
              <w:t xml:space="preserve">   </w:t>
            </w:r>
            <w:r w:rsidRPr="0014343D">
              <w:rPr>
                <w:rFonts w:ascii="Segoe UI" w:hAnsi="Segoe UI" w:cs="Segoe UI"/>
                <w:b/>
                <w:bCs/>
                <w:color w:val="FFFFFF"/>
                <w:sz w:val="18"/>
                <w:szCs w:val="18"/>
                <w:lang w:eastAsia="sk-SK" w:bidi="sk-SK"/>
              </w:rPr>
              <w:t>Čerpanie</w:t>
            </w:r>
          </w:p>
          <w:p w14:paraId="524014E4" w14:textId="77777777" w:rsidR="00A55614" w:rsidRPr="0014343D" w:rsidRDefault="00A55614" w:rsidP="00037A18">
            <w:pPr>
              <w:pStyle w:val="In0"/>
              <w:shd w:val="clear" w:color="auto" w:fill="auto"/>
              <w:spacing w:after="0"/>
              <w:jc w:val="center"/>
              <w:rPr>
                <w:rFonts w:ascii="Segoe UI" w:hAnsi="Segoe UI" w:cs="Segoe UI"/>
                <w:sz w:val="18"/>
                <w:szCs w:val="18"/>
              </w:rPr>
            </w:pPr>
            <w:r>
              <w:rPr>
                <w:rFonts w:ascii="Segoe UI" w:hAnsi="Segoe UI" w:cs="Segoe UI"/>
                <w:b/>
                <w:bCs/>
                <w:color w:val="FFFFFF"/>
                <w:sz w:val="18"/>
                <w:szCs w:val="18"/>
                <w:lang w:eastAsia="sk-SK" w:bidi="sk-SK"/>
              </w:rPr>
              <w:t xml:space="preserve">   </w:t>
            </w:r>
            <w:r w:rsidRPr="0014343D">
              <w:rPr>
                <w:rFonts w:ascii="Segoe UI" w:hAnsi="Segoe UI" w:cs="Segoe UI"/>
                <w:b/>
                <w:bCs/>
                <w:color w:val="FFFFFF"/>
                <w:sz w:val="18"/>
                <w:szCs w:val="18"/>
                <w:lang w:eastAsia="sk-SK" w:bidi="sk-SK"/>
              </w:rPr>
              <w:t>30.9.2021</w:t>
            </w:r>
          </w:p>
        </w:tc>
        <w:tc>
          <w:tcPr>
            <w:tcW w:w="606" w:type="pct"/>
            <w:shd w:val="clear" w:color="auto" w:fill="314364"/>
            <w:vAlign w:val="center"/>
          </w:tcPr>
          <w:p w14:paraId="7F6E4BBC" w14:textId="77777777" w:rsidR="00A55614" w:rsidRPr="0014343D" w:rsidRDefault="00A55614" w:rsidP="00037A18">
            <w:pPr>
              <w:pStyle w:val="In0"/>
              <w:shd w:val="clear" w:color="auto" w:fill="auto"/>
              <w:spacing w:after="0"/>
              <w:jc w:val="center"/>
              <w:rPr>
                <w:rFonts w:ascii="Segoe UI" w:hAnsi="Segoe UI" w:cs="Segoe UI"/>
                <w:b/>
                <w:bCs/>
                <w:color w:val="FFFFFF"/>
                <w:sz w:val="18"/>
                <w:szCs w:val="18"/>
                <w:lang w:eastAsia="sk-SK" w:bidi="sk-SK"/>
              </w:rPr>
            </w:pPr>
            <w:r w:rsidRPr="0014343D">
              <w:rPr>
                <w:rFonts w:ascii="Segoe UI" w:hAnsi="Segoe UI" w:cs="Segoe UI"/>
                <w:b/>
                <w:bCs/>
                <w:color w:val="FFFFFF"/>
                <w:sz w:val="18"/>
                <w:szCs w:val="18"/>
                <w:lang w:eastAsia="sk-SK" w:bidi="sk-SK"/>
              </w:rPr>
              <w:t>% z</w:t>
            </w:r>
          </w:p>
        </w:tc>
        <w:tc>
          <w:tcPr>
            <w:tcW w:w="596" w:type="pct"/>
            <w:shd w:val="clear" w:color="auto" w:fill="314364"/>
            <w:vAlign w:val="center"/>
          </w:tcPr>
          <w:p w14:paraId="455C747E" w14:textId="77777777" w:rsidR="00A55614" w:rsidRPr="0014343D" w:rsidRDefault="00A55614" w:rsidP="00037A18">
            <w:pPr>
              <w:pStyle w:val="In0"/>
              <w:shd w:val="clear" w:color="auto" w:fill="auto"/>
              <w:spacing w:after="0"/>
              <w:jc w:val="center"/>
              <w:rPr>
                <w:rFonts w:ascii="Segoe UI" w:hAnsi="Segoe UI" w:cs="Segoe UI"/>
                <w:sz w:val="18"/>
                <w:szCs w:val="18"/>
              </w:rPr>
            </w:pPr>
            <w:r w:rsidRPr="0014343D">
              <w:rPr>
                <w:rFonts w:ascii="Segoe UI" w:hAnsi="Segoe UI" w:cs="Segoe UI"/>
                <w:b/>
                <w:bCs/>
                <w:color w:val="FFFFFF"/>
                <w:sz w:val="18"/>
                <w:szCs w:val="18"/>
                <w:lang w:eastAsia="sk-SK" w:bidi="sk-SK"/>
              </w:rPr>
              <w:t>Zmena</w:t>
            </w:r>
          </w:p>
        </w:tc>
      </w:tr>
      <w:tr w:rsidR="00A55614" w:rsidRPr="0014343D" w14:paraId="6BB207EC" w14:textId="77777777" w:rsidTr="00037A18">
        <w:trPr>
          <w:trHeight w:hRule="exact" w:val="234"/>
        </w:trPr>
        <w:tc>
          <w:tcPr>
            <w:tcW w:w="2301" w:type="pct"/>
            <w:vMerge/>
            <w:shd w:val="clear" w:color="auto" w:fill="0071C1"/>
            <w:vAlign w:val="center"/>
          </w:tcPr>
          <w:p w14:paraId="6C46F71F" w14:textId="77777777" w:rsidR="00A55614" w:rsidRPr="0014343D" w:rsidRDefault="00A55614" w:rsidP="00037A18">
            <w:pPr>
              <w:jc w:val="left"/>
              <w:rPr>
                <w:rFonts w:cs="Segoe UI"/>
                <w:sz w:val="18"/>
                <w:szCs w:val="18"/>
              </w:rPr>
            </w:pPr>
          </w:p>
        </w:tc>
        <w:tc>
          <w:tcPr>
            <w:tcW w:w="670" w:type="pct"/>
            <w:vMerge/>
            <w:shd w:val="clear" w:color="auto" w:fill="0071C1"/>
            <w:vAlign w:val="bottom"/>
          </w:tcPr>
          <w:p w14:paraId="79835752" w14:textId="77777777" w:rsidR="00A55614" w:rsidRPr="0014343D" w:rsidRDefault="00A55614" w:rsidP="00037A18">
            <w:pPr>
              <w:rPr>
                <w:rFonts w:cs="Segoe UI"/>
                <w:sz w:val="18"/>
                <w:szCs w:val="18"/>
              </w:rPr>
            </w:pPr>
          </w:p>
        </w:tc>
        <w:tc>
          <w:tcPr>
            <w:tcW w:w="827" w:type="pct"/>
            <w:vMerge/>
            <w:shd w:val="clear" w:color="auto" w:fill="314364"/>
          </w:tcPr>
          <w:p w14:paraId="3EB9D6C1" w14:textId="77777777" w:rsidR="00A55614" w:rsidRPr="0014343D" w:rsidRDefault="00A55614" w:rsidP="00037A18">
            <w:pPr>
              <w:pStyle w:val="In0"/>
              <w:shd w:val="clear" w:color="auto" w:fill="auto"/>
              <w:spacing w:after="0"/>
              <w:jc w:val="center"/>
              <w:rPr>
                <w:rFonts w:ascii="Segoe UI" w:hAnsi="Segoe UI" w:cs="Segoe UI"/>
                <w:b/>
                <w:bCs/>
                <w:color w:val="FFFFFF"/>
                <w:sz w:val="18"/>
                <w:szCs w:val="18"/>
                <w:lang w:eastAsia="sk-SK" w:bidi="sk-SK"/>
              </w:rPr>
            </w:pPr>
          </w:p>
        </w:tc>
        <w:tc>
          <w:tcPr>
            <w:tcW w:w="606" w:type="pct"/>
            <w:shd w:val="clear" w:color="auto" w:fill="314364"/>
          </w:tcPr>
          <w:p w14:paraId="7A708E97" w14:textId="77777777" w:rsidR="00A55614" w:rsidRPr="0014343D" w:rsidRDefault="00A55614" w:rsidP="00037A18">
            <w:pPr>
              <w:pStyle w:val="In0"/>
              <w:shd w:val="clear" w:color="auto" w:fill="auto"/>
              <w:spacing w:after="0"/>
              <w:jc w:val="center"/>
              <w:rPr>
                <w:rFonts w:ascii="Segoe UI" w:hAnsi="Segoe UI" w:cs="Segoe UI"/>
                <w:b/>
                <w:bCs/>
                <w:color w:val="FFFFFF"/>
                <w:sz w:val="18"/>
                <w:szCs w:val="18"/>
                <w:lang w:eastAsia="sk-SK" w:bidi="sk-SK"/>
              </w:rPr>
            </w:pPr>
            <w:r w:rsidRPr="0014343D">
              <w:rPr>
                <w:rFonts w:ascii="Segoe UI" w:hAnsi="Segoe UI" w:cs="Segoe UI"/>
                <w:b/>
                <w:bCs/>
                <w:color w:val="FFFFFF"/>
                <w:sz w:val="18"/>
                <w:szCs w:val="18"/>
                <w:lang w:eastAsia="sk-SK" w:bidi="sk-SK"/>
              </w:rPr>
              <w:t xml:space="preserve"> alokácie</w:t>
            </w:r>
          </w:p>
        </w:tc>
        <w:tc>
          <w:tcPr>
            <w:tcW w:w="596" w:type="pct"/>
            <w:shd w:val="clear" w:color="auto" w:fill="314364"/>
            <w:vAlign w:val="bottom"/>
          </w:tcPr>
          <w:p w14:paraId="4B1B26F3" w14:textId="77777777" w:rsidR="00A55614" w:rsidRPr="0014343D" w:rsidRDefault="00A55614" w:rsidP="00037A18">
            <w:pPr>
              <w:pStyle w:val="In0"/>
              <w:shd w:val="clear" w:color="auto" w:fill="auto"/>
              <w:spacing w:after="0"/>
              <w:jc w:val="center"/>
              <w:rPr>
                <w:rFonts w:ascii="Segoe UI" w:hAnsi="Segoe UI" w:cs="Segoe UI"/>
                <w:sz w:val="18"/>
                <w:szCs w:val="18"/>
              </w:rPr>
            </w:pPr>
            <w:r w:rsidRPr="0014343D">
              <w:rPr>
                <w:rFonts w:ascii="Segoe UI" w:hAnsi="Segoe UI" w:cs="Segoe UI"/>
                <w:b/>
                <w:bCs/>
                <w:color w:val="FFFFFF"/>
                <w:sz w:val="18"/>
                <w:szCs w:val="18"/>
                <w:lang w:eastAsia="sk-SK" w:bidi="sk-SK"/>
              </w:rPr>
              <w:t xml:space="preserve">  v %</w:t>
            </w:r>
          </w:p>
        </w:tc>
      </w:tr>
      <w:tr w:rsidR="00A55614" w:rsidRPr="0014343D" w14:paraId="309B9424" w14:textId="77777777" w:rsidTr="00037A18">
        <w:trPr>
          <w:trHeight w:hRule="exact" w:val="289"/>
        </w:trPr>
        <w:tc>
          <w:tcPr>
            <w:tcW w:w="2301" w:type="pct"/>
            <w:shd w:val="clear" w:color="auto" w:fill="FFFFFF"/>
            <w:vAlign w:val="center"/>
          </w:tcPr>
          <w:p w14:paraId="27E6EC29" w14:textId="77777777" w:rsidR="00A55614" w:rsidRPr="0014343D" w:rsidRDefault="00A55614" w:rsidP="00037A18">
            <w:pPr>
              <w:spacing w:after="0" w:line="240" w:lineRule="auto"/>
              <w:jc w:val="left"/>
              <w:rPr>
                <w:rFonts w:cs="Segoe UI"/>
                <w:sz w:val="18"/>
                <w:szCs w:val="18"/>
              </w:rPr>
            </w:pPr>
            <w:r w:rsidRPr="0014343D">
              <w:rPr>
                <w:rFonts w:cs="Segoe UI"/>
                <w:sz w:val="18"/>
                <w:szCs w:val="18"/>
              </w:rPr>
              <w:t>OP Ľudské zdroje</w:t>
            </w:r>
          </w:p>
          <w:p w14:paraId="60FEAB72" w14:textId="77777777" w:rsidR="00A55614" w:rsidRPr="0014343D" w:rsidRDefault="00A55614" w:rsidP="00037A18">
            <w:pPr>
              <w:pStyle w:val="In0"/>
              <w:shd w:val="clear" w:color="auto" w:fill="auto"/>
              <w:spacing w:after="0" w:line="259" w:lineRule="auto"/>
              <w:jc w:val="left"/>
              <w:rPr>
                <w:rFonts w:ascii="Segoe UI" w:hAnsi="Segoe UI" w:cs="Segoe UI"/>
                <w:sz w:val="18"/>
                <w:szCs w:val="18"/>
              </w:rPr>
            </w:pPr>
          </w:p>
        </w:tc>
        <w:tc>
          <w:tcPr>
            <w:tcW w:w="670" w:type="pct"/>
            <w:shd w:val="clear" w:color="000000" w:fill="FFFFFF"/>
            <w:vAlign w:val="center"/>
          </w:tcPr>
          <w:p w14:paraId="25042A5A"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1 127 096</w:t>
            </w:r>
          </w:p>
        </w:tc>
        <w:tc>
          <w:tcPr>
            <w:tcW w:w="827" w:type="pct"/>
            <w:shd w:val="clear" w:color="000000" w:fill="FFFFFF"/>
            <w:vAlign w:val="center"/>
          </w:tcPr>
          <w:p w14:paraId="2BD994CA"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1 725 374</w:t>
            </w:r>
          </w:p>
        </w:tc>
        <w:tc>
          <w:tcPr>
            <w:tcW w:w="606" w:type="pct"/>
            <w:shd w:val="clear" w:color="000000" w:fill="FFFFFF"/>
            <w:vAlign w:val="center"/>
          </w:tcPr>
          <w:p w14:paraId="552DD7E8"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56,0</w:t>
            </w:r>
          </w:p>
        </w:tc>
        <w:tc>
          <w:tcPr>
            <w:tcW w:w="596" w:type="pct"/>
            <w:shd w:val="clear" w:color="000000" w:fill="FFFFFF"/>
            <w:vAlign w:val="center"/>
          </w:tcPr>
          <w:p w14:paraId="5AC0C6E8"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153,0</w:t>
            </w:r>
          </w:p>
        </w:tc>
      </w:tr>
      <w:tr w:rsidR="00A55614" w:rsidRPr="0014343D" w14:paraId="3CFD83B9" w14:textId="77777777" w:rsidTr="00037A18">
        <w:trPr>
          <w:trHeight w:hRule="exact" w:val="289"/>
        </w:trPr>
        <w:tc>
          <w:tcPr>
            <w:tcW w:w="2301" w:type="pct"/>
            <w:shd w:val="clear" w:color="auto" w:fill="FFFFFF"/>
            <w:vAlign w:val="center"/>
          </w:tcPr>
          <w:p w14:paraId="5B8EE518" w14:textId="77777777" w:rsidR="00A55614" w:rsidRPr="0014343D" w:rsidRDefault="00A55614" w:rsidP="00037A18">
            <w:pPr>
              <w:spacing w:after="0" w:line="240" w:lineRule="auto"/>
              <w:jc w:val="left"/>
              <w:rPr>
                <w:rFonts w:cs="Segoe UI"/>
                <w:sz w:val="18"/>
                <w:szCs w:val="18"/>
              </w:rPr>
            </w:pPr>
            <w:r w:rsidRPr="0014343D">
              <w:rPr>
                <w:rFonts w:cs="Segoe UI"/>
                <w:sz w:val="18"/>
                <w:szCs w:val="18"/>
              </w:rPr>
              <w:t>OP Integrovaná infraštruktúra</w:t>
            </w:r>
          </w:p>
          <w:p w14:paraId="13F7B685" w14:textId="77777777" w:rsidR="00A55614" w:rsidRPr="0014343D" w:rsidRDefault="00A55614" w:rsidP="00037A18">
            <w:pPr>
              <w:pStyle w:val="In0"/>
              <w:shd w:val="clear" w:color="auto" w:fill="auto"/>
              <w:spacing w:after="0" w:line="259" w:lineRule="auto"/>
              <w:jc w:val="left"/>
              <w:rPr>
                <w:rFonts w:ascii="Segoe UI" w:hAnsi="Segoe UI" w:cs="Segoe UI"/>
                <w:sz w:val="18"/>
                <w:szCs w:val="18"/>
              </w:rPr>
            </w:pPr>
          </w:p>
        </w:tc>
        <w:tc>
          <w:tcPr>
            <w:tcW w:w="670" w:type="pct"/>
            <w:shd w:val="clear" w:color="000000" w:fill="FFFFFF"/>
            <w:vAlign w:val="center"/>
          </w:tcPr>
          <w:p w14:paraId="2121B5E7"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1 978 104</w:t>
            </w:r>
          </w:p>
        </w:tc>
        <w:tc>
          <w:tcPr>
            <w:tcW w:w="827" w:type="pct"/>
            <w:shd w:val="clear" w:color="000000" w:fill="FFFFFF"/>
            <w:vAlign w:val="center"/>
          </w:tcPr>
          <w:p w14:paraId="254C317E"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2 489 182</w:t>
            </w:r>
          </w:p>
        </w:tc>
        <w:tc>
          <w:tcPr>
            <w:tcW w:w="606" w:type="pct"/>
            <w:shd w:val="clear" w:color="000000" w:fill="FFFFFF"/>
            <w:vAlign w:val="center"/>
          </w:tcPr>
          <w:p w14:paraId="771368B1"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40,0</w:t>
            </w:r>
          </w:p>
        </w:tc>
        <w:tc>
          <w:tcPr>
            <w:tcW w:w="596" w:type="pct"/>
            <w:shd w:val="clear" w:color="000000" w:fill="FFFFFF"/>
            <w:vAlign w:val="center"/>
          </w:tcPr>
          <w:p w14:paraId="3EA437CD"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125,8</w:t>
            </w:r>
          </w:p>
        </w:tc>
      </w:tr>
      <w:tr w:rsidR="00A55614" w:rsidRPr="0014343D" w14:paraId="0987BE8E" w14:textId="77777777" w:rsidTr="00037A18">
        <w:trPr>
          <w:trHeight w:hRule="exact" w:val="289"/>
        </w:trPr>
        <w:tc>
          <w:tcPr>
            <w:tcW w:w="2301" w:type="pct"/>
            <w:shd w:val="clear" w:color="auto" w:fill="FFFFFF"/>
            <w:vAlign w:val="center"/>
          </w:tcPr>
          <w:p w14:paraId="64B31849" w14:textId="77777777" w:rsidR="00A55614" w:rsidRPr="0014343D" w:rsidRDefault="00A55614" w:rsidP="00037A18">
            <w:pPr>
              <w:spacing w:after="0" w:line="240" w:lineRule="auto"/>
              <w:jc w:val="left"/>
              <w:rPr>
                <w:rFonts w:cs="Segoe UI"/>
                <w:sz w:val="18"/>
                <w:szCs w:val="18"/>
              </w:rPr>
            </w:pPr>
            <w:r w:rsidRPr="0014343D">
              <w:rPr>
                <w:rFonts w:cs="Segoe UI"/>
                <w:sz w:val="18"/>
                <w:szCs w:val="18"/>
              </w:rPr>
              <w:t>OP Kvalita životného prostredia</w:t>
            </w:r>
          </w:p>
          <w:p w14:paraId="45B79EAE" w14:textId="77777777" w:rsidR="00A55614" w:rsidRPr="0014343D" w:rsidRDefault="00A55614" w:rsidP="00037A18">
            <w:pPr>
              <w:pStyle w:val="In0"/>
              <w:shd w:val="clear" w:color="auto" w:fill="auto"/>
              <w:spacing w:after="0" w:line="259" w:lineRule="auto"/>
              <w:jc w:val="left"/>
              <w:rPr>
                <w:rFonts w:ascii="Segoe UI" w:hAnsi="Segoe UI" w:cs="Segoe UI"/>
                <w:sz w:val="18"/>
                <w:szCs w:val="18"/>
              </w:rPr>
            </w:pPr>
          </w:p>
        </w:tc>
        <w:tc>
          <w:tcPr>
            <w:tcW w:w="670" w:type="pct"/>
            <w:shd w:val="clear" w:color="000000" w:fill="FFFFFF"/>
            <w:vAlign w:val="center"/>
          </w:tcPr>
          <w:p w14:paraId="304F6436"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1 027 931</w:t>
            </w:r>
          </w:p>
        </w:tc>
        <w:tc>
          <w:tcPr>
            <w:tcW w:w="827" w:type="pct"/>
            <w:shd w:val="clear" w:color="000000" w:fill="FFFFFF"/>
            <w:vAlign w:val="center"/>
          </w:tcPr>
          <w:p w14:paraId="70C42DC7"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1 286 184</w:t>
            </w:r>
          </w:p>
        </w:tc>
        <w:tc>
          <w:tcPr>
            <w:tcW w:w="606" w:type="pct"/>
            <w:shd w:val="clear" w:color="000000" w:fill="FFFFFF"/>
            <w:vAlign w:val="center"/>
          </w:tcPr>
          <w:p w14:paraId="311D140B"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43,8</w:t>
            </w:r>
          </w:p>
        </w:tc>
        <w:tc>
          <w:tcPr>
            <w:tcW w:w="596" w:type="pct"/>
            <w:shd w:val="clear" w:color="000000" w:fill="FFFFFF"/>
            <w:vAlign w:val="center"/>
          </w:tcPr>
          <w:p w14:paraId="4396C170"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125,1</w:t>
            </w:r>
          </w:p>
        </w:tc>
      </w:tr>
      <w:tr w:rsidR="00A55614" w:rsidRPr="0014343D" w14:paraId="290E1450" w14:textId="77777777" w:rsidTr="00037A18">
        <w:trPr>
          <w:trHeight w:hRule="exact" w:val="289"/>
        </w:trPr>
        <w:tc>
          <w:tcPr>
            <w:tcW w:w="2301" w:type="pct"/>
            <w:shd w:val="clear" w:color="auto" w:fill="FFFFFF"/>
            <w:vAlign w:val="center"/>
          </w:tcPr>
          <w:p w14:paraId="37A61166" w14:textId="77777777" w:rsidR="00A55614" w:rsidRPr="0014343D" w:rsidRDefault="00A55614" w:rsidP="00037A18">
            <w:pPr>
              <w:spacing w:after="0" w:line="240" w:lineRule="auto"/>
              <w:jc w:val="left"/>
              <w:rPr>
                <w:rFonts w:cs="Segoe UI"/>
                <w:sz w:val="18"/>
                <w:szCs w:val="18"/>
              </w:rPr>
            </w:pPr>
            <w:r w:rsidRPr="0014343D">
              <w:rPr>
                <w:rFonts w:cs="Segoe UI"/>
                <w:sz w:val="18"/>
                <w:szCs w:val="18"/>
              </w:rPr>
              <w:t>Integrovaný regionálny OP</w:t>
            </w:r>
          </w:p>
        </w:tc>
        <w:tc>
          <w:tcPr>
            <w:tcW w:w="670" w:type="pct"/>
            <w:shd w:val="clear" w:color="000000" w:fill="FFFFFF"/>
            <w:vAlign w:val="center"/>
          </w:tcPr>
          <w:p w14:paraId="78F6384A"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450 353</w:t>
            </w:r>
          </w:p>
        </w:tc>
        <w:tc>
          <w:tcPr>
            <w:tcW w:w="827" w:type="pct"/>
            <w:shd w:val="clear" w:color="000000" w:fill="FFFFFF"/>
            <w:vAlign w:val="center"/>
          </w:tcPr>
          <w:p w14:paraId="18DA5E9B"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634 850</w:t>
            </w:r>
          </w:p>
        </w:tc>
        <w:tc>
          <w:tcPr>
            <w:tcW w:w="606" w:type="pct"/>
            <w:shd w:val="clear" w:color="000000" w:fill="FFFFFF"/>
            <w:vAlign w:val="center"/>
          </w:tcPr>
          <w:p w14:paraId="0C6C0D32"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31,5</w:t>
            </w:r>
          </w:p>
        </w:tc>
        <w:tc>
          <w:tcPr>
            <w:tcW w:w="596" w:type="pct"/>
            <w:shd w:val="clear" w:color="000000" w:fill="FFFFFF"/>
            <w:vAlign w:val="center"/>
          </w:tcPr>
          <w:p w14:paraId="2842E313"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141,0</w:t>
            </w:r>
          </w:p>
        </w:tc>
      </w:tr>
      <w:tr w:rsidR="00A55614" w:rsidRPr="0014343D" w14:paraId="08780BFD" w14:textId="77777777" w:rsidTr="00037A18">
        <w:trPr>
          <w:trHeight w:hRule="exact" w:val="289"/>
        </w:trPr>
        <w:tc>
          <w:tcPr>
            <w:tcW w:w="2301" w:type="pct"/>
            <w:shd w:val="clear" w:color="auto" w:fill="FFFFFF"/>
            <w:vAlign w:val="center"/>
          </w:tcPr>
          <w:p w14:paraId="1C2E14AF" w14:textId="77777777" w:rsidR="00A55614" w:rsidRPr="0014343D" w:rsidRDefault="00A55614" w:rsidP="00037A18">
            <w:pPr>
              <w:spacing w:after="0" w:line="240" w:lineRule="auto"/>
              <w:jc w:val="left"/>
              <w:rPr>
                <w:rFonts w:cs="Segoe UI"/>
                <w:sz w:val="18"/>
                <w:szCs w:val="18"/>
              </w:rPr>
            </w:pPr>
            <w:r w:rsidRPr="0014343D">
              <w:rPr>
                <w:rFonts w:cs="Segoe UI"/>
                <w:sz w:val="18"/>
                <w:szCs w:val="18"/>
              </w:rPr>
              <w:t>OP Efektívna verejná správa</w:t>
            </w:r>
          </w:p>
          <w:p w14:paraId="2EDC4C53" w14:textId="77777777" w:rsidR="00A55614" w:rsidRPr="0014343D" w:rsidRDefault="00A55614" w:rsidP="00037A18">
            <w:pPr>
              <w:spacing w:after="0" w:line="240" w:lineRule="auto"/>
              <w:jc w:val="left"/>
              <w:rPr>
                <w:rFonts w:cs="Segoe UI"/>
                <w:sz w:val="18"/>
                <w:szCs w:val="18"/>
              </w:rPr>
            </w:pPr>
          </w:p>
        </w:tc>
        <w:tc>
          <w:tcPr>
            <w:tcW w:w="670" w:type="pct"/>
            <w:shd w:val="clear" w:color="000000" w:fill="FFFFFF"/>
            <w:vAlign w:val="center"/>
          </w:tcPr>
          <w:p w14:paraId="5468E252"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91 160</w:t>
            </w:r>
          </w:p>
        </w:tc>
        <w:tc>
          <w:tcPr>
            <w:tcW w:w="827" w:type="pct"/>
            <w:shd w:val="clear" w:color="000000" w:fill="FFFFFF"/>
            <w:vAlign w:val="center"/>
          </w:tcPr>
          <w:p w14:paraId="56BF3948"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124 402</w:t>
            </w:r>
          </w:p>
        </w:tc>
        <w:tc>
          <w:tcPr>
            <w:tcW w:w="606" w:type="pct"/>
            <w:shd w:val="clear" w:color="000000" w:fill="FFFFFF"/>
            <w:vAlign w:val="center"/>
          </w:tcPr>
          <w:p w14:paraId="010562AA"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34,9</w:t>
            </w:r>
          </w:p>
        </w:tc>
        <w:tc>
          <w:tcPr>
            <w:tcW w:w="596" w:type="pct"/>
            <w:shd w:val="clear" w:color="000000" w:fill="FFFFFF"/>
            <w:vAlign w:val="center"/>
          </w:tcPr>
          <w:p w14:paraId="46A6CFA0"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136,5</w:t>
            </w:r>
          </w:p>
        </w:tc>
      </w:tr>
      <w:tr w:rsidR="00A55614" w:rsidRPr="0014343D" w14:paraId="50D8515F" w14:textId="77777777" w:rsidTr="00037A18">
        <w:trPr>
          <w:trHeight w:hRule="exact" w:val="289"/>
        </w:trPr>
        <w:tc>
          <w:tcPr>
            <w:tcW w:w="2301" w:type="pct"/>
            <w:shd w:val="clear" w:color="auto" w:fill="FFFFFF"/>
            <w:vAlign w:val="center"/>
          </w:tcPr>
          <w:p w14:paraId="0070A635" w14:textId="77777777" w:rsidR="00A55614" w:rsidRPr="0014343D" w:rsidRDefault="00A55614" w:rsidP="00037A18">
            <w:pPr>
              <w:spacing w:after="0" w:line="240" w:lineRule="auto"/>
              <w:jc w:val="left"/>
              <w:rPr>
                <w:rFonts w:cs="Segoe UI"/>
                <w:sz w:val="18"/>
                <w:szCs w:val="18"/>
              </w:rPr>
            </w:pPr>
            <w:r w:rsidRPr="0014343D">
              <w:rPr>
                <w:rFonts w:cs="Segoe UI"/>
                <w:sz w:val="18"/>
                <w:szCs w:val="18"/>
              </w:rPr>
              <w:t>OP Technická pomoc</w:t>
            </w:r>
          </w:p>
          <w:p w14:paraId="7CA4E2B1" w14:textId="77777777" w:rsidR="00A55614" w:rsidRPr="0014343D" w:rsidRDefault="00A55614" w:rsidP="00037A18">
            <w:pPr>
              <w:spacing w:after="0" w:line="240" w:lineRule="auto"/>
              <w:jc w:val="left"/>
              <w:rPr>
                <w:rFonts w:cs="Segoe UI"/>
                <w:sz w:val="18"/>
                <w:szCs w:val="18"/>
              </w:rPr>
            </w:pPr>
          </w:p>
        </w:tc>
        <w:tc>
          <w:tcPr>
            <w:tcW w:w="670" w:type="pct"/>
            <w:shd w:val="clear" w:color="000000" w:fill="FFFFFF"/>
            <w:vAlign w:val="center"/>
          </w:tcPr>
          <w:p w14:paraId="5C999D48"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100 452</w:t>
            </w:r>
          </w:p>
        </w:tc>
        <w:tc>
          <w:tcPr>
            <w:tcW w:w="827" w:type="pct"/>
            <w:shd w:val="clear" w:color="000000" w:fill="FFFFFF"/>
            <w:vAlign w:val="center"/>
          </w:tcPr>
          <w:p w14:paraId="0C33B7A3"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119 197</w:t>
            </w:r>
          </w:p>
        </w:tc>
        <w:tc>
          <w:tcPr>
            <w:tcW w:w="606" w:type="pct"/>
            <w:shd w:val="clear" w:color="000000" w:fill="FFFFFF"/>
            <w:vAlign w:val="center"/>
          </w:tcPr>
          <w:p w14:paraId="3718B1F2"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74,4</w:t>
            </w:r>
          </w:p>
        </w:tc>
        <w:tc>
          <w:tcPr>
            <w:tcW w:w="596" w:type="pct"/>
            <w:shd w:val="clear" w:color="000000" w:fill="FFFFFF"/>
            <w:vAlign w:val="center"/>
          </w:tcPr>
          <w:p w14:paraId="496F6090"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118,7</w:t>
            </w:r>
          </w:p>
        </w:tc>
      </w:tr>
      <w:tr w:rsidR="00A55614" w:rsidRPr="0014343D" w14:paraId="442E6C42" w14:textId="77777777" w:rsidTr="00037A18">
        <w:trPr>
          <w:trHeight w:hRule="exact" w:val="289"/>
        </w:trPr>
        <w:tc>
          <w:tcPr>
            <w:tcW w:w="2301" w:type="pct"/>
            <w:shd w:val="clear" w:color="auto" w:fill="FFFFFF"/>
            <w:vAlign w:val="center"/>
          </w:tcPr>
          <w:p w14:paraId="15B69A48" w14:textId="77777777" w:rsidR="00A55614" w:rsidRPr="0014343D" w:rsidRDefault="00A55614" w:rsidP="00037A18">
            <w:pPr>
              <w:spacing w:after="0" w:line="240" w:lineRule="auto"/>
              <w:jc w:val="left"/>
              <w:rPr>
                <w:rFonts w:cs="Segoe UI"/>
                <w:sz w:val="18"/>
                <w:szCs w:val="18"/>
              </w:rPr>
            </w:pPr>
            <w:r w:rsidRPr="0014343D">
              <w:rPr>
                <w:rFonts w:cs="Segoe UI"/>
                <w:sz w:val="18"/>
                <w:szCs w:val="18"/>
              </w:rPr>
              <w:t>OP Rybné hospodárstvo</w:t>
            </w:r>
          </w:p>
          <w:p w14:paraId="19497DCC" w14:textId="77777777" w:rsidR="00A55614" w:rsidRPr="0014343D" w:rsidRDefault="00A55614" w:rsidP="00037A18">
            <w:pPr>
              <w:spacing w:after="0" w:line="240" w:lineRule="auto"/>
              <w:jc w:val="left"/>
              <w:rPr>
                <w:rFonts w:cs="Segoe UI"/>
                <w:sz w:val="18"/>
                <w:szCs w:val="18"/>
              </w:rPr>
            </w:pPr>
            <w:proofErr w:type="spellStart"/>
            <w:r w:rsidRPr="0014343D">
              <w:rPr>
                <w:rFonts w:cs="Segoe UI"/>
                <w:sz w:val="18"/>
                <w:szCs w:val="18"/>
              </w:rPr>
              <w:t>Interreg</w:t>
            </w:r>
            <w:proofErr w:type="spellEnd"/>
            <w:r w:rsidRPr="0014343D">
              <w:rPr>
                <w:rFonts w:cs="Segoe UI"/>
                <w:sz w:val="18"/>
                <w:szCs w:val="18"/>
              </w:rPr>
              <w:t xml:space="preserve"> V-A SK-CZ</w:t>
            </w:r>
          </w:p>
          <w:p w14:paraId="336BB315" w14:textId="77777777" w:rsidR="00A55614" w:rsidRPr="0014343D" w:rsidRDefault="00A55614" w:rsidP="00037A18">
            <w:pPr>
              <w:spacing w:after="0" w:line="240" w:lineRule="auto"/>
              <w:jc w:val="left"/>
              <w:rPr>
                <w:rFonts w:cs="Segoe UI"/>
                <w:sz w:val="18"/>
                <w:szCs w:val="18"/>
              </w:rPr>
            </w:pPr>
          </w:p>
        </w:tc>
        <w:tc>
          <w:tcPr>
            <w:tcW w:w="670" w:type="pct"/>
            <w:shd w:val="clear" w:color="000000" w:fill="FFFFFF"/>
            <w:vAlign w:val="center"/>
          </w:tcPr>
          <w:p w14:paraId="45C1FA68"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1 045</w:t>
            </w:r>
          </w:p>
        </w:tc>
        <w:tc>
          <w:tcPr>
            <w:tcW w:w="827" w:type="pct"/>
            <w:shd w:val="clear" w:color="000000" w:fill="FFFFFF"/>
            <w:vAlign w:val="center"/>
          </w:tcPr>
          <w:p w14:paraId="3DB03016"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932</w:t>
            </w:r>
          </w:p>
        </w:tc>
        <w:tc>
          <w:tcPr>
            <w:tcW w:w="606" w:type="pct"/>
            <w:shd w:val="clear" w:color="000000" w:fill="FFFFFF"/>
            <w:vAlign w:val="center"/>
          </w:tcPr>
          <w:p w14:paraId="2B31A0B3"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7,8</w:t>
            </w:r>
          </w:p>
        </w:tc>
        <w:tc>
          <w:tcPr>
            <w:tcW w:w="596" w:type="pct"/>
            <w:shd w:val="clear" w:color="000000" w:fill="FFFFFF"/>
            <w:vAlign w:val="center"/>
          </w:tcPr>
          <w:p w14:paraId="29EEAB4D"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89,2</w:t>
            </w:r>
          </w:p>
        </w:tc>
      </w:tr>
      <w:tr w:rsidR="00A55614" w:rsidRPr="0014343D" w14:paraId="0106C1FC" w14:textId="77777777" w:rsidTr="00037A18">
        <w:trPr>
          <w:trHeight w:hRule="exact" w:val="289"/>
        </w:trPr>
        <w:tc>
          <w:tcPr>
            <w:tcW w:w="2301" w:type="pct"/>
            <w:shd w:val="clear" w:color="auto" w:fill="FFFFFF"/>
            <w:vAlign w:val="center"/>
          </w:tcPr>
          <w:p w14:paraId="43FBFE29" w14:textId="77777777" w:rsidR="00A55614" w:rsidRPr="0014343D" w:rsidRDefault="00A55614" w:rsidP="00037A18">
            <w:pPr>
              <w:spacing w:after="0" w:line="240" w:lineRule="auto"/>
              <w:jc w:val="left"/>
              <w:rPr>
                <w:rFonts w:cs="Segoe UI"/>
                <w:sz w:val="18"/>
                <w:szCs w:val="18"/>
              </w:rPr>
            </w:pPr>
            <w:proofErr w:type="spellStart"/>
            <w:r w:rsidRPr="0014343D">
              <w:rPr>
                <w:rFonts w:cs="Segoe UI"/>
                <w:sz w:val="18"/>
                <w:szCs w:val="18"/>
              </w:rPr>
              <w:t>Interreg</w:t>
            </w:r>
            <w:proofErr w:type="spellEnd"/>
            <w:r w:rsidRPr="0014343D">
              <w:rPr>
                <w:rFonts w:cs="Segoe UI"/>
                <w:sz w:val="18"/>
                <w:szCs w:val="18"/>
              </w:rPr>
              <w:t xml:space="preserve"> V-A SK-CZ</w:t>
            </w:r>
          </w:p>
          <w:p w14:paraId="35525119" w14:textId="77777777" w:rsidR="00A55614" w:rsidRPr="0014343D" w:rsidRDefault="00A55614" w:rsidP="00037A18">
            <w:pPr>
              <w:spacing w:after="0" w:line="240" w:lineRule="auto"/>
              <w:jc w:val="left"/>
              <w:rPr>
                <w:rFonts w:cs="Segoe UI"/>
                <w:sz w:val="18"/>
                <w:szCs w:val="18"/>
              </w:rPr>
            </w:pPr>
            <w:proofErr w:type="spellStart"/>
            <w:r w:rsidRPr="0014343D">
              <w:rPr>
                <w:rFonts w:cs="Segoe UI"/>
                <w:sz w:val="18"/>
                <w:szCs w:val="18"/>
              </w:rPr>
              <w:t>Interreg</w:t>
            </w:r>
            <w:proofErr w:type="spellEnd"/>
            <w:r w:rsidRPr="0014343D">
              <w:rPr>
                <w:rFonts w:cs="Segoe UI"/>
                <w:sz w:val="18"/>
                <w:szCs w:val="18"/>
              </w:rPr>
              <w:t xml:space="preserve"> V-A SK-</w:t>
            </w:r>
            <w:proofErr w:type="spellStart"/>
            <w:r w:rsidRPr="0014343D">
              <w:rPr>
                <w:rFonts w:cs="Segoe UI"/>
                <w:sz w:val="18"/>
                <w:szCs w:val="18"/>
              </w:rPr>
              <w:t>ATsggerh</w:t>
            </w:r>
            <w:proofErr w:type="spellEnd"/>
          </w:p>
          <w:p w14:paraId="31FDFCA2" w14:textId="77777777" w:rsidR="00A55614" w:rsidRPr="0014343D" w:rsidRDefault="00A55614" w:rsidP="00037A18">
            <w:pPr>
              <w:spacing w:after="0" w:line="240" w:lineRule="auto"/>
              <w:jc w:val="left"/>
              <w:rPr>
                <w:rFonts w:cs="Segoe UI"/>
                <w:sz w:val="18"/>
                <w:szCs w:val="18"/>
              </w:rPr>
            </w:pPr>
          </w:p>
        </w:tc>
        <w:tc>
          <w:tcPr>
            <w:tcW w:w="670" w:type="pct"/>
            <w:shd w:val="clear" w:color="000000" w:fill="FFFFFF"/>
            <w:vAlign w:val="center"/>
          </w:tcPr>
          <w:p w14:paraId="77D19071"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23 150</w:t>
            </w:r>
          </w:p>
        </w:tc>
        <w:tc>
          <w:tcPr>
            <w:tcW w:w="827" w:type="pct"/>
            <w:shd w:val="clear" w:color="000000" w:fill="FFFFFF"/>
            <w:vAlign w:val="center"/>
          </w:tcPr>
          <w:p w14:paraId="3D9F24BB"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39 327</w:t>
            </w:r>
          </w:p>
        </w:tc>
        <w:tc>
          <w:tcPr>
            <w:tcW w:w="606" w:type="pct"/>
            <w:shd w:val="clear" w:color="000000" w:fill="FFFFFF"/>
            <w:vAlign w:val="center"/>
          </w:tcPr>
          <w:p w14:paraId="1D50E025"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38,7</w:t>
            </w:r>
          </w:p>
        </w:tc>
        <w:tc>
          <w:tcPr>
            <w:tcW w:w="596" w:type="pct"/>
            <w:shd w:val="clear" w:color="000000" w:fill="FFFFFF"/>
            <w:vAlign w:val="center"/>
          </w:tcPr>
          <w:p w14:paraId="42B3A67C"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169,9</w:t>
            </w:r>
          </w:p>
        </w:tc>
      </w:tr>
      <w:tr w:rsidR="00A55614" w:rsidRPr="0014343D" w14:paraId="43D40DFE" w14:textId="77777777" w:rsidTr="00037A18">
        <w:trPr>
          <w:trHeight w:hRule="exact" w:val="289"/>
        </w:trPr>
        <w:tc>
          <w:tcPr>
            <w:tcW w:w="2301" w:type="pct"/>
            <w:shd w:val="clear" w:color="auto" w:fill="FFFFFF"/>
            <w:vAlign w:val="center"/>
          </w:tcPr>
          <w:p w14:paraId="7B4C9957" w14:textId="77777777" w:rsidR="00A55614" w:rsidRPr="0014343D" w:rsidRDefault="00A55614" w:rsidP="00037A18">
            <w:pPr>
              <w:spacing w:after="0" w:line="240" w:lineRule="auto"/>
              <w:jc w:val="left"/>
              <w:rPr>
                <w:rFonts w:cs="Segoe UI"/>
                <w:sz w:val="18"/>
                <w:szCs w:val="18"/>
              </w:rPr>
            </w:pPr>
            <w:proofErr w:type="spellStart"/>
            <w:r w:rsidRPr="0014343D">
              <w:rPr>
                <w:rFonts w:cs="Segoe UI"/>
                <w:sz w:val="18"/>
                <w:szCs w:val="18"/>
              </w:rPr>
              <w:t>Interreg</w:t>
            </w:r>
            <w:proofErr w:type="spellEnd"/>
            <w:r w:rsidRPr="0014343D">
              <w:rPr>
                <w:rFonts w:cs="Segoe UI"/>
                <w:sz w:val="18"/>
                <w:szCs w:val="18"/>
              </w:rPr>
              <w:t xml:space="preserve"> V-A SK-AT</w:t>
            </w:r>
          </w:p>
          <w:p w14:paraId="44A392AC" w14:textId="77777777" w:rsidR="00A55614" w:rsidRPr="0014343D" w:rsidRDefault="00A55614" w:rsidP="00037A18">
            <w:pPr>
              <w:spacing w:after="0" w:line="240" w:lineRule="auto"/>
              <w:jc w:val="left"/>
              <w:rPr>
                <w:rFonts w:cs="Segoe UI"/>
                <w:sz w:val="18"/>
                <w:szCs w:val="18"/>
              </w:rPr>
            </w:pPr>
          </w:p>
        </w:tc>
        <w:tc>
          <w:tcPr>
            <w:tcW w:w="670" w:type="pct"/>
            <w:shd w:val="clear" w:color="000000" w:fill="FFFFFF"/>
            <w:vAlign w:val="center"/>
          </w:tcPr>
          <w:p w14:paraId="523E9D6F"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9 776</w:t>
            </w:r>
          </w:p>
        </w:tc>
        <w:tc>
          <w:tcPr>
            <w:tcW w:w="827" w:type="pct"/>
            <w:shd w:val="clear" w:color="000000" w:fill="FFFFFF"/>
            <w:vAlign w:val="center"/>
          </w:tcPr>
          <w:p w14:paraId="472A9A11"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22 720</w:t>
            </w:r>
          </w:p>
        </w:tc>
        <w:tc>
          <w:tcPr>
            <w:tcW w:w="606" w:type="pct"/>
            <w:shd w:val="clear" w:color="000000" w:fill="FFFFFF"/>
            <w:vAlign w:val="center"/>
          </w:tcPr>
          <w:p w14:paraId="486569D9"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25,8</w:t>
            </w:r>
          </w:p>
        </w:tc>
        <w:tc>
          <w:tcPr>
            <w:tcW w:w="596" w:type="pct"/>
            <w:shd w:val="clear" w:color="000000" w:fill="FFFFFF"/>
            <w:vAlign w:val="center"/>
          </w:tcPr>
          <w:p w14:paraId="759A8458"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232,4</w:t>
            </w:r>
          </w:p>
        </w:tc>
      </w:tr>
      <w:tr w:rsidR="00A55614" w:rsidRPr="0014343D" w14:paraId="7C3265CD" w14:textId="77777777" w:rsidTr="00037A18">
        <w:trPr>
          <w:trHeight w:hRule="exact" w:val="246"/>
        </w:trPr>
        <w:tc>
          <w:tcPr>
            <w:tcW w:w="2301" w:type="pct"/>
            <w:shd w:val="clear" w:color="auto" w:fill="FFFFFF"/>
            <w:vAlign w:val="center"/>
          </w:tcPr>
          <w:p w14:paraId="3929A403" w14:textId="77777777" w:rsidR="00A55614" w:rsidRPr="0014343D" w:rsidRDefault="00A55614" w:rsidP="00037A18">
            <w:pPr>
              <w:spacing w:after="0" w:line="240" w:lineRule="auto"/>
              <w:jc w:val="left"/>
              <w:rPr>
                <w:rFonts w:cs="Segoe UI"/>
                <w:sz w:val="18"/>
                <w:szCs w:val="18"/>
              </w:rPr>
            </w:pPr>
            <w:r w:rsidRPr="0014343D">
              <w:rPr>
                <w:rFonts w:cs="Segoe UI"/>
                <w:sz w:val="18"/>
                <w:szCs w:val="18"/>
              </w:rPr>
              <w:t>PS INTERACT III</w:t>
            </w:r>
          </w:p>
        </w:tc>
        <w:tc>
          <w:tcPr>
            <w:tcW w:w="670" w:type="pct"/>
            <w:shd w:val="clear" w:color="000000" w:fill="FFFFFF"/>
            <w:vAlign w:val="center"/>
          </w:tcPr>
          <w:p w14:paraId="0D85DFA9" w14:textId="77777777" w:rsidR="00A55614" w:rsidRPr="0014343D" w:rsidRDefault="00A55614" w:rsidP="00037A18">
            <w:pPr>
              <w:spacing w:after="0" w:line="259" w:lineRule="auto"/>
              <w:jc w:val="right"/>
              <w:rPr>
                <w:rFonts w:cs="Segoe UI"/>
                <w:bCs/>
                <w:color w:val="000000"/>
                <w:sz w:val="18"/>
                <w:szCs w:val="18"/>
              </w:rPr>
            </w:pPr>
            <w:r>
              <w:rPr>
                <w:rFonts w:cs="Segoe UI"/>
                <w:bCs/>
                <w:color w:val="000000"/>
                <w:sz w:val="18"/>
                <w:szCs w:val="18"/>
              </w:rPr>
              <w:t>19 982</w:t>
            </w:r>
          </w:p>
        </w:tc>
        <w:tc>
          <w:tcPr>
            <w:tcW w:w="827" w:type="pct"/>
            <w:shd w:val="clear" w:color="000000" w:fill="FFFFFF"/>
            <w:vAlign w:val="center"/>
          </w:tcPr>
          <w:p w14:paraId="63E1FE54"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26 124</w:t>
            </w:r>
          </w:p>
        </w:tc>
        <w:tc>
          <w:tcPr>
            <w:tcW w:w="606" w:type="pct"/>
            <w:shd w:val="clear" w:color="000000" w:fill="FFFFFF"/>
            <w:vAlign w:val="center"/>
          </w:tcPr>
          <w:p w14:paraId="6FE6D599"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62,9</w:t>
            </w:r>
          </w:p>
        </w:tc>
        <w:tc>
          <w:tcPr>
            <w:tcW w:w="596" w:type="pct"/>
            <w:shd w:val="clear" w:color="000000" w:fill="FFFFFF"/>
            <w:vAlign w:val="center"/>
          </w:tcPr>
          <w:p w14:paraId="059D3CCE"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130,7</w:t>
            </w:r>
          </w:p>
        </w:tc>
      </w:tr>
      <w:tr w:rsidR="00A55614" w:rsidRPr="0014343D" w14:paraId="7018AC17" w14:textId="77777777" w:rsidTr="00037A18">
        <w:trPr>
          <w:trHeight w:hRule="exact" w:val="220"/>
        </w:trPr>
        <w:tc>
          <w:tcPr>
            <w:tcW w:w="2301" w:type="pct"/>
            <w:tcBorders>
              <w:bottom w:val="single" w:sz="4" w:space="0" w:color="314364" w:themeColor="text2"/>
            </w:tcBorders>
            <w:shd w:val="clear" w:color="auto" w:fill="FFFFFF"/>
            <w:vAlign w:val="center"/>
          </w:tcPr>
          <w:p w14:paraId="347867CE" w14:textId="77777777" w:rsidR="00A55614" w:rsidRPr="0014343D" w:rsidRDefault="00A55614" w:rsidP="00037A18">
            <w:pPr>
              <w:spacing w:after="0" w:line="240" w:lineRule="auto"/>
              <w:jc w:val="left"/>
              <w:rPr>
                <w:rFonts w:cs="Segoe UI"/>
                <w:b/>
                <w:sz w:val="18"/>
                <w:szCs w:val="18"/>
              </w:rPr>
            </w:pPr>
            <w:r w:rsidRPr="0014343D">
              <w:rPr>
                <w:rFonts w:cs="Segoe UI"/>
                <w:b/>
                <w:sz w:val="18"/>
                <w:szCs w:val="18"/>
              </w:rPr>
              <w:t>Spolu</w:t>
            </w:r>
          </w:p>
        </w:tc>
        <w:tc>
          <w:tcPr>
            <w:tcW w:w="670" w:type="pct"/>
            <w:tcBorders>
              <w:bottom w:val="single" w:sz="4" w:space="0" w:color="314364" w:themeColor="text2"/>
            </w:tcBorders>
            <w:shd w:val="clear" w:color="000000" w:fill="FFFFFF"/>
            <w:vAlign w:val="center"/>
          </w:tcPr>
          <w:p w14:paraId="0A3306E8" w14:textId="77777777" w:rsidR="00A55614" w:rsidRPr="00963C0F" w:rsidRDefault="00A55614" w:rsidP="00037A18">
            <w:pPr>
              <w:spacing w:after="0" w:line="259" w:lineRule="auto"/>
              <w:jc w:val="right"/>
              <w:rPr>
                <w:rFonts w:cs="Segoe UI"/>
                <w:bCs/>
                <w:color w:val="000000"/>
                <w:sz w:val="18"/>
                <w:szCs w:val="18"/>
              </w:rPr>
            </w:pPr>
            <w:r w:rsidRPr="00963C0F">
              <w:rPr>
                <w:rFonts w:cs="Segoe UI"/>
                <w:bCs/>
                <w:color w:val="000000"/>
                <w:sz w:val="18"/>
                <w:szCs w:val="18"/>
              </w:rPr>
              <w:t>4 829 050</w:t>
            </w:r>
          </w:p>
          <w:p w14:paraId="629CA72E" w14:textId="77777777" w:rsidR="00A55614" w:rsidRPr="0014343D" w:rsidRDefault="00A55614" w:rsidP="00037A18">
            <w:pPr>
              <w:spacing w:after="0" w:line="259" w:lineRule="auto"/>
              <w:jc w:val="right"/>
              <w:rPr>
                <w:rFonts w:cs="Segoe UI"/>
                <w:bCs/>
                <w:color w:val="000000"/>
                <w:sz w:val="18"/>
                <w:szCs w:val="18"/>
              </w:rPr>
            </w:pPr>
          </w:p>
        </w:tc>
        <w:tc>
          <w:tcPr>
            <w:tcW w:w="827" w:type="pct"/>
            <w:tcBorders>
              <w:bottom w:val="single" w:sz="4" w:space="0" w:color="314364" w:themeColor="text2"/>
            </w:tcBorders>
            <w:shd w:val="clear" w:color="000000" w:fill="FFFFFF"/>
            <w:vAlign w:val="center"/>
          </w:tcPr>
          <w:p w14:paraId="2EC672B1" w14:textId="77777777" w:rsidR="00A55614" w:rsidRPr="0014343D" w:rsidRDefault="00A55614" w:rsidP="00037A18">
            <w:pPr>
              <w:spacing w:after="0" w:line="259" w:lineRule="auto"/>
              <w:jc w:val="right"/>
              <w:rPr>
                <w:rFonts w:cs="Segoe UI"/>
                <w:bCs/>
                <w:color w:val="000000"/>
                <w:sz w:val="18"/>
                <w:szCs w:val="18"/>
              </w:rPr>
            </w:pPr>
            <w:r w:rsidRPr="0014343D">
              <w:rPr>
                <w:rFonts w:cs="Segoe UI"/>
                <w:bCs/>
                <w:color w:val="000000"/>
                <w:sz w:val="18"/>
                <w:szCs w:val="18"/>
              </w:rPr>
              <w:t>6 468 293</w:t>
            </w:r>
          </w:p>
        </w:tc>
        <w:tc>
          <w:tcPr>
            <w:tcW w:w="606" w:type="pct"/>
            <w:tcBorders>
              <w:bottom w:val="single" w:sz="4" w:space="0" w:color="314364" w:themeColor="text2"/>
            </w:tcBorders>
            <w:shd w:val="clear" w:color="000000" w:fill="FFFFFF"/>
            <w:vAlign w:val="center"/>
          </w:tcPr>
          <w:p w14:paraId="0E2AC81F" w14:textId="77777777" w:rsidR="00A55614" w:rsidRPr="0014343D" w:rsidRDefault="00A55614" w:rsidP="00037A18">
            <w:pPr>
              <w:spacing w:after="0" w:line="259" w:lineRule="auto"/>
              <w:jc w:val="center"/>
              <w:rPr>
                <w:rFonts w:cs="Segoe UI"/>
                <w:bCs/>
                <w:color w:val="000000"/>
                <w:sz w:val="18"/>
                <w:szCs w:val="18"/>
              </w:rPr>
            </w:pPr>
            <w:r w:rsidRPr="0014343D">
              <w:rPr>
                <w:rFonts w:cs="Segoe UI"/>
                <w:bCs/>
                <w:color w:val="000000"/>
                <w:sz w:val="18"/>
                <w:szCs w:val="18"/>
              </w:rPr>
              <w:t>44,99</w:t>
            </w:r>
          </w:p>
        </w:tc>
        <w:tc>
          <w:tcPr>
            <w:tcW w:w="596" w:type="pct"/>
            <w:tcBorders>
              <w:bottom w:val="single" w:sz="4" w:space="0" w:color="314364" w:themeColor="text2"/>
            </w:tcBorders>
            <w:shd w:val="clear" w:color="000000" w:fill="FFFFFF"/>
            <w:vAlign w:val="center"/>
          </w:tcPr>
          <w:p w14:paraId="1A4BFC3F" w14:textId="77777777" w:rsidR="00A55614" w:rsidRPr="0014343D" w:rsidRDefault="00A55614" w:rsidP="00037A18">
            <w:pPr>
              <w:spacing w:after="0" w:line="259" w:lineRule="auto"/>
              <w:jc w:val="center"/>
              <w:rPr>
                <w:rFonts w:cs="Segoe UI"/>
                <w:bCs/>
                <w:color w:val="000000"/>
                <w:sz w:val="18"/>
                <w:szCs w:val="18"/>
              </w:rPr>
            </w:pPr>
            <w:r>
              <w:rPr>
                <w:rFonts w:cs="Segoe UI"/>
                <w:bCs/>
                <w:color w:val="000000"/>
                <w:sz w:val="18"/>
                <w:szCs w:val="18"/>
              </w:rPr>
              <w:t>133,9</w:t>
            </w:r>
          </w:p>
        </w:tc>
      </w:tr>
      <w:tr w:rsidR="00A55614" w:rsidRPr="0014343D" w14:paraId="59B941E5" w14:textId="77777777" w:rsidTr="00037A18">
        <w:trPr>
          <w:trHeight w:hRule="exact" w:val="283"/>
        </w:trPr>
        <w:tc>
          <w:tcPr>
            <w:tcW w:w="2301" w:type="pct"/>
            <w:tcBorders>
              <w:top w:val="single" w:sz="4" w:space="0" w:color="314364" w:themeColor="text2"/>
            </w:tcBorders>
            <w:shd w:val="clear" w:color="auto" w:fill="FFFFFF"/>
            <w:vAlign w:val="bottom"/>
          </w:tcPr>
          <w:p w14:paraId="7D8ED8D3" w14:textId="77777777" w:rsidR="00A55614" w:rsidRPr="0014343D" w:rsidRDefault="00A55614" w:rsidP="00037A18">
            <w:pPr>
              <w:autoSpaceDE w:val="0"/>
              <w:autoSpaceDN w:val="0"/>
              <w:adjustRightInd w:val="0"/>
              <w:spacing w:after="0"/>
              <w:rPr>
                <w:rFonts w:eastAsia="Calibri" w:cs="Times New Roman"/>
                <w:i/>
                <w:color w:val="314364" w:themeColor="text2"/>
                <w:sz w:val="16"/>
              </w:rPr>
            </w:pPr>
            <w:r>
              <w:rPr>
                <w:rFonts w:eastAsia="Calibri" w:cs="Times New Roman"/>
                <w:i/>
                <w:color w:val="314364" w:themeColor="text2"/>
                <w:sz w:val="16"/>
              </w:rPr>
              <w:t>Zdroj: MIRRI</w:t>
            </w:r>
            <w:r>
              <w:rPr>
                <w:rFonts w:eastAsia="Calibri" w:cs="Times New Roman"/>
                <w:i/>
                <w:color w:val="314364" w:themeColor="text2"/>
                <w:sz w:val="16"/>
                <w:lang w:val="en-US"/>
              </w:rPr>
              <w:t xml:space="preserve">; </w:t>
            </w:r>
            <w:r>
              <w:rPr>
                <w:rFonts w:eastAsia="Calibri" w:cs="Times New Roman"/>
                <w:i/>
                <w:color w:val="314364" w:themeColor="text2"/>
                <w:sz w:val="16"/>
              </w:rPr>
              <w:t>čerpanie z celkovej alokácie bez PRV</w:t>
            </w:r>
          </w:p>
          <w:p w14:paraId="6C211B33" w14:textId="77777777" w:rsidR="00A55614" w:rsidRPr="0014343D" w:rsidRDefault="00A55614" w:rsidP="00037A18">
            <w:pPr>
              <w:spacing w:after="0" w:line="240" w:lineRule="auto"/>
              <w:jc w:val="left"/>
              <w:rPr>
                <w:rFonts w:cs="Segoe UI"/>
                <w:b/>
                <w:sz w:val="18"/>
                <w:szCs w:val="18"/>
              </w:rPr>
            </w:pPr>
          </w:p>
        </w:tc>
        <w:tc>
          <w:tcPr>
            <w:tcW w:w="670" w:type="pct"/>
            <w:tcBorders>
              <w:top w:val="single" w:sz="4" w:space="0" w:color="314364" w:themeColor="text2"/>
            </w:tcBorders>
            <w:shd w:val="clear" w:color="000000" w:fill="FFFFFF"/>
            <w:vAlign w:val="bottom"/>
          </w:tcPr>
          <w:p w14:paraId="4D1D59CE" w14:textId="77777777" w:rsidR="00A55614" w:rsidRPr="0014343D" w:rsidRDefault="00A55614" w:rsidP="00037A18">
            <w:pPr>
              <w:spacing w:after="0" w:line="259" w:lineRule="auto"/>
              <w:jc w:val="right"/>
              <w:rPr>
                <w:rFonts w:cs="Segoe UI"/>
                <w:bCs/>
                <w:color w:val="000000"/>
                <w:sz w:val="18"/>
                <w:szCs w:val="18"/>
              </w:rPr>
            </w:pPr>
          </w:p>
        </w:tc>
        <w:tc>
          <w:tcPr>
            <w:tcW w:w="827" w:type="pct"/>
            <w:tcBorders>
              <w:top w:val="single" w:sz="4" w:space="0" w:color="314364" w:themeColor="text2"/>
            </w:tcBorders>
            <w:shd w:val="clear" w:color="000000" w:fill="FFFFFF"/>
            <w:vAlign w:val="bottom"/>
          </w:tcPr>
          <w:p w14:paraId="7A0B0B6D" w14:textId="77777777" w:rsidR="00A55614" w:rsidRPr="0014343D" w:rsidRDefault="00A55614" w:rsidP="00037A18">
            <w:pPr>
              <w:spacing w:after="0" w:line="259" w:lineRule="auto"/>
              <w:jc w:val="right"/>
              <w:rPr>
                <w:rFonts w:cs="Segoe UI"/>
                <w:bCs/>
                <w:color w:val="000000"/>
                <w:sz w:val="18"/>
                <w:szCs w:val="18"/>
              </w:rPr>
            </w:pPr>
          </w:p>
        </w:tc>
        <w:tc>
          <w:tcPr>
            <w:tcW w:w="606" w:type="pct"/>
            <w:tcBorders>
              <w:top w:val="single" w:sz="4" w:space="0" w:color="314364" w:themeColor="text2"/>
            </w:tcBorders>
            <w:shd w:val="clear" w:color="000000" w:fill="FFFFFF"/>
          </w:tcPr>
          <w:p w14:paraId="14C23B67" w14:textId="77777777" w:rsidR="00A55614" w:rsidRPr="0014343D" w:rsidRDefault="00A55614" w:rsidP="00037A18">
            <w:pPr>
              <w:spacing w:after="0" w:line="259" w:lineRule="auto"/>
              <w:jc w:val="right"/>
              <w:rPr>
                <w:rFonts w:cs="Segoe UI"/>
                <w:bCs/>
                <w:color w:val="000000"/>
                <w:sz w:val="18"/>
                <w:szCs w:val="18"/>
              </w:rPr>
            </w:pPr>
          </w:p>
        </w:tc>
        <w:tc>
          <w:tcPr>
            <w:tcW w:w="596" w:type="pct"/>
            <w:tcBorders>
              <w:top w:val="single" w:sz="4" w:space="0" w:color="314364" w:themeColor="text2"/>
            </w:tcBorders>
            <w:shd w:val="clear" w:color="000000" w:fill="FFFFFF"/>
            <w:vAlign w:val="bottom"/>
          </w:tcPr>
          <w:p w14:paraId="7A6D99FC" w14:textId="77777777" w:rsidR="00A55614" w:rsidRPr="0014343D" w:rsidRDefault="00A55614" w:rsidP="00037A18">
            <w:pPr>
              <w:spacing w:after="0" w:line="259" w:lineRule="auto"/>
              <w:jc w:val="right"/>
              <w:rPr>
                <w:rFonts w:cs="Segoe UI"/>
                <w:bCs/>
                <w:color w:val="000000"/>
                <w:sz w:val="18"/>
                <w:szCs w:val="18"/>
              </w:rPr>
            </w:pPr>
          </w:p>
        </w:tc>
      </w:tr>
    </w:tbl>
    <w:p w14:paraId="3321D704" w14:textId="172263AD" w:rsidR="00A55614" w:rsidRDefault="00A55614" w:rsidP="00A55614">
      <w:r>
        <w:t xml:space="preserve">Nárast čerpania je oproti septembru 2020 vyšší o 1 639 243 tis. eur, pričom najväčší percentuálny nárast dosiahli OP </w:t>
      </w:r>
      <w:proofErr w:type="spellStart"/>
      <w:r>
        <w:t>Interreg</w:t>
      </w:r>
      <w:proofErr w:type="spellEnd"/>
      <w:r>
        <w:t xml:space="preserve">  V-A SK-AT a </w:t>
      </w:r>
      <w:proofErr w:type="spellStart"/>
      <w:r>
        <w:t>Interreg</w:t>
      </w:r>
      <w:proofErr w:type="spellEnd"/>
      <w:r>
        <w:t xml:space="preserve"> V-A SK-CZ (Tabuľka 4). Pokiaľ ide o najvyšší nárast v absolútnych číslach, dosiahol ho OP Ľudské zdroje. EK však povolila v rámci zmierňovania dopadov pandémie COVID-19 aj použitie eurofondov, ke</w:t>
      </w:r>
      <w:r w:rsidR="006C47F4">
        <w:t>ď</w:t>
      </w:r>
      <w:r>
        <w:t xml:space="preserve"> spustila </w:t>
      </w:r>
      <w:r w:rsidRPr="00796E23">
        <w:rPr>
          <w:b/>
        </w:rPr>
        <w:t xml:space="preserve">Investičnú iniciatívu na </w:t>
      </w:r>
      <w:proofErr w:type="spellStart"/>
      <w:r w:rsidRPr="00796E23">
        <w:rPr>
          <w:b/>
        </w:rPr>
        <w:t>koronavírus</w:t>
      </w:r>
      <w:proofErr w:type="spellEnd"/>
      <w:r>
        <w:t>. Tento krok umožnil, aby sa prostriedky EŠIF mohli použiť aj na národné programy</w:t>
      </w:r>
      <w:r w:rsidRPr="0014343D">
        <w:t>. Financie v rámci OP Ľudské zdroje sa napríklad takto použili v projekte Prvá pomoc alebo na podporu zdravotníckeho systému prostredníctvom OP II či IROP. Razantnejšie tempo čerpania je teda vidno v niektorých OP najmä od začiatku roku 2020, kedy pandémia vypukla a</w:t>
      </w:r>
      <w:r>
        <w:t> </w:t>
      </w:r>
      <w:r w:rsidRPr="0014343D">
        <w:t>fondy</w:t>
      </w:r>
      <w:r>
        <w:t xml:space="preserve"> EÚ</w:t>
      </w:r>
      <w:r w:rsidRPr="0014343D">
        <w:t xml:space="preserve"> mohli byť čerpané aj </w:t>
      </w:r>
      <w:r w:rsidR="006C47F4">
        <w:t xml:space="preserve">na </w:t>
      </w:r>
      <w:r w:rsidRPr="0014343D">
        <w:t>účel</w:t>
      </w:r>
      <w:r w:rsidR="006C47F4">
        <w:t>y</w:t>
      </w:r>
      <w:r w:rsidRPr="0014343D">
        <w:t xml:space="preserve"> oživenia ekonomiky.</w:t>
      </w:r>
    </w:p>
    <w:p w14:paraId="22BE9822" w14:textId="3CB68421" w:rsidR="00B772C9" w:rsidRDefault="00B772C9" w:rsidP="00B772C9">
      <w:r w:rsidRPr="00EC6F47">
        <w:t>Problémy s nezrovnalosťami</w:t>
      </w:r>
      <w:r w:rsidR="00EC6F47" w:rsidRPr="00810083">
        <w:rPr>
          <w:rStyle w:val="Odkaznapoznmkupodiarou"/>
          <w:i/>
        </w:rPr>
        <w:footnoteReference w:id="7"/>
      </w:r>
      <w:r w:rsidR="00EC6F47" w:rsidRPr="00810083">
        <w:rPr>
          <w:i/>
          <w:vertAlign w:val="superscript"/>
        </w:rPr>
        <w:t>)</w:t>
      </w:r>
      <w:r w:rsidR="00EC6F47" w:rsidRPr="00810083">
        <w:t xml:space="preserve"> </w:t>
      </w:r>
      <w:r w:rsidR="004C00A0" w:rsidRPr="00810083">
        <w:t>a </w:t>
      </w:r>
      <w:proofErr w:type="spellStart"/>
      <w:r w:rsidR="004C00A0" w:rsidRPr="00810083">
        <w:t>vratkami</w:t>
      </w:r>
      <w:proofErr w:type="spellEnd"/>
      <w:r w:rsidR="004C00A0" w:rsidRPr="00810083">
        <w:t xml:space="preserve"> </w:t>
      </w:r>
      <w:r w:rsidR="00EC6F47" w:rsidRPr="00EC6F47">
        <w:t>pri čerpaní</w:t>
      </w:r>
      <w:r w:rsidRPr="00EC6F47">
        <w:t xml:space="preserve"> </w:t>
      </w:r>
      <w:r w:rsidR="00EC6F47" w:rsidRPr="00EC6F47">
        <w:t xml:space="preserve">fondov EÚ </w:t>
      </w:r>
      <w:r w:rsidRPr="00EC6F47">
        <w:t>p</w:t>
      </w:r>
      <w:r w:rsidR="00EC6F47" w:rsidRPr="00EC6F47">
        <w:t>retrvávali</w:t>
      </w:r>
      <w:r w:rsidRPr="00EC6F47">
        <w:t xml:space="preserve">, keď sa </w:t>
      </w:r>
      <w:r w:rsidR="00EC6F47" w:rsidRPr="00EC6F47">
        <w:t>k</w:t>
      </w:r>
      <w:r w:rsidRPr="00EC6F47">
        <w:t xml:space="preserve"> 30. 9. 202</w:t>
      </w:r>
      <w:r w:rsidR="00EC6F47" w:rsidRPr="00EC6F47">
        <w:t>1</w:t>
      </w:r>
      <w:r w:rsidRPr="00EC6F47">
        <w:t xml:space="preserve"> </w:t>
      </w:r>
      <w:r w:rsidR="00EC6F47">
        <w:t>zvýšili medziročne</w:t>
      </w:r>
      <w:r w:rsidRPr="00EC6F47">
        <w:t xml:space="preserve"> o 89,2 mil. eur (</w:t>
      </w:r>
      <w:r w:rsidR="004C00A0">
        <w:t>T</w:t>
      </w:r>
      <w:r w:rsidRPr="00EC6F47">
        <w:t>abuľk</w:t>
      </w:r>
      <w:r w:rsidR="004C00A0">
        <w:t>a</w:t>
      </w:r>
      <w:r w:rsidRPr="00EC6F47">
        <w:t xml:space="preserve"> 5). Najvyššie prírastky boli v OP </w:t>
      </w:r>
      <w:r w:rsidR="0014156E" w:rsidRPr="00EC6F47">
        <w:t>II a IROP</w:t>
      </w:r>
      <w:r w:rsidRPr="00EC6F47">
        <w:t>.</w:t>
      </w:r>
    </w:p>
    <w:p w14:paraId="5B3BE53B" w14:textId="75CF1B1C" w:rsidR="00D37117" w:rsidRDefault="00D37117" w:rsidP="00D37117">
      <w:r>
        <w:t>Slabé čerpanie EŠIF potvrdzuje aj medzinárodné porovnanie, kde sa SR pravidelne umiestň</w:t>
      </w:r>
      <w:r w:rsidR="0014156E">
        <w:t>uje na posledných priečkach</w:t>
      </w:r>
      <w:r>
        <w:t xml:space="preserve">. Tento stav nielenže pretrvával aj počas roka 2021, ale podľa údajov EK sa SR v čerpaní EŠIF dokonca dostala na posledné miesto v rámci EÚ27 (Graf 4). Hodnota čerpania je nižšia aj </w:t>
      </w:r>
      <w:r>
        <w:lastRenderedPageBreak/>
        <w:t xml:space="preserve">preto, lebo celková alokácia EŠIF k 30. 6. 2021 bola navýšená o 1. </w:t>
      </w:r>
      <w:proofErr w:type="spellStart"/>
      <w:r>
        <w:t>tranžu</w:t>
      </w:r>
      <w:proofErr w:type="spellEnd"/>
      <w:r>
        <w:t xml:space="preserve"> programu REACT-EU</w:t>
      </w:r>
      <w:r w:rsidR="007C165D">
        <w:rPr>
          <w:rStyle w:val="Odkaznapoznmkupodiarou"/>
        </w:rPr>
        <w:footnoteReference w:id="8"/>
      </w:r>
      <w:r>
        <w:t xml:space="preserve"> vo výške 597 mil. eur. Navýšené boli alokácie OP Ľudské zdroje, I</w:t>
      </w:r>
      <w:r w:rsidR="0014156E">
        <w:t xml:space="preserve">ROP a </w:t>
      </w:r>
      <w:r>
        <w:t>OP Efektívna verejná správa. Toto navýšenie však platí pre všetky krajiny EÚ27.</w:t>
      </w:r>
    </w:p>
    <w:p w14:paraId="13998676" w14:textId="06B33A60" w:rsidR="00A55614" w:rsidRPr="00CA606D" w:rsidRDefault="00A55614" w:rsidP="00A55614">
      <w:pPr>
        <w:pStyle w:val="Popis"/>
        <w:keepNext/>
        <w:rPr>
          <w:color w:val="314364"/>
        </w:rPr>
      </w:pPr>
      <w:r w:rsidRPr="00CA606D">
        <w:rPr>
          <w:color w:val="314364"/>
        </w:rPr>
        <w:t xml:space="preserve">Tabuľka </w:t>
      </w:r>
      <w:r>
        <w:rPr>
          <w:color w:val="314364"/>
        </w:rPr>
        <w:t>5</w:t>
      </w:r>
      <w:r w:rsidRPr="00CA606D">
        <w:rPr>
          <w:color w:val="314364"/>
        </w:rPr>
        <w:t xml:space="preserve">: </w:t>
      </w:r>
      <w:r w:rsidRPr="004E051A">
        <w:rPr>
          <w:color w:val="314364"/>
        </w:rPr>
        <w:t>Nezrovnalosti</w:t>
      </w:r>
      <w:r w:rsidR="00EC6F47">
        <w:rPr>
          <w:color w:val="314364"/>
        </w:rPr>
        <w:t xml:space="preserve"> </w:t>
      </w:r>
      <w:r w:rsidRPr="004E051A">
        <w:rPr>
          <w:color w:val="314364"/>
        </w:rPr>
        <w:t xml:space="preserve">a </w:t>
      </w:r>
      <w:proofErr w:type="spellStart"/>
      <w:r w:rsidRPr="004E051A">
        <w:rPr>
          <w:color w:val="314364"/>
        </w:rPr>
        <w:t>vratky</w:t>
      </w:r>
      <w:proofErr w:type="spellEnd"/>
      <w:r w:rsidRPr="004E051A">
        <w:rPr>
          <w:color w:val="314364"/>
        </w:rPr>
        <w:t xml:space="preserve"> v rámci PO 2014 – 2020</w:t>
      </w:r>
      <w:r>
        <w:rPr>
          <w:color w:val="314364"/>
        </w:rPr>
        <w:t xml:space="preserve"> k 30. 9. 2021</w:t>
      </w:r>
    </w:p>
    <w:tbl>
      <w:tblPr>
        <w:tblOverlap w:val="never"/>
        <w:tblW w:w="5007" w:type="pct"/>
        <w:tblCellMar>
          <w:left w:w="10" w:type="dxa"/>
          <w:right w:w="10" w:type="dxa"/>
        </w:tblCellMar>
        <w:tblLook w:val="0000" w:firstRow="0" w:lastRow="0" w:firstColumn="0" w:lastColumn="0" w:noHBand="0" w:noVBand="0"/>
      </w:tblPr>
      <w:tblGrid>
        <w:gridCol w:w="4861"/>
        <w:gridCol w:w="2111"/>
        <w:gridCol w:w="2111"/>
      </w:tblGrid>
      <w:tr w:rsidR="00A55614" w:rsidRPr="00BA6B9B" w14:paraId="3AA0B717" w14:textId="77777777" w:rsidTr="00037A18">
        <w:trPr>
          <w:trHeight w:val="22"/>
        </w:trPr>
        <w:tc>
          <w:tcPr>
            <w:tcW w:w="2676" w:type="pct"/>
            <w:vMerge w:val="restart"/>
            <w:shd w:val="clear" w:color="auto" w:fill="314364" w:themeFill="accent1"/>
            <w:vAlign w:val="center"/>
          </w:tcPr>
          <w:p w14:paraId="03C8075B" w14:textId="77777777" w:rsidR="00A55614" w:rsidRPr="00BA6B9B" w:rsidRDefault="00A55614" w:rsidP="00037A18">
            <w:pPr>
              <w:widowControl w:val="0"/>
              <w:spacing w:after="0" w:line="240" w:lineRule="auto"/>
              <w:jc w:val="center"/>
              <w:rPr>
                <w:rFonts w:eastAsia="Arial Narrow" w:cs="Segoe UI"/>
                <w:b/>
                <w:color w:val="FFFFFF"/>
                <w:sz w:val="18"/>
                <w:szCs w:val="18"/>
              </w:rPr>
            </w:pPr>
            <w:r w:rsidRPr="00BA6B9B">
              <w:rPr>
                <w:rFonts w:eastAsia="Arial" w:cs="Segoe UI"/>
                <w:b/>
                <w:color w:val="FFFFFF"/>
                <w:sz w:val="18"/>
                <w:szCs w:val="18"/>
                <w:lang w:eastAsia="sk-SK" w:bidi="sk-SK"/>
              </w:rPr>
              <w:t>Operačný program</w:t>
            </w:r>
          </w:p>
        </w:tc>
        <w:tc>
          <w:tcPr>
            <w:tcW w:w="2324" w:type="pct"/>
            <w:gridSpan w:val="2"/>
            <w:shd w:val="clear" w:color="auto" w:fill="314364" w:themeFill="accent1"/>
            <w:vAlign w:val="bottom"/>
          </w:tcPr>
          <w:p w14:paraId="2BCEE129" w14:textId="77777777" w:rsidR="00A55614" w:rsidRPr="00BA6B9B" w:rsidRDefault="00A55614" w:rsidP="00037A18">
            <w:pPr>
              <w:widowControl w:val="0"/>
              <w:spacing w:after="0" w:line="240" w:lineRule="auto"/>
              <w:ind w:right="156"/>
              <w:jc w:val="right"/>
              <w:rPr>
                <w:rFonts w:eastAsia="Arial Narrow" w:cs="Segoe UI"/>
                <w:b/>
                <w:color w:val="FFFFFF"/>
                <w:sz w:val="18"/>
                <w:szCs w:val="18"/>
              </w:rPr>
            </w:pPr>
            <w:r w:rsidRPr="00BA6B9B">
              <w:rPr>
                <w:rFonts w:eastAsia="Arial" w:cs="Segoe UI"/>
                <w:b/>
                <w:color w:val="FFFFFF"/>
                <w:sz w:val="18"/>
                <w:szCs w:val="18"/>
                <w:lang w:eastAsia="sk-SK" w:bidi="sk-SK"/>
              </w:rPr>
              <w:t>Nezrovnalosti a </w:t>
            </w:r>
            <w:proofErr w:type="spellStart"/>
            <w:r w:rsidRPr="00BA6B9B">
              <w:rPr>
                <w:rFonts w:eastAsia="Arial" w:cs="Segoe UI"/>
                <w:b/>
                <w:color w:val="FFFFFF"/>
                <w:sz w:val="18"/>
                <w:szCs w:val="18"/>
                <w:lang w:eastAsia="sk-SK" w:bidi="sk-SK"/>
              </w:rPr>
              <w:t>vratky</w:t>
            </w:r>
            <w:proofErr w:type="spellEnd"/>
            <w:r w:rsidRPr="00BA6B9B">
              <w:rPr>
                <w:rFonts w:eastAsia="Arial" w:cs="Segoe UI"/>
                <w:b/>
                <w:color w:val="FFFFFF"/>
                <w:sz w:val="18"/>
                <w:szCs w:val="18"/>
                <w:lang w:eastAsia="sk-SK" w:bidi="sk-SK"/>
              </w:rPr>
              <w:t xml:space="preserve"> (v eurách)</w:t>
            </w:r>
          </w:p>
        </w:tc>
      </w:tr>
      <w:tr w:rsidR="00A55614" w:rsidRPr="00BA6B9B" w14:paraId="03A20E4F" w14:textId="77777777" w:rsidTr="00037A18">
        <w:trPr>
          <w:trHeight w:val="22"/>
        </w:trPr>
        <w:tc>
          <w:tcPr>
            <w:tcW w:w="2676" w:type="pct"/>
            <w:vMerge/>
            <w:shd w:val="clear" w:color="auto" w:fill="314364" w:themeFill="accent1"/>
            <w:vAlign w:val="center"/>
          </w:tcPr>
          <w:p w14:paraId="429CB4FD" w14:textId="77777777" w:rsidR="00A55614" w:rsidRPr="00BA6B9B" w:rsidRDefault="00A55614" w:rsidP="00037A18">
            <w:pPr>
              <w:rPr>
                <w:rFonts w:eastAsia="Calibri" w:cs="Segoe UI"/>
                <w:b/>
                <w:color w:val="FFFFFF"/>
                <w:sz w:val="18"/>
                <w:szCs w:val="18"/>
              </w:rPr>
            </w:pPr>
          </w:p>
        </w:tc>
        <w:tc>
          <w:tcPr>
            <w:tcW w:w="1162" w:type="pct"/>
            <w:shd w:val="clear" w:color="auto" w:fill="314364" w:themeFill="accent1"/>
            <w:vAlign w:val="bottom"/>
          </w:tcPr>
          <w:p w14:paraId="10D81A44" w14:textId="77777777" w:rsidR="00A55614" w:rsidRPr="00BA6B9B" w:rsidRDefault="00A55614" w:rsidP="00037A18">
            <w:pPr>
              <w:widowControl w:val="0"/>
              <w:spacing w:after="0" w:line="240" w:lineRule="auto"/>
              <w:ind w:right="156"/>
              <w:jc w:val="right"/>
              <w:rPr>
                <w:rFonts w:eastAsia="Arial Narrow" w:cs="Segoe UI"/>
                <w:b/>
                <w:color w:val="FFFFFF"/>
                <w:sz w:val="18"/>
                <w:szCs w:val="18"/>
              </w:rPr>
            </w:pPr>
            <w:r w:rsidRPr="00BA6B9B">
              <w:rPr>
                <w:rFonts w:eastAsia="Arial" w:cs="Segoe UI"/>
                <w:b/>
                <w:color w:val="FFFFFF"/>
                <w:sz w:val="18"/>
                <w:szCs w:val="18"/>
                <w:lang w:eastAsia="sk-SK" w:bidi="sk-SK"/>
              </w:rPr>
              <w:t>EÚ zdroj</w:t>
            </w:r>
          </w:p>
        </w:tc>
        <w:tc>
          <w:tcPr>
            <w:tcW w:w="1162" w:type="pct"/>
            <w:shd w:val="clear" w:color="auto" w:fill="314364" w:themeFill="accent1"/>
            <w:vAlign w:val="bottom"/>
          </w:tcPr>
          <w:p w14:paraId="4D7459B3" w14:textId="77777777" w:rsidR="00A55614" w:rsidRPr="00BA6B9B" w:rsidRDefault="00A55614" w:rsidP="00037A18">
            <w:pPr>
              <w:widowControl w:val="0"/>
              <w:spacing w:after="0" w:line="240" w:lineRule="auto"/>
              <w:ind w:right="156"/>
              <w:jc w:val="right"/>
              <w:rPr>
                <w:rFonts w:eastAsia="Arial Narrow" w:cs="Segoe UI"/>
                <w:b/>
                <w:color w:val="FFFFFF"/>
                <w:sz w:val="18"/>
                <w:szCs w:val="18"/>
              </w:rPr>
            </w:pPr>
            <w:r w:rsidRPr="00BA6B9B">
              <w:rPr>
                <w:rFonts w:eastAsia="Arial" w:cs="Segoe UI"/>
                <w:b/>
                <w:color w:val="FFFFFF"/>
                <w:sz w:val="18"/>
                <w:szCs w:val="18"/>
                <w:lang w:eastAsia="sk-SK" w:bidi="sk-SK"/>
              </w:rPr>
              <w:t xml:space="preserve">ŠR zdroj* </w:t>
            </w:r>
          </w:p>
        </w:tc>
      </w:tr>
      <w:tr w:rsidR="00A55614" w:rsidRPr="00BA6B9B" w14:paraId="0D66AE11" w14:textId="77777777" w:rsidTr="00037A18">
        <w:trPr>
          <w:trHeight w:val="22"/>
        </w:trPr>
        <w:tc>
          <w:tcPr>
            <w:tcW w:w="2676" w:type="pct"/>
            <w:shd w:val="clear" w:color="auto" w:fill="FFFFFF"/>
            <w:vAlign w:val="bottom"/>
          </w:tcPr>
          <w:p w14:paraId="7B0B9DD9" w14:textId="77777777" w:rsidR="00A55614" w:rsidRPr="00BA6B9B" w:rsidRDefault="00A55614" w:rsidP="00037A18">
            <w:pPr>
              <w:widowControl w:val="0"/>
              <w:spacing w:after="0" w:line="259" w:lineRule="auto"/>
              <w:rPr>
                <w:rFonts w:eastAsia="Arial Narrow" w:cs="Segoe UI"/>
                <w:i/>
                <w:sz w:val="18"/>
                <w:szCs w:val="18"/>
              </w:rPr>
            </w:pPr>
            <w:r w:rsidRPr="00BA6B9B">
              <w:rPr>
                <w:rFonts w:eastAsia="Arial" w:cs="Segoe UI"/>
                <w:i/>
                <w:color w:val="000000"/>
                <w:sz w:val="18"/>
                <w:szCs w:val="18"/>
                <w:lang w:eastAsia="sk-SK" w:bidi="sk-SK"/>
              </w:rPr>
              <w:t>OP Integrovaná infraštruktúra - pôvodné</w:t>
            </w:r>
          </w:p>
        </w:tc>
        <w:tc>
          <w:tcPr>
            <w:tcW w:w="1162" w:type="pct"/>
            <w:shd w:val="clear" w:color="auto" w:fill="FFFFFF"/>
            <w:vAlign w:val="bottom"/>
          </w:tcPr>
          <w:p w14:paraId="07B39408"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183 204 266</w:t>
            </w:r>
          </w:p>
        </w:tc>
        <w:tc>
          <w:tcPr>
            <w:tcW w:w="1162" w:type="pct"/>
            <w:shd w:val="clear" w:color="auto" w:fill="FFFFFF"/>
            <w:vAlign w:val="bottom"/>
          </w:tcPr>
          <w:p w14:paraId="0F42B6AC"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32 139 258</w:t>
            </w:r>
          </w:p>
        </w:tc>
      </w:tr>
      <w:tr w:rsidR="00A55614" w:rsidRPr="00BA6B9B" w14:paraId="05528664" w14:textId="77777777" w:rsidTr="00037A18">
        <w:trPr>
          <w:trHeight w:val="22"/>
        </w:trPr>
        <w:tc>
          <w:tcPr>
            <w:tcW w:w="2676" w:type="pct"/>
            <w:shd w:val="clear" w:color="auto" w:fill="FFFFFF"/>
            <w:vAlign w:val="bottom"/>
          </w:tcPr>
          <w:p w14:paraId="373083E4" w14:textId="77777777" w:rsidR="00A55614" w:rsidRPr="00BA6B9B" w:rsidRDefault="00A55614" w:rsidP="00037A18">
            <w:pPr>
              <w:widowControl w:val="0"/>
              <w:spacing w:after="0" w:line="259" w:lineRule="auto"/>
              <w:rPr>
                <w:rFonts w:eastAsia="Arial Narrow" w:cs="Segoe UI"/>
                <w:i/>
                <w:sz w:val="18"/>
                <w:szCs w:val="18"/>
              </w:rPr>
            </w:pPr>
            <w:r w:rsidRPr="00BA6B9B">
              <w:rPr>
                <w:rFonts w:eastAsia="Arial" w:cs="Segoe UI"/>
                <w:i/>
                <w:color w:val="000000"/>
                <w:sz w:val="18"/>
                <w:szCs w:val="18"/>
                <w:lang w:eastAsia="sk-SK" w:bidi="sk-SK"/>
              </w:rPr>
              <w:t>OP Výskum a inovácie - pôvodné</w:t>
            </w:r>
          </w:p>
        </w:tc>
        <w:tc>
          <w:tcPr>
            <w:tcW w:w="1162" w:type="pct"/>
            <w:shd w:val="clear" w:color="auto" w:fill="FFFFFF"/>
            <w:vAlign w:val="bottom"/>
          </w:tcPr>
          <w:p w14:paraId="5B4080C4"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5 687 726</w:t>
            </w:r>
          </w:p>
        </w:tc>
        <w:tc>
          <w:tcPr>
            <w:tcW w:w="1162" w:type="pct"/>
            <w:shd w:val="clear" w:color="auto" w:fill="FFFFFF"/>
            <w:vAlign w:val="bottom"/>
          </w:tcPr>
          <w:p w14:paraId="5498CF38"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447 896</w:t>
            </w:r>
          </w:p>
        </w:tc>
      </w:tr>
      <w:tr w:rsidR="00A55614" w:rsidRPr="00BA6B9B" w14:paraId="1D5AB47F" w14:textId="77777777" w:rsidTr="00037A18">
        <w:trPr>
          <w:trHeight w:val="22"/>
        </w:trPr>
        <w:tc>
          <w:tcPr>
            <w:tcW w:w="2676" w:type="pct"/>
            <w:shd w:val="clear" w:color="auto" w:fill="FFFFFF"/>
            <w:vAlign w:val="bottom"/>
          </w:tcPr>
          <w:p w14:paraId="49FA6526"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 xml:space="preserve">OP Integrovaná infraštruktúra (OP II + OP </w:t>
            </w:r>
            <w:proofErr w:type="spellStart"/>
            <w:r w:rsidRPr="00BA6B9B">
              <w:rPr>
                <w:rFonts w:eastAsia="Arial" w:cs="Segoe UI"/>
                <w:color w:val="000000"/>
                <w:sz w:val="18"/>
                <w:szCs w:val="18"/>
                <w:lang w:eastAsia="sk-SK" w:bidi="sk-SK"/>
              </w:rPr>
              <w:t>VaI</w:t>
            </w:r>
            <w:proofErr w:type="spellEnd"/>
            <w:r w:rsidRPr="00BA6B9B">
              <w:rPr>
                <w:rFonts w:eastAsia="Arial" w:cs="Segoe UI"/>
                <w:color w:val="000000"/>
                <w:sz w:val="18"/>
                <w:szCs w:val="18"/>
                <w:lang w:eastAsia="sk-SK" w:bidi="sk-SK"/>
              </w:rPr>
              <w:t>)</w:t>
            </w:r>
          </w:p>
        </w:tc>
        <w:tc>
          <w:tcPr>
            <w:tcW w:w="1162" w:type="pct"/>
            <w:shd w:val="clear" w:color="auto" w:fill="FFFFFF"/>
            <w:vAlign w:val="bottom"/>
          </w:tcPr>
          <w:p w14:paraId="26072CD6"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188 891 991</w:t>
            </w:r>
          </w:p>
        </w:tc>
        <w:tc>
          <w:tcPr>
            <w:tcW w:w="1162" w:type="pct"/>
            <w:shd w:val="clear" w:color="auto" w:fill="FFFFFF"/>
            <w:vAlign w:val="bottom"/>
          </w:tcPr>
          <w:p w14:paraId="7C4FD2E6"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32 587 154</w:t>
            </w:r>
          </w:p>
        </w:tc>
      </w:tr>
      <w:tr w:rsidR="00A55614" w:rsidRPr="00BA6B9B" w14:paraId="5605443F" w14:textId="77777777" w:rsidTr="00037A18">
        <w:trPr>
          <w:trHeight w:val="22"/>
        </w:trPr>
        <w:tc>
          <w:tcPr>
            <w:tcW w:w="2676" w:type="pct"/>
            <w:shd w:val="clear" w:color="auto" w:fill="FFFFFF"/>
            <w:vAlign w:val="bottom"/>
          </w:tcPr>
          <w:p w14:paraId="3BCB3831"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OP Kvalita životného prostredia</w:t>
            </w:r>
          </w:p>
        </w:tc>
        <w:tc>
          <w:tcPr>
            <w:tcW w:w="1162" w:type="pct"/>
            <w:shd w:val="clear" w:color="auto" w:fill="FFFFFF"/>
            <w:vAlign w:val="bottom"/>
          </w:tcPr>
          <w:p w14:paraId="7E377149"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14 064 334</w:t>
            </w:r>
          </w:p>
        </w:tc>
        <w:tc>
          <w:tcPr>
            <w:tcW w:w="1162" w:type="pct"/>
            <w:shd w:val="clear" w:color="auto" w:fill="FFFFFF"/>
            <w:vAlign w:val="bottom"/>
          </w:tcPr>
          <w:p w14:paraId="3001F448"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1 198 367</w:t>
            </w:r>
          </w:p>
        </w:tc>
      </w:tr>
      <w:tr w:rsidR="00A55614" w:rsidRPr="00BA6B9B" w14:paraId="16919E96" w14:textId="77777777" w:rsidTr="00037A18">
        <w:trPr>
          <w:trHeight w:val="22"/>
        </w:trPr>
        <w:tc>
          <w:tcPr>
            <w:tcW w:w="2676" w:type="pct"/>
            <w:shd w:val="clear" w:color="auto" w:fill="FFFFFF"/>
            <w:vAlign w:val="bottom"/>
          </w:tcPr>
          <w:p w14:paraId="231819C7"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OP Ľudské zdroje</w:t>
            </w:r>
          </w:p>
        </w:tc>
        <w:tc>
          <w:tcPr>
            <w:tcW w:w="1162" w:type="pct"/>
            <w:shd w:val="clear" w:color="auto" w:fill="FFFFFF"/>
            <w:vAlign w:val="bottom"/>
          </w:tcPr>
          <w:p w14:paraId="6EA1A88E"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27 877 350</w:t>
            </w:r>
          </w:p>
        </w:tc>
        <w:tc>
          <w:tcPr>
            <w:tcW w:w="1162" w:type="pct"/>
            <w:shd w:val="clear" w:color="auto" w:fill="FFFFFF"/>
            <w:vAlign w:val="bottom"/>
          </w:tcPr>
          <w:p w14:paraId="4ACC3171"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4 686 727</w:t>
            </w:r>
          </w:p>
        </w:tc>
      </w:tr>
      <w:tr w:rsidR="00A55614" w:rsidRPr="00BA6B9B" w14:paraId="2FE2E084" w14:textId="77777777" w:rsidTr="00037A18">
        <w:trPr>
          <w:trHeight w:val="22"/>
        </w:trPr>
        <w:tc>
          <w:tcPr>
            <w:tcW w:w="2676" w:type="pct"/>
            <w:shd w:val="clear" w:color="auto" w:fill="FFFFFF"/>
            <w:vAlign w:val="bottom"/>
          </w:tcPr>
          <w:p w14:paraId="6B7D8E7F"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Integrovaný regionálny OP</w:t>
            </w:r>
          </w:p>
        </w:tc>
        <w:tc>
          <w:tcPr>
            <w:tcW w:w="1162" w:type="pct"/>
            <w:shd w:val="clear" w:color="auto" w:fill="FFFFFF"/>
            <w:vAlign w:val="bottom"/>
          </w:tcPr>
          <w:p w14:paraId="4AD08C35"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38 116 433</w:t>
            </w:r>
          </w:p>
        </w:tc>
        <w:tc>
          <w:tcPr>
            <w:tcW w:w="1162" w:type="pct"/>
            <w:shd w:val="clear" w:color="auto" w:fill="FFFFFF"/>
            <w:vAlign w:val="bottom"/>
          </w:tcPr>
          <w:p w14:paraId="3D9FA0A6"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6 730 930</w:t>
            </w:r>
          </w:p>
        </w:tc>
      </w:tr>
      <w:tr w:rsidR="00A55614" w:rsidRPr="00BA6B9B" w14:paraId="00D4CC47" w14:textId="77777777" w:rsidTr="00037A18">
        <w:trPr>
          <w:trHeight w:val="22"/>
        </w:trPr>
        <w:tc>
          <w:tcPr>
            <w:tcW w:w="2676" w:type="pct"/>
            <w:shd w:val="clear" w:color="auto" w:fill="FFFFFF"/>
            <w:vAlign w:val="bottom"/>
          </w:tcPr>
          <w:p w14:paraId="2DCBE41F"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OP Efektívna verejná správa</w:t>
            </w:r>
          </w:p>
        </w:tc>
        <w:tc>
          <w:tcPr>
            <w:tcW w:w="1162" w:type="pct"/>
            <w:shd w:val="clear" w:color="auto" w:fill="FFFFFF"/>
            <w:vAlign w:val="bottom"/>
          </w:tcPr>
          <w:p w14:paraId="01FB4DA3"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414 280</w:t>
            </w:r>
          </w:p>
        </w:tc>
        <w:tc>
          <w:tcPr>
            <w:tcW w:w="1162" w:type="pct"/>
            <w:shd w:val="clear" w:color="auto" w:fill="FFFFFF"/>
            <w:vAlign w:val="bottom"/>
          </w:tcPr>
          <w:p w14:paraId="20DE078F"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111 739</w:t>
            </w:r>
          </w:p>
        </w:tc>
      </w:tr>
      <w:tr w:rsidR="00A55614" w:rsidRPr="00BA6B9B" w14:paraId="52BC34B6" w14:textId="77777777" w:rsidTr="00037A18">
        <w:trPr>
          <w:trHeight w:val="22"/>
        </w:trPr>
        <w:tc>
          <w:tcPr>
            <w:tcW w:w="2676" w:type="pct"/>
            <w:shd w:val="clear" w:color="auto" w:fill="FFFFFF"/>
            <w:vAlign w:val="bottom"/>
          </w:tcPr>
          <w:p w14:paraId="7EAD634E"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OP Technická pomoc</w:t>
            </w:r>
          </w:p>
        </w:tc>
        <w:tc>
          <w:tcPr>
            <w:tcW w:w="1162" w:type="pct"/>
            <w:shd w:val="clear" w:color="auto" w:fill="FFFFFF"/>
            <w:vAlign w:val="bottom"/>
          </w:tcPr>
          <w:p w14:paraId="5CC7AB49"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2 208 814</w:t>
            </w:r>
          </w:p>
        </w:tc>
        <w:tc>
          <w:tcPr>
            <w:tcW w:w="1162" w:type="pct"/>
            <w:shd w:val="clear" w:color="auto" w:fill="FFFFFF"/>
            <w:vAlign w:val="bottom"/>
          </w:tcPr>
          <w:p w14:paraId="7302EFF3"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389 492</w:t>
            </w:r>
          </w:p>
        </w:tc>
      </w:tr>
      <w:tr w:rsidR="00A55614" w:rsidRPr="00BA6B9B" w14:paraId="5CB52F59" w14:textId="77777777" w:rsidTr="00037A18">
        <w:trPr>
          <w:trHeight w:val="22"/>
        </w:trPr>
        <w:tc>
          <w:tcPr>
            <w:tcW w:w="2676" w:type="pct"/>
            <w:shd w:val="clear" w:color="auto" w:fill="FFFFFF"/>
            <w:vAlign w:val="bottom"/>
          </w:tcPr>
          <w:p w14:paraId="193F18A4"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 xml:space="preserve">Program </w:t>
            </w:r>
            <w:proofErr w:type="spellStart"/>
            <w:r w:rsidRPr="00BA6B9B">
              <w:rPr>
                <w:rFonts w:eastAsia="Arial" w:cs="Segoe UI"/>
                <w:color w:val="000000"/>
                <w:sz w:val="18"/>
                <w:szCs w:val="18"/>
                <w:lang w:eastAsia="sk-SK" w:bidi="sk-SK"/>
              </w:rPr>
              <w:t>Interreg</w:t>
            </w:r>
            <w:proofErr w:type="spellEnd"/>
            <w:r w:rsidRPr="00BA6B9B">
              <w:rPr>
                <w:rFonts w:eastAsia="Arial" w:cs="Segoe UI"/>
                <w:color w:val="000000"/>
                <w:sz w:val="18"/>
                <w:szCs w:val="18"/>
                <w:lang w:eastAsia="sk-SK" w:bidi="sk-SK"/>
              </w:rPr>
              <w:t xml:space="preserve"> V-A SK-CZ</w:t>
            </w:r>
          </w:p>
        </w:tc>
        <w:tc>
          <w:tcPr>
            <w:tcW w:w="1162" w:type="pct"/>
            <w:shd w:val="clear" w:color="auto" w:fill="FFFFFF"/>
            <w:vAlign w:val="bottom"/>
          </w:tcPr>
          <w:p w14:paraId="24A0FBFC"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748 328</w:t>
            </w:r>
          </w:p>
        </w:tc>
        <w:tc>
          <w:tcPr>
            <w:tcW w:w="1162" w:type="pct"/>
            <w:shd w:val="clear" w:color="auto" w:fill="FFFFFF"/>
            <w:vAlign w:val="bottom"/>
          </w:tcPr>
          <w:p w14:paraId="4EEFB30F"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56 064</w:t>
            </w:r>
          </w:p>
        </w:tc>
      </w:tr>
      <w:tr w:rsidR="00A55614" w:rsidRPr="00BA6B9B" w14:paraId="02BA8A5C" w14:textId="77777777" w:rsidTr="00037A18">
        <w:trPr>
          <w:trHeight w:val="22"/>
        </w:trPr>
        <w:tc>
          <w:tcPr>
            <w:tcW w:w="2676" w:type="pct"/>
            <w:shd w:val="clear" w:color="auto" w:fill="FFFFFF"/>
            <w:vAlign w:val="bottom"/>
          </w:tcPr>
          <w:p w14:paraId="2DE64E90"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 xml:space="preserve">Program </w:t>
            </w:r>
            <w:proofErr w:type="spellStart"/>
            <w:r w:rsidRPr="00BA6B9B">
              <w:rPr>
                <w:rFonts w:eastAsia="Arial" w:cs="Segoe UI"/>
                <w:color w:val="000000"/>
                <w:sz w:val="18"/>
                <w:szCs w:val="18"/>
                <w:lang w:eastAsia="sk-SK" w:bidi="sk-SK"/>
              </w:rPr>
              <w:t>Interreg</w:t>
            </w:r>
            <w:proofErr w:type="spellEnd"/>
            <w:r w:rsidRPr="00BA6B9B">
              <w:rPr>
                <w:rFonts w:eastAsia="Arial" w:cs="Segoe UI"/>
                <w:color w:val="000000"/>
                <w:sz w:val="18"/>
                <w:szCs w:val="18"/>
                <w:lang w:eastAsia="sk-SK" w:bidi="sk-SK"/>
              </w:rPr>
              <w:t xml:space="preserve"> V-A SK-AT</w:t>
            </w:r>
          </w:p>
        </w:tc>
        <w:tc>
          <w:tcPr>
            <w:tcW w:w="1162" w:type="pct"/>
            <w:shd w:val="clear" w:color="auto" w:fill="FFFFFF"/>
            <w:vAlign w:val="bottom"/>
          </w:tcPr>
          <w:p w14:paraId="7760ACFF"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98 429</w:t>
            </w:r>
          </w:p>
        </w:tc>
        <w:tc>
          <w:tcPr>
            <w:tcW w:w="1162" w:type="pct"/>
            <w:shd w:val="clear" w:color="auto" w:fill="FFFFFF"/>
            <w:vAlign w:val="bottom"/>
          </w:tcPr>
          <w:p w14:paraId="52D9A5CD"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3 766</w:t>
            </w:r>
          </w:p>
        </w:tc>
      </w:tr>
      <w:tr w:rsidR="00A55614" w:rsidRPr="00BA6B9B" w14:paraId="69F03FFE" w14:textId="77777777" w:rsidTr="00037A18">
        <w:trPr>
          <w:trHeight w:val="22"/>
        </w:trPr>
        <w:tc>
          <w:tcPr>
            <w:tcW w:w="2676" w:type="pct"/>
            <w:shd w:val="clear" w:color="auto" w:fill="FFFFFF"/>
            <w:vAlign w:val="bottom"/>
          </w:tcPr>
          <w:p w14:paraId="495A9994"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PS INTERACT III</w:t>
            </w:r>
            <w:r>
              <w:rPr>
                <w:rFonts w:eastAsia="Arial" w:cs="Segoe UI"/>
                <w:color w:val="000000"/>
                <w:sz w:val="18"/>
                <w:szCs w:val="18"/>
                <w:lang w:eastAsia="sk-SK" w:bidi="sk-SK"/>
              </w:rPr>
              <w:t>*</w:t>
            </w:r>
          </w:p>
        </w:tc>
        <w:tc>
          <w:tcPr>
            <w:tcW w:w="1162" w:type="pct"/>
            <w:shd w:val="clear" w:color="auto" w:fill="FFFFFF"/>
            <w:vAlign w:val="bottom"/>
          </w:tcPr>
          <w:p w14:paraId="33C29869"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36 179</w:t>
            </w:r>
          </w:p>
        </w:tc>
        <w:tc>
          <w:tcPr>
            <w:tcW w:w="1162" w:type="pct"/>
            <w:shd w:val="clear" w:color="auto" w:fill="FFFFFF"/>
            <w:vAlign w:val="bottom"/>
          </w:tcPr>
          <w:p w14:paraId="4B5DD63A"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6 384</w:t>
            </w:r>
          </w:p>
        </w:tc>
      </w:tr>
      <w:tr w:rsidR="00A55614" w:rsidRPr="00BA6B9B" w14:paraId="1FB17703" w14:textId="77777777" w:rsidTr="00037A18">
        <w:trPr>
          <w:trHeight w:val="22"/>
        </w:trPr>
        <w:tc>
          <w:tcPr>
            <w:tcW w:w="2676" w:type="pct"/>
            <w:shd w:val="clear" w:color="auto" w:fill="FFFFFF"/>
            <w:vAlign w:val="bottom"/>
          </w:tcPr>
          <w:p w14:paraId="40D3D3B5" w14:textId="77777777" w:rsidR="00A55614" w:rsidRPr="00BA6B9B" w:rsidRDefault="00A55614" w:rsidP="00037A18">
            <w:pPr>
              <w:widowControl w:val="0"/>
              <w:spacing w:after="0" w:line="259" w:lineRule="auto"/>
              <w:rPr>
                <w:rFonts w:eastAsia="Arial Narrow" w:cs="Segoe UI"/>
                <w:sz w:val="18"/>
                <w:szCs w:val="18"/>
              </w:rPr>
            </w:pPr>
            <w:r w:rsidRPr="00BA6B9B">
              <w:rPr>
                <w:rFonts w:eastAsia="Arial" w:cs="Segoe UI"/>
                <w:color w:val="000000"/>
                <w:sz w:val="18"/>
                <w:szCs w:val="18"/>
                <w:lang w:eastAsia="sk-SK" w:bidi="sk-SK"/>
              </w:rPr>
              <w:t>OP Rybné hospodárstvo</w:t>
            </w:r>
          </w:p>
        </w:tc>
        <w:tc>
          <w:tcPr>
            <w:tcW w:w="1162" w:type="pct"/>
            <w:shd w:val="clear" w:color="auto" w:fill="FFFFFF"/>
            <w:vAlign w:val="bottom"/>
          </w:tcPr>
          <w:p w14:paraId="196D97D4"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364 467</w:t>
            </w:r>
          </w:p>
        </w:tc>
        <w:tc>
          <w:tcPr>
            <w:tcW w:w="1162" w:type="pct"/>
            <w:shd w:val="clear" w:color="auto" w:fill="FFFFFF"/>
            <w:vAlign w:val="bottom"/>
          </w:tcPr>
          <w:p w14:paraId="1C666806" w14:textId="77777777" w:rsidR="00A55614" w:rsidRPr="00BA6B9B" w:rsidRDefault="00A55614" w:rsidP="00037A18">
            <w:pPr>
              <w:widowControl w:val="0"/>
              <w:spacing w:after="0" w:line="259" w:lineRule="auto"/>
              <w:jc w:val="right"/>
              <w:rPr>
                <w:rFonts w:eastAsia="Arial Narrow" w:cs="Segoe UI"/>
                <w:sz w:val="18"/>
                <w:szCs w:val="18"/>
              </w:rPr>
            </w:pPr>
            <w:r>
              <w:rPr>
                <w:rFonts w:eastAsia="Arial Narrow" w:cs="Segoe UI"/>
                <w:color w:val="000000"/>
                <w:sz w:val="18"/>
                <w:szCs w:val="18"/>
                <w:lang w:eastAsia="sk-SK" w:bidi="sk-SK"/>
              </w:rPr>
              <w:t>96 066</w:t>
            </w:r>
          </w:p>
        </w:tc>
      </w:tr>
      <w:tr w:rsidR="00A55614" w:rsidRPr="00BA6B9B" w14:paraId="088524C3" w14:textId="77777777" w:rsidTr="00037A18">
        <w:trPr>
          <w:trHeight w:val="22"/>
        </w:trPr>
        <w:tc>
          <w:tcPr>
            <w:tcW w:w="2676" w:type="pct"/>
            <w:tcBorders>
              <w:bottom w:val="single" w:sz="4" w:space="0" w:color="auto"/>
            </w:tcBorders>
            <w:shd w:val="clear" w:color="auto" w:fill="FFFFFF"/>
            <w:vAlign w:val="bottom"/>
          </w:tcPr>
          <w:p w14:paraId="762F76D8" w14:textId="77777777" w:rsidR="00A55614" w:rsidRPr="00BA6B9B" w:rsidRDefault="00A55614" w:rsidP="00037A18">
            <w:pPr>
              <w:widowControl w:val="0"/>
              <w:spacing w:after="0" w:line="259" w:lineRule="auto"/>
              <w:rPr>
                <w:rFonts w:eastAsia="Arial" w:cs="Segoe UI"/>
                <w:color w:val="000000"/>
                <w:sz w:val="18"/>
                <w:szCs w:val="18"/>
                <w:lang w:val="en-US" w:bidi="en-US"/>
              </w:rPr>
            </w:pPr>
            <w:r w:rsidRPr="00BA6B9B">
              <w:rPr>
                <w:rFonts w:eastAsia="Arial" w:cs="Segoe UI"/>
                <w:b/>
                <w:color w:val="000000"/>
                <w:sz w:val="18"/>
                <w:szCs w:val="18"/>
                <w:lang w:eastAsia="sk-SK" w:bidi="sk-SK"/>
              </w:rPr>
              <w:t>SPOLU</w:t>
            </w:r>
          </w:p>
        </w:tc>
        <w:tc>
          <w:tcPr>
            <w:tcW w:w="1162" w:type="pct"/>
            <w:tcBorders>
              <w:bottom w:val="single" w:sz="4" w:space="0" w:color="auto"/>
            </w:tcBorders>
            <w:shd w:val="clear" w:color="auto" w:fill="FFFFFF"/>
          </w:tcPr>
          <w:p w14:paraId="15EF249F" w14:textId="77777777" w:rsidR="00A55614" w:rsidRPr="00BA6B9B" w:rsidRDefault="00A55614" w:rsidP="00037A18">
            <w:pPr>
              <w:widowControl w:val="0"/>
              <w:spacing w:after="0" w:line="259" w:lineRule="auto"/>
              <w:jc w:val="right"/>
              <w:rPr>
                <w:rFonts w:eastAsia="Arial Narrow" w:cs="Segoe UI"/>
                <w:b/>
                <w:sz w:val="18"/>
                <w:szCs w:val="18"/>
              </w:rPr>
            </w:pPr>
            <w:r>
              <w:rPr>
                <w:rFonts w:eastAsia="Arial" w:cs="Segoe UI"/>
                <w:b/>
                <w:color w:val="000000"/>
                <w:sz w:val="18"/>
                <w:szCs w:val="18"/>
                <w:lang w:eastAsia="sk-SK" w:bidi="sk-SK"/>
              </w:rPr>
              <w:t>272 820 605</w:t>
            </w:r>
          </w:p>
        </w:tc>
        <w:tc>
          <w:tcPr>
            <w:tcW w:w="1162" w:type="pct"/>
            <w:tcBorders>
              <w:bottom w:val="single" w:sz="4" w:space="0" w:color="auto"/>
            </w:tcBorders>
            <w:shd w:val="clear" w:color="auto" w:fill="FFFFFF"/>
            <w:vAlign w:val="bottom"/>
          </w:tcPr>
          <w:p w14:paraId="125CADD3" w14:textId="77777777" w:rsidR="00A55614" w:rsidRPr="00BA6B9B" w:rsidRDefault="00A55614" w:rsidP="00037A18">
            <w:pPr>
              <w:widowControl w:val="0"/>
              <w:spacing w:after="0" w:line="259" w:lineRule="auto"/>
              <w:jc w:val="right"/>
              <w:rPr>
                <w:rFonts w:eastAsia="Arial Narrow" w:cs="Segoe UI"/>
                <w:color w:val="000000"/>
                <w:sz w:val="18"/>
                <w:szCs w:val="18"/>
                <w:lang w:eastAsia="sk-SK" w:bidi="sk-SK"/>
              </w:rPr>
            </w:pPr>
            <w:r>
              <w:rPr>
                <w:rFonts w:eastAsia="Arial" w:cs="Segoe UI"/>
                <w:b/>
                <w:color w:val="000000"/>
                <w:sz w:val="18"/>
                <w:szCs w:val="18"/>
                <w:lang w:eastAsia="sk-SK" w:bidi="sk-SK"/>
              </w:rPr>
              <w:t>45 866 691</w:t>
            </w:r>
          </w:p>
        </w:tc>
      </w:tr>
    </w:tbl>
    <w:p w14:paraId="76E00DA6" w14:textId="77777777" w:rsidR="00A55614" w:rsidRPr="00D14772" w:rsidRDefault="00A55614" w:rsidP="00A55614">
      <w:pPr>
        <w:spacing w:after="0" w:line="240" w:lineRule="auto"/>
        <w:rPr>
          <w:i/>
          <w:color w:val="314364" w:themeColor="text2"/>
          <w:sz w:val="16"/>
        </w:rPr>
      </w:pPr>
      <w:r w:rsidRPr="00D14772">
        <w:rPr>
          <w:i/>
          <w:color w:val="314364" w:themeColor="text2"/>
          <w:sz w:val="16"/>
        </w:rPr>
        <w:t>Zdroj: MF SR</w:t>
      </w:r>
    </w:p>
    <w:p w14:paraId="0C789E15" w14:textId="77777777" w:rsidR="00A55614" w:rsidRPr="00D14772" w:rsidRDefault="00A55614" w:rsidP="00A55614">
      <w:pPr>
        <w:spacing w:line="240" w:lineRule="auto"/>
        <w:rPr>
          <w:i/>
          <w:color w:val="314364" w:themeColor="text2"/>
          <w:sz w:val="16"/>
        </w:rPr>
      </w:pPr>
      <w:r w:rsidRPr="00D14772">
        <w:rPr>
          <w:i/>
          <w:color w:val="314364" w:themeColor="text2"/>
          <w:sz w:val="16"/>
        </w:rPr>
        <w:t>*v prípade PS INTERACT III ide o národn</w:t>
      </w:r>
      <w:r>
        <w:rPr>
          <w:i/>
          <w:color w:val="314364" w:themeColor="text2"/>
          <w:sz w:val="16"/>
        </w:rPr>
        <w:t>ý</w:t>
      </w:r>
      <w:r w:rsidRPr="00D14772">
        <w:rPr>
          <w:i/>
          <w:color w:val="314364" w:themeColor="text2"/>
          <w:sz w:val="16"/>
        </w:rPr>
        <w:t xml:space="preserve"> príspev</w:t>
      </w:r>
      <w:r>
        <w:rPr>
          <w:i/>
          <w:color w:val="314364" w:themeColor="text2"/>
          <w:sz w:val="16"/>
        </w:rPr>
        <w:t>ok</w:t>
      </w:r>
      <w:r w:rsidRPr="00D14772">
        <w:rPr>
          <w:i/>
          <w:color w:val="314364" w:themeColor="text2"/>
          <w:sz w:val="16"/>
        </w:rPr>
        <w:t xml:space="preserve"> člensk</w:t>
      </w:r>
      <w:r>
        <w:rPr>
          <w:i/>
          <w:color w:val="314364" w:themeColor="text2"/>
          <w:sz w:val="16"/>
        </w:rPr>
        <w:t>ého</w:t>
      </w:r>
      <w:r w:rsidRPr="00D14772">
        <w:rPr>
          <w:i/>
          <w:color w:val="314364" w:themeColor="text2"/>
          <w:sz w:val="16"/>
        </w:rPr>
        <w:t xml:space="preserve"> štát</w:t>
      </w:r>
      <w:r>
        <w:rPr>
          <w:i/>
          <w:color w:val="314364" w:themeColor="text2"/>
          <w:sz w:val="16"/>
        </w:rPr>
        <w:t>u, nie zdroj ŠR</w:t>
      </w:r>
    </w:p>
    <w:p w14:paraId="4CAAA391" w14:textId="02400A10" w:rsidR="00B772C9" w:rsidRDefault="00B772C9" w:rsidP="00B772C9">
      <w:pPr>
        <w:pStyle w:val="Popis"/>
        <w:keepNext/>
        <w:rPr>
          <w:color w:val="314364"/>
        </w:rPr>
      </w:pPr>
      <w:r>
        <w:rPr>
          <w:color w:val="314364"/>
        </w:rPr>
        <w:t>Graf 4: Medzinárodné porovnanie čerpania EŠIF v rámci EÚ27 k 30.</w:t>
      </w:r>
      <w:r w:rsidR="00D37117">
        <w:rPr>
          <w:color w:val="314364"/>
        </w:rPr>
        <w:t xml:space="preserve"> </w:t>
      </w:r>
      <w:r>
        <w:rPr>
          <w:color w:val="314364"/>
        </w:rPr>
        <w:t>6.</w:t>
      </w:r>
      <w:r w:rsidR="00D37117">
        <w:rPr>
          <w:color w:val="314364"/>
        </w:rPr>
        <w:t xml:space="preserve"> </w:t>
      </w:r>
      <w:r>
        <w:rPr>
          <w:color w:val="314364"/>
        </w:rPr>
        <w:t>2021</w:t>
      </w:r>
      <w:r w:rsidRPr="000346C3">
        <w:rPr>
          <w:color w:val="314364"/>
        </w:rPr>
        <w:t xml:space="preserve"> (v %)</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B772C9" w:rsidRPr="00C75134" w14:paraId="6332AA87" w14:textId="77777777" w:rsidTr="00D77CAE">
        <w:trPr>
          <w:trHeight w:val="3159"/>
        </w:trPr>
        <w:tc>
          <w:tcPr>
            <w:tcW w:w="5000" w:type="pct"/>
            <w:tcBorders>
              <w:top w:val="single" w:sz="4" w:space="0" w:color="314364"/>
              <w:bottom w:val="single" w:sz="4" w:space="0" w:color="314364"/>
            </w:tcBorders>
            <w:vAlign w:val="center"/>
          </w:tcPr>
          <w:p w14:paraId="4951D3AF" w14:textId="77777777" w:rsidR="00B772C9" w:rsidRPr="00C75134" w:rsidRDefault="00B772C9" w:rsidP="00D77CAE">
            <w:pPr>
              <w:spacing w:after="0"/>
              <w:rPr>
                <w:b/>
                <w:color w:val="576431"/>
              </w:rPr>
            </w:pPr>
            <w:r>
              <w:rPr>
                <w:noProof/>
                <w:lang w:eastAsia="sk-SK"/>
              </w:rPr>
              <w:drawing>
                <wp:inline distT="0" distB="0" distL="0" distR="0" wp14:anchorId="13D337DE" wp14:editId="6FBC8F44">
                  <wp:extent cx="5807123" cy="1991995"/>
                  <wp:effectExtent l="0" t="0" r="3175" b="825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29C4E199" w14:textId="71CBAA23" w:rsidR="00B772C9" w:rsidRPr="00650EAB" w:rsidRDefault="00B772C9" w:rsidP="00B772C9">
      <w:pPr>
        <w:pStyle w:val="Zdroj"/>
      </w:pPr>
      <w:r w:rsidRPr="00650EAB">
        <w:t>Zdroj: Európska komisia</w:t>
      </w:r>
      <w:r w:rsidR="00D37117">
        <w:rPr>
          <w:lang w:val="en-US"/>
        </w:rPr>
        <w:t xml:space="preserve">; </w:t>
      </w:r>
      <w:r>
        <w:t>dáta sú aktualizované k 6.</w:t>
      </w:r>
      <w:r w:rsidR="00D37117">
        <w:t xml:space="preserve"> </w:t>
      </w:r>
      <w:r>
        <w:t>10.</w:t>
      </w:r>
      <w:r w:rsidR="00D37117">
        <w:t xml:space="preserve"> 2021</w:t>
      </w:r>
    </w:p>
    <w:p w14:paraId="010F7B49" w14:textId="77777777" w:rsidR="00B772C9" w:rsidRDefault="00B772C9" w:rsidP="00B772C9">
      <w:pPr>
        <w:spacing w:after="0"/>
      </w:pPr>
      <w:r>
        <w:t xml:space="preserve">Dôležitou súčasťou rozpočtov na ďalšie roky bude aj Plán obnovy a odolnosti, ktorým EÚ reagovala na hospodársky prepad spôsobený pandémiou COVID-19. Ten je najväčšou časťou nástroja </w:t>
      </w:r>
      <w:proofErr w:type="spellStart"/>
      <w:r>
        <w:t>NextGenerationEU</w:t>
      </w:r>
      <w:proofErr w:type="spellEnd"/>
      <w:r>
        <w:t>. Schválená alokácia predstavuje pre SR sumu 6 328 586 tis. eur</w:t>
      </w:r>
      <w:r w:rsidRPr="00EB7629">
        <w:rPr>
          <w:rStyle w:val="Odkaznapoznmkupodiarou"/>
          <w:i/>
        </w:rPr>
        <w:footnoteReference w:id="9"/>
      </w:r>
      <w:r w:rsidRPr="00EB7629">
        <w:rPr>
          <w:i/>
          <w:vertAlign w:val="superscript"/>
        </w:rPr>
        <w:t>)</w:t>
      </w:r>
      <w:r>
        <w:t xml:space="preserve">, pričom prvá časť prostriedkov (822,7 mil. eur) už bola prijatá. Plánované reformy a investičné aktivity majú za cieľ posilniť identifikované slabé miesta slovenskej ekonomiky. Prvými krokmi má byť prijatie potrebnej legislatívy a peniaze budú použité najmä v rámci administratívnej a technickej prípravy na pripravované reformy a projekty. Mechanizmus čerpania ďalších </w:t>
      </w:r>
      <w:proofErr w:type="spellStart"/>
      <w:r>
        <w:t>tranží</w:t>
      </w:r>
      <w:proofErr w:type="spellEnd"/>
      <w:r>
        <w:t xml:space="preserve"> bude závisieť od schopností SR plniť nastavené míľniky a ciele. Posudzovať ich bude EK a iba pri splnení všetkých podmienok peniaze vyplatí. Z pohľadu SR ide teda o náročnejší mechanizmus než pri klasických EŠIF. Prostriedky z Plánu obnovy majú smerovať do piatich prioritných oblastí, pričom požiadavkou EK bolo, aby aspoň 37 % financií išlo do zelenej ekonomiky a aspoň 20 % do digitalizácie.</w:t>
      </w:r>
    </w:p>
    <w:p w14:paraId="170A392A" w14:textId="77777777" w:rsidR="00656939" w:rsidRPr="003E210F" w:rsidRDefault="00656939" w:rsidP="00656939">
      <w:pPr>
        <w:spacing w:after="0"/>
        <w:rPr>
          <w:b/>
          <w:iCs/>
          <w:color w:val="314364"/>
          <w:szCs w:val="18"/>
        </w:rPr>
      </w:pPr>
    </w:p>
    <w:tbl>
      <w:tblPr>
        <w:tblpPr w:leftFromText="142" w:rightFromText="142" w:vertAnchor="text" w:horzAnchor="margin" w:tblpXSpec="right" w:tblpY="-21"/>
        <w:tblOverlap w:val="never"/>
        <w:tblW w:w="3646" w:type="pct"/>
        <w:tblCellMar>
          <w:left w:w="10" w:type="dxa"/>
          <w:right w:w="10" w:type="dxa"/>
        </w:tblCellMar>
        <w:tblLook w:val="0000" w:firstRow="0" w:lastRow="0" w:firstColumn="0" w:lastColumn="0" w:noHBand="0" w:noVBand="0"/>
      </w:tblPr>
      <w:tblGrid>
        <w:gridCol w:w="3663"/>
        <w:gridCol w:w="941"/>
        <w:gridCol w:w="1161"/>
        <w:gridCol w:w="849"/>
      </w:tblGrid>
      <w:tr w:rsidR="00656939" w:rsidRPr="002A3A7F" w14:paraId="6E157700" w14:textId="77777777" w:rsidTr="00381348">
        <w:trPr>
          <w:trHeight w:val="283"/>
        </w:trPr>
        <w:tc>
          <w:tcPr>
            <w:tcW w:w="5000" w:type="pct"/>
            <w:gridSpan w:val="4"/>
            <w:shd w:val="clear" w:color="auto" w:fill="auto"/>
            <w:vAlign w:val="center"/>
          </w:tcPr>
          <w:p w14:paraId="7E3FBBD3" w14:textId="77777777" w:rsidR="00656939" w:rsidRPr="00E855C7" w:rsidRDefault="00656939" w:rsidP="00381348">
            <w:pPr>
              <w:pStyle w:val="In0"/>
              <w:shd w:val="clear" w:color="auto" w:fill="auto"/>
              <w:spacing w:after="100" w:afterAutospacing="1"/>
              <w:jc w:val="left"/>
              <w:rPr>
                <w:rFonts w:ascii="Segoe UI" w:hAnsi="Segoe UI" w:cs="Segoe UI"/>
                <w:b/>
                <w:bCs/>
                <w:color w:val="FFFFFF"/>
                <w:sz w:val="18"/>
                <w:szCs w:val="18"/>
                <w:lang w:eastAsia="sk-SK" w:bidi="sk-SK"/>
              </w:rPr>
            </w:pPr>
            <w:r w:rsidRPr="00E855C7">
              <w:rPr>
                <w:rFonts w:ascii="Segoe UI" w:hAnsi="Segoe UI" w:cs="Segoe UI"/>
                <w:b/>
                <w:iCs/>
                <w:color w:val="314364" w:themeColor="text2"/>
                <w:sz w:val="20"/>
                <w:szCs w:val="18"/>
              </w:rPr>
              <w:t>Tabuľka 6: Alokácie v Pláne obnovy na roky 2022 – 2024 (v mil. eur)</w:t>
            </w:r>
          </w:p>
        </w:tc>
      </w:tr>
      <w:tr w:rsidR="00656939" w:rsidRPr="002A3A7F" w14:paraId="700F654D" w14:textId="77777777" w:rsidTr="00381348">
        <w:trPr>
          <w:trHeight w:val="283"/>
        </w:trPr>
        <w:tc>
          <w:tcPr>
            <w:tcW w:w="2769" w:type="pct"/>
            <w:shd w:val="clear" w:color="auto" w:fill="314364"/>
            <w:vAlign w:val="center"/>
          </w:tcPr>
          <w:p w14:paraId="488323D3" w14:textId="77777777" w:rsidR="00656939" w:rsidRPr="002A3A7F" w:rsidRDefault="00656939" w:rsidP="00381348">
            <w:pPr>
              <w:pStyle w:val="In0"/>
              <w:shd w:val="clear" w:color="auto" w:fill="auto"/>
              <w:spacing w:after="0"/>
              <w:jc w:val="left"/>
              <w:rPr>
                <w:rFonts w:ascii="Segoe UI" w:hAnsi="Segoe UI" w:cs="Segoe UI"/>
                <w:sz w:val="18"/>
                <w:szCs w:val="18"/>
              </w:rPr>
            </w:pPr>
            <w:r w:rsidRPr="002A3A7F">
              <w:rPr>
                <w:rFonts w:ascii="Segoe UI" w:hAnsi="Segoe UI" w:cs="Segoe UI"/>
                <w:b/>
                <w:bCs/>
                <w:color w:val="FFFFFF"/>
                <w:sz w:val="18"/>
                <w:szCs w:val="18"/>
                <w:lang w:eastAsia="sk-SK" w:bidi="sk-SK"/>
              </w:rPr>
              <w:t>Prioritná oblasť</w:t>
            </w:r>
          </w:p>
        </w:tc>
        <w:tc>
          <w:tcPr>
            <w:tcW w:w="711" w:type="pct"/>
            <w:shd w:val="clear" w:color="auto" w:fill="314364"/>
            <w:vAlign w:val="center"/>
          </w:tcPr>
          <w:p w14:paraId="6A0233FC" w14:textId="77777777" w:rsidR="00656939" w:rsidRPr="002A3A7F" w:rsidRDefault="00656939" w:rsidP="00381348">
            <w:pPr>
              <w:pStyle w:val="In0"/>
              <w:shd w:val="clear" w:color="auto" w:fill="auto"/>
              <w:spacing w:after="0"/>
              <w:jc w:val="center"/>
              <w:rPr>
                <w:rFonts w:ascii="Segoe UI" w:hAnsi="Segoe UI" w:cs="Segoe UI"/>
                <w:sz w:val="18"/>
                <w:szCs w:val="18"/>
              </w:rPr>
            </w:pPr>
            <w:r w:rsidRPr="002A3A7F">
              <w:rPr>
                <w:rFonts w:ascii="Segoe UI" w:hAnsi="Segoe UI" w:cs="Segoe UI"/>
                <w:b/>
                <w:bCs/>
                <w:color w:val="FFFFFF"/>
                <w:sz w:val="18"/>
                <w:szCs w:val="18"/>
                <w:lang w:eastAsia="sk-SK" w:bidi="sk-SK"/>
              </w:rPr>
              <w:t>2022</w:t>
            </w:r>
          </w:p>
        </w:tc>
        <w:tc>
          <w:tcPr>
            <w:tcW w:w="878" w:type="pct"/>
            <w:shd w:val="clear" w:color="auto" w:fill="314364"/>
            <w:vAlign w:val="center"/>
          </w:tcPr>
          <w:p w14:paraId="71913EAF" w14:textId="77777777" w:rsidR="00656939" w:rsidRPr="002A3A7F" w:rsidRDefault="00656939" w:rsidP="00381348">
            <w:pPr>
              <w:pStyle w:val="In0"/>
              <w:shd w:val="clear" w:color="auto" w:fill="auto"/>
              <w:spacing w:after="0"/>
              <w:jc w:val="center"/>
              <w:rPr>
                <w:rFonts w:ascii="Segoe UI" w:hAnsi="Segoe UI" w:cs="Segoe UI"/>
                <w:sz w:val="18"/>
                <w:szCs w:val="18"/>
              </w:rPr>
            </w:pPr>
            <w:r w:rsidRPr="002A3A7F">
              <w:rPr>
                <w:rFonts w:ascii="Segoe UI" w:hAnsi="Segoe UI" w:cs="Segoe UI"/>
                <w:b/>
                <w:bCs/>
                <w:color w:val="FFFFFF"/>
                <w:sz w:val="18"/>
                <w:szCs w:val="18"/>
                <w:lang w:eastAsia="sk-SK" w:bidi="sk-SK"/>
              </w:rPr>
              <w:t>2023</w:t>
            </w:r>
          </w:p>
        </w:tc>
        <w:tc>
          <w:tcPr>
            <w:tcW w:w="643" w:type="pct"/>
            <w:shd w:val="clear" w:color="auto" w:fill="314364"/>
            <w:vAlign w:val="center"/>
          </w:tcPr>
          <w:p w14:paraId="6C1EAE3E" w14:textId="77777777" w:rsidR="00656939" w:rsidRPr="002A3A7F" w:rsidRDefault="00656939" w:rsidP="00381348">
            <w:pPr>
              <w:pStyle w:val="In0"/>
              <w:shd w:val="clear" w:color="auto" w:fill="auto"/>
              <w:spacing w:after="0"/>
              <w:jc w:val="center"/>
              <w:rPr>
                <w:rFonts w:ascii="Segoe UI" w:hAnsi="Segoe UI" w:cs="Segoe UI"/>
                <w:b/>
                <w:bCs/>
                <w:color w:val="FFFFFF"/>
                <w:sz w:val="18"/>
                <w:szCs w:val="18"/>
                <w:lang w:eastAsia="sk-SK" w:bidi="sk-SK"/>
              </w:rPr>
            </w:pPr>
            <w:r w:rsidRPr="002A3A7F">
              <w:rPr>
                <w:rFonts w:ascii="Segoe UI" w:hAnsi="Segoe UI" w:cs="Segoe UI"/>
                <w:b/>
                <w:bCs/>
                <w:color w:val="FFFFFF"/>
                <w:sz w:val="18"/>
                <w:szCs w:val="18"/>
                <w:lang w:eastAsia="sk-SK" w:bidi="sk-SK"/>
              </w:rPr>
              <w:t>2024</w:t>
            </w:r>
          </w:p>
        </w:tc>
      </w:tr>
      <w:tr w:rsidR="00656939" w:rsidRPr="002A3A7F" w14:paraId="3E643904" w14:textId="77777777" w:rsidTr="00381348">
        <w:trPr>
          <w:trHeight w:val="283"/>
        </w:trPr>
        <w:tc>
          <w:tcPr>
            <w:tcW w:w="2769" w:type="pct"/>
            <w:shd w:val="clear" w:color="auto" w:fill="FFFFFF"/>
            <w:vAlign w:val="center"/>
          </w:tcPr>
          <w:p w14:paraId="19AE20A7" w14:textId="77777777" w:rsidR="00656939" w:rsidRPr="002A3A7F" w:rsidRDefault="00656939" w:rsidP="00381348">
            <w:pPr>
              <w:spacing w:after="0" w:line="240" w:lineRule="auto"/>
              <w:jc w:val="left"/>
            </w:pPr>
            <w:r w:rsidRPr="002A3A7F">
              <w:rPr>
                <w:rFonts w:cs="Segoe UI"/>
                <w:sz w:val="18"/>
                <w:szCs w:val="18"/>
              </w:rPr>
              <w:t>Zelená ekonomika</w:t>
            </w:r>
          </w:p>
        </w:tc>
        <w:tc>
          <w:tcPr>
            <w:tcW w:w="711" w:type="pct"/>
            <w:shd w:val="clear" w:color="000000" w:fill="FFFFFF"/>
            <w:vAlign w:val="center"/>
          </w:tcPr>
          <w:p w14:paraId="48276CE0"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454</w:t>
            </w:r>
          </w:p>
        </w:tc>
        <w:tc>
          <w:tcPr>
            <w:tcW w:w="878" w:type="pct"/>
            <w:shd w:val="clear" w:color="000000" w:fill="FFFFFF"/>
            <w:vAlign w:val="center"/>
          </w:tcPr>
          <w:p w14:paraId="2B88AEC9"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480</w:t>
            </w:r>
          </w:p>
        </w:tc>
        <w:tc>
          <w:tcPr>
            <w:tcW w:w="643" w:type="pct"/>
            <w:shd w:val="clear" w:color="000000" w:fill="FFFFFF"/>
            <w:vAlign w:val="center"/>
          </w:tcPr>
          <w:p w14:paraId="35A60D97"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604</w:t>
            </w:r>
          </w:p>
        </w:tc>
      </w:tr>
      <w:tr w:rsidR="00656939" w:rsidRPr="002A3A7F" w14:paraId="1F71F706" w14:textId="77777777" w:rsidTr="00381348">
        <w:trPr>
          <w:trHeight w:val="283"/>
        </w:trPr>
        <w:tc>
          <w:tcPr>
            <w:tcW w:w="2769" w:type="pct"/>
            <w:shd w:val="clear" w:color="auto" w:fill="FFFFFF"/>
            <w:vAlign w:val="center"/>
          </w:tcPr>
          <w:p w14:paraId="25EC1C28" w14:textId="77777777" w:rsidR="00656939" w:rsidRPr="002A3A7F" w:rsidRDefault="00656939" w:rsidP="00381348">
            <w:pPr>
              <w:spacing w:after="0" w:line="240" w:lineRule="auto"/>
              <w:jc w:val="left"/>
            </w:pPr>
            <w:r w:rsidRPr="002A3A7F">
              <w:rPr>
                <w:rFonts w:cs="Segoe UI"/>
                <w:sz w:val="18"/>
                <w:szCs w:val="18"/>
              </w:rPr>
              <w:t>Vzdelávanie</w:t>
            </w:r>
          </w:p>
        </w:tc>
        <w:tc>
          <w:tcPr>
            <w:tcW w:w="711" w:type="pct"/>
            <w:shd w:val="clear" w:color="000000" w:fill="FFFFFF"/>
            <w:vAlign w:val="center"/>
          </w:tcPr>
          <w:p w14:paraId="6E00EBDE"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323</w:t>
            </w:r>
          </w:p>
        </w:tc>
        <w:tc>
          <w:tcPr>
            <w:tcW w:w="878" w:type="pct"/>
            <w:shd w:val="clear" w:color="000000" w:fill="FFFFFF"/>
            <w:vAlign w:val="center"/>
          </w:tcPr>
          <w:p w14:paraId="34658C79"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295</w:t>
            </w:r>
          </w:p>
        </w:tc>
        <w:tc>
          <w:tcPr>
            <w:tcW w:w="643" w:type="pct"/>
            <w:shd w:val="clear" w:color="000000" w:fill="FFFFFF"/>
            <w:vAlign w:val="center"/>
          </w:tcPr>
          <w:p w14:paraId="36CADC4B"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113</w:t>
            </w:r>
          </w:p>
        </w:tc>
      </w:tr>
      <w:tr w:rsidR="00656939" w:rsidRPr="002A3A7F" w14:paraId="5AD0E46F" w14:textId="77777777" w:rsidTr="00381348">
        <w:trPr>
          <w:trHeight w:val="283"/>
        </w:trPr>
        <w:tc>
          <w:tcPr>
            <w:tcW w:w="2769" w:type="pct"/>
            <w:shd w:val="clear" w:color="auto" w:fill="FFFFFF"/>
            <w:vAlign w:val="center"/>
          </w:tcPr>
          <w:p w14:paraId="721E697C" w14:textId="77777777" w:rsidR="00656939" w:rsidRPr="002A3A7F" w:rsidRDefault="00656939" w:rsidP="00381348">
            <w:pPr>
              <w:spacing w:after="0" w:line="240" w:lineRule="auto"/>
              <w:jc w:val="left"/>
            </w:pPr>
            <w:r w:rsidRPr="002A3A7F">
              <w:rPr>
                <w:rFonts w:cs="Segoe UI"/>
                <w:sz w:val="18"/>
                <w:szCs w:val="18"/>
              </w:rPr>
              <w:t>Veda, výskum, inovácie</w:t>
            </w:r>
          </w:p>
        </w:tc>
        <w:tc>
          <w:tcPr>
            <w:tcW w:w="711" w:type="pct"/>
            <w:shd w:val="clear" w:color="000000" w:fill="FFFFFF"/>
            <w:vAlign w:val="center"/>
          </w:tcPr>
          <w:p w14:paraId="13C19EC1"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123</w:t>
            </w:r>
          </w:p>
        </w:tc>
        <w:tc>
          <w:tcPr>
            <w:tcW w:w="878" w:type="pct"/>
            <w:shd w:val="clear" w:color="000000" w:fill="FFFFFF"/>
            <w:vAlign w:val="center"/>
          </w:tcPr>
          <w:p w14:paraId="05F40A63"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162</w:t>
            </w:r>
          </w:p>
        </w:tc>
        <w:tc>
          <w:tcPr>
            <w:tcW w:w="643" w:type="pct"/>
            <w:shd w:val="clear" w:color="000000" w:fill="FFFFFF"/>
            <w:vAlign w:val="center"/>
          </w:tcPr>
          <w:p w14:paraId="7E3F3B3F"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170</w:t>
            </w:r>
          </w:p>
        </w:tc>
      </w:tr>
      <w:tr w:rsidR="00656939" w:rsidRPr="002A3A7F" w14:paraId="69BD2E1C" w14:textId="77777777" w:rsidTr="00381348">
        <w:trPr>
          <w:trHeight w:val="283"/>
        </w:trPr>
        <w:tc>
          <w:tcPr>
            <w:tcW w:w="2769" w:type="pct"/>
            <w:shd w:val="clear" w:color="auto" w:fill="FFFFFF"/>
            <w:vAlign w:val="center"/>
          </w:tcPr>
          <w:p w14:paraId="1AD85C9B" w14:textId="77777777" w:rsidR="00656939" w:rsidRPr="002A3A7F" w:rsidRDefault="00656939" w:rsidP="00381348">
            <w:pPr>
              <w:spacing w:after="0" w:line="240" w:lineRule="auto"/>
              <w:jc w:val="left"/>
              <w:rPr>
                <w:rFonts w:cs="Segoe UI"/>
                <w:sz w:val="18"/>
                <w:szCs w:val="18"/>
              </w:rPr>
            </w:pPr>
            <w:r w:rsidRPr="002A3A7F">
              <w:rPr>
                <w:rFonts w:cs="Segoe UI"/>
                <w:sz w:val="18"/>
                <w:szCs w:val="18"/>
              </w:rPr>
              <w:t>Zdravie</w:t>
            </w:r>
          </w:p>
        </w:tc>
        <w:tc>
          <w:tcPr>
            <w:tcW w:w="711" w:type="pct"/>
            <w:shd w:val="clear" w:color="000000" w:fill="FFFFFF"/>
            <w:vAlign w:val="center"/>
          </w:tcPr>
          <w:p w14:paraId="79655775"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218</w:t>
            </w:r>
          </w:p>
        </w:tc>
        <w:tc>
          <w:tcPr>
            <w:tcW w:w="878" w:type="pct"/>
            <w:shd w:val="clear" w:color="000000" w:fill="FFFFFF"/>
            <w:vAlign w:val="center"/>
          </w:tcPr>
          <w:p w14:paraId="3FD929B3"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433</w:t>
            </w:r>
          </w:p>
        </w:tc>
        <w:tc>
          <w:tcPr>
            <w:tcW w:w="643" w:type="pct"/>
            <w:shd w:val="clear" w:color="000000" w:fill="FFFFFF"/>
            <w:vAlign w:val="center"/>
          </w:tcPr>
          <w:p w14:paraId="09219E29"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434</w:t>
            </w:r>
          </w:p>
        </w:tc>
      </w:tr>
      <w:tr w:rsidR="00656939" w:rsidRPr="002A3A7F" w14:paraId="6042A020" w14:textId="77777777" w:rsidTr="00381348">
        <w:trPr>
          <w:trHeight w:val="283"/>
        </w:trPr>
        <w:tc>
          <w:tcPr>
            <w:tcW w:w="2769" w:type="pct"/>
            <w:shd w:val="clear" w:color="auto" w:fill="FFFFFF"/>
            <w:vAlign w:val="center"/>
          </w:tcPr>
          <w:p w14:paraId="199ED040" w14:textId="77777777" w:rsidR="00656939" w:rsidRPr="002A3A7F" w:rsidRDefault="00656939" w:rsidP="00381348">
            <w:pPr>
              <w:spacing w:after="0" w:line="240" w:lineRule="auto"/>
              <w:jc w:val="left"/>
              <w:rPr>
                <w:rFonts w:cs="Segoe UI"/>
                <w:sz w:val="18"/>
                <w:szCs w:val="18"/>
              </w:rPr>
            </w:pPr>
            <w:r w:rsidRPr="002A3A7F">
              <w:rPr>
                <w:rFonts w:cs="Segoe UI"/>
                <w:sz w:val="18"/>
                <w:szCs w:val="18"/>
              </w:rPr>
              <w:t>Efektívna verejná správa a</w:t>
            </w:r>
            <w:r>
              <w:rPr>
                <w:rFonts w:cs="Segoe UI"/>
                <w:sz w:val="18"/>
                <w:szCs w:val="18"/>
              </w:rPr>
              <w:t> </w:t>
            </w:r>
            <w:r w:rsidRPr="002A3A7F">
              <w:rPr>
                <w:rFonts w:cs="Segoe UI"/>
                <w:sz w:val="18"/>
                <w:szCs w:val="18"/>
              </w:rPr>
              <w:t>digitalizácia</w:t>
            </w:r>
          </w:p>
        </w:tc>
        <w:tc>
          <w:tcPr>
            <w:tcW w:w="711" w:type="pct"/>
            <w:shd w:val="clear" w:color="000000" w:fill="FFFFFF"/>
            <w:vAlign w:val="center"/>
          </w:tcPr>
          <w:p w14:paraId="7CA7E630" w14:textId="77777777" w:rsidR="00656939" w:rsidRPr="002A3A7F" w:rsidRDefault="00656939" w:rsidP="00381348">
            <w:pPr>
              <w:spacing w:after="0" w:line="240" w:lineRule="auto"/>
              <w:jc w:val="center"/>
              <w:rPr>
                <w:rFonts w:cs="Segoe UI"/>
                <w:sz w:val="18"/>
                <w:szCs w:val="18"/>
              </w:rPr>
            </w:pPr>
            <w:r w:rsidRPr="002A3A7F">
              <w:rPr>
                <w:rFonts w:cs="Segoe UI"/>
                <w:bCs/>
                <w:color w:val="000000"/>
                <w:sz w:val="18"/>
                <w:szCs w:val="18"/>
              </w:rPr>
              <w:t>183</w:t>
            </w:r>
          </w:p>
        </w:tc>
        <w:tc>
          <w:tcPr>
            <w:tcW w:w="878" w:type="pct"/>
            <w:shd w:val="clear" w:color="000000" w:fill="FFFFFF"/>
            <w:vAlign w:val="center"/>
          </w:tcPr>
          <w:p w14:paraId="5036AF74"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266</w:t>
            </w:r>
          </w:p>
        </w:tc>
        <w:tc>
          <w:tcPr>
            <w:tcW w:w="643" w:type="pct"/>
            <w:shd w:val="clear" w:color="000000" w:fill="FFFFFF"/>
            <w:vAlign w:val="center"/>
          </w:tcPr>
          <w:p w14:paraId="5CF5E442"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334</w:t>
            </w:r>
          </w:p>
        </w:tc>
      </w:tr>
      <w:tr w:rsidR="00656939" w:rsidRPr="002A3A7F" w14:paraId="0F6C5AA0" w14:textId="77777777" w:rsidTr="00381348">
        <w:trPr>
          <w:trHeight w:val="283"/>
        </w:trPr>
        <w:tc>
          <w:tcPr>
            <w:tcW w:w="2769" w:type="pct"/>
            <w:tcBorders>
              <w:bottom w:val="single" w:sz="4" w:space="0" w:color="314364" w:themeColor="text2"/>
            </w:tcBorders>
            <w:shd w:val="clear" w:color="auto" w:fill="FFFFFF"/>
            <w:vAlign w:val="center"/>
          </w:tcPr>
          <w:p w14:paraId="7705D7E5" w14:textId="77777777" w:rsidR="00656939" w:rsidRPr="002A3A7F" w:rsidRDefault="00656939" w:rsidP="00381348">
            <w:pPr>
              <w:spacing w:after="0" w:line="240" w:lineRule="auto"/>
              <w:jc w:val="left"/>
              <w:rPr>
                <w:rFonts w:cs="Segoe UI"/>
                <w:b/>
                <w:sz w:val="18"/>
                <w:szCs w:val="18"/>
              </w:rPr>
            </w:pPr>
            <w:r w:rsidRPr="002A3A7F">
              <w:rPr>
                <w:rFonts w:cs="Segoe UI"/>
                <w:b/>
                <w:sz w:val="18"/>
                <w:szCs w:val="18"/>
              </w:rPr>
              <w:t>Celkový súčet</w:t>
            </w:r>
          </w:p>
        </w:tc>
        <w:tc>
          <w:tcPr>
            <w:tcW w:w="711" w:type="pct"/>
            <w:tcBorders>
              <w:bottom w:val="single" w:sz="4" w:space="0" w:color="314364" w:themeColor="text2"/>
            </w:tcBorders>
            <w:shd w:val="clear" w:color="000000" w:fill="FFFFFF"/>
            <w:vAlign w:val="center"/>
          </w:tcPr>
          <w:p w14:paraId="36385817"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1302</w:t>
            </w:r>
          </w:p>
        </w:tc>
        <w:tc>
          <w:tcPr>
            <w:tcW w:w="878" w:type="pct"/>
            <w:tcBorders>
              <w:bottom w:val="single" w:sz="4" w:space="0" w:color="314364" w:themeColor="text2"/>
            </w:tcBorders>
            <w:shd w:val="clear" w:color="000000" w:fill="FFFFFF"/>
            <w:vAlign w:val="center"/>
          </w:tcPr>
          <w:p w14:paraId="2A98336A"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1636</w:t>
            </w:r>
          </w:p>
        </w:tc>
        <w:tc>
          <w:tcPr>
            <w:tcW w:w="643" w:type="pct"/>
            <w:tcBorders>
              <w:bottom w:val="single" w:sz="4" w:space="0" w:color="314364" w:themeColor="text2"/>
            </w:tcBorders>
            <w:shd w:val="clear" w:color="000000" w:fill="FFFFFF"/>
            <w:vAlign w:val="center"/>
          </w:tcPr>
          <w:p w14:paraId="2BF920CE" w14:textId="77777777" w:rsidR="00656939" w:rsidRPr="002A3A7F" w:rsidRDefault="00656939" w:rsidP="00381348">
            <w:pPr>
              <w:spacing w:after="0" w:line="259" w:lineRule="auto"/>
              <w:jc w:val="center"/>
              <w:rPr>
                <w:rFonts w:cs="Segoe UI"/>
                <w:bCs/>
                <w:color w:val="000000"/>
                <w:sz w:val="18"/>
                <w:szCs w:val="18"/>
              </w:rPr>
            </w:pPr>
            <w:r w:rsidRPr="002A3A7F">
              <w:rPr>
                <w:rFonts w:cs="Segoe UI"/>
                <w:bCs/>
                <w:color w:val="000000"/>
                <w:sz w:val="18"/>
                <w:szCs w:val="18"/>
              </w:rPr>
              <w:t>1655</w:t>
            </w:r>
          </w:p>
        </w:tc>
      </w:tr>
      <w:tr w:rsidR="00656939" w:rsidRPr="002A3A7F" w14:paraId="2C97A6DD" w14:textId="77777777" w:rsidTr="00381348">
        <w:trPr>
          <w:trHeight w:val="283"/>
        </w:trPr>
        <w:tc>
          <w:tcPr>
            <w:tcW w:w="5000" w:type="pct"/>
            <w:gridSpan w:val="4"/>
            <w:tcBorders>
              <w:top w:val="single" w:sz="4" w:space="0" w:color="314364" w:themeColor="text2"/>
            </w:tcBorders>
            <w:shd w:val="clear" w:color="auto" w:fill="FFFFFF"/>
            <w:vAlign w:val="center"/>
          </w:tcPr>
          <w:p w14:paraId="4ADD7328" w14:textId="3C8AB0FB" w:rsidR="00656939" w:rsidRPr="002A3A7F" w:rsidRDefault="00656939" w:rsidP="00857CB1">
            <w:pPr>
              <w:spacing w:after="0" w:line="259" w:lineRule="auto"/>
              <w:jc w:val="left"/>
              <w:rPr>
                <w:rFonts w:cs="Segoe UI"/>
                <w:bCs/>
                <w:color w:val="000000"/>
                <w:sz w:val="18"/>
                <w:szCs w:val="18"/>
              </w:rPr>
            </w:pPr>
            <w:r>
              <w:rPr>
                <w:rFonts w:eastAsia="Calibri" w:cs="Times New Roman"/>
                <w:i/>
                <w:color w:val="314364" w:themeColor="text2"/>
                <w:sz w:val="16"/>
              </w:rPr>
              <w:t xml:space="preserve">Zdroj: </w:t>
            </w:r>
            <w:r w:rsidR="00857CB1">
              <w:t xml:space="preserve"> </w:t>
            </w:r>
            <w:r w:rsidR="00857CB1" w:rsidRPr="00857CB1">
              <w:rPr>
                <w:rFonts w:eastAsia="Calibri" w:cs="Times New Roman"/>
                <w:i/>
                <w:color w:val="314364" w:themeColor="text2"/>
                <w:sz w:val="16"/>
              </w:rPr>
              <w:t>Návrh RVS na roky 2022 až 2024</w:t>
            </w:r>
          </w:p>
        </w:tc>
      </w:tr>
    </w:tbl>
    <w:p w14:paraId="50E94440" w14:textId="77777777" w:rsidR="00656939" w:rsidRDefault="00656939" w:rsidP="00656939">
      <w:r>
        <w:t xml:space="preserve">Peniaze z Plánu obnovy a odolnosti predstavujú pre SR príležitosť ako v relatívne krátkom čase realizovať investície, na ktoré by za normálnych okolností chýbali zdroje. MF SR podľa svojej prognózy zo septembra 2021 </w:t>
      </w:r>
      <w:r w:rsidRPr="00EB7629">
        <w:t>očakáva, že tieto prostriedky</w:t>
      </w:r>
      <w:r>
        <w:t xml:space="preserve"> </w:t>
      </w:r>
      <w:r w:rsidRPr="0014156E">
        <w:rPr>
          <w:b/>
        </w:rPr>
        <w:t>zdvihnú do roku 2024 HDP SR o 3,2 % a zamestnanosť o 1,6 %</w:t>
      </w:r>
      <w:r>
        <w:t xml:space="preserve">. Vďaka peniazom z Plánu obnovy a odolnosti sa tiež očakáva, že celkový rast investícií bude v roku 2024 vyšší o 10,5 %. </w:t>
      </w:r>
    </w:p>
    <w:p w14:paraId="560CD47B" w14:textId="4304F993" w:rsidR="00006CF3" w:rsidRPr="0052787E" w:rsidRDefault="00006CF3" w:rsidP="00006CF3">
      <w:r>
        <w:t>Zodpovedná za vykonávanie plánu obnovy voči vláde SR a EK je Národná implementačná a koordinačná autorita (NIKA). V rámci implementácie priebežne monitoruje aj plnenie míľnikov prostredníctvom tzv. semaforovej metódy. Ako najrizikovejší míľnik sa podľa NIKA zatiaľ javí reforma systému riadenia vysokých škôl, ktorej priradili červenú farbu, ktorá symbolizuje riziko očakávaného veľkého oneskorenia a/alebo nesplnenia. V oranžovej farbe, ktorá značí očakávané malé oneskorenie a/alebo čiastočné nesplnenie sa nachádzajú napr. míľniky novej súdnej mapy, zavedenia výdavkových stropov alebo optimalizácia siete nemocníc</w:t>
      </w:r>
      <w:r w:rsidRPr="0014156E">
        <w:rPr>
          <w:rStyle w:val="Odkaznapoznmkupodiarou"/>
          <w:i/>
        </w:rPr>
        <w:footnoteReference w:id="10"/>
      </w:r>
      <w:r w:rsidR="0052787E">
        <w:rPr>
          <w:vertAlign w:val="superscript"/>
        </w:rPr>
        <w:t>)</w:t>
      </w:r>
      <w:r w:rsidR="0052787E">
        <w:t>.</w:t>
      </w:r>
    </w:p>
    <w:p w14:paraId="7CBE4D25" w14:textId="64884917" w:rsidR="00B772C9" w:rsidRPr="00EB7629" w:rsidRDefault="00B772C9" w:rsidP="00B772C9">
      <w:pPr>
        <w:rPr>
          <w:b/>
        </w:rPr>
      </w:pPr>
      <w:r>
        <w:t>SR sa nachádza v období, kedy má k dispozícii ešte 7,9 mld. eur z PO 2014 – 2020 a zároveň bude môcť do roku 2026 čerpať prostriedky z Plánu obnovy a odolnosti, ktoré budú zo strany EK vyplácané na základe splnenia prísnych podmienok. Do tohto prostredia budú ešte v ďalších rokoch vstupovať možnosti čerpať financie z PO 2021 – 2027 v objeme 12,8 mld. eur do roku 2029</w:t>
      </w:r>
      <w:r w:rsidRPr="00EB7629">
        <w:rPr>
          <w:rStyle w:val="Odkaznapoznmkupodiarou"/>
          <w:i/>
        </w:rPr>
        <w:footnoteReference w:id="11"/>
      </w:r>
      <w:r w:rsidRPr="00EB7629">
        <w:rPr>
          <w:i/>
          <w:vertAlign w:val="superscript"/>
        </w:rPr>
        <w:t>)</w:t>
      </w:r>
      <w:r w:rsidRPr="00EB7629">
        <w:t xml:space="preserve">. </w:t>
      </w:r>
      <w:r w:rsidRPr="00EB7629">
        <w:rPr>
          <w:b/>
        </w:rPr>
        <w:t>Celý objem financií vytvára na jednej strane príležitosť, ktorá je bezprecedentná, avšak na druhej strane NKÚ SR vidí riziká, ktoré prirodzene prichádzajú so simultánnym čerpaním financií z viacerých zdrojov EÚ. Spočívajú napríklad vo zvýšenom tlaku na personálne kapacity jednotlivých rezortov, ktoré môžu v konečnom dôsledku spôsobiť väčšiu chybovosť projektov. Rizikom je tiež potenciálne náročná horizontálna spolupráca medzi rezortmi, ktorá bude musieť byť najmä pri čerpaní Plánu obnovy a odolnosti na vysokej úrovni. Ohrozenie efektívnosti môže byť spôsobené aj predošlým tempom čerpania zdrojov technickej pomoci na osobné výdavky, čo prináša riziko nedostatku financií na personáln</w:t>
      </w:r>
      <w:r w:rsidR="0014156E">
        <w:rPr>
          <w:b/>
        </w:rPr>
        <w:t>e</w:t>
      </w:r>
      <w:r w:rsidRPr="00EB7629">
        <w:rPr>
          <w:b/>
        </w:rPr>
        <w:t xml:space="preserve"> kapac</w:t>
      </w:r>
      <w:r w:rsidR="0014156E">
        <w:rPr>
          <w:b/>
        </w:rPr>
        <w:t>ity</w:t>
      </w:r>
      <w:r w:rsidRPr="00EB7629">
        <w:rPr>
          <w:b/>
        </w:rPr>
        <w:t xml:space="preserve"> do konca PO.</w:t>
      </w:r>
    </w:p>
    <w:p w14:paraId="6EABA9F8" w14:textId="68A142E7" w:rsidR="000D05F7" w:rsidRPr="007E17E1" w:rsidRDefault="00EC6F47" w:rsidP="000D05F7">
      <w:pPr>
        <w:pStyle w:val="Nadpis1"/>
      </w:pPr>
      <w:bookmarkStart w:id="16" w:name="_Toc86396377"/>
      <w:bookmarkStart w:id="17" w:name="_Toc87345110"/>
      <w:r>
        <w:lastRenderedPageBreak/>
        <w:t>Súhrnné r</w:t>
      </w:r>
      <w:r w:rsidR="00AE01AE" w:rsidRPr="007E17E1">
        <w:t>iziká návrhu</w:t>
      </w:r>
      <w:r w:rsidR="000D05F7" w:rsidRPr="007E17E1">
        <w:t xml:space="preserve"> </w:t>
      </w:r>
      <w:r w:rsidR="00CC180B" w:rsidRPr="007E17E1">
        <w:t>ŠR</w:t>
      </w:r>
      <w:r w:rsidR="000D05F7" w:rsidRPr="007E17E1">
        <w:t xml:space="preserve"> na rok 202</w:t>
      </w:r>
      <w:r w:rsidR="00A77D98" w:rsidRPr="007E17E1">
        <w:t>2</w:t>
      </w:r>
      <w:bookmarkEnd w:id="16"/>
      <w:bookmarkEnd w:id="17"/>
    </w:p>
    <w:p w14:paraId="3B6DC989" w14:textId="478290F2" w:rsidR="00EF22CA" w:rsidRDefault="00EF22CA" w:rsidP="00CC017D">
      <w:pPr>
        <w:shd w:val="clear" w:color="auto" w:fill="FFFFFF"/>
        <w:rPr>
          <w:rFonts w:eastAsia="Times New Roman" w:cs="Segoe UI"/>
          <w:color w:val="252525"/>
          <w:szCs w:val="20"/>
          <w:lang w:eastAsia="sk-SK"/>
        </w:rPr>
      </w:pPr>
      <w:r w:rsidRPr="00082776">
        <w:rPr>
          <w:rFonts w:eastAsia="Times New Roman" w:cs="Segoe UI"/>
          <w:color w:val="252525"/>
          <w:szCs w:val="20"/>
          <w:lang w:eastAsia="sk-SK"/>
        </w:rPr>
        <w:t xml:space="preserve">Schodok ŠR </w:t>
      </w:r>
      <w:r w:rsidR="00E20209">
        <w:rPr>
          <w:rFonts w:eastAsia="Times New Roman" w:cs="Segoe UI"/>
          <w:color w:val="252525"/>
          <w:szCs w:val="20"/>
          <w:lang w:eastAsia="sk-SK"/>
        </w:rPr>
        <w:t>na rok 2022</w:t>
      </w:r>
      <w:r w:rsidRPr="00082776">
        <w:rPr>
          <w:rFonts w:eastAsia="Times New Roman" w:cs="Segoe UI"/>
          <w:color w:val="252525"/>
          <w:szCs w:val="20"/>
          <w:lang w:eastAsia="sk-SK"/>
        </w:rPr>
        <w:t xml:space="preserve"> </w:t>
      </w:r>
      <w:r w:rsidR="00E20209">
        <w:rPr>
          <w:rFonts w:eastAsia="Times New Roman" w:cs="Segoe UI"/>
          <w:color w:val="252525"/>
          <w:szCs w:val="20"/>
          <w:lang w:eastAsia="sk-SK"/>
        </w:rPr>
        <w:t xml:space="preserve">je </w:t>
      </w:r>
      <w:r w:rsidRPr="00082776">
        <w:rPr>
          <w:rFonts w:eastAsia="Times New Roman" w:cs="Segoe UI"/>
          <w:color w:val="252525"/>
          <w:szCs w:val="20"/>
          <w:lang w:eastAsia="sk-SK"/>
        </w:rPr>
        <w:t>rozpočtovaný vo výške 5</w:t>
      </w:r>
      <w:r w:rsidR="00E20209">
        <w:rPr>
          <w:rFonts w:eastAsia="Times New Roman" w:cs="Segoe UI"/>
          <w:color w:val="252525"/>
          <w:szCs w:val="20"/>
          <w:lang w:eastAsia="sk-SK"/>
        </w:rPr>
        <w:t>,5 mld</w:t>
      </w:r>
      <w:r w:rsidRPr="00082776">
        <w:rPr>
          <w:rFonts w:eastAsia="Times New Roman" w:cs="Segoe UI"/>
          <w:color w:val="252525"/>
          <w:szCs w:val="20"/>
          <w:lang w:eastAsia="sk-SK"/>
        </w:rPr>
        <w:t>. eur, čo je o</w:t>
      </w:r>
      <w:r w:rsidR="00E20209">
        <w:rPr>
          <w:rFonts w:eastAsia="Times New Roman" w:cs="Segoe UI"/>
          <w:color w:val="252525"/>
          <w:szCs w:val="20"/>
          <w:lang w:eastAsia="sk-SK"/>
        </w:rPr>
        <w:t> </w:t>
      </w:r>
      <w:r w:rsidRPr="00082776">
        <w:rPr>
          <w:rFonts w:eastAsia="Times New Roman" w:cs="Segoe UI"/>
          <w:color w:val="252525"/>
          <w:szCs w:val="20"/>
          <w:lang w:eastAsia="sk-SK"/>
        </w:rPr>
        <w:t>6</w:t>
      </w:r>
      <w:r w:rsidR="00E20209">
        <w:rPr>
          <w:rFonts w:eastAsia="Times New Roman" w:cs="Segoe UI"/>
          <w:color w:val="252525"/>
          <w:szCs w:val="20"/>
          <w:lang w:eastAsia="sk-SK"/>
        </w:rPr>
        <w:t>,</w:t>
      </w:r>
      <w:r w:rsidRPr="00082776">
        <w:rPr>
          <w:rFonts w:eastAsia="Times New Roman" w:cs="Segoe UI"/>
          <w:color w:val="252525"/>
          <w:szCs w:val="20"/>
          <w:lang w:eastAsia="sk-SK"/>
        </w:rPr>
        <w:t xml:space="preserve">3 </w:t>
      </w:r>
      <w:r w:rsidR="00FF4CB2">
        <w:rPr>
          <w:rFonts w:eastAsia="Times New Roman" w:cs="Segoe UI"/>
          <w:color w:val="252525"/>
          <w:szCs w:val="20"/>
          <w:lang w:eastAsia="sk-SK"/>
        </w:rPr>
        <w:t>mld.</w:t>
      </w:r>
      <w:r w:rsidRPr="00082776">
        <w:rPr>
          <w:rFonts w:eastAsia="Times New Roman" w:cs="Segoe UI"/>
          <w:color w:val="252525"/>
          <w:szCs w:val="20"/>
          <w:lang w:eastAsia="sk-SK"/>
        </w:rPr>
        <w:t xml:space="preserve"> eur menej oproti novelizovanému rozpočtu na rok 2021</w:t>
      </w:r>
      <w:r w:rsidR="00E20209">
        <w:rPr>
          <w:rFonts w:eastAsia="Times New Roman" w:cs="Segoe UI"/>
          <w:color w:val="252525"/>
          <w:szCs w:val="20"/>
          <w:lang w:eastAsia="sk-SK"/>
        </w:rPr>
        <w:t xml:space="preserve"> (Tabuľka </w:t>
      </w:r>
      <w:r w:rsidR="00FF4CB2">
        <w:rPr>
          <w:rFonts w:eastAsia="Times New Roman" w:cs="Segoe UI"/>
          <w:color w:val="252525"/>
          <w:szCs w:val="20"/>
          <w:lang w:eastAsia="sk-SK"/>
        </w:rPr>
        <w:t>7</w:t>
      </w:r>
      <w:r w:rsidR="00E20209">
        <w:rPr>
          <w:rFonts w:eastAsia="Times New Roman" w:cs="Segoe UI"/>
          <w:color w:val="252525"/>
          <w:szCs w:val="20"/>
          <w:lang w:eastAsia="sk-SK"/>
        </w:rPr>
        <w:t>)</w:t>
      </w:r>
      <w:r w:rsidRPr="00082776">
        <w:rPr>
          <w:rFonts w:eastAsia="Times New Roman" w:cs="Segoe UI"/>
          <w:color w:val="252525"/>
          <w:szCs w:val="20"/>
          <w:lang w:eastAsia="sk-SK"/>
        </w:rPr>
        <w:t>.</w:t>
      </w:r>
    </w:p>
    <w:p w14:paraId="42C2EDFD" w14:textId="77777777" w:rsidR="00656939" w:rsidRPr="00330871" w:rsidRDefault="00656939" w:rsidP="00656939">
      <w:pPr>
        <w:keepNext/>
        <w:spacing w:after="0" w:line="240" w:lineRule="auto"/>
        <w:rPr>
          <w:rFonts w:eastAsia="Calibri" w:cs="Times New Roman"/>
          <w:b/>
          <w:iCs/>
          <w:color w:val="314364"/>
          <w:szCs w:val="18"/>
        </w:rPr>
      </w:pPr>
      <w:r w:rsidRPr="00330871">
        <w:rPr>
          <w:rFonts w:eastAsia="Calibri" w:cs="Times New Roman"/>
          <w:b/>
          <w:iCs/>
          <w:color w:val="314364"/>
          <w:szCs w:val="18"/>
        </w:rPr>
        <w:t xml:space="preserve">Tabuľka </w:t>
      </w:r>
      <w:r>
        <w:rPr>
          <w:rFonts w:eastAsia="Calibri" w:cs="Times New Roman"/>
          <w:b/>
          <w:iCs/>
          <w:color w:val="314364"/>
          <w:szCs w:val="18"/>
        </w:rPr>
        <w:t>7:</w:t>
      </w:r>
      <w:r w:rsidRPr="00330871">
        <w:rPr>
          <w:rFonts w:eastAsia="Calibri" w:cs="Times New Roman"/>
          <w:b/>
          <w:iCs/>
          <w:color w:val="314364"/>
          <w:szCs w:val="18"/>
        </w:rPr>
        <w:t xml:space="preserve"> </w:t>
      </w:r>
      <w:r>
        <w:rPr>
          <w:rFonts w:eastAsia="Calibri" w:cs="Times New Roman"/>
          <w:b/>
          <w:iCs/>
          <w:color w:val="314364"/>
          <w:szCs w:val="18"/>
        </w:rPr>
        <w:t>Súhrnné p</w:t>
      </w:r>
      <w:r w:rsidRPr="00330871">
        <w:rPr>
          <w:rFonts w:eastAsia="Calibri" w:cs="Times New Roman"/>
          <w:b/>
          <w:iCs/>
          <w:color w:val="314364"/>
          <w:szCs w:val="18"/>
        </w:rPr>
        <w:t>ríjmy, výdavky a schodok ŠR</w:t>
      </w:r>
    </w:p>
    <w:tbl>
      <w:tblPr>
        <w:tblW w:w="5000" w:type="pct"/>
        <w:tblBorders>
          <w:bottom w:val="single" w:sz="4" w:space="0" w:color="314364" w:themeColor="text2"/>
        </w:tblBorders>
        <w:tblLook w:val="0000" w:firstRow="0" w:lastRow="0" w:firstColumn="0" w:lastColumn="0" w:noHBand="0" w:noVBand="0"/>
      </w:tblPr>
      <w:tblGrid>
        <w:gridCol w:w="1512"/>
        <w:gridCol w:w="1512"/>
        <w:gridCol w:w="1512"/>
        <w:gridCol w:w="1512"/>
        <w:gridCol w:w="1511"/>
        <w:gridCol w:w="1511"/>
      </w:tblGrid>
      <w:tr w:rsidR="00656939" w:rsidRPr="00E20209" w14:paraId="5C01F72D" w14:textId="77777777" w:rsidTr="00381348">
        <w:trPr>
          <w:trHeight w:val="71"/>
        </w:trPr>
        <w:tc>
          <w:tcPr>
            <w:tcW w:w="833" w:type="pct"/>
            <w:shd w:val="clear" w:color="auto" w:fill="314364"/>
            <w:vAlign w:val="center"/>
          </w:tcPr>
          <w:p w14:paraId="4B30CD50" w14:textId="77777777" w:rsidR="00656939" w:rsidRPr="00E20209" w:rsidRDefault="00656939" w:rsidP="00381348">
            <w:pPr>
              <w:spacing w:after="0" w:line="240" w:lineRule="auto"/>
              <w:jc w:val="left"/>
              <w:rPr>
                <w:rFonts w:eastAsia="Calibri" w:cs="Segoe UI"/>
                <w:b/>
                <w:bCs/>
                <w:color w:val="FFFFFF"/>
                <w:sz w:val="18"/>
                <w:szCs w:val="18"/>
              </w:rPr>
            </w:pPr>
            <w:r w:rsidRPr="00E20209">
              <w:rPr>
                <w:rFonts w:eastAsia="Calibri" w:cs="Segoe UI"/>
                <w:b/>
                <w:bCs/>
                <w:color w:val="FFFFFF"/>
                <w:sz w:val="18"/>
                <w:szCs w:val="18"/>
              </w:rPr>
              <w:t>v tis. eur</w:t>
            </w:r>
          </w:p>
        </w:tc>
        <w:tc>
          <w:tcPr>
            <w:tcW w:w="833" w:type="pct"/>
            <w:shd w:val="clear" w:color="auto" w:fill="314364"/>
            <w:vAlign w:val="center"/>
          </w:tcPr>
          <w:p w14:paraId="2A415E11" w14:textId="77777777" w:rsidR="00656939" w:rsidRPr="00E20209" w:rsidRDefault="00656939" w:rsidP="00381348">
            <w:pPr>
              <w:spacing w:after="0" w:line="240" w:lineRule="auto"/>
              <w:jc w:val="center"/>
              <w:rPr>
                <w:rFonts w:eastAsia="Calibri" w:cs="Segoe UI"/>
                <w:b/>
                <w:bCs/>
                <w:color w:val="FFFFFF"/>
                <w:sz w:val="18"/>
                <w:szCs w:val="18"/>
              </w:rPr>
            </w:pPr>
            <w:r w:rsidRPr="00E20209">
              <w:rPr>
                <w:rFonts w:eastAsia="Calibri" w:cs="Segoe UI"/>
                <w:b/>
                <w:bCs/>
                <w:color w:val="FFFFFF"/>
                <w:sz w:val="18"/>
                <w:szCs w:val="18"/>
              </w:rPr>
              <w:t>2020 S</w:t>
            </w:r>
          </w:p>
        </w:tc>
        <w:tc>
          <w:tcPr>
            <w:tcW w:w="833" w:type="pct"/>
            <w:shd w:val="clear" w:color="auto" w:fill="314364"/>
            <w:vAlign w:val="center"/>
          </w:tcPr>
          <w:p w14:paraId="28C26A26" w14:textId="77777777" w:rsidR="00656939" w:rsidRPr="00E20209" w:rsidRDefault="00656939" w:rsidP="00381348">
            <w:pPr>
              <w:spacing w:after="0" w:line="240" w:lineRule="auto"/>
              <w:jc w:val="center"/>
              <w:rPr>
                <w:rFonts w:eastAsia="Calibri" w:cs="Segoe UI"/>
                <w:b/>
                <w:bCs/>
                <w:color w:val="FFFFFF"/>
                <w:sz w:val="18"/>
                <w:szCs w:val="18"/>
              </w:rPr>
            </w:pPr>
            <w:r w:rsidRPr="00E20209">
              <w:rPr>
                <w:rFonts w:eastAsia="Calibri" w:cs="Segoe UI"/>
                <w:b/>
                <w:bCs/>
                <w:color w:val="FFFFFF"/>
                <w:sz w:val="18"/>
                <w:szCs w:val="18"/>
              </w:rPr>
              <w:t>2021 R</w:t>
            </w:r>
          </w:p>
        </w:tc>
        <w:tc>
          <w:tcPr>
            <w:tcW w:w="833" w:type="pct"/>
            <w:shd w:val="clear" w:color="auto" w:fill="314364"/>
            <w:vAlign w:val="center"/>
          </w:tcPr>
          <w:p w14:paraId="456F0195" w14:textId="77777777" w:rsidR="00656939" w:rsidRPr="00E20209" w:rsidRDefault="00656939" w:rsidP="00381348">
            <w:pPr>
              <w:spacing w:after="0" w:line="240" w:lineRule="auto"/>
              <w:jc w:val="center"/>
              <w:rPr>
                <w:rFonts w:eastAsia="Calibri" w:cs="Segoe UI"/>
                <w:b/>
                <w:bCs/>
                <w:color w:val="FFFFFF"/>
                <w:sz w:val="18"/>
                <w:szCs w:val="18"/>
              </w:rPr>
            </w:pPr>
            <w:r w:rsidRPr="00E20209">
              <w:rPr>
                <w:rFonts w:eastAsia="Calibri" w:cs="Segoe UI"/>
                <w:b/>
                <w:bCs/>
                <w:color w:val="FFFFFF"/>
                <w:sz w:val="18"/>
                <w:szCs w:val="18"/>
              </w:rPr>
              <w:t>2022 N</w:t>
            </w:r>
          </w:p>
        </w:tc>
        <w:tc>
          <w:tcPr>
            <w:tcW w:w="833" w:type="pct"/>
            <w:shd w:val="clear" w:color="auto" w:fill="314364"/>
            <w:vAlign w:val="center"/>
          </w:tcPr>
          <w:p w14:paraId="4E9C796F" w14:textId="77777777" w:rsidR="00656939" w:rsidRPr="00E20209" w:rsidRDefault="00656939" w:rsidP="00381348">
            <w:pPr>
              <w:spacing w:after="0" w:line="240" w:lineRule="auto"/>
              <w:jc w:val="center"/>
              <w:rPr>
                <w:rFonts w:eastAsia="Calibri" w:cs="Segoe UI"/>
                <w:b/>
                <w:bCs/>
                <w:color w:val="FFFFFF"/>
                <w:sz w:val="18"/>
                <w:szCs w:val="18"/>
              </w:rPr>
            </w:pPr>
            <w:r w:rsidRPr="00E20209">
              <w:rPr>
                <w:rFonts w:eastAsia="Calibri" w:cs="Segoe UI"/>
                <w:b/>
                <w:bCs/>
                <w:color w:val="FFFFFF"/>
                <w:sz w:val="18"/>
                <w:szCs w:val="18"/>
              </w:rPr>
              <w:t>2022-2021</w:t>
            </w:r>
          </w:p>
        </w:tc>
        <w:tc>
          <w:tcPr>
            <w:tcW w:w="833" w:type="pct"/>
            <w:shd w:val="clear" w:color="auto" w:fill="314364"/>
            <w:vAlign w:val="center"/>
          </w:tcPr>
          <w:p w14:paraId="63EB7C07" w14:textId="77777777" w:rsidR="00656939" w:rsidRPr="00E20209" w:rsidRDefault="00656939" w:rsidP="00381348">
            <w:pPr>
              <w:spacing w:after="0" w:line="240" w:lineRule="auto"/>
              <w:jc w:val="center"/>
              <w:rPr>
                <w:rFonts w:eastAsia="Calibri" w:cs="Segoe UI"/>
                <w:b/>
                <w:bCs/>
                <w:color w:val="FFFFFF"/>
                <w:sz w:val="18"/>
                <w:szCs w:val="18"/>
              </w:rPr>
            </w:pPr>
            <w:r w:rsidRPr="00E20209">
              <w:rPr>
                <w:rFonts w:eastAsia="Calibri" w:cs="Segoe UI"/>
                <w:b/>
                <w:bCs/>
                <w:color w:val="FFFFFF"/>
                <w:sz w:val="18"/>
                <w:szCs w:val="18"/>
              </w:rPr>
              <w:t>2022/2021</w:t>
            </w:r>
          </w:p>
        </w:tc>
      </w:tr>
      <w:tr w:rsidR="00656939" w:rsidRPr="00E20209" w14:paraId="26D08886" w14:textId="77777777" w:rsidTr="00381348">
        <w:trPr>
          <w:trHeight w:val="167"/>
        </w:trPr>
        <w:tc>
          <w:tcPr>
            <w:tcW w:w="833" w:type="pct"/>
            <w:vAlign w:val="center"/>
          </w:tcPr>
          <w:p w14:paraId="527462FF" w14:textId="77777777" w:rsidR="00656939" w:rsidRPr="00E20209" w:rsidRDefault="00656939" w:rsidP="00381348">
            <w:pPr>
              <w:autoSpaceDE w:val="0"/>
              <w:autoSpaceDN w:val="0"/>
              <w:adjustRightInd w:val="0"/>
              <w:spacing w:after="0" w:line="240" w:lineRule="auto"/>
              <w:jc w:val="left"/>
              <w:rPr>
                <w:rFonts w:eastAsia="Calibri" w:cs="Segoe UI"/>
                <w:color w:val="000000"/>
                <w:sz w:val="18"/>
                <w:szCs w:val="18"/>
              </w:rPr>
            </w:pPr>
            <w:r w:rsidRPr="00E20209">
              <w:rPr>
                <w:rFonts w:eastAsia="Calibri" w:cs="Segoe UI"/>
                <w:color w:val="000000"/>
                <w:sz w:val="18"/>
                <w:szCs w:val="18"/>
              </w:rPr>
              <w:t>Príjmy ŠR</w:t>
            </w:r>
          </w:p>
        </w:tc>
        <w:tc>
          <w:tcPr>
            <w:tcW w:w="833" w:type="pct"/>
            <w:vAlign w:val="center"/>
          </w:tcPr>
          <w:p w14:paraId="5606AED2" w14:textId="77777777" w:rsidR="00656939" w:rsidRPr="00E20209" w:rsidRDefault="00656939" w:rsidP="00381348">
            <w:pPr>
              <w:autoSpaceDE w:val="0"/>
              <w:autoSpaceDN w:val="0"/>
              <w:adjustRightInd w:val="0"/>
              <w:spacing w:after="0" w:line="240" w:lineRule="auto"/>
              <w:jc w:val="center"/>
              <w:rPr>
                <w:rFonts w:eastAsia="Calibri" w:cs="Segoe UI"/>
                <w:color w:val="000000"/>
                <w:sz w:val="18"/>
                <w:szCs w:val="18"/>
              </w:rPr>
            </w:pPr>
            <w:r w:rsidRPr="00E20209">
              <w:rPr>
                <w:rFonts w:eastAsia="Times New Roman" w:cs="Segoe UI"/>
                <w:bCs/>
                <w:sz w:val="18"/>
                <w:szCs w:val="18"/>
                <w:lang w:eastAsia="sk-SK"/>
              </w:rPr>
              <w:t>15 750 634</w:t>
            </w:r>
          </w:p>
        </w:tc>
        <w:tc>
          <w:tcPr>
            <w:tcW w:w="833" w:type="pct"/>
            <w:vAlign w:val="center"/>
          </w:tcPr>
          <w:p w14:paraId="596D947D" w14:textId="77777777" w:rsidR="00656939" w:rsidRPr="00E20209" w:rsidRDefault="00656939" w:rsidP="00381348">
            <w:pPr>
              <w:autoSpaceDE w:val="0"/>
              <w:autoSpaceDN w:val="0"/>
              <w:adjustRightInd w:val="0"/>
              <w:spacing w:after="0" w:line="240" w:lineRule="auto"/>
              <w:jc w:val="center"/>
              <w:rPr>
                <w:rFonts w:eastAsia="Calibri" w:cs="Segoe UI"/>
                <w:color w:val="000000"/>
                <w:sz w:val="18"/>
                <w:szCs w:val="18"/>
              </w:rPr>
            </w:pPr>
            <w:r w:rsidRPr="00E20209">
              <w:rPr>
                <w:rFonts w:eastAsia="Times New Roman" w:cs="Segoe UI"/>
                <w:color w:val="000000"/>
                <w:sz w:val="18"/>
                <w:szCs w:val="18"/>
                <w:lang w:eastAsia="sk-SK"/>
              </w:rPr>
              <w:t>15 806 153</w:t>
            </w:r>
          </w:p>
        </w:tc>
        <w:tc>
          <w:tcPr>
            <w:tcW w:w="833" w:type="pct"/>
            <w:vAlign w:val="center"/>
          </w:tcPr>
          <w:p w14:paraId="5BE67652" w14:textId="77777777" w:rsidR="00656939" w:rsidRPr="00E20209" w:rsidRDefault="00656939" w:rsidP="00381348">
            <w:pPr>
              <w:spacing w:after="0" w:line="240" w:lineRule="auto"/>
              <w:jc w:val="center"/>
              <w:rPr>
                <w:rFonts w:eastAsia="Times New Roman" w:cs="Segoe UI"/>
                <w:color w:val="000000"/>
                <w:sz w:val="18"/>
                <w:szCs w:val="18"/>
                <w:lang w:eastAsia="sk-SK"/>
              </w:rPr>
            </w:pPr>
            <w:r w:rsidRPr="00E20209">
              <w:rPr>
                <w:rFonts w:eastAsia="Times New Roman" w:cs="Segoe UI"/>
                <w:color w:val="000000"/>
                <w:sz w:val="18"/>
                <w:szCs w:val="18"/>
                <w:lang w:eastAsia="sk-SK"/>
              </w:rPr>
              <w:t>19 974 242</w:t>
            </w:r>
          </w:p>
        </w:tc>
        <w:tc>
          <w:tcPr>
            <w:tcW w:w="833" w:type="pct"/>
            <w:vAlign w:val="center"/>
          </w:tcPr>
          <w:p w14:paraId="33560BBF" w14:textId="77777777" w:rsidR="00656939" w:rsidRPr="00E20209" w:rsidRDefault="00656939" w:rsidP="00381348">
            <w:pPr>
              <w:spacing w:after="0" w:line="240" w:lineRule="auto"/>
              <w:jc w:val="center"/>
              <w:rPr>
                <w:rFonts w:eastAsia="Times New Roman" w:cs="Segoe UI"/>
                <w:color w:val="000000"/>
                <w:sz w:val="18"/>
                <w:szCs w:val="18"/>
                <w:lang w:eastAsia="sk-SK"/>
              </w:rPr>
            </w:pPr>
            <w:r w:rsidRPr="00E20209">
              <w:rPr>
                <w:rFonts w:eastAsia="Times New Roman" w:cs="Segoe UI"/>
                <w:color w:val="000000"/>
                <w:sz w:val="18"/>
                <w:szCs w:val="18"/>
                <w:lang w:eastAsia="sk-SK"/>
              </w:rPr>
              <w:t>4 168 089</w:t>
            </w:r>
          </w:p>
        </w:tc>
        <w:tc>
          <w:tcPr>
            <w:tcW w:w="833" w:type="pct"/>
            <w:vAlign w:val="center"/>
          </w:tcPr>
          <w:p w14:paraId="070D5DB4" w14:textId="77777777" w:rsidR="00656939" w:rsidRPr="00E20209" w:rsidRDefault="00656939" w:rsidP="00381348">
            <w:pPr>
              <w:spacing w:after="0" w:line="240" w:lineRule="auto"/>
              <w:jc w:val="center"/>
              <w:rPr>
                <w:rFonts w:eastAsia="Times New Roman" w:cs="Segoe UI"/>
                <w:color w:val="000000"/>
                <w:sz w:val="18"/>
                <w:szCs w:val="18"/>
                <w:lang w:eastAsia="sk-SK"/>
              </w:rPr>
            </w:pPr>
            <w:r w:rsidRPr="00E20209">
              <w:rPr>
                <w:rFonts w:eastAsia="Times New Roman" w:cs="Segoe UI"/>
                <w:color w:val="000000"/>
                <w:sz w:val="18"/>
                <w:szCs w:val="18"/>
                <w:lang w:eastAsia="sk-SK"/>
              </w:rPr>
              <w:t>126,4</w:t>
            </w:r>
          </w:p>
        </w:tc>
      </w:tr>
      <w:tr w:rsidR="00656939" w:rsidRPr="00E20209" w14:paraId="5CA88C78" w14:textId="77777777" w:rsidTr="00381348">
        <w:trPr>
          <w:trHeight w:val="74"/>
        </w:trPr>
        <w:tc>
          <w:tcPr>
            <w:tcW w:w="833" w:type="pct"/>
            <w:vAlign w:val="center"/>
          </w:tcPr>
          <w:p w14:paraId="2912571F" w14:textId="77777777" w:rsidR="00656939" w:rsidRPr="00E20209" w:rsidRDefault="00656939" w:rsidP="00381348">
            <w:pPr>
              <w:autoSpaceDE w:val="0"/>
              <w:autoSpaceDN w:val="0"/>
              <w:adjustRightInd w:val="0"/>
              <w:spacing w:after="0" w:line="240" w:lineRule="auto"/>
              <w:jc w:val="left"/>
              <w:rPr>
                <w:rFonts w:eastAsia="Calibri" w:cs="Segoe UI"/>
                <w:color w:val="000000"/>
                <w:sz w:val="18"/>
                <w:szCs w:val="18"/>
              </w:rPr>
            </w:pPr>
            <w:r w:rsidRPr="00E20209">
              <w:rPr>
                <w:rFonts w:eastAsia="Calibri" w:cs="Segoe UI"/>
                <w:color w:val="000000"/>
                <w:sz w:val="18"/>
                <w:szCs w:val="18"/>
              </w:rPr>
              <w:t>Výdavky ŠR</w:t>
            </w:r>
          </w:p>
        </w:tc>
        <w:tc>
          <w:tcPr>
            <w:tcW w:w="833" w:type="pct"/>
            <w:vAlign w:val="center"/>
          </w:tcPr>
          <w:p w14:paraId="3FA4FCF4" w14:textId="77777777" w:rsidR="00656939" w:rsidRPr="00E20209" w:rsidRDefault="00656939" w:rsidP="00381348">
            <w:pPr>
              <w:autoSpaceDE w:val="0"/>
              <w:autoSpaceDN w:val="0"/>
              <w:adjustRightInd w:val="0"/>
              <w:spacing w:after="0" w:line="240" w:lineRule="auto"/>
              <w:jc w:val="center"/>
              <w:rPr>
                <w:rFonts w:eastAsia="Calibri" w:cs="Segoe UI"/>
                <w:color w:val="000000"/>
                <w:sz w:val="18"/>
                <w:szCs w:val="18"/>
              </w:rPr>
            </w:pPr>
            <w:r w:rsidRPr="00E20209">
              <w:rPr>
                <w:rFonts w:eastAsia="Times New Roman" w:cs="Segoe UI"/>
                <w:bCs/>
                <w:sz w:val="18"/>
                <w:szCs w:val="18"/>
                <w:lang w:eastAsia="sk-SK"/>
              </w:rPr>
              <w:t>23 509 056</w:t>
            </w:r>
          </w:p>
        </w:tc>
        <w:tc>
          <w:tcPr>
            <w:tcW w:w="833" w:type="pct"/>
            <w:vAlign w:val="center"/>
          </w:tcPr>
          <w:p w14:paraId="3788FB6D" w14:textId="77777777" w:rsidR="00656939" w:rsidRPr="00E20209" w:rsidRDefault="00656939" w:rsidP="00381348">
            <w:pPr>
              <w:spacing w:after="0" w:line="240" w:lineRule="auto"/>
              <w:jc w:val="center"/>
              <w:rPr>
                <w:rFonts w:eastAsia="Times New Roman" w:cs="Segoe UI"/>
                <w:color w:val="000000"/>
                <w:sz w:val="18"/>
                <w:szCs w:val="18"/>
                <w:lang w:eastAsia="sk-SK"/>
              </w:rPr>
            </w:pPr>
            <w:r w:rsidRPr="00E20209">
              <w:rPr>
                <w:rFonts w:eastAsia="Times New Roman" w:cs="Segoe UI"/>
                <w:color w:val="000000"/>
                <w:sz w:val="18"/>
                <w:szCs w:val="18"/>
                <w:lang w:eastAsia="sk-SK"/>
              </w:rPr>
              <w:t>27 603 808</w:t>
            </w:r>
          </w:p>
        </w:tc>
        <w:tc>
          <w:tcPr>
            <w:tcW w:w="833" w:type="pct"/>
            <w:vAlign w:val="center"/>
          </w:tcPr>
          <w:p w14:paraId="1D2255D3" w14:textId="77777777" w:rsidR="00656939" w:rsidRPr="00E20209" w:rsidRDefault="00656939" w:rsidP="00381348">
            <w:pPr>
              <w:spacing w:after="0" w:line="240" w:lineRule="auto"/>
              <w:jc w:val="center"/>
              <w:rPr>
                <w:rFonts w:eastAsia="Times New Roman" w:cs="Segoe UI"/>
                <w:color w:val="000000"/>
                <w:sz w:val="18"/>
                <w:szCs w:val="18"/>
                <w:lang w:eastAsia="sk-SK"/>
              </w:rPr>
            </w:pPr>
            <w:r w:rsidRPr="00E20209">
              <w:rPr>
                <w:rFonts w:eastAsia="Times New Roman" w:cs="Segoe UI"/>
                <w:color w:val="000000"/>
                <w:sz w:val="18"/>
                <w:szCs w:val="18"/>
                <w:lang w:eastAsia="sk-SK"/>
              </w:rPr>
              <w:t>25 447 760</w:t>
            </w:r>
          </w:p>
        </w:tc>
        <w:tc>
          <w:tcPr>
            <w:tcW w:w="833" w:type="pct"/>
            <w:vAlign w:val="center"/>
          </w:tcPr>
          <w:p w14:paraId="49432F3B" w14:textId="77777777" w:rsidR="00656939" w:rsidRPr="00E20209" w:rsidRDefault="00656939" w:rsidP="00381348">
            <w:pPr>
              <w:spacing w:after="0" w:line="240" w:lineRule="auto"/>
              <w:jc w:val="center"/>
              <w:rPr>
                <w:rFonts w:eastAsia="Times New Roman" w:cs="Segoe UI"/>
                <w:color w:val="000000"/>
                <w:sz w:val="18"/>
                <w:szCs w:val="18"/>
                <w:lang w:eastAsia="sk-SK"/>
              </w:rPr>
            </w:pPr>
            <w:r w:rsidRPr="00E20209">
              <w:rPr>
                <w:rFonts w:eastAsia="Times New Roman" w:cs="Segoe UI"/>
                <w:color w:val="000000"/>
                <w:sz w:val="18"/>
                <w:szCs w:val="18"/>
                <w:lang w:eastAsia="sk-SK"/>
              </w:rPr>
              <w:t>-2 156 048</w:t>
            </w:r>
          </w:p>
        </w:tc>
        <w:tc>
          <w:tcPr>
            <w:tcW w:w="833" w:type="pct"/>
            <w:vAlign w:val="center"/>
          </w:tcPr>
          <w:p w14:paraId="3177D163" w14:textId="77777777" w:rsidR="00656939" w:rsidRPr="00E20209" w:rsidRDefault="00656939" w:rsidP="00381348">
            <w:pPr>
              <w:spacing w:after="0" w:line="240" w:lineRule="auto"/>
              <w:jc w:val="center"/>
              <w:rPr>
                <w:rFonts w:eastAsia="Times New Roman" w:cs="Segoe UI"/>
                <w:color w:val="000000"/>
                <w:sz w:val="18"/>
                <w:szCs w:val="18"/>
                <w:lang w:eastAsia="sk-SK"/>
              </w:rPr>
            </w:pPr>
            <w:r w:rsidRPr="00E20209">
              <w:rPr>
                <w:rFonts w:eastAsia="Times New Roman" w:cs="Segoe UI"/>
                <w:color w:val="000000"/>
                <w:sz w:val="18"/>
                <w:szCs w:val="18"/>
                <w:lang w:eastAsia="sk-SK"/>
              </w:rPr>
              <w:t>92,2</w:t>
            </w:r>
          </w:p>
        </w:tc>
      </w:tr>
      <w:tr w:rsidR="00656939" w:rsidRPr="00E20209" w14:paraId="6415C4F5" w14:textId="77777777" w:rsidTr="00381348">
        <w:trPr>
          <w:trHeight w:val="74"/>
        </w:trPr>
        <w:tc>
          <w:tcPr>
            <w:tcW w:w="833" w:type="pct"/>
            <w:vAlign w:val="center"/>
          </w:tcPr>
          <w:p w14:paraId="4921B8B3" w14:textId="77777777" w:rsidR="00656939" w:rsidRPr="00E20209" w:rsidRDefault="00656939" w:rsidP="00381348">
            <w:pPr>
              <w:autoSpaceDE w:val="0"/>
              <w:autoSpaceDN w:val="0"/>
              <w:adjustRightInd w:val="0"/>
              <w:spacing w:after="0" w:line="240" w:lineRule="auto"/>
              <w:jc w:val="left"/>
              <w:rPr>
                <w:rFonts w:eastAsia="Calibri" w:cs="Segoe UI"/>
                <w:b/>
                <w:color w:val="000000"/>
                <w:sz w:val="18"/>
                <w:szCs w:val="18"/>
              </w:rPr>
            </w:pPr>
            <w:r w:rsidRPr="00E20209">
              <w:rPr>
                <w:rFonts w:eastAsia="Calibri" w:cs="Segoe UI"/>
                <w:b/>
                <w:bCs/>
                <w:color w:val="000000"/>
                <w:sz w:val="18"/>
                <w:szCs w:val="18"/>
              </w:rPr>
              <w:t xml:space="preserve">Deficit ŠR </w:t>
            </w:r>
          </w:p>
        </w:tc>
        <w:tc>
          <w:tcPr>
            <w:tcW w:w="833" w:type="pct"/>
            <w:vAlign w:val="center"/>
          </w:tcPr>
          <w:p w14:paraId="2DB79474" w14:textId="77777777" w:rsidR="00656939" w:rsidRPr="00E20209" w:rsidRDefault="00656939" w:rsidP="00381348">
            <w:pPr>
              <w:autoSpaceDE w:val="0"/>
              <w:autoSpaceDN w:val="0"/>
              <w:adjustRightInd w:val="0"/>
              <w:spacing w:after="0" w:line="240" w:lineRule="auto"/>
              <w:jc w:val="center"/>
              <w:rPr>
                <w:rFonts w:eastAsia="Calibri" w:cs="Segoe UI"/>
                <w:b/>
                <w:color w:val="000000"/>
                <w:sz w:val="18"/>
                <w:szCs w:val="18"/>
              </w:rPr>
            </w:pPr>
            <w:r w:rsidRPr="00E20209">
              <w:rPr>
                <w:rFonts w:eastAsia="Calibri" w:cs="Segoe UI"/>
                <w:b/>
                <w:color w:val="000000"/>
                <w:sz w:val="18"/>
                <w:szCs w:val="18"/>
              </w:rPr>
              <w:t>-7 758 422</w:t>
            </w:r>
          </w:p>
        </w:tc>
        <w:tc>
          <w:tcPr>
            <w:tcW w:w="833" w:type="pct"/>
            <w:vAlign w:val="center"/>
          </w:tcPr>
          <w:p w14:paraId="76C6EF6B" w14:textId="77777777" w:rsidR="00656939" w:rsidRPr="00E20209" w:rsidRDefault="00656939" w:rsidP="00381348">
            <w:pPr>
              <w:spacing w:after="0" w:line="240" w:lineRule="auto"/>
              <w:jc w:val="center"/>
              <w:rPr>
                <w:rFonts w:eastAsia="Times New Roman" w:cs="Segoe UI"/>
                <w:b/>
                <w:color w:val="000000"/>
                <w:sz w:val="18"/>
                <w:szCs w:val="18"/>
                <w:lang w:eastAsia="sk-SK"/>
              </w:rPr>
            </w:pPr>
            <w:r w:rsidRPr="00E20209">
              <w:rPr>
                <w:rFonts w:eastAsia="Times New Roman" w:cs="Segoe UI"/>
                <w:b/>
                <w:color w:val="000000"/>
                <w:sz w:val="18"/>
                <w:szCs w:val="18"/>
                <w:lang w:eastAsia="sk-SK"/>
              </w:rPr>
              <w:t>-11 797 654</w:t>
            </w:r>
          </w:p>
        </w:tc>
        <w:tc>
          <w:tcPr>
            <w:tcW w:w="833" w:type="pct"/>
            <w:vAlign w:val="center"/>
          </w:tcPr>
          <w:p w14:paraId="48DBCE70" w14:textId="77777777" w:rsidR="00656939" w:rsidRPr="00E20209" w:rsidRDefault="00656939" w:rsidP="00381348">
            <w:pPr>
              <w:autoSpaceDE w:val="0"/>
              <w:autoSpaceDN w:val="0"/>
              <w:adjustRightInd w:val="0"/>
              <w:spacing w:after="0" w:line="240" w:lineRule="auto"/>
              <w:jc w:val="center"/>
              <w:rPr>
                <w:rFonts w:eastAsia="Calibri" w:cs="Segoe UI"/>
                <w:b/>
                <w:color w:val="000000"/>
                <w:sz w:val="18"/>
                <w:szCs w:val="18"/>
              </w:rPr>
            </w:pPr>
            <w:r w:rsidRPr="00E20209">
              <w:rPr>
                <w:rFonts w:eastAsia="Calibri" w:cs="Segoe UI"/>
                <w:b/>
                <w:color w:val="000000"/>
                <w:sz w:val="18"/>
                <w:szCs w:val="18"/>
              </w:rPr>
              <w:t>-5 473 518</w:t>
            </w:r>
          </w:p>
        </w:tc>
        <w:tc>
          <w:tcPr>
            <w:tcW w:w="833" w:type="pct"/>
            <w:vAlign w:val="center"/>
          </w:tcPr>
          <w:p w14:paraId="338B6E30" w14:textId="77777777" w:rsidR="00656939" w:rsidRPr="00E20209" w:rsidRDefault="00656939" w:rsidP="00381348">
            <w:pPr>
              <w:spacing w:after="0" w:line="240" w:lineRule="auto"/>
              <w:jc w:val="center"/>
              <w:rPr>
                <w:rFonts w:eastAsia="Times New Roman" w:cs="Segoe UI"/>
                <w:b/>
                <w:color w:val="000000"/>
                <w:sz w:val="18"/>
                <w:szCs w:val="18"/>
                <w:lang w:eastAsia="sk-SK"/>
              </w:rPr>
            </w:pPr>
            <w:r w:rsidRPr="00E20209">
              <w:rPr>
                <w:rFonts w:eastAsia="Times New Roman" w:cs="Segoe UI"/>
                <w:b/>
                <w:color w:val="000000"/>
                <w:sz w:val="18"/>
                <w:szCs w:val="18"/>
                <w:lang w:eastAsia="sk-SK"/>
              </w:rPr>
              <w:t>6 324 136</w:t>
            </w:r>
          </w:p>
        </w:tc>
        <w:tc>
          <w:tcPr>
            <w:tcW w:w="833" w:type="pct"/>
            <w:vAlign w:val="center"/>
          </w:tcPr>
          <w:p w14:paraId="070EF691" w14:textId="77777777" w:rsidR="00656939" w:rsidRPr="00E20209" w:rsidRDefault="00656939" w:rsidP="00381348">
            <w:pPr>
              <w:spacing w:after="0" w:line="240" w:lineRule="auto"/>
              <w:jc w:val="center"/>
              <w:rPr>
                <w:rFonts w:eastAsia="Times New Roman" w:cs="Segoe UI"/>
                <w:b/>
                <w:color w:val="000000"/>
                <w:sz w:val="18"/>
                <w:szCs w:val="18"/>
                <w:lang w:eastAsia="sk-SK"/>
              </w:rPr>
            </w:pPr>
            <w:r w:rsidRPr="00E20209">
              <w:rPr>
                <w:rFonts w:eastAsia="Times New Roman" w:cs="Segoe UI"/>
                <w:b/>
                <w:color w:val="000000"/>
                <w:sz w:val="18"/>
                <w:szCs w:val="18"/>
                <w:lang w:eastAsia="sk-SK"/>
              </w:rPr>
              <w:t>46,4</w:t>
            </w:r>
          </w:p>
        </w:tc>
      </w:tr>
    </w:tbl>
    <w:p w14:paraId="3231D242" w14:textId="77777777" w:rsidR="00656939" w:rsidRPr="00330871" w:rsidRDefault="00656939" w:rsidP="00656939">
      <w:pPr>
        <w:autoSpaceDE w:val="0"/>
        <w:autoSpaceDN w:val="0"/>
        <w:adjustRightInd w:val="0"/>
        <w:spacing w:after="100"/>
        <w:rPr>
          <w:rFonts w:eastAsia="Calibri" w:cs="Times New Roman"/>
          <w:i/>
          <w:color w:val="314364" w:themeColor="text2"/>
          <w:sz w:val="16"/>
        </w:rPr>
      </w:pPr>
      <w:r w:rsidRPr="00330871">
        <w:rPr>
          <w:rFonts w:eastAsia="Calibri" w:cs="Times New Roman"/>
          <w:i/>
          <w:color w:val="314364" w:themeColor="text2"/>
          <w:sz w:val="16"/>
        </w:rPr>
        <w:t>Zdroj: ŠZÚ 2020, Zákon o ŠR č. 231/2021 Z. z., Návrh RVS na roky 2022 až 2024</w:t>
      </w:r>
    </w:p>
    <w:p w14:paraId="2D57A96D" w14:textId="7D5E57EB" w:rsidR="00D37117" w:rsidRDefault="00D37117" w:rsidP="00D37117">
      <w:pPr>
        <w:shd w:val="clear" w:color="auto" w:fill="FFFFFF"/>
        <w:rPr>
          <w:rFonts w:eastAsia="Times New Roman" w:cs="Segoe UI"/>
          <w:color w:val="252525"/>
          <w:szCs w:val="20"/>
          <w:lang w:eastAsia="sk-SK"/>
        </w:rPr>
      </w:pPr>
      <w:r w:rsidRPr="00082776">
        <w:rPr>
          <w:rFonts w:eastAsia="Times New Roman" w:cs="Segoe UI"/>
          <w:color w:val="252525"/>
          <w:szCs w:val="20"/>
          <w:lang w:eastAsia="sk-SK"/>
        </w:rPr>
        <w:t xml:space="preserve">Schodok ŠR najviac ovplyvňuje výšku hotovostných nákladov na obsluhu štátneho dlhu, ktoré by mali v roku 2022 klesnúť o 2 % oproti rozpočtu na rok 2021 (Tabuľka </w:t>
      </w:r>
      <w:r>
        <w:rPr>
          <w:rFonts w:eastAsia="Times New Roman" w:cs="Segoe UI"/>
          <w:color w:val="252525"/>
          <w:szCs w:val="20"/>
          <w:lang w:eastAsia="sk-SK"/>
        </w:rPr>
        <w:t>8</w:t>
      </w:r>
      <w:r w:rsidR="00656939">
        <w:rPr>
          <w:rFonts w:eastAsia="Times New Roman" w:cs="Segoe UI"/>
          <w:color w:val="252525"/>
          <w:szCs w:val="20"/>
          <w:lang w:eastAsia="sk-SK"/>
        </w:rPr>
        <w:t>).</w:t>
      </w:r>
    </w:p>
    <w:p w14:paraId="1EBDEE69" w14:textId="77777777" w:rsidR="00656939" w:rsidRPr="00330871" w:rsidRDefault="00656939" w:rsidP="00656939">
      <w:pPr>
        <w:keepNext/>
        <w:spacing w:after="0" w:line="240" w:lineRule="auto"/>
        <w:rPr>
          <w:rFonts w:eastAsia="Calibri" w:cs="Times New Roman"/>
          <w:b/>
          <w:iCs/>
          <w:color w:val="314364"/>
          <w:szCs w:val="18"/>
        </w:rPr>
      </w:pPr>
      <w:r w:rsidRPr="00330871">
        <w:rPr>
          <w:rFonts w:eastAsia="Calibri" w:cs="Times New Roman"/>
          <w:b/>
          <w:iCs/>
          <w:color w:val="314364"/>
          <w:szCs w:val="18"/>
        </w:rPr>
        <w:t xml:space="preserve">Tabuľka </w:t>
      </w:r>
      <w:r>
        <w:rPr>
          <w:rFonts w:eastAsia="Calibri" w:cs="Times New Roman"/>
          <w:b/>
          <w:iCs/>
          <w:color w:val="314364"/>
          <w:szCs w:val="18"/>
        </w:rPr>
        <w:t>8</w:t>
      </w:r>
      <w:r w:rsidRPr="00330871">
        <w:rPr>
          <w:rFonts w:eastAsia="Calibri" w:cs="Times New Roman"/>
          <w:b/>
          <w:iCs/>
          <w:color w:val="314364"/>
          <w:szCs w:val="18"/>
        </w:rPr>
        <w:t>: Hotovostné náklady na obsluhu ŠD</w:t>
      </w:r>
    </w:p>
    <w:tbl>
      <w:tblPr>
        <w:tblpPr w:leftFromText="141" w:rightFromText="141" w:vertAnchor="text" w:horzAnchor="margin" w:tblpXSpec="right" w:tblpY="118"/>
        <w:tblOverlap w:val="never"/>
        <w:tblW w:w="5000" w:type="pct"/>
        <w:tblLayout w:type="fixed"/>
        <w:tblCellMar>
          <w:top w:w="28" w:type="dxa"/>
        </w:tblCellMar>
        <w:tblLook w:val="04A0" w:firstRow="1" w:lastRow="0" w:firstColumn="1" w:lastColumn="0" w:noHBand="0" w:noVBand="1"/>
      </w:tblPr>
      <w:tblGrid>
        <w:gridCol w:w="2299"/>
        <w:gridCol w:w="1083"/>
        <w:gridCol w:w="1270"/>
        <w:gridCol w:w="283"/>
        <w:gridCol w:w="1270"/>
        <w:gridCol w:w="1428"/>
        <w:gridCol w:w="1437"/>
      </w:tblGrid>
      <w:tr w:rsidR="00656939" w:rsidRPr="00082776" w14:paraId="44E34E4E" w14:textId="77777777" w:rsidTr="00381348">
        <w:trPr>
          <w:trHeight w:val="20"/>
        </w:trPr>
        <w:tc>
          <w:tcPr>
            <w:tcW w:w="1268" w:type="pct"/>
            <w:tcBorders>
              <w:bottom w:val="single" w:sz="4" w:space="0" w:color="314364"/>
            </w:tcBorders>
            <w:shd w:val="clear" w:color="auto" w:fill="314364"/>
            <w:vAlign w:val="center"/>
          </w:tcPr>
          <w:p w14:paraId="7770010A" w14:textId="188359E2" w:rsidR="00656939" w:rsidRPr="00082776" w:rsidRDefault="00AB2CC2" w:rsidP="00381348">
            <w:pPr>
              <w:spacing w:after="0" w:line="240" w:lineRule="atLeast"/>
              <w:jc w:val="left"/>
              <w:rPr>
                <w:rFonts w:eastAsia="Calibri" w:cs="Segoe UI"/>
                <w:b/>
                <w:color w:val="FFFFFF"/>
                <w:sz w:val="18"/>
                <w:szCs w:val="18"/>
              </w:rPr>
            </w:pPr>
            <w:r>
              <w:rPr>
                <w:rFonts w:eastAsia="Calibri" w:cs="Segoe UI"/>
                <w:b/>
                <w:color w:val="FFFFFF"/>
                <w:sz w:val="18"/>
                <w:szCs w:val="18"/>
              </w:rPr>
              <w:t>Dlh ŠR v tis. eur</w:t>
            </w:r>
          </w:p>
        </w:tc>
        <w:tc>
          <w:tcPr>
            <w:tcW w:w="597" w:type="pct"/>
            <w:tcBorders>
              <w:bottom w:val="single" w:sz="4" w:space="0" w:color="314364"/>
            </w:tcBorders>
            <w:shd w:val="clear" w:color="auto" w:fill="314364"/>
            <w:vAlign w:val="center"/>
          </w:tcPr>
          <w:p w14:paraId="1EE4E71A" w14:textId="77777777" w:rsidR="00656939" w:rsidRPr="00082776" w:rsidRDefault="00656939" w:rsidP="00381348">
            <w:pPr>
              <w:spacing w:after="0" w:line="240" w:lineRule="atLeast"/>
              <w:jc w:val="center"/>
              <w:rPr>
                <w:rFonts w:eastAsia="Calibri" w:cs="Segoe UI"/>
                <w:b/>
                <w:color w:val="FFFFFF"/>
                <w:sz w:val="18"/>
                <w:szCs w:val="18"/>
              </w:rPr>
            </w:pPr>
            <w:r w:rsidRPr="00082776">
              <w:rPr>
                <w:rFonts w:eastAsia="Calibri" w:cs="Segoe UI"/>
                <w:b/>
                <w:color w:val="FFFFFF"/>
                <w:sz w:val="18"/>
                <w:szCs w:val="18"/>
              </w:rPr>
              <w:t>2020 S</w:t>
            </w:r>
          </w:p>
        </w:tc>
        <w:tc>
          <w:tcPr>
            <w:tcW w:w="700" w:type="pct"/>
            <w:tcBorders>
              <w:bottom w:val="single" w:sz="4" w:space="0" w:color="314364"/>
            </w:tcBorders>
            <w:shd w:val="clear" w:color="auto" w:fill="314364"/>
            <w:vAlign w:val="center"/>
          </w:tcPr>
          <w:p w14:paraId="4E829DB2" w14:textId="77777777" w:rsidR="00656939" w:rsidRPr="00082776" w:rsidRDefault="00656939" w:rsidP="00381348">
            <w:pPr>
              <w:spacing w:after="0" w:line="240" w:lineRule="atLeast"/>
              <w:jc w:val="center"/>
              <w:rPr>
                <w:rFonts w:eastAsia="Calibri" w:cs="Segoe UI"/>
                <w:b/>
                <w:color w:val="FFFFFF"/>
                <w:sz w:val="18"/>
                <w:szCs w:val="18"/>
              </w:rPr>
            </w:pPr>
            <w:r w:rsidRPr="00082776">
              <w:rPr>
                <w:rFonts w:eastAsia="Calibri" w:cs="Segoe UI"/>
                <w:b/>
                <w:color w:val="FFFFFF"/>
                <w:sz w:val="18"/>
                <w:szCs w:val="18"/>
              </w:rPr>
              <w:t>2021 R</w:t>
            </w:r>
          </w:p>
        </w:tc>
        <w:tc>
          <w:tcPr>
            <w:tcW w:w="156" w:type="pct"/>
            <w:tcBorders>
              <w:bottom w:val="single" w:sz="4" w:space="0" w:color="314364"/>
            </w:tcBorders>
            <w:shd w:val="clear" w:color="auto" w:fill="314364"/>
            <w:vAlign w:val="center"/>
          </w:tcPr>
          <w:p w14:paraId="03E899EC" w14:textId="77777777" w:rsidR="00656939" w:rsidRPr="00082776" w:rsidRDefault="00656939" w:rsidP="00381348">
            <w:pPr>
              <w:spacing w:after="0" w:line="240" w:lineRule="atLeast"/>
              <w:jc w:val="center"/>
              <w:rPr>
                <w:rFonts w:eastAsia="Calibri" w:cs="Segoe UI"/>
                <w:b/>
                <w:color w:val="FFFFFF"/>
                <w:sz w:val="18"/>
                <w:szCs w:val="18"/>
              </w:rPr>
            </w:pPr>
          </w:p>
        </w:tc>
        <w:tc>
          <w:tcPr>
            <w:tcW w:w="700" w:type="pct"/>
            <w:tcBorders>
              <w:bottom w:val="single" w:sz="4" w:space="0" w:color="314364"/>
            </w:tcBorders>
            <w:shd w:val="clear" w:color="auto" w:fill="314364"/>
            <w:vAlign w:val="center"/>
          </w:tcPr>
          <w:p w14:paraId="0D65A790" w14:textId="77777777" w:rsidR="00656939" w:rsidRPr="00082776" w:rsidRDefault="00656939" w:rsidP="00381348">
            <w:pPr>
              <w:spacing w:after="0" w:line="240" w:lineRule="atLeast"/>
              <w:jc w:val="center"/>
              <w:rPr>
                <w:rFonts w:eastAsia="Calibri" w:cs="Segoe UI"/>
                <w:b/>
                <w:color w:val="FFFFFF"/>
                <w:sz w:val="18"/>
                <w:szCs w:val="18"/>
              </w:rPr>
            </w:pPr>
            <w:r w:rsidRPr="00082776">
              <w:rPr>
                <w:rFonts w:eastAsia="Calibri" w:cs="Segoe UI"/>
                <w:b/>
                <w:color w:val="FFFFFF"/>
                <w:sz w:val="18"/>
                <w:szCs w:val="18"/>
              </w:rPr>
              <w:t>2022 N</w:t>
            </w:r>
          </w:p>
        </w:tc>
        <w:tc>
          <w:tcPr>
            <w:tcW w:w="787" w:type="pct"/>
            <w:tcBorders>
              <w:bottom w:val="single" w:sz="4" w:space="0" w:color="314364"/>
            </w:tcBorders>
            <w:shd w:val="clear" w:color="auto" w:fill="314364"/>
            <w:vAlign w:val="center"/>
          </w:tcPr>
          <w:p w14:paraId="0FD9F4F7" w14:textId="77777777" w:rsidR="00656939" w:rsidRPr="00082776" w:rsidRDefault="00656939" w:rsidP="00381348">
            <w:pPr>
              <w:spacing w:after="0" w:line="240" w:lineRule="atLeast"/>
              <w:jc w:val="center"/>
              <w:rPr>
                <w:rFonts w:eastAsia="Calibri" w:cs="Segoe UI"/>
                <w:b/>
                <w:color w:val="FFFFFF"/>
                <w:sz w:val="18"/>
                <w:szCs w:val="18"/>
              </w:rPr>
            </w:pPr>
            <w:r w:rsidRPr="00082776">
              <w:rPr>
                <w:rFonts w:eastAsia="Calibri" w:cs="Segoe UI"/>
                <w:b/>
                <w:color w:val="FFFFFF"/>
                <w:sz w:val="18"/>
                <w:szCs w:val="18"/>
              </w:rPr>
              <w:t>2022-2021</w:t>
            </w:r>
          </w:p>
        </w:tc>
        <w:tc>
          <w:tcPr>
            <w:tcW w:w="792" w:type="pct"/>
            <w:tcBorders>
              <w:bottom w:val="single" w:sz="4" w:space="0" w:color="314364"/>
            </w:tcBorders>
            <w:shd w:val="clear" w:color="auto" w:fill="314364"/>
            <w:vAlign w:val="center"/>
          </w:tcPr>
          <w:p w14:paraId="37975D4E" w14:textId="77777777" w:rsidR="00656939" w:rsidRPr="00082776" w:rsidRDefault="00656939" w:rsidP="00381348">
            <w:pPr>
              <w:spacing w:after="0" w:line="240" w:lineRule="atLeast"/>
              <w:jc w:val="center"/>
              <w:rPr>
                <w:rFonts w:eastAsia="Calibri" w:cs="Segoe UI"/>
                <w:b/>
                <w:color w:val="FFFFFF"/>
                <w:sz w:val="18"/>
                <w:szCs w:val="18"/>
              </w:rPr>
            </w:pPr>
            <w:r w:rsidRPr="00082776">
              <w:rPr>
                <w:rFonts w:eastAsia="Calibri" w:cs="Segoe UI"/>
                <w:b/>
                <w:color w:val="FFFFFF"/>
                <w:sz w:val="18"/>
                <w:szCs w:val="18"/>
              </w:rPr>
              <w:t>2022/2021</w:t>
            </w:r>
          </w:p>
        </w:tc>
      </w:tr>
      <w:tr w:rsidR="00656939" w:rsidRPr="00082776" w14:paraId="3D3EB2F1" w14:textId="77777777" w:rsidTr="00381348">
        <w:trPr>
          <w:trHeight w:val="20"/>
        </w:trPr>
        <w:tc>
          <w:tcPr>
            <w:tcW w:w="1268" w:type="pct"/>
            <w:tcBorders>
              <w:top w:val="single" w:sz="4" w:space="0" w:color="314364"/>
              <w:bottom w:val="single" w:sz="4" w:space="0" w:color="314364" w:themeColor="text2"/>
            </w:tcBorders>
            <w:vAlign w:val="center"/>
          </w:tcPr>
          <w:p w14:paraId="5F3FDF6D" w14:textId="77777777" w:rsidR="00656939" w:rsidRPr="00082776" w:rsidRDefault="00656939" w:rsidP="00381348">
            <w:pPr>
              <w:widowControl w:val="0"/>
              <w:spacing w:after="0" w:line="240" w:lineRule="atLeast"/>
              <w:jc w:val="left"/>
              <w:rPr>
                <w:rFonts w:eastAsia="Times New Roman" w:cs="Segoe UI"/>
                <w:sz w:val="18"/>
                <w:szCs w:val="18"/>
              </w:rPr>
            </w:pPr>
            <w:r w:rsidRPr="00082776">
              <w:rPr>
                <w:rFonts w:eastAsia="Times New Roman" w:cs="Segoe UI"/>
                <w:bCs/>
                <w:color w:val="000000"/>
                <w:sz w:val="18"/>
                <w:szCs w:val="18"/>
                <w:lang w:eastAsia="sk-SK" w:bidi="sk-SK"/>
              </w:rPr>
              <w:t>Hotovostné náklady</w:t>
            </w:r>
          </w:p>
        </w:tc>
        <w:tc>
          <w:tcPr>
            <w:tcW w:w="597" w:type="pct"/>
            <w:tcBorders>
              <w:top w:val="single" w:sz="4" w:space="0" w:color="314364"/>
              <w:bottom w:val="single" w:sz="4" w:space="0" w:color="314364" w:themeColor="text2"/>
            </w:tcBorders>
            <w:vAlign w:val="center"/>
          </w:tcPr>
          <w:p w14:paraId="306B3150" w14:textId="77777777" w:rsidR="00656939" w:rsidRPr="00082776" w:rsidRDefault="00656939" w:rsidP="00381348">
            <w:pPr>
              <w:autoSpaceDE w:val="0"/>
              <w:autoSpaceDN w:val="0"/>
              <w:adjustRightInd w:val="0"/>
              <w:spacing w:after="0" w:line="240" w:lineRule="atLeast"/>
              <w:jc w:val="center"/>
              <w:rPr>
                <w:rFonts w:eastAsia="Calibri" w:cs="Segoe UI"/>
                <w:color w:val="000000"/>
                <w:sz w:val="18"/>
                <w:szCs w:val="18"/>
              </w:rPr>
            </w:pPr>
            <w:r w:rsidRPr="00082776">
              <w:rPr>
                <w:rFonts w:eastAsia="Calibri" w:cs="Segoe UI"/>
                <w:bCs/>
                <w:color w:val="000000"/>
                <w:sz w:val="18"/>
                <w:szCs w:val="18"/>
              </w:rPr>
              <w:t>796 703</w:t>
            </w:r>
          </w:p>
        </w:tc>
        <w:tc>
          <w:tcPr>
            <w:tcW w:w="700" w:type="pct"/>
            <w:tcBorders>
              <w:top w:val="single" w:sz="4" w:space="0" w:color="314364"/>
              <w:bottom w:val="single" w:sz="4" w:space="0" w:color="314364" w:themeColor="text2"/>
            </w:tcBorders>
            <w:vAlign w:val="center"/>
          </w:tcPr>
          <w:p w14:paraId="1B4FA64D" w14:textId="77777777" w:rsidR="00656939" w:rsidRPr="00082776" w:rsidRDefault="00656939" w:rsidP="00381348">
            <w:pPr>
              <w:autoSpaceDE w:val="0"/>
              <w:autoSpaceDN w:val="0"/>
              <w:adjustRightInd w:val="0"/>
              <w:spacing w:after="0" w:line="240" w:lineRule="atLeast"/>
              <w:jc w:val="center"/>
              <w:rPr>
                <w:rFonts w:eastAsia="Calibri" w:cs="Segoe UI"/>
                <w:color w:val="000000"/>
                <w:sz w:val="18"/>
                <w:szCs w:val="18"/>
              </w:rPr>
            </w:pPr>
            <w:r w:rsidRPr="00082776">
              <w:rPr>
                <w:rFonts w:eastAsia="Calibri" w:cs="Segoe UI"/>
                <w:bCs/>
                <w:color w:val="000000"/>
                <w:sz w:val="18"/>
                <w:szCs w:val="18"/>
              </w:rPr>
              <w:t>1 112 080</w:t>
            </w:r>
          </w:p>
        </w:tc>
        <w:tc>
          <w:tcPr>
            <w:tcW w:w="156" w:type="pct"/>
            <w:tcBorders>
              <w:top w:val="single" w:sz="4" w:space="0" w:color="314364"/>
              <w:bottom w:val="single" w:sz="4" w:space="0" w:color="314364" w:themeColor="text2"/>
            </w:tcBorders>
            <w:vAlign w:val="center"/>
          </w:tcPr>
          <w:p w14:paraId="59ABA273" w14:textId="77777777" w:rsidR="00656939" w:rsidRPr="00082776" w:rsidRDefault="00656939" w:rsidP="00381348">
            <w:pPr>
              <w:autoSpaceDE w:val="0"/>
              <w:autoSpaceDN w:val="0"/>
              <w:adjustRightInd w:val="0"/>
              <w:spacing w:after="0" w:line="240" w:lineRule="atLeast"/>
              <w:jc w:val="center"/>
              <w:rPr>
                <w:rFonts w:eastAsia="Calibri" w:cs="Segoe UI"/>
                <w:bCs/>
                <w:color w:val="000000"/>
                <w:sz w:val="18"/>
                <w:szCs w:val="18"/>
              </w:rPr>
            </w:pPr>
          </w:p>
        </w:tc>
        <w:tc>
          <w:tcPr>
            <w:tcW w:w="700" w:type="pct"/>
            <w:tcBorders>
              <w:top w:val="single" w:sz="4" w:space="0" w:color="314364"/>
              <w:bottom w:val="single" w:sz="4" w:space="0" w:color="314364" w:themeColor="text2"/>
            </w:tcBorders>
            <w:vAlign w:val="center"/>
          </w:tcPr>
          <w:p w14:paraId="288404BF" w14:textId="77777777" w:rsidR="00656939" w:rsidRPr="00082776" w:rsidRDefault="00656939" w:rsidP="00381348">
            <w:pPr>
              <w:autoSpaceDE w:val="0"/>
              <w:autoSpaceDN w:val="0"/>
              <w:adjustRightInd w:val="0"/>
              <w:spacing w:after="0" w:line="240" w:lineRule="atLeast"/>
              <w:jc w:val="center"/>
              <w:rPr>
                <w:rFonts w:eastAsia="Calibri" w:cs="Segoe UI"/>
                <w:color w:val="000000"/>
                <w:sz w:val="18"/>
                <w:szCs w:val="18"/>
              </w:rPr>
            </w:pPr>
            <w:r w:rsidRPr="00082776">
              <w:rPr>
                <w:rFonts w:eastAsia="Calibri" w:cs="Segoe UI"/>
                <w:bCs/>
                <w:color w:val="000000"/>
                <w:sz w:val="18"/>
                <w:szCs w:val="18"/>
              </w:rPr>
              <w:t>1 089 706</w:t>
            </w:r>
          </w:p>
        </w:tc>
        <w:tc>
          <w:tcPr>
            <w:tcW w:w="787" w:type="pct"/>
            <w:tcBorders>
              <w:top w:val="single" w:sz="4" w:space="0" w:color="314364"/>
              <w:bottom w:val="single" w:sz="4" w:space="0" w:color="314364" w:themeColor="text2"/>
            </w:tcBorders>
            <w:vAlign w:val="center"/>
          </w:tcPr>
          <w:p w14:paraId="6BB6ED99" w14:textId="77777777" w:rsidR="00656939" w:rsidRPr="00082776" w:rsidRDefault="00656939" w:rsidP="00381348">
            <w:pPr>
              <w:spacing w:after="0" w:line="240" w:lineRule="atLeast"/>
              <w:jc w:val="center"/>
              <w:rPr>
                <w:rFonts w:eastAsia="Times New Roman" w:cs="Segoe UI"/>
                <w:color w:val="000000"/>
                <w:sz w:val="18"/>
                <w:szCs w:val="18"/>
                <w:lang w:eastAsia="sk-SK"/>
              </w:rPr>
            </w:pPr>
            <w:r w:rsidRPr="00082776">
              <w:rPr>
                <w:rFonts w:eastAsia="Times New Roman" w:cs="Segoe UI"/>
                <w:color w:val="000000"/>
                <w:sz w:val="18"/>
                <w:szCs w:val="18"/>
                <w:lang w:eastAsia="sk-SK"/>
              </w:rPr>
              <w:t>-22 374</w:t>
            </w:r>
          </w:p>
        </w:tc>
        <w:tc>
          <w:tcPr>
            <w:tcW w:w="792" w:type="pct"/>
            <w:tcBorders>
              <w:top w:val="single" w:sz="4" w:space="0" w:color="314364"/>
              <w:bottom w:val="single" w:sz="4" w:space="0" w:color="314364" w:themeColor="text2"/>
            </w:tcBorders>
            <w:vAlign w:val="center"/>
          </w:tcPr>
          <w:p w14:paraId="63C5FB18" w14:textId="77777777" w:rsidR="00656939" w:rsidRPr="00082776" w:rsidRDefault="00656939" w:rsidP="00381348">
            <w:pPr>
              <w:spacing w:after="0" w:line="240" w:lineRule="atLeast"/>
              <w:jc w:val="center"/>
              <w:rPr>
                <w:rFonts w:eastAsia="Times New Roman" w:cs="Segoe UI"/>
                <w:color w:val="000000"/>
                <w:sz w:val="18"/>
                <w:szCs w:val="18"/>
                <w:lang w:eastAsia="sk-SK"/>
              </w:rPr>
            </w:pPr>
            <w:r w:rsidRPr="00082776">
              <w:rPr>
                <w:rFonts w:eastAsia="Times New Roman" w:cs="Segoe UI"/>
                <w:color w:val="000000"/>
                <w:sz w:val="18"/>
                <w:szCs w:val="18"/>
                <w:lang w:eastAsia="sk-SK"/>
              </w:rPr>
              <w:t>98,0</w:t>
            </w:r>
          </w:p>
        </w:tc>
      </w:tr>
    </w:tbl>
    <w:p w14:paraId="29639E9F" w14:textId="77777777" w:rsidR="00656939" w:rsidRDefault="00656939" w:rsidP="00656939">
      <w:pPr>
        <w:spacing w:line="240" w:lineRule="auto"/>
        <w:rPr>
          <w:rFonts w:eastAsia="Times New Roman" w:cs="Segoe UI"/>
          <w:i/>
          <w:color w:val="314364"/>
          <w:sz w:val="16"/>
          <w:szCs w:val="18"/>
          <w:shd w:val="clear" w:color="auto" w:fill="FFFFFF"/>
          <w:lang w:eastAsia="sk-SK"/>
        </w:rPr>
      </w:pPr>
      <w:r w:rsidRPr="00082776">
        <w:rPr>
          <w:rFonts w:eastAsia="Times New Roman" w:cs="Segoe UI"/>
          <w:i/>
          <w:color w:val="314364"/>
          <w:sz w:val="16"/>
          <w:szCs w:val="18"/>
          <w:shd w:val="clear" w:color="auto" w:fill="FFFFFF"/>
          <w:lang w:eastAsia="sk-SK"/>
        </w:rPr>
        <w:t>Zdroj: Návrh RVS na roky 2022 až 2024</w:t>
      </w:r>
    </w:p>
    <w:p w14:paraId="4ACB5D9F" w14:textId="650758F9" w:rsidR="00D37117" w:rsidRPr="004A1372" w:rsidRDefault="00D37117" w:rsidP="00D37117">
      <w:pPr>
        <w:shd w:val="clear" w:color="auto" w:fill="FFFFFF"/>
        <w:rPr>
          <w:rFonts w:eastAsia="Times New Roman" w:cs="Segoe UI"/>
          <w:b/>
          <w:color w:val="252525"/>
          <w:szCs w:val="20"/>
          <w:lang w:eastAsia="sk-SK"/>
        </w:rPr>
      </w:pPr>
      <w:r w:rsidRPr="004A1372">
        <w:rPr>
          <w:rFonts w:eastAsia="Times New Roman" w:cs="Segoe UI"/>
          <w:b/>
          <w:color w:val="252525"/>
          <w:szCs w:val="20"/>
          <w:lang w:eastAsia="sk-SK"/>
        </w:rPr>
        <w:t>Rizikom sa javí emitovan</w:t>
      </w:r>
      <w:r w:rsidR="00FC495E">
        <w:rPr>
          <w:rFonts w:eastAsia="Times New Roman" w:cs="Segoe UI"/>
          <w:b/>
          <w:color w:val="252525"/>
          <w:szCs w:val="20"/>
          <w:lang w:eastAsia="sk-SK"/>
        </w:rPr>
        <w:t>ie</w:t>
      </w:r>
      <w:r w:rsidRPr="004A1372">
        <w:rPr>
          <w:rFonts w:eastAsia="Times New Roman" w:cs="Segoe UI"/>
          <w:b/>
          <w:color w:val="252525"/>
          <w:szCs w:val="20"/>
          <w:lang w:eastAsia="sk-SK"/>
        </w:rPr>
        <w:t xml:space="preserve"> </w:t>
      </w:r>
      <w:r w:rsidR="00FC495E">
        <w:rPr>
          <w:rFonts w:eastAsia="Times New Roman" w:cs="Segoe UI"/>
          <w:b/>
          <w:color w:val="252525"/>
          <w:szCs w:val="20"/>
          <w:lang w:eastAsia="sk-SK"/>
        </w:rPr>
        <w:t xml:space="preserve">nového dlhu </w:t>
      </w:r>
      <w:r w:rsidRPr="004A1372">
        <w:rPr>
          <w:rFonts w:eastAsia="Times New Roman" w:cs="Segoe UI"/>
          <w:b/>
          <w:color w:val="252525"/>
          <w:szCs w:val="20"/>
          <w:lang w:eastAsia="sk-SK"/>
        </w:rPr>
        <w:t xml:space="preserve">za menej priaznivých podmienok ako </w:t>
      </w:r>
      <w:r w:rsidR="00FC495E">
        <w:rPr>
          <w:rFonts w:eastAsia="Times New Roman" w:cs="Segoe UI"/>
          <w:b/>
          <w:color w:val="252525"/>
          <w:szCs w:val="20"/>
          <w:lang w:eastAsia="sk-SK"/>
        </w:rPr>
        <w:t xml:space="preserve">toho </w:t>
      </w:r>
      <w:r w:rsidRPr="004A1372">
        <w:rPr>
          <w:rFonts w:eastAsia="Times New Roman" w:cs="Segoe UI"/>
          <w:b/>
          <w:color w:val="252525"/>
          <w:szCs w:val="20"/>
          <w:lang w:eastAsia="sk-SK"/>
        </w:rPr>
        <w:t>existujúc</w:t>
      </w:r>
      <w:r w:rsidR="00FC495E">
        <w:rPr>
          <w:rFonts w:eastAsia="Times New Roman" w:cs="Segoe UI"/>
          <w:b/>
          <w:color w:val="252525"/>
          <w:szCs w:val="20"/>
          <w:lang w:eastAsia="sk-SK"/>
        </w:rPr>
        <w:t>eho.</w:t>
      </w:r>
      <w:r w:rsidRPr="004A1372">
        <w:rPr>
          <w:rFonts w:eastAsia="Times New Roman" w:cs="Segoe UI"/>
          <w:b/>
          <w:color w:val="252525"/>
          <w:szCs w:val="20"/>
          <w:lang w:eastAsia="sk-SK"/>
        </w:rPr>
        <w:t xml:space="preserve"> </w:t>
      </w:r>
      <w:r w:rsidR="00FC495E">
        <w:rPr>
          <w:rFonts w:eastAsia="Times New Roman" w:cs="Segoe UI"/>
          <w:b/>
          <w:color w:val="252525"/>
          <w:szCs w:val="20"/>
          <w:lang w:eastAsia="sk-SK"/>
        </w:rPr>
        <w:t>R</w:t>
      </w:r>
      <w:r w:rsidR="00E34BBA">
        <w:rPr>
          <w:rFonts w:eastAsia="Times New Roman" w:cs="Segoe UI"/>
          <w:b/>
          <w:color w:val="252525"/>
          <w:szCs w:val="20"/>
          <w:lang w:eastAsia="sk-SK"/>
        </w:rPr>
        <w:t xml:space="preserve">izikom je </w:t>
      </w:r>
      <w:r w:rsidRPr="004A1372">
        <w:rPr>
          <w:rFonts w:eastAsia="Times New Roman" w:cs="Segoe UI"/>
          <w:b/>
          <w:color w:val="252525"/>
          <w:szCs w:val="20"/>
          <w:lang w:eastAsia="sk-SK"/>
        </w:rPr>
        <w:t>tiež málo rozvinutý slovenský finančný trh, ktorý nedokáže pokryť financovanie štátu ani na úrovni ročnej potreby financovania.</w:t>
      </w:r>
    </w:p>
    <w:p w14:paraId="0F6FFE14" w14:textId="2F417B13" w:rsidR="00E962EA" w:rsidRDefault="00EF22CA" w:rsidP="00CC017D">
      <w:pPr>
        <w:shd w:val="clear" w:color="auto" w:fill="FFFFFF"/>
        <w:rPr>
          <w:rFonts w:eastAsia="Times New Roman" w:cs="Segoe UI"/>
          <w:color w:val="252525"/>
          <w:szCs w:val="20"/>
          <w:lang w:eastAsia="sk-SK"/>
        </w:rPr>
      </w:pPr>
      <w:r w:rsidRPr="00B42065">
        <w:rPr>
          <w:rFonts w:eastAsia="Times New Roman" w:cs="Segoe UI"/>
          <w:b/>
          <w:color w:val="252525"/>
          <w:szCs w:val="20"/>
          <w:lang w:eastAsia="sk-SK"/>
        </w:rPr>
        <w:t>V oblasti príjmov ŠR sa pravidelne opakujú riziká pri príjmoch z dividend</w:t>
      </w:r>
      <w:r w:rsidRPr="004A1372">
        <w:rPr>
          <w:rFonts w:eastAsia="Times New Roman" w:cs="Segoe UI"/>
          <w:color w:val="252525"/>
          <w:szCs w:val="20"/>
          <w:lang w:eastAsia="sk-SK"/>
        </w:rPr>
        <w:t>, ktoré závisia od hospodárskej</w:t>
      </w:r>
      <w:r w:rsidR="00E962EA">
        <w:rPr>
          <w:rFonts w:eastAsia="Times New Roman" w:cs="Segoe UI"/>
          <w:color w:val="252525"/>
          <w:szCs w:val="20"/>
          <w:lang w:eastAsia="sk-SK"/>
        </w:rPr>
        <w:t xml:space="preserve"> situácie štátnych organizácií.</w:t>
      </w:r>
      <w:r w:rsidR="00F47310" w:rsidRPr="00F47310">
        <w:t xml:space="preserve"> </w:t>
      </w:r>
      <w:r w:rsidR="00F47310" w:rsidRPr="00F47310">
        <w:rPr>
          <w:rFonts w:eastAsia="Times New Roman" w:cs="Segoe UI"/>
          <w:color w:val="252525"/>
          <w:szCs w:val="20"/>
          <w:lang w:eastAsia="sk-SK"/>
        </w:rPr>
        <w:t>Príjmy z dividend od spoločností, v ktorých je vlastnícky podiel štátu sa v roku 2022 navrhuje vo výške 384 mil. eur, čo je v porovnaní so schváleným rozpočtom na rok 2021 menej o 39,6 mil. eur. Pokles príjmov je spôsobený hlavne znížením dividend od spoločností Slovenský plynárenský priemysel, a. s. a Slovenská elektrizačná prenosová sústava, a. s. Rizikom sa javia aj dividendy od Západoslovenskej energetiky, a. s., Stredoslovenskej energetiky, a. s., a Východoslovenskej energetiky a. s. s ohľadom na skrachovanú spoločnosť Slovakia Energy.</w:t>
      </w:r>
    </w:p>
    <w:p w14:paraId="0C9202F9" w14:textId="449D8AB4" w:rsidR="00D37117" w:rsidRDefault="00413AF0" w:rsidP="008150DC">
      <w:pPr>
        <w:spacing w:after="0"/>
        <w:rPr>
          <w:rFonts w:eastAsia="Times New Roman" w:cs="Segoe UI"/>
          <w:bCs/>
          <w:szCs w:val="20"/>
          <w:lang w:eastAsia="sk-SK"/>
        </w:rPr>
      </w:pPr>
      <w:r>
        <w:rPr>
          <w:rFonts w:eastAsia="Times New Roman" w:cs="Segoe UI"/>
          <w:bCs/>
          <w:szCs w:val="20"/>
          <w:lang w:eastAsia="sk-SK"/>
        </w:rPr>
        <w:t xml:space="preserve">V návrhu </w:t>
      </w:r>
      <w:r w:rsidR="004A1372">
        <w:rPr>
          <w:rFonts w:eastAsia="Times New Roman" w:cs="Segoe UI"/>
          <w:bCs/>
          <w:szCs w:val="20"/>
          <w:lang w:eastAsia="sk-SK"/>
        </w:rPr>
        <w:t>ŠR</w:t>
      </w:r>
      <w:r w:rsidR="00D37117">
        <w:rPr>
          <w:rFonts w:eastAsia="Times New Roman" w:cs="Segoe UI"/>
          <w:bCs/>
          <w:szCs w:val="20"/>
          <w:lang w:eastAsia="sk-SK"/>
        </w:rPr>
        <w:t xml:space="preserve"> sa objavujú </w:t>
      </w:r>
      <w:r w:rsidR="00D37117" w:rsidRPr="00B42065">
        <w:rPr>
          <w:rFonts w:eastAsia="Times New Roman" w:cs="Segoe UI"/>
          <w:b/>
          <w:bCs/>
          <w:szCs w:val="20"/>
          <w:lang w:eastAsia="sk-SK"/>
        </w:rPr>
        <w:t xml:space="preserve">riziká </w:t>
      </w:r>
      <w:r w:rsidRPr="00B42065">
        <w:rPr>
          <w:rFonts w:eastAsia="Times New Roman" w:cs="Segoe UI"/>
          <w:b/>
          <w:bCs/>
          <w:szCs w:val="20"/>
          <w:lang w:eastAsia="sk-SK"/>
        </w:rPr>
        <w:t>pri rozpočtovaní výdavkov</w:t>
      </w:r>
      <w:r>
        <w:rPr>
          <w:rFonts w:eastAsia="Times New Roman" w:cs="Segoe UI"/>
          <w:bCs/>
          <w:szCs w:val="20"/>
          <w:lang w:eastAsia="sk-SK"/>
        </w:rPr>
        <w:t xml:space="preserve"> </w:t>
      </w:r>
      <w:r w:rsidR="00E34BBA">
        <w:rPr>
          <w:rFonts w:eastAsia="Times New Roman" w:cs="Segoe UI"/>
          <w:bCs/>
          <w:szCs w:val="20"/>
          <w:lang w:eastAsia="sk-SK"/>
        </w:rPr>
        <w:t>najmä</w:t>
      </w:r>
      <w:r w:rsidR="00D37117">
        <w:rPr>
          <w:rFonts w:eastAsia="Times New Roman" w:cs="Segoe UI"/>
          <w:bCs/>
          <w:szCs w:val="20"/>
          <w:lang w:eastAsia="sk-SK"/>
        </w:rPr>
        <w:t xml:space="preserve"> </w:t>
      </w:r>
      <w:r w:rsidR="004A1372">
        <w:rPr>
          <w:rFonts w:eastAsia="Times New Roman" w:cs="Segoe UI"/>
          <w:bCs/>
          <w:szCs w:val="20"/>
          <w:lang w:eastAsia="sk-SK"/>
        </w:rPr>
        <w:t>v</w:t>
      </w:r>
      <w:r w:rsidR="00D37117">
        <w:rPr>
          <w:rFonts w:eastAsia="Times New Roman" w:cs="Segoe UI"/>
          <w:bCs/>
          <w:szCs w:val="20"/>
          <w:lang w:eastAsia="sk-SK"/>
        </w:rPr>
        <w:t xml:space="preserve"> týchto </w:t>
      </w:r>
      <w:r w:rsidR="004A1372">
        <w:rPr>
          <w:rFonts w:eastAsia="Times New Roman" w:cs="Segoe UI"/>
          <w:bCs/>
          <w:szCs w:val="20"/>
          <w:lang w:eastAsia="sk-SK"/>
        </w:rPr>
        <w:t>oblastiach</w:t>
      </w:r>
      <w:r w:rsidR="00D37117">
        <w:rPr>
          <w:rFonts w:eastAsia="Times New Roman" w:cs="Segoe UI"/>
          <w:bCs/>
          <w:szCs w:val="20"/>
          <w:lang w:eastAsia="sk-SK"/>
        </w:rPr>
        <w:t>:</w:t>
      </w:r>
    </w:p>
    <w:p w14:paraId="1A87C178" w14:textId="0AE95EAD" w:rsidR="004A1372" w:rsidRPr="00993E8C" w:rsidRDefault="004A1372" w:rsidP="00993E8C">
      <w:pPr>
        <w:pStyle w:val="Odsekzoznamu"/>
        <w:numPr>
          <w:ilvl w:val="0"/>
          <w:numId w:val="39"/>
        </w:numPr>
        <w:rPr>
          <w:rFonts w:eastAsia="Times New Roman" w:cs="Segoe UI"/>
          <w:bCs/>
          <w:szCs w:val="20"/>
          <w:lang w:eastAsia="sk-SK"/>
        </w:rPr>
      </w:pPr>
      <w:r w:rsidRPr="00993E8C">
        <w:rPr>
          <w:rFonts w:eastAsia="Times New Roman" w:cs="Segoe UI"/>
          <w:bCs/>
          <w:szCs w:val="20"/>
          <w:lang w:eastAsia="sk-SK"/>
        </w:rPr>
        <w:t>v programovom rozpočtovaní,</w:t>
      </w:r>
    </w:p>
    <w:p w14:paraId="329CDB8B" w14:textId="7D099A04" w:rsidR="004A1372" w:rsidRPr="00993E8C" w:rsidRDefault="004A1372" w:rsidP="00993E8C">
      <w:pPr>
        <w:pStyle w:val="Odsekzoznamu"/>
        <w:numPr>
          <w:ilvl w:val="0"/>
          <w:numId w:val="39"/>
        </w:numPr>
        <w:rPr>
          <w:rFonts w:eastAsia="Times New Roman" w:cs="Segoe UI"/>
          <w:bCs/>
          <w:szCs w:val="20"/>
          <w:lang w:eastAsia="sk-SK"/>
        </w:rPr>
      </w:pPr>
      <w:r w:rsidRPr="00993E8C">
        <w:rPr>
          <w:rFonts w:eastAsia="Times New Roman" w:cs="Segoe UI"/>
          <w:bCs/>
          <w:szCs w:val="20"/>
          <w:lang w:eastAsia="sk-SK"/>
        </w:rPr>
        <w:t>v rozpočtovaní kapitálových výdavkov,</w:t>
      </w:r>
    </w:p>
    <w:p w14:paraId="5EA4F5F9" w14:textId="3E5D0077" w:rsidR="004A1372" w:rsidRDefault="00BA6F05" w:rsidP="00993E8C">
      <w:pPr>
        <w:pStyle w:val="Odsekzoznamu"/>
        <w:numPr>
          <w:ilvl w:val="0"/>
          <w:numId w:val="39"/>
        </w:numPr>
        <w:rPr>
          <w:rFonts w:eastAsia="Times New Roman" w:cs="Segoe UI"/>
          <w:bCs/>
          <w:szCs w:val="20"/>
          <w:lang w:eastAsia="sk-SK"/>
        </w:rPr>
      </w:pPr>
      <w:r>
        <w:rPr>
          <w:rFonts w:eastAsia="Times New Roman" w:cs="Segoe UI"/>
          <w:bCs/>
          <w:szCs w:val="20"/>
          <w:lang w:eastAsia="sk-SK"/>
        </w:rPr>
        <w:t>v rozpočtovaní rezerv a</w:t>
      </w:r>
    </w:p>
    <w:p w14:paraId="2FC8266D" w14:textId="1EB77D9C" w:rsidR="00EE1CA6" w:rsidRDefault="00EE1CA6" w:rsidP="00EE1CA6">
      <w:pPr>
        <w:pStyle w:val="Odsekzoznamu"/>
        <w:numPr>
          <w:ilvl w:val="0"/>
          <w:numId w:val="39"/>
        </w:numPr>
        <w:rPr>
          <w:rFonts w:eastAsia="Times New Roman" w:cs="Segoe UI"/>
          <w:bCs/>
          <w:szCs w:val="20"/>
          <w:lang w:eastAsia="sk-SK"/>
        </w:rPr>
      </w:pPr>
      <w:r>
        <w:rPr>
          <w:rFonts w:eastAsia="Times New Roman" w:cs="Segoe UI"/>
          <w:bCs/>
          <w:szCs w:val="20"/>
          <w:lang w:eastAsia="sk-SK"/>
        </w:rPr>
        <w:t>p</w:t>
      </w:r>
      <w:r w:rsidR="004A1372" w:rsidRPr="00993E8C">
        <w:rPr>
          <w:rFonts w:eastAsia="Times New Roman" w:cs="Segoe UI"/>
          <w:bCs/>
          <w:szCs w:val="20"/>
          <w:lang w:eastAsia="sk-SK"/>
        </w:rPr>
        <w:t>ri vzniku samosta</w:t>
      </w:r>
      <w:r>
        <w:rPr>
          <w:rFonts w:eastAsia="Times New Roman" w:cs="Segoe UI"/>
          <w:bCs/>
          <w:szCs w:val="20"/>
          <w:lang w:eastAsia="sk-SK"/>
        </w:rPr>
        <w:t>tných rozpočtových organizácií</w:t>
      </w:r>
      <w:r w:rsidR="00BA6F05">
        <w:rPr>
          <w:rFonts w:eastAsia="Times New Roman" w:cs="Segoe UI"/>
          <w:bCs/>
          <w:szCs w:val="20"/>
          <w:lang w:eastAsia="sk-SK"/>
        </w:rPr>
        <w:t>.</w:t>
      </w:r>
    </w:p>
    <w:p w14:paraId="37B9DBA7" w14:textId="64276EB1" w:rsidR="00DC38D7" w:rsidRDefault="00DC38D7" w:rsidP="00DC38D7">
      <w:pPr>
        <w:shd w:val="clear" w:color="auto" w:fill="FFFFFF"/>
        <w:rPr>
          <w:rFonts w:eastAsia="Times New Roman" w:cs="Segoe UI"/>
          <w:szCs w:val="20"/>
          <w:lang w:eastAsia="sk-SK"/>
        </w:rPr>
      </w:pPr>
      <w:r>
        <w:rPr>
          <w:rFonts w:eastAsia="Times New Roman" w:cs="Segoe UI"/>
          <w:szCs w:val="20"/>
          <w:lang w:eastAsia="sk-SK"/>
        </w:rPr>
        <w:t>Okrem týchto oblastí majú kapitoly pravidelne sa opakujúce problémy pri rozpočtovaní osobných výdavkov</w:t>
      </w:r>
      <w:r w:rsidR="00E34BBA" w:rsidRPr="00E34BBA">
        <w:rPr>
          <w:rFonts w:eastAsia="Times New Roman" w:cs="Segoe UI"/>
          <w:szCs w:val="20"/>
          <w:lang w:eastAsia="sk-SK"/>
        </w:rPr>
        <w:t>, prevádzk</w:t>
      </w:r>
      <w:r>
        <w:rPr>
          <w:rFonts w:eastAsia="Times New Roman" w:cs="Segoe UI"/>
          <w:szCs w:val="20"/>
          <w:lang w:eastAsia="sk-SK"/>
        </w:rPr>
        <w:t>e</w:t>
      </w:r>
      <w:r w:rsidR="00E34BBA" w:rsidRPr="00E34BBA">
        <w:rPr>
          <w:rFonts w:eastAsia="Times New Roman" w:cs="Segoe UI"/>
          <w:szCs w:val="20"/>
          <w:lang w:eastAsia="sk-SK"/>
        </w:rPr>
        <w:t xml:space="preserve"> informačných systémov, súdnych sporoch, pri opravách techniky, zabezpečovaní náhradných dielov, špeciálneho materiálu a osobných ochranných prostriedkov</w:t>
      </w:r>
      <w:r>
        <w:rPr>
          <w:rFonts w:eastAsia="Times New Roman" w:cs="Segoe UI"/>
          <w:szCs w:val="20"/>
          <w:lang w:eastAsia="sk-SK"/>
        </w:rPr>
        <w:t>.</w:t>
      </w:r>
    </w:p>
    <w:p w14:paraId="5D07CD7A" w14:textId="26ADA797" w:rsidR="00AC6430" w:rsidRPr="00AC6430" w:rsidRDefault="00AC6430" w:rsidP="0089621C">
      <w:pPr>
        <w:pStyle w:val="Odsekzoznamu"/>
        <w:numPr>
          <w:ilvl w:val="0"/>
          <w:numId w:val="43"/>
        </w:numPr>
        <w:shd w:val="clear" w:color="auto" w:fill="FFFFFF"/>
        <w:rPr>
          <w:rStyle w:val="Siln"/>
        </w:rPr>
      </w:pPr>
      <w:r w:rsidRPr="00AC6430">
        <w:rPr>
          <w:rStyle w:val="Siln"/>
        </w:rPr>
        <w:t>Programové rozpočtovanie</w:t>
      </w:r>
    </w:p>
    <w:p w14:paraId="4279C346" w14:textId="682D3941" w:rsidR="00EF22CA" w:rsidRDefault="00EF22CA" w:rsidP="00CC017D">
      <w:pPr>
        <w:rPr>
          <w:rFonts w:eastAsia="Times New Roman" w:cs="Segoe UI"/>
          <w:color w:val="000000"/>
          <w:szCs w:val="20"/>
          <w:lang w:eastAsia="sk-SK"/>
        </w:rPr>
      </w:pPr>
      <w:r w:rsidRPr="00082776">
        <w:rPr>
          <w:rFonts w:eastAsia="Times New Roman" w:cs="Segoe UI"/>
          <w:bCs/>
          <w:szCs w:val="20"/>
          <w:lang w:eastAsia="sk-SK"/>
        </w:rPr>
        <w:t>V </w:t>
      </w:r>
      <w:r w:rsidR="004A1372">
        <w:rPr>
          <w:rFonts w:eastAsia="Times New Roman" w:cs="Segoe UI"/>
          <w:bCs/>
          <w:szCs w:val="20"/>
          <w:lang w:eastAsia="sk-SK"/>
        </w:rPr>
        <w:t>PVV</w:t>
      </w:r>
      <w:r w:rsidRPr="00082776">
        <w:rPr>
          <w:rFonts w:eastAsia="Times New Roman" w:cs="Segoe UI"/>
          <w:bCs/>
          <w:szCs w:val="20"/>
          <w:lang w:eastAsia="sk-SK"/>
        </w:rPr>
        <w:t xml:space="preserve"> je uvedené, že vláda posilní </w:t>
      </w:r>
      <w:r w:rsidRPr="00082776">
        <w:rPr>
          <w:rFonts w:eastAsia="Times New Roman" w:cs="Segoe UI"/>
          <w:color w:val="000000"/>
          <w:szCs w:val="20"/>
          <w:lang w:eastAsia="sk-SK"/>
        </w:rPr>
        <w:t>rozpočtovanie</w:t>
      </w:r>
      <w:r w:rsidRPr="00082776">
        <w:rPr>
          <w:rFonts w:eastAsia="Times New Roman" w:cs="Segoe UI"/>
          <w:color w:val="000000"/>
          <w:spacing w:val="19"/>
          <w:szCs w:val="20"/>
          <w:lang w:eastAsia="sk-SK"/>
        </w:rPr>
        <w:t xml:space="preserve"> </w:t>
      </w:r>
      <w:r w:rsidRPr="00082776">
        <w:rPr>
          <w:rFonts w:eastAsia="Times New Roman" w:cs="Segoe UI"/>
          <w:color w:val="000000"/>
          <w:szCs w:val="20"/>
          <w:lang w:eastAsia="sk-SK"/>
        </w:rPr>
        <w:t>orientované</w:t>
      </w:r>
      <w:r w:rsidRPr="00082776">
        <w:rPr>
          <w:rFonts w:eastAsia="Times New Roman" w:cs="Segoe UI"/>
          <w:color w:val="000000"/>
          <w:spacing w:val="19"/>
          <w:szCs w:val="20"/>
          <w:lang w:eastAsia="sk-SK"/>
        </w:rPr>
        <w:t xml:space="preserve"> </w:t>
      </w:r>
      <w:r w:rsidRPr="00082776">
        <w:rPr>
          <w:rFonts w:eastAsia="Times New Roman" w:cs="Segoe UI"/>
          <w:color w:val="000000"/>
          <w:szCs w:val="20"/>
          <w:lang w:eastAsia="sk-SK"/>
        </w:rPr>
        <w:t>na</w:t>
      </w:r>
      <w:r w:rsidRPr="00082776">
        <w:rPr>
          <w:rFonts w:eastAsia="Times New Roman" w:cs="Segoe UI"/>
          <w:color w:val="000000"/>
          <w:spacing w:val="19"/>
          <w:szCs w:val="20"/>
          <w:lang w:eastAsia="sk-SK"/>
        </w:rPr>
        <w:t xml:space="preserve"> </w:t>
      </w:r>
      <w:r w:rsidRPr="00082776">
        <w:rPr>
          <w:rFonts w:eastAsia="Times New Roman" w:cs="Segoe UI"/>
          <w:color w:val="000000"/>
          <w:szCs w:val="20"/>
          <w:lang w:eastAsia="sk-SK"/>
        </w:rPr>
        <w:t>výsledky</w:t>
      </w:r>
      <w:r w:rsidRPr="00082776">
        <w:rPr>
          <w:rFonts w:eastAsia="Times New Roman" w:cs="Segoe UI"/>
          <w:color w:val="000000"/>
          <w:spacing w:val="19"/>
          <w:szCs w:val="20"/>
          <w:lang w:eastAsia="sk-SK"/>
        </w:rPr>
        <w:t xml:space="preserve"> </w:t>
      </w:r>
      <w:r w:rsidRPr="00082776">
        <w:rPr>
          <w:rFonts w:eastAsia="Times New Roman" w:cs="Segoe UI"/>
          <w:color w:val="000000"/>
          <w:szCs w:val="20"/>
          <w:lang w:eastAsia="sk-SK"/>
        </w:rPr>
        <w:t>a</w:t>
      </w:r>
      <w:r w:rsidRPr="00082776">
        <w:rPr>
          <w:rFonts w:eastAsia="Times New Roman" w:cs="Segoe UI"/>
          <w:color w:val="000000"/>
          <w:spacing w:val="19"/>
          <w:szCs w:val="20"/>
          <w:lang w:eastAsia="sk-SK"/>
        </w:rPr>
        <w:t> </w:t>
      </w:r>
      <w:r w:rsidRPr="00082776">
        <w:rPr>
          <w:rFonts w:eastAsia="Times New Roman" w:cs="Segoe UI"/>
          <w:color w:val="000000"/>
          <w:szCs w:val="20"/>
          <w:lang w:eastAsia="sk-SK"/>
        </w:rPr>
        <w:t>informovanie</w:t>
      </w:r>
      <w:r w:rsidRPr="00082776">
        <w:rPr>
          <w:rFonts w:eastAsia="Times New Roman" w:cs="Segoe UI"/>
          <w:color w:val="000000"/>
          <w:spacing w:val="19"/>
          <w:szCs w:val="20"/>
          <w:lang w:eastAsia="sk-SK"/>
        </w:rPr>
        <w:t xml:space="preserve"> </w:t>
      </w:r>
      <w:r w:rsidRPr="00082776">
        <w:rPr>
          <w:rFonts w:eastAsia="Times New Roman" w:cs="Segoe UI"/>
          <w:color w:val="000000"/>
          <w:szCs w:val="20"/>
          <w:lang w:eastAsia="sk-SK"/>
        </w:rPr>
        <w:t>o</w:t>
      </w:r>
      <w:r w:rsidRPr="00082776">
        <w:rPr>
          <w:rFonts w:eastAsia="Times New Roman" w:cs="Segoe UI"/>
          <w:color w:val="000000"/>
          <w:spacing w:val="19"/>
          <w:szCs w:val="20"/>
          <w:lang w:eastAsia="sk-SK"/>
        </w:rPr>
        <w:t xml:space="preserve"> </w:t>
      </w:r>
      <w:r w:rsidRPr="00082776">
        <w:rPr>
          <w:rFonts w:eastAsia="Times New Roman" w:cs="Segoe UI"/>
          <w:color w:val="000000"/>
          <w:szCs w:val="20"/>
          <w:lang w:eastAsia="sk-SK"/>
        </w:rPr>
        <w:t>cieľoch</w:t>
      </w:r>
      <w:r w:rsidRPr="00082776">
        <w:rPr>
          <w:rFonts w:eastAsia="Times New Roman" w:cs="Segoe UI"/>
          <w:color w:val="000000"/>
          <w:spacing w:val="19"/>
          <w:szCs w:val="20"/>
          <w:lang w:eastAsia="sk-SK"/>
        </w:rPr>
        <w:t xml:space="preserve"> </w:t>
      </w:r>
      <w:r w:rsidRPr="00082776">
        <w:rPr>
          <w:rFonts w:eastAsia="Times New Roman" w:cs="Segoe UI"/>
          <w:color w:val="000000"/>
          <w:szCs w:val="20"/>
          <w:lang w:eastAsia="sk-SK"/>
        </w:rPr>
        <w:t>verejných politík.</w:t>
      </w:r>
      <w:r w:rsidRPr="00082776">
        <w:rPr>
          <w:rFonts w:eastAsia="Times New Roman" w:cs="Segoe UI"/>
          <w:color w:val="000000"/>
          <w:spacing w:val="43"/>
          <w:szCs w:val="20"/>
          <w:lang w:eastAsia="sk-SK"/>
        </w:rPr>
        <w:t xml:space="preserve"> </w:t>
      </w:r>
      <w:r w:rsidRPr="00082776">
        <w:rPr>
          <w:rFonts w:eastAsia="Times New Roman" w:cs="Segoe UI"/>
          <w:szCs w:val="20"/>
          <w:lang w:eastAsia="sk-SK"/>
        </w:rPr>
        <w:t xml:space="preserve">V rozpočte síce boli stanovené kľúčové ukazovatele </w:t>
      </w:r>
      <w:r w:rsidRPr="00082776">
        <w:rPr>
          <w:rFonts w:eastAsia="Times New Roman" w:cs="Segoe UI"/>
          <w:color w:val="000000"/>
          <w:szCs w:val="20"/>
          <w:lang w:eastAsia="sk-SK"/>
        </w:rPr>
        <w:t>pre</w:t>
      </w:r>
      <w:r w:rsidRPr="00082776">
        <w:rPr>
          <w:rFonts w:eastAsia="Times New Roman" w:cs="Segoe UI"/>
          <w:color w:val="000000"/>
          <w:spacing w:val="43"/>
          <w:szCs w:val="20"/>
          <w:lang w:eastAsia="sk-SK"/>
        </w:rPr>
        <w:t xml:space="preserve"> </w:t>
      </w:r>
      <w:r w:rsidRPr="00082776">
        <w:rPr>
          <w:rFonts w:eastAsia="Times New Roman" w:cs="Segoe UI"/>
          <w:color w:val="000000"/>
          <w:szCs w:val="20"/>
          <w:lang w:eastAsia="sk-SK"/>
        </w:rPr>
        <w:t xml:space="preserve">jednotlivé ministerstvá, </w:t>
      </w:r>
      <w:r w:rsidRPr="00082776">
        <w:rPr>
          <w:rFonts w:eastAsia="Times New Roman" w:cs="Segoe UI"/>
          <w:b/>
          <w:color w:val="000000"/>
          <w:szCs w:val="20"/>
          <w:lang w:eastAsia="sk-SK"/>
        </w:rPr>
        <w:t>ale o sfunkčnení</w:t>
      </w:r>
      <w:r w:rsidRPr="00082776">
        <w:rPr>
          <w:rFonts w:eastAsia="Times New Roman" w:cs="Segoe UI"/>
          <w:color w:val="000000"/>
          <w:szCs w:val="20"/>
          <w:lang w:eastAsia="sk-SK"/>
        </w:rPr>
        <w:t xml:space="preserve"> </w:t>
      </w:r>
      <w:r w:rsidRPr="00082776">
        <w:rPr>
          <w:rFonts w:eastAsia="Times New Roman" w:cs="Segoe UI"/>
          <w:b/>
          <w:color w:val="000000"/>
          <w:szCs w:val="20"/>
          <w:lang w:eastAsia="sk-SK"/>
        </w:rPr>
        <w:t xml:space="preserve">programového rozpočtovania </w:t>
      </w:r>
      <w:r w:rsidR="00E962EA">
        <w:rPr>
          <w:rFonts w:eastAsia="Times New Roman" w:cs="Segoe UI"/>
          <w:b/>
          <w:color w:val="000000"/>
          <w:szCs w:val="20"/>
          <w:lang w:eastAsia="sk-SK"/>
        </w:rPr>
        <w:t xml:space="preserve">zatiaľ </w:t>
      </w:r>
      <w:r w:rsidRPr="00082776">
        <w:rPr>
          <w:rFonts w:eastAsia="Times New Roman" w:cs="Segoe UI"/>
          <w:b/>
          <w:color w:val="000000"/>
          <w:szCs w:val="20"/>
          <w:lang w:eastAsia="sk-SK"/>
        </w:rPr>
        <w:t>nemôžeme hovoriť</w:t>
      </w:r>
      <w:r w:rsidRPr="00082776">
        <w:rPr>
          <w:rFonts w:eastAsia="Times New Roman" w:cs="Segoe UI"/>
          <w:color w:val="000000"/>
          <w:szCs w:val="20"/>
          <w:lang w:eastAsia="sk-SK"/>
        </w:rPr>
        <w:t>.</w:t>
      </w:r>
      <w:r w:rsidR="00427568" w:rsidRPr="00427568">
        <w:t xml:space="preserve"> </w:t>
      </w:r>
      <w:r w:rsidR="008C3570">
        <w:t xml:space="preserve">Kroky MF SR v oblasti programového rozpočtovania bližšie popisuje BOX 2. </w:t>
      </w:r>
      <w:r w:rsidR="00FC495E">
        <w:rPr>
          <w:rFonts w:eastAsia="Times New Roman" w:cs="Segoe UI"/>
          <w:color w:val="000000"/>
          <w:szCs w:val="20"/>
          <w:lang w:eastAsia="sk-SK"/>
        </w:rPr>
        <w:t>Je dôležité, aby uvedené ukazovatele v návrhu RVS a ich cieľové hodnoty boli premietnuté do jednotlivých programov a vykazovali sa aj v rámci monitorovac</w:t>
      </w:r>
      <w:r w:rsidR="005E3614">
        <w:rPr>
          <w:rFonts w:eastAsia="Times New Roman" w:cs="Segoe UI"/>
          <w:color w:val="000000"/>
          <w:szCs w:val="20"/>
          <w:lang w:eastAsia="sk-SK"/>
        </w:rPr>
        <w:t>ích</w:t>
      </w:r>
      <w:r w:rsidR="00FC495E">
        <w:rPr>
          <w:rFonts w:eastAsia="Times New Roman" w:cs="Segoe UI"/>
          <w:color w:val="000000"/>
          <w:szCs w:val="20"/>
          <w:lang w:eastAsia="sk-SK"/>
        </w:rPr>
        <w:t xml:space="preserve"> správ, ktor</w:t>
      </w:r>
      <w:r w:rsidR="005E3614">
        <w:rPr>
          <w:rFonts w:eastAsia="Times New Roman" w:cs="Segoe UI"/>
          <w:color w:val="000000"/>
          <w:szCs w:val="20"/>
          <w:lang w:eastAsia="sk-SK"/>
        </w:rPr>
        <w:t>é</w:t>
      </w:r>
      <w:r w:rsidR="00FC495E">
        <w:rPr>
          <w:rFonts w:eastAsia="Times New Roman" w:cs="Segoe UI"/>
          <w:color w:val="000000"/>
          <w:szCs w:val="20"/>
          <w:lang w:eastAsia="sk-SK"/>
        </w:rPr>
        <w:t xml:space="preserve"> </w:t>
      </w:r>
      <w:r w:rsidR="005E3614">
        <w:rPr>
          <w:rFonts w:eastAsia="Times New Roman" w:cs="Segoe UI"/>
          <w:color w:val="000000"/>
          <w:szCs w:val="20"/>
          <w:lang w:eastAsia="sk-SK"/>
        </w:rPr>
        <w:t>sú</w:t>
      </w:r>
      <w:r w:rsidR="00FC495E">
        <w:rPr>
          <w:rFonts w:eastAsia="Times New Roman" w:cs="Segoe UI"/>
          <w:color w:val="000000"/>
          <w:szCs w:val="20"/>
          <w:lang w:eastAsia="sk-SK"/>
        </w:rPr>
        <w:t xml:space="preserve"> prílohou záverečných účtov kapitol.</w:t>
      </w:r>
      <w:r w:rsidR="00FC495E" w:rsidRPr="00427568">
        <w:t xml:space="preserve"> </w:t>
      </w:r>
      <w:r w:rsidR="00427568" w:rsidRPr="00427568">
        <w:rPr>
          <w:rFonts w:eastAsia="Times New Roman" w:cs="Segoe UI"/>
          <w:color w:val="000000"/>
          <w:szCs w:val="20"/>
          <w:lang w:eastAsia="sk-SK"/>
        </w:rPr>
        <w:t>Vybrané výdavky ŠR na realizáciu programov vlády</w:t>
      </w:r>
      <w:r w:rsidR="00427568">
        <w:rPr>
          <w:rFonts w:eastAsia="Times New Roman" w:cs="Segoe UI"/>
          <w:color w:val="000000"/>
          <w:szCs w:val="20"/>
          <w:lang w:eastAsia="sk-SK"/>
        </w:rPr>
        <w:t xml:space="preserve"> sú uvedené v tabuľke v Prílohe.</w:t>
      </w:r>
    </w:p>
    <w:p w14:paraId="7E0CEC5A" w14:textId="77777777" w:rsidR="00BE5A0E" w:rsidRDefault="00BE5A0E" w:rsidP="00BE5A0E">
      <w:pPr>
        <w:rPr>
          <w:rFonts w:eastAsia="Times New Roman" w:cs="Segoe UI"/>
          <w:color w:val="000000"/>
          <w:szCs w:val="20"/>
          <w:lang w:eastAsia="sk-SK"/>
        </w:rPr>
      </w:pPr>
    </w:p>
    <w:tbl>
      <w:tblPr>
        <w:tblStyle w:val="Mriekatabuky"/>
        <w:tblW w:w="0" w:type="auto"/>
        <w:shd w:val="clear" w:color="auto" w:fill="EBF0FB" w:themeFill="background2" w:themeFillTint="33"/>
        <w:tblLook w:val="04A0" w:firstRow="1" w:lastRow="0" w:firstColumn="1" w:lastColumn="0" w:noHBand="0" w:noVBand="1"/>
      </w:tblPr>
      <w:tblGrid>
        <w:gridCol w:w="9060"/>
      </w:tblGrid>
      <w:tr w:rsidR="00BE5A0E" w14:paraId="5A40391D" w14:textId="77777777" w:rsidTr="000634F6">
        <w:tc>
          <w:tcPr>
            <w:tcW w:w="9060" w:type="dxa"/>
            <w:shd w:val="clear" w:color="auto" w:fill="EBF0FB" w:themeFill="background2" w:themeFillTint="33"/>
          </w:tcPr>
          <w:p w14:paraId="50D42DF5" w14:textId="7B0B54EA" w:rsidR="00BE5A0E" w:rsidRPr="00912E54" w:rsidRDefault="00BE5A0E" w:rsidP="000634F6">
            <w:pPr>
              <w:spacing w:before="120"/>
              <w:rPr>
                <w:b/>
              </w:rPr>
            </w:pPr>
            <w:r w:rsidRPr="00912E54">
              <w:rPr>
                <w:b/>
              </w:rPr>
              <w:lastRenderedPageBreak/>
              <w:t>BOX</w:t>
            </w:r>
            <w:r>
              <w:rPr>
                <w:b/>
              </w:rPr>
              <w:t xml:space="preserve"> 2</w:t>
            </w:r>
            <w:r w:rsidRPr="00912E54">
              <w:rPr>
                <w:b/>
              </w:rPr>
              <w:t xml:space="preserve">: </w:t>
            </w:r>
            <w:r w:rsidR="00462C0B">
              <w:rPr>
                <w:b/>
              </w:rPr>
              <w:t xml:space="preserve">Plnenie opatrení z kontroly strednodobých rozpočtových rámcov - </w:t>
            </w:r>
            <w:r>
              <w:rPr>
                <w:b/>
              </w:rPr>
              <w:t>programové rozpočtovanie</w:t>
            </w:r>
          </w:p>
          <w:p w14:paraId="4C73EA07" w14:textId="343C510D" w:rsidR="00462C0B" w:rsidRDefault="00BE5A0E" w:rsidP="00462C0B">
            <w:pPr>
              <w:spacing w:before="120"/>
              <w:rPr>
                <w:sz w:val="18"/>
              </w:rPr>
            </w:pPr>
            <w:r>
              <w:rPr>
                <w:sz w:val="18"/>
              </w:rPr>
              <w:t xml:space="preserve">V rámci </w:t>
            </w:r>
            <w:r w:rsidR="00462C0B">
              <w:rPr>
                <w:sz w:val="18"/>
              </w:rPr>
              <w:t xml:space="preserve">ďalšieho </w:t>
            </w:r>
            <w:r>
              <w:rPr>
                <w:sz w:val="18"/>
              </w:rPr>
              <w:t>kontrolného zistenia</w:t>
            </w:r>
            <w:r w:rsidR="006C47F4">
              <w:rPr>
                <w:sz w:val="18"/>
              </w:rPr>
              <w:t>:</w:t>
            </w:r>
            <w:r>
              <w:rPr>
                <w:sz w:val="18"/>
              </w:rPr>
              <w:t xml:space="preserve"> aktuálna implementácia a spôsob využívania programového rozpočtovania nedosahuje potenciál svojich možností</w:t>
            </w:r>
            <w:r w:rsidR="006C47F4">
              <w:rPr>
                <w:sz w:val="18"/>
              </w:rPr>
              <w:t>;</w:t>
            </w:r>
            <w:r w:rsidR="00462C0B">
              <w:rPr>
                <w:sz w:val="18"/>
              </w:rPr>
              <w:t xml:space="preserve"> NKÚ SR odporúčal </w:t>
            </w:r>
            <w:r>
              <w:rPr>
                <w:sz w:val="18"/>
              </w:rPr>
              <w:t xml:space="preserve">MF SR zrevidovať systém programového rozpočtovania a zabezpečiť jednotné riadenie kvality. </w:t>
            </w:r>
            <w:r w:rsidR="00462C0B">
              <w:rPr>
                <w:sz w:val="18"/>
              </w:rPr>
              <w:t>Opatrenia MF SR sú nasledovné:</w:t>
            </w:r>
          </w:p>
          <w:p w14:paraId="07EB834C" w14:textId="214B0164" w:rsidR="00BE5A0E" w:rsidRDefault="00B26EBA" w:rsidP="000634F6">
            <w:pPr>
              <w:pStyle w:val="Odsekzoznamu"/>
              <w:numPr>
                <w:ilvl w:val="0"/>
                <w:numId w:val="44"/>
              </w:numPr>
              <w:spacing w:before="120"/>
              <w:rPr>
                <w:sz w:val="18"/>
              </w:rPr>
            </w:pPr>
            <w:r>
              <w:rPr>
                <w:sz w:val="18"/>
              </w:rPr>
              <w:t>z</w:t>
            </w:r>
            <w:r w:rsidR="00BE5A0E">
              <w:rPr>
                <w:sz w:val="18"/>
              </w:rPr>
              <w:t xml:space="preserve">výšenie zrozumiteľnosti programového rozpočtovania by mala priniesť aktualizácia programových štruktúr pilotných kapitol už pri tvorbe rozpočtu </w:t>
            </w:r>
            <w:r>
              <w:rPr>
                <w:sz w:val="18"/>
              </w:rPr>
              <w:t xml:space="preserve">na roky </w:t>
            </w:r>
            <w:r w:rsidR="00BE5A0E">
              <w:rPr>
                <w:sz w:val="18"/>
              </w:rPr>
              <w:t xml:space="preserve">2022 – 2024 (MK SR, MPSVaR SR, MŽP SR), najmä aktualizáciou programov, cieľov a merateľných ukazovateľov (dôraz </w:t>
            </w:r>
            <w:r>
              <w:rPr>
                <w:sz w:val="18"/>
              </w:rPr>
              <w:t xml:space="preserve">je </w:t>
            </w:r>
            <w:r w:rsidR="00BE5A0E">
              <w:rPr>
                <w:sz w:val="18"/>
              </w:rPr>
              <w:t>kladený na výsledkové ukazovatele na vyšších ú</w:t>
            </w:r>
            <w:r w:rsidR="00462C0B">
              <w:rPr>
                <w:sz w:val="18"/>
              </w:rPr>
              <w:t>rovniach programovej štruktúry);</w:t>
            </w:r>
          </w:p>
          <w:p w14:paraId="7118B460" w14:textId="647E4280" w:rsidR="00BE5A0E" w:rsidRDefault="00BE5A0E" w:rsidP="000634F6">
            <w:pPr>
              <w:pStyle w:val="Odsekzoznamu"/>
              <w:numPr>
                <w:ilvl w:val="0"/>
                <w:numId w:val="44"/>
              </w:numPr>
              <w:spacing w:before="120"/>
              <w:rPr>
                <w:sz w:val="18"/>
              </w:rPr>
            </w:pPr>
            <w:r>
              <w:rPr>
                <w:sz w:val="18"/>
              </w:rPr>
              <w:t xml:space="preserve">MF SR aktualizovalo Príručky pre zostavenie návrhu </w:t>
            </w:r>
            <w:r w:rsidR="00462C0B">
              <w:rPr>
                <w:sz w:val="18"/>
              </w:rPr>
              <w:t>rozpočtu VS na roky 2022 – 2024;</w:t>
            </w:r>
          </w:p>
          <w:p w14:paraId="5BCCC8CD" w14:textId="72BE24B3" w:rsidR="00BE5A0E" w:rsidRPr="00912E54" w:rsidRDefault="00BE5A0E" w:rsidP="000634F6">
            <w:pPr>
              <w:pStyle w:val="Odsekzoznamu"/>
              <w:numPr>
                <w:ilvl w:val="0"/>
                <w:numId w:val="44"/>
              </w:numPr>
              <w:spacing w:before="120"/>
              <w:rPr>
                <w:sz w:val="18"/>
              </w:rPr>
            </w:pPr>
            <w:r>
              <w:rPr>
                <w:sz w:val="18"/>
              </w:rPr>
              <w:t>MF SR chce zapojiť aj ostatné subjekty VS do programového rozpočtovania, pričom by sa to malo dotknúť v prvom kroku strategicky významných podnikov (NDS a. s., ŽSR a</w:t>
            </w:r>
            <w:r w:rsidR="00BB6815">
              <w:rPr>
                <w:sz w:val="18"/>
              </w:rPr>
              <w:t> </w:t>
            </w:r>
            <w:r>
              <w:rPr>
                <w:sz w:val="18"/>
              </w:rPr>
              <w:t>ZSSK</w:t>
            </w:r>
            <w:r w:rsidR="00BB6815">
              <w:rPr>
                <w:sz w:val="18"/>
              </w:rPr>
              <w:t>,</w:t>
            </w:r>
            <w:r>
              <w:rPr>
                <w:sz w:val="18"/>
              </w:rPr>
              <w:t xml:space="preserve"> a. s.).</w:t>
            </w:r>
            <w:r w:rsidRPr="00912E54">
              <w:rPr>
                <w:sz w:val="18"/>
              </w:rPr>
              <w:t xml:space="preserve"> </w:t>
            </w:r>
          </w:p>
        </w:tc>
      </w:tr>
    </w:tbl>
    <w:p w14:paraId="68135A8C" w14:textId="2E461FE2" w:rsidR="00F47310" w:rsidRDefault="00F47310" w:rsidP="00BE5A0E">
      <w:pPr>
        <w:spacing w:before="120"/>
      </w:pPr>
      <w:r w:rsidRPr="00222856">
        <w:rPr>
          <w:rFonts w:eastAsia="Times New Roman" w:cs="Segoe UI"/>
          <w:color w:val="000000"/>
          <w:szCs w:val="20"/>
          <w:lang w:eastAsia="sk-SK"/>
        </w:rPr>
        <w:t xml:space="preserve">Pri stanovovaní kľúčových ukazovateľov </w:t>
      </w:r>
      <w:r w:rsidRPr="00A103B1">
        <w:rPr>
          <w:rFonts w:eastAsia="Times New Roman" w:cs="Segoe UI"/>
          <w:b/>
          <w:color w:val="000000"/>
          <w:szCs w:val="20"/>
          <w:lang w:eastAsia="sk-SK"/>
        </w:rPr>
        <w:t>v rezorte školstva</w:t>
      </w:r>
      <w:r>
        <w:rPr>
          <w:rFonts w:eastAsia="Times New Roman" w:cs="Segoe UI"/>
          <w:color w:val="000000"/>
          <w:szCs w:val="20"/>
          <w:lang w:eastAsia="sk-SK"/>
        </w:rPr>
        <w:t xml:space="preserve"> bolo zistené, že z 13 </w:t>
      </w:r>
      <w:r>
        <w:t>kľúčových ukazovateľov v</w:t>
      </w:r>
      <w:r w:rsidRPr="00A103B1">
        <w:t xml:space="preserve"> dvoch prípadoch chýbajú cieľové hodnoty a pri priemere dosiahnutých bodov v testovaní PISA došlo v porovnaní s dokumentom Moderné a úspešné Slovensko k výraznému zníženiu cieľovej hodnoty</w:t>
      </w:r>
      <w:r>
        <w:t xml:space="preserve"> </w:t>
      </w:r>
      <w:r w:rsidRPr="00F47310">
        <w:t>– cieľ na rok 2024 je o 15 bodov nižší ako ten formulovaný v reformnom dokumente a zároveň nižší ako výsledok v poslednom testovaní v roku 2018.</w:t>
      </w:r>
    </w:p>
    <w:p w14:paraId="28D7BCDF" w14:textId="7D4814C5" w:rsidR="000156D3" w:rsidRDefault="00F47310" w:rsidP="000156D3">
      <w:r w:rsidRPr="00A103B1">
        <w:rPr>
          <w:b/>
        </w:rPr>
        <w:t>NKÚ SR pozitívne hodnotí, že v</w:t>
      </w:r>
      <w:r>
        <w:t xml:space="preserve"> </w:t>
      </w:r>
      <w:r w:rsidRPr="00771FD2">
        <w:rPr>
          <w:b/>
        </w:rPr>
        <w:t>návrh</w:t>
      </w:r>
      <w:r>
        <w:rPr>
          <w:b/>
        </w:rPr>
        <w:t>u</w:t>
      </w:r>
      <w:r w:rsidRPr="00771FD2">
        <w:rPr>
          <w:b/>
        </w:rPr>
        <w:t xml:space="preserve"> rozpočtu zdravotníctva </w:t>
      </w:r>
      <w:r>
        <w:t>sú uve</w:t>
      </w:r>
      <w:r w:rsidRPr="00A103B1">
        <w:t>dené kľúčové ukazovatele spolu s cieľovými hodnotami</w:t>
      </w:r>
      <w:r>
        <w:t xml:space="preserve"> a tieto sú v konzistencii s dlhodobým strategickým rámcom zdravotníctva.</w:t>
      </w:r>
      <w:r w:rsidR="005E3614">
        <w:t xml:space="preserve"> </w:t>
      </w:r>
      <w:r>
        <w:rPr>
          <w:rFonts w:cs="Segoe UI"/>
          <w:szCs w:val="20"/>
        </w:rPr>
        <w:t xml:space="preserve">V rámci programovej štruktúry </w:t>
      </w:r>
      <w:r w:rsidR="005E3614">
        <w:rPr>
          <w:rFonts w:cs="Segoe UI"/>
          <w:szCs w:val="20"/>
        </w:rPr>
        <w:t>v</w:t>
      </w:r>
      <w:r w:rsidRPr="00A103B1">
        <w:rPr>
          <w:rFonts w:cs="Segoe UI"/>
          <w:b/>
          <w:szCs w:val="20"/>
        </w:rPr>
        <w:t> </w:t>
      </w:r>
      <w:r w:rsidRPr="00D66A7C">
        <w:rPr>
          <w:rFonts w:cs="Segoe UI"/>
          <w:szCs w:val="20"/>
        </w:rPr>
        <w:t xml:space="preserve">rezorte </w:t>
      </w:r>
      <w:r w:rsidR="00D66A7C">
        <w:t xml:space="preserve">však </w:t>
      </w:r>
      <w:r>
        <w:t xml:space="preserve">NKÚ SR konštatuje, že </w:t>
      </w:r>
      <w:r w:rsidRPr="00175D96">
        <w:t>neexistuje dostatočná previazanosť prijatej dlhodobej stratégie v zdravotníctve a programového rozpočtovania</w:t>
      </w:r>
      <w:r>
        <w:t xml:space="preserve"> pri zostavovaní návrhu RVS. Navyše v</w:t>
      </w:r>
      <w:r w:rsidRPr="00973A2D">
        <w:t xml:space="preserve">äčšina verejných zdrojov rozpočtovaných pre oblasť zdravotníctva nateká do systému cez </w:t>
      </w:r>
      <w:r w:rsidR="00034CF4">
        <w:t>VZP</w:t>
      </w:r>
      <w:r w:rsidRPr="00973A2D">
        <w:t xml:space="preserve">. Tento druh rozpočtovaných výdavkov je z hľadiska programového rozpočtovania nealokovaný. </w:t>
      </w:r>
      <w:r w:rsidR="000156D3" w:rsidRPr="00D66A7C">
        <w:t xml:space="preserve">NKÚ pozitívne hodnotí, že v návrhu rozpočtu sú výdavky VZP rozdelené podľa vecných oblastí, </w:t>
      </w:r>
      <w:r w:rsidR="000156D3">
        <w:t>čo je krokom k detailnejšiemu programovému rozpočtovaniu aj týchto výdavkov.</w:t>
      </w:r>
    </w:p>
    <w:p w14:paraId="39258268" w14:textId="67E231E0" w:rsidR="00D65D01" w:rsidRDefault="00D65D01" w:rsidP="00D65D01">
      <w:pPr>
        <w:rPr>
          <w:rFonts w:cs="Segoe UI"/>
          <w:szCs w:val="20"/>
        </w:rPr>
      </w:pPr>
      <w:r w:rsidRPr="009202E9">
        <w:rPr>
          <w:rFonts w:cs="Segoe UI"/>
          <w:szCs w:val="20"/>
        </w:rPr>
        <w:t>Cieľové hodnoty ukazovateľov</w:t>
      </w:r>
      <w:r>
        <w:rPr>
          <w:rFonts w:cs="Segoe UI"/>
          <w:szCs w:val="20"/>
        </w:rPr>
        <w:t xml:space="preserve"> </w:t>
      </w:r>
      <w:r w:rsidRPr="00A103B1">
        <w:rPr>
          <w:rFonts w:cs="Segoe UI"/>
          <w:b/>
          <w:szCs w:val="20"/>
        </w:rPr>
        <w:t>v kapitole MPSVR SR</w:t>
      </w:r>
      <w:r w:rsidRPr="009202E9">
        <w:rPr>
          <w:rFonts w:cs="Segoe UI"/>
          <w:szCs w:val="20"/>
        </w:rPr>
        <w:t xml:space="preserve"> sú stanovené len </w:t>
      </w:r>
      <w:r w:rsidR="00BB6815">
        <w:rPr>
          <w:rFonts w:cs="Segoe UI"/>
          <w:szCs w:val="20"/>
        </w:rPr>
        <w:t>na</w:t>
      </w:r>
      <w:r w:rsidRPr="009202E9">
        <w:rPr>
          <w:rFonts w:cs="Segoe UI"/>
          <w:szCs w:val="20"/>
        </w:rPr>
        <w:t xml:space="preserve"> rok 2030 </w:t>
      </w:r>
      <w:r>
        <w:rPr>
          <w:rFonts w:cs="Segoe UI"/>
          <w:szCs w:val="20"/>
        </w:rPr>
        <w:t xml:space="preserve">a len </w:t>
      </w:r>
      <w:r w:rsidRPr="009202E9">
        <w:rPr>
          <w:rFonts w:cs="Segoe UI"/>
          <w:szCs w:val="20"/>
        </w:rPr>
        <w:t xml:space="preserve">pre tri ukazovatele trhu práce. </w:t>
      </w:r>
      <w:r w:rsidRPr="00A103B1">
        <w:rPr>
          <w:rFonts w:cs="Segoe UI"/>
          <w:b/>
          <w:szCs w:val="20"/>
        </w:rPr>
        <w:t>NKÚ SR preto odporúča zadefinovať cieľové hodnoty aj pre ostatné ukazovatele</w:t>
      </w:r>
      <w:r w:rsidR="00BB6815">
        <w:rPr>
          <w:rFonts w:cs="Segoe UI"/>
          <w:szCs w:val="20"/>
        </w:rPr>
        <w:t>,</w:t>
      </w:r>
      <w:r>
        <w:rPr>
          <w:rFonts w:cs="Segoe UI"/>
          <w:szCs w:val="20"/>
        </w:rPr>
        <w:t xml:space="preserve"> </w:t>
      </w:r>
      <w:r w:rsidRPr="009202E9">
        <w:rPr>
          <w:rFonts w:cs="Segoe UI"/>
          <w:szCs w:val="20"/>
        </w:rPr>
        <w:t xml:space="preserve">a to </w:t>
      </w:r>
      <w:r>
        <w:rPr>
          <w:rFonts w:cs="Segoe UI"/>
          <w:szCs w:val="20"/>
        </w:rPr>
        <w:t>tak</w:t>
      </w:r>
      <w:r w:rsidRPr="009202E9">
        <w:rPr>
          <w:rFonts w:cs="Segoe UI"/>
          <w:szCs w:val="20"/>
        </w:rPr>
        <w:t xml:space="preserve"> </w:t>
      </w:r>
      <w:r>
        <w:rPr>
          <w:rFonts w:cs="Segoe UI"/>
          <w:szCs w:val="20"/>
        </w:rPr>
        <w:t xml:space="preserve">pre </w:t>
      </w:r>
      <w:r w:rsidRPr="009202E9">
        <w:rPr>
          <w:rFonts w:cs="Segoe UI"/>
          <w:szCs w:val="20"/>
        </w:rPr>
        <w:t>rok 2024 a</w:t>
      </w:r>
      <w:r>
        <w:rPr>
          <w:rFonts w:cs="Segoe UI"/>
          <w:szCs w:val="20"/>
        </w:rPr>
        <w:t xml:space="preserve">ko aj pre rok </w:t>
      </w:r>
      <w:r w:rsidRPr="009202E9">
        <w:rPr>
          <w:rFonts w:cs="Segoe UI"/>
          <w:szCs w:val="20"/>
        </w:rPr>
        <w:t>2030.</w:t>
      </w:r>
    </w:p>
    <w:p w14:paraId="0C2814C5" w14:textId="30F8D328" w:rsidR="00F47310" w:rsidRDefault="00F47310" w:rsidP="00F47310">
      <w:pPr>
        <w:rPr>
          <w:rFonts w:cs="Segoe UI"/>
          <w:szCs w:val="20"/>
        </w:rPr>
      </w:pPr>
      <w:r w:rsidRPr="00A103B1">
        <w:rPr>
          <w:rFonts w:cs="Segoe UI"/>
          <w:b/>
          <w:szCs w:val="20"/>
        </w:rPr>
        <w:t>Sociálna poisťovňa</w:t>
      </w:r>
      <w:r w:rsidRPr="00A103B1">
        <w:rPr>
          <w:rFonts w:cs="Segoe UI"/>
          <w:szCs w:val="20"/>
        </w:rPr>
        <w:t xml:space="preserve"> nemá zavedené programové rozpočtovanie. NKÚ SR dáva do pozornosti odporúčanie ÚHP o zavedení programového rozpočtovania podľa typu poistenia a so súčasným určením hlavných výsledkových ukazovateľov na úrovni jednotlivých programov, ktoré by sa pravidelne vyhodnocovali</w:t>
      </w:r>
      <w:r w:rsidR="00391D7C" w:rsidRPr="007F7294">
        <w:rPr>
          <w:rStyle w:val="Odkaznapoznmkupodiarou"/>
          <w:rFonts w:cs="Segoe UI"/>
          <w:i/>
          <w:szCs w:val="20"/>
        </w:rPr>
        <w:footnoteReference w:id="12"/>
      </w:r>
      <w:r w:rsidR="007F7294" w:rsidRPr="007F7294">
        <w:rPr>
          <w:rFonts w:cs="Segoe UI"/>
          <w:i/>
          <w:szCs w:val="20"/>
          <w:vertAlign w:val="superscript"/>
        </w:rPr>
        <w:t>)</w:t>
      </w:r>
      <w:r w:rsidRPr="00A103B1">
        <w:rPr>
          <w:rFonts w:cs="Segoe UI"/>
          <w:szCs w:val="20"/>
        </w:rPr>
        <w:t>.</w:t>
      </w:r>
    </w:p>
    <w:p w14:paraId="5E1C15B1" w14:textId="1A1DDA8E" w:rsidR="00677008" w:rsidRPr="0052787E" w:rsidRDefault="00677008" w:rsidP="00F47310">
      <w:r w:rsidRPr="00082776">
        <w:rPr>
          <w:rFonts w:eastAsia="Times New Roman" w:cs="Segoe UI"/>
          <w:bCs/>
          <w:szCs w:val="20"/>
          <w:lang w:eastAsia="sk-SK"/>
        </w:rPr>
        <w:t xml:space="preserve">V návrhu rozpočtu </w:t>
      </w:r>
      <w:r w:rsidRPr="00082776">
        <w:rPr>
          <w:rFonts w:eastAsia="Times New Roman" w:cs="Segoe UI"/>
          <w:b/>
          <w:bCs/>
          <w:szCs w:val="20"/>
          <w:lang w:eastAsia="sk-SK"/>
        </w:rPr>
        <w:t>rezortu dopravy</w:t>
      </w:r>
      <w:r w:rsidRPr="00082776">
        <w:rPr>
          <w:rFonts w:eastAsia="Times New Roman" w:cs="Segoe UI"/>
          <w:bCs/>
          <w:szCs w:val="20"/>
          <w:lang w:eastAsia="sk-SK"/>
        </w:rPr>
        <w:t xml:space="preserve"> sa prehľadnosť programovej štruktúry a tok výdavkov zbyt</w:t>
      </w:r>
      <w:r>
        <w:rPr>
          <w:rFonts w:eastAsia="Times New Roman" w:cs="Segoe UI"/>
          <w:bCs/>
          <w:szCs w:val="20"/>
          <w:lang w:eastAsia="sk-SK"/>
        </w:rPr>
        <w:t xml:space="preserve">očne komplikuje. </w:t>
      </w:r>
      <w:r w:rsidRPr="00082776">
        <w:rPr>
          <w:rFonts w:eastAsia="Times New Roman" w:cs="Segoe UI"/>
          <w:bCs/>
          <w:szCs w:val="20"/>
          <w:lang w:eastAsia="sk-SK"/>
        </w:rPr>
        <w:t>Zo 101 mil. eur</w:t>
      </w:r>
      <w:r>
        <w:rPr>
          <w:rFonts w:eastAsia="Times New Roman" w:cs="Segoe UI"/>
          <w:bCs/>
          <w:szCs w:val="20"/>
          <w:lang w:eastAsia="sk-SK"/>
        </w:rPr>
        <w:t xml:space="preserve"> kapitálových výdavkov zo zdroja ŠR</w:t>
      </w:r>
      <w:r w:rsidRPr="00082776">
        <w:rPr>
          <w:rFonts w:eastAsia="Times New Roman" w:cs="Segoe UI"/>
          <w:bCs/>
          <w:szCs w:val="20"/>
          <w:lang w:eastAsia="sk-SK"/>
        </w:rPr>
        <w:t xml:space="preserve"> je 100 mil. eur rozpočtovaných na programe </w:t>
      </w:r>
      <w:r w:rsidRPr="002A3E26">
        <w:rPr>
          <w:b/>
        </w:rPr>
        <w:t>Tvorba a implementácia politík</w:t>
      </w:r>
      <w:r w:rsidRPr="007F7294">
        <w:rPr>
          <w:rStyle w:val="Odkaznapoznmkupodiarou"/>
          <w:i/>
        </w:rPr>
        <w:footnoteReference w:id="13"/>
      </w:r>
      <w:r w:rsidR="007F7294" w:rsidRPr="007F7294">
        <w:rPr>
          <w:b/>
          <w:i/>
          <w:vertAlign w:val="superscript"/>
        </w:rPr>
        <w:t>)</w:t>
      </w:r>
      <w:r w:rsidRPr="00082776">
        <w:rPr>
          <w:rFonts w:eastAsia="Times New Roman" w:cs="Segoe UI"/>
          <w:bCs/>
          <w:szCs w:val="20"/>
          <w:lang w:eastAsia="sk-SK"/>
        </w:rPr>
        <w:t xml:space="preserve">, pričom tento program sa zväčša používa na sledovanie výdavkov spojených s administratívou kapitoly. </w:t>
      </w:r>
      <w:r>
        <w:t xml:space="preserve">Samotný návrh rozpočtu na rok 2022 však definuje konkrétny zámer investičných výdavkov </w:t>
      </w:r>
      <w:r w:rsidR="00E05800">
        <w:rPr>
          <w:sz w:val="18"/>
        </w:rPr>
        <w:t>–</w:t>
      </w:r>
      <w:r>
        <w:t xml:space="preserve"> </w:t>
      </w:r>
      <w:r w:rsidRPr="002A3E26">
        <w:rPr>
          <w:b/>
        </w:rPr>
        <w:t>financovanie výstavby ciest I. triedy, diaľnic, RC, modernizácia železničnej infraštruktúry atď.</w:t>
      </w:r>
      <w:r>
        <w:t xml:space="preserve"> Na tento účel použitia boli zriadené programy a prvky </w:t>
      </w:r>
      <w:r>
        <w:lastRenderedPageBreak/>
        <w:t>Cestná infraštruktúra (053) a Železničná doprava (07S). NKÚ SR preto nevidí dôvod alokovať investičné výdavky do programov, ktoré neboli prioritne na tento účel zriadené</w:t>
      </w:r>
      <w:r w:rsidRPr="007F7294">
        <w:rPr>
          <w:rStyle w:val="Odkaznapoznmkupodiarou"/>
          <w:i/>
        </w:rPr>
        <w:footnoteReference w:id="14"/>
      </w:r>
      <w:r w:rsidR="007F7294" w:rsidRPr="007F7294">
        <w:rPr>
          <w:i/>
          <w:vertAlign w:val="superscript"/>
        </w:rPr>
        <w:t>)</w:t>
      </w:r>
      <w:r w:rsidR="0052787E">
        <w:rPr>
          <w:i/>
        </w:rPr>
        <w:t>.</w:t>
      </w:r>
    </w:p>
    <w:p w14:paraId="4AFD2D57" w14:textId="77777777" w:rsidR="00F47310" w:rsidRPr="00222856" w:rsidRDefault="00F47310" w:rsidP="00F47310">
      <w:r w:rsidRPr="00A103B1">
        <w:rPr>
          <w:b/>
        </w:rPr>
        <w:t>Ani programová štruktúra kapitoly MŽP SR</w:t>
      </w:r>
      <w:r w:rsidRPr="00222856">
        <w:t xml:space="preserve"> nepreväzuje stanovené ciele s konkrétnymi finančnými alokáciami, odpočtom merateľných ukazovateľov a </w:t>
      </w:r>
      <w:proofErr w:type="spellStart"/>
      <w:r w:rsidRPr="00222856">
        <w:t>priorizáciou</w:t>
      </w:r>
      <w:proofErr w:type="spellEnd"/>
      <w:r w:rsidRPr="00222856">
        <w:t xml:space="preserve"> projektov</w:t>
      </w:r>
      <w:r>
        <w:t>.</w:t>
      </w:r>
    </w:p>
    <w:p w14:paraId="0C1B52C4" w14:textId="156DD27A" w:rsidR="00993E8C" w:rsidRPr="0089621C" w:rsidRDefault="00993E8C" w:rsidP="0089621C">
      <w:pPr>
        <w:pStyle w:val="Odsekzoznamu"/>
        <w:numPr>
          <w:ilvl w:val="0"/>
          <w:numId w:val="43"/>
        </w:numPr>
        <w:rPr>
          <w:b/>
        </w:rPr>
      </w:pPr>
      <w:r w:rsidRPr="0089621C">
        <w:rPr>
          <w:b/>
        </w:rPr>
        <w:t>Rozpočtovanie kapitálových výdavkov</w:t>
      </w:r>
    </w:p>
    <w:p w14:paraId="1EDA0647" w14:textId="17267FCC" w:rsidR="00F9378C" w:rsidRDefault="00F9378C" w:rsidP="00F9378C">
      <w:r>
        <w:t xml:space="preserve">Z celkového balíka výdavkov (25,4 mld. eur) budú v roku 2022 tvoriť kapitálové výdavky kapitol ŠR 15,3 %. Financované majú byť z troch zdrojov – ŠR, fondy EÚ a Plán obnovy a odolnosti. Pri porovnaní podielu kapitálových výdavkov na tých celkových podľa jednotlivých zdrojov </w:t>
      </w:r>
      <w:r w:rsidRPr="00F9378C">
        <w:rPr>
          <w:b/>
        </w:rPr>
        <w:t xml:space="preserve">je to 8,3 % v prípade ŠR, 37,9 % </w:t>
      </w:r>
      <w:r w:rsidR="0052787E">
        <w:rPr>
          <w:b/>
        </w:rPr>
        <w:t>z</w:t>
      </w:r>
      <w:r w:rsidRPr="00F9378C">
        <w:rPr>
          <w:b/>
        </w:rPr>
        <w:t xml:space="preserve"> fond</w:t>
      </w:r>
      <w:r w:rsidR="0052787E">
        <w:rPr>
          <w:b/>
        </w:rPr>
        <w:t>ov</w:t>
      </w:r>
      <w:r w:rsidRPr="00F9378C">
        <w:rPr>
          <w:b/>
        </w:rPr>
        <w:t xml:space="preserve"> EÚ a 73,3 % </w:t>
      </w:r>
      <w:r w:rsidR="0052787E">
        <w:rPr>
          <w:b/>
        </w:rPr>
        <w:t>z</w:t>
      </w:r>
      <w:r w:rsidRPr="00F9378C">
        <w:rPr>
          <w:b/>
        </w:rPr>
        <w:t xml:space="preserve"> Plánu obnovy a</w:t>
      </w:r>
      <w:r>
        <w:rPr>
          <w:b/>
        </w:rPr>
        <w:t> </w:t>
      </w:r>
      <w:r w:rsidRPr="00F9378C">
        <w:rPr>
          <w:b/>
        </w:rPr>
        <w:t>odolnosti</w:t>
      </w:r>
      <w:r w:rsidRPr="00F9378C">
        <w:rPr>
          <w:rStyle w:val="Odkaznapoznmkupodiarou"/>
          <w:i/>
        </w:rPr>
        <w:footnoteReference w:customMarkFollows="1" w:id="15"/>
        <w:t>15)</w:t>
      </w:r>
      <w:r w:rsidRPr="00F9378C">
        <w:t>.</w:t>
      </w:r>
    </w:p>
    <w:p w14:paraId="10012563" w14:textId="289E8FDB" w:rsidR="00D37117" w:rsidRPr="00D37117" w:rsidRDefault="003B1E6E" w:rsidP="00D37117">
      <w:r>
        <w:t xml:space="preserve">Návrh </w:t>
      </w:r>
      <w:r w:rsidR="00D37117" w:rsidRPr="00D37117">
        <w:t>rozpočtu na deviatich stranách detailne p</w:t>
      </w:r>
      <w:r w:rsidR="0052787E">
        <w:t>opisuje,</w:t>
      </w:r>
      <w:r w:rsidR="00D37117" w:rsidRPr="00D37117">
        <w:t xml:space="preserve"> ktorým obciam plynuli dotácie z rezervy predsedu vlády (sumy rádovo v tisíckach eur), ale na ktoré </w:t>
      </w:r>
      <w:r w:rsidR="0052787E">
        <w:t xml:space="preserve">konkrétne </w:t>
      </w:r>
      <w:r w:rsidR="00D37117" w:rsidRPr="00D37117">
        <w:t>projekty</w:t>
      </w:r>
      <w:r w:rsidR="004A1372">
        <w:t xml:space="preserve"> </w:t>
      </w:r>
      <w:r w:rsidR="00D37117" w:rsidRPr="00D37117">
        <w:t xml:space="preserve">sa použije viac ako </w:t>
      </w:r>
      <w:r w:rsidR="0052787E">
        <w:t xml:space="preserve">1 </w:t>
      </w:r>
      <w:r w:rsidR="00D37117" w:rsidRPr="00D37117">
        <w:t>m</w:t>
      </w:r>
      <w:r w:rsidR="0052787E">
        <w:t>ld.</w:t>
      </w:r>
      <w:r w:rsidR="00D37117" w:rsidRPr="00D37117">
        <w:t xml:space="preserve"> eur z VPS, sa </w:t>
      </w:r>
      <w:r w:rsidR="004A1372">
        <w:t>z n</w:t>
      </w:r>
      <w:r>
        <w:t>eho</w:t>
      </w:r>
      <w:r w:rsidR="004A1372">
        <w:t xml:space="preserve"> </w:t>
      </w:r>
      <w:r w:rsidR="00D37117" w:rsidRPr="00D37117">
        <w:t xml:space="preserve">zistiť nedá. Aj budúcoročný rozpočet kapitálových výdavkov je poznačený tzv. </w:t>
      </w:r>
      <w:r w:rsidR="00D37117" w:rsidRPr="00D37117">
        <w:rPr>
          <w:b/>
        </w:rPr>
        <w:t>nulovým štartovacím rozpočtom</w:t>
      </w:r>
      <w:r w:rsidR="00D37117" w:rsidRPr="00D37117">
        <w:t xml:space="preserve"> (</w:t>
      </w:r>
      <w:proofErr w:type="spellStart"/>
      <w:r w:rsidR="00D37117" w:rsidRPr="00D37117">
        <w:t>zero-based</w:t>
      </w:r>
      <w:proofErr w:type="spellEnd"/>
      <w:r w:rsidR="00D37117" w:rsidRPr="00D37117">
        <w:t xml:space="preserve"> </w:t>
      </w:r>
      <w:proofErr w:type="spellStart"/>
      <w:r w:rsidR="00D37117" w:rsidRPr="00D37117">
        <w:t>budgeting</w:t>
      </w:r>
      <w:proofErr w:type="spellEnd"/>
      <w:r w:rsidR="00D37117" w:rsidRPr="00D37117">
        <w:t xml:space="preserve">). Ten bol prvýkrát predstavený v návrhu </w:t>
      </w:r>
      <w:r w:rsidR="0052787E">
        <w:t>RVS</w:t>
      </w:r>
      <w:r w:rsidR="00D37117" w:rsidRPr="00D37117">
        <w:t xml:space="preserve"> rok 2021. Filozofia je podporovať z rozpočtu iba najprínosnejšie projekty z pohľadu hodnoty za peniaze. Ktoré projekty by mali byť podporené v roku 2022</w:t>
      </w:r>
      <w:r w:rsidR="0052787E">
        <w:t>,</w:t>
      </w:r>
      <w:r w:rsidR="00D37117" w:rsidRPr="00D37117">
        <w:t xml:space="preserve"> sa </w:t>
      </w:r>
      <w:r w:rsidR="004A1372">
        <w:t xml:space="preserve">však </w:t>
      </w:r>
      <w:r w:rsidR="00D37117" w:rsidRPr="00D37117">
        <w:t>ob</w:t>
      </w:r>
      <w:r w:rsidR="006139F5">
        <w:t>čan z návrhu rozpočtu nedozvie.</w:t>
      </w:r>
    </w:p>
    <w:p w14:paraId="017B6050" w14:textId="220909DC" w:rsidR="00427568" w:rsidRPr="00D37117" w:rsidRDefault="00D37117" w:rsidP="00427568">
      <w:r w:rsidRPr="00D37117">
        <w:t xml:space="preserve">Prostriedky na investície zo ŠR dosiahnu </w:t>
      </w:r>
      <w:r w:rsidRPr="00D37117">
        <w:rPr>
          <w:b/>
        </w:rPr>
        <w:t>výšku 1,38 mld. eur, z toho 1,09 mld. eur</w:t>
      </w:r>
      <w:r w:rsidRPr="00D37117">
        <w:t xml:space="preserve"> </w:t>
      </w:r>
      <w:r w:rsidRPr="00D37117">
        <w:rPr>
          <w:b/>
        </w:rPr>
        <w:t>je alokovaných v</w:t>
      </w:r>
      <w:r w:rsidR="004A1372">
        <w:rPr>
          <w:b/>
        </w:rPr>
        <w:t xml:space="preserve"> kapitole</w:t>
      </w:r>
      <w:r w:rsidRPr="00D37117">
        <w:t xml:space="preserve"> </w:t>
      </w:r>
      <w:r w:rsidRPr="00D37117">
        <w:rPr>
          <w:b/>
        </w:rPr>
        <w:t>VPS a 293 mil. eur v</w:t>
      </w:r>
      <w:r w:rsidR="004A1372">
        <w:rPr>
          <w:b/>
        </w:rPr>
        <w:t> </w:t>
      </w:r>
      <w:r w:rsidRPr="00D37117">
        <w:rPr>
          <w:b/>
        </w:rPr>
        <w:t>kapitolách</w:t>
      </w:r>
      <w:r w:rsidR="004A1372">
        <w:rPr>
          <w:b/>
        </w:rPr>
        <w:t xml:space="preserve"> rezortov</w:t>
      </w:r>
      <w:r w:rsidR="002F69BE">
        <w:rPr>
          <w:b/>
        </w:rPr>
        <w:t xml:space="preserve"> </w:t>
      </w:r>
      <w:r w:rsidR="002F69BE" w:rsidRPr="002F69BE">
        <w:t>(Graf 5)</w:t>
      </w:r>
      <w:r w:rsidR="00656939">
        <w:t>.</w:t>
      </w:r>
      <w:r w:rsidR="00427568" w:rsidRPr="00427568">
        <w:t xml:space="preserve"> </w:t>
      </w:r>
      <w:r w:rsidR="00427568" w:rsidRPr="00D37117">
        <w:t xml:space="preserve">Až 83 % investičných výdavkov nachádzajúcich sa v kapitole VPS je určených pre rezort obrany (504 mil. eur) a dopravy (403 mil. eur). Vzhľadom k tomu, že MO SR má vo svojej kapitole na rok 2022 rozpočtovaných iba 22 mil. eur kapitálových výdavkov, je zrejmé, </w:t>
      </w:r>
      <w:r w:rsidR="00427568" w:rsidRPr="00D37117">
        <w:rPr>
          <w:b/>
        </w:rPr>
        <w:t>že najväčšia investičná položka v podobe ďalšej splátky za stíhačky F16 sa nachádza v balíku VPS</w:t>
      </w:r>
      <w:r w:rsidR="00427568" w:rsidRPr="00E05800">
        <w:t>.</w:t>
      </w:r>
      <w:r w:rsidR="00427568" w:rsidRPr="00D37117">
        <w:rPr>
          <w:b/>
        </w:rPr>
        <w:t xml:space="preserve"> NKÚ SR nevidí v tomto prípade dôvod alokovať prostriedky inde než v kapitole obrany, keďže nákup stíhačiek je pokračujúci projekt, ktorý už bol hodnotený.</w:t>
      </w:r>
      <w:r w:rsidR="00427568" w:rsidRPr="00D37117">
        <w:t xml:space="preserve"> To je v rozpore s filozofiou nulového rozpočtu, kedy do VPS by mali byť zaradené iba projekty ktoré ešte nie sú vo fáze realizácie. Absencia zoznamu projektov je aj v rezorte dopravy</w:t>
      </w:r>
      <w:r w:rsidR="00E05800">
        <w:rPr>
          <w:lang w:val="en-US"/>
        </w:rPr>
        <w:t>;</w:t>
      </w:r>
      <w:r w:rsidR="00427568" w:rsidRPr="00D37117">
        <w:t xml:space="preserve"> tomuto problému </w:t>
      </w:r>
      <w:r w:rsidR="00E05800">
        <w:t xml:space="preserve">sa </w:t>
      </w:r>
      <w:r w:rsidR="00427568" w:rsidRPr="00D37117">
        <w:t xml:space="preserve">podrobnejšie venujeme </w:t>
      </w:r>
      <w:r w:rsidR="00427568" w:rsidRPr="00E05800">
        <w:t>v</w:t>
      </w:r>
      <w:r w:rsidR="00427568" w:rsidRPr="00F9378C">
        <w:rPr>
          <w:i/>
        </w:rPr>
        <w:t> kapitole 5.3</w:t>
      </w:r>
      <w:r w:rsidR="00427568" w:rsidRPr="00D37117">
        <w:t>.</w:t>
      </w:r>
    </w:p>
    <w:p w14:paraId="0F996BBC" w14:textId="77777777" w:rsidR="00656939" w:rsidRDefault="00656939" w:rsidP="00656939">
      <w:pPr>
        <w:pStyle w:val="Popis"/>
        <w:keepNext/>
        <w:rPr>
          <w:color w:val="314364"/>
        </w:rPr>
      </w:pPr>
      <w:r>
        <w:rPr>
          <w:color w:val="314364"/>
        </w:rPr>
        <w:t>Graf 5: Rozdelenie kapitálových výdavkov podľa jednotlivých kapitol (v mil. eur)</w:t>
      </w:r>
    </w:p>
    <w:tbl>
      <w:tblPr>
        <w:tblStyle w:val="Mriekatabuky"/>
        <w:tblW w:w="49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656939" w:rsidRPr="00C75134" w14:paraId="62E1FFFB" w14:textId="77777777" w:rsidTr="0052787E">
        <w:trPr>
          <w:trHeight w:val="3490"/>
        </w:trPr>
        <w:tc>
          <w:tcPr>
            <w:tcW w:w="9009" w:type="dxa"/>
            <w:tcBorders>
              <w:top w:val="single" w:sz="4" w:space="0" w:color="314364"/>
              <w:bottom w:val="single" w:sz="4" w:space="0" w:color="314364"/>
            </w:tcBorders>
            <w:vAlign w:val="center"/>
          </w:tcPr>
          <w:p w14:paraId="0BC6C0E0" w14:textId="77777777" w:rsidR="00656939" w:rsidRPr="00C75134" w:rsidRDefault="00656939" w:rsidP="00381348">
            <w:pPr>
              <w:spacing w:after="0"/>
              <w:rPr>
                <w:b/>
                <w:color w:val="576431"/>
              </w:rPr>
            </w:pPr>
            <w:r>
              <w:rPr>
                <w:noProof/>
                <w:lang w:eastAsia="sk-SK"/>
              </w:rPr>
              <w:drawing>
                <wp:inline distT="0" distB="0" distL="0" distR="0" wp14:anchorId="37A46B25" wp14:editId="0ADC9425">
                  <wp:extent cx="5759450" cy="2085975"/>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13261947" w14:textId="77777777" w:rsidR="00656939" w:rsidRPr="00650EAB" w:rsidRDefault="00656939" w:rsidP="00656939">
      <w:pPr>
        <w:pStyle w:val="Zdroj"/>
      </w:pPr>
      <w:r w:rsidRPr="00650EAB">
        <w:t xml:space="preserve">Zdroj: </w:t>
      </w:r>
      <w:r>
        <w:t>Návrh RVS 2022-2024</w:t>
      </w:r>
    </w:p>
    <w:p w14:paraId="2C46B35C" w14:textId="0FD5238B" w:rsidR="003B1E6E" w:rsidRPr="00427568" w:rsidRDefault="003B1E6E" w:rsidP="003B1E6E">
      <w:r w:rsidRPr="002F69BE">
        <w:rPr>
          <w:b/>
        </w:rPr>
        <w:lastRenderedPageBreak/>
        <w:t>NKÚ SR</w:t>
      </w:r>
      <w:r>
        <w:rPr>
          <w:b/>
        </w:rPr>
        <w:t xml:space="preserve"> vníma zavedenie podpory pripravených a návratných projektov ako krok vpred,</w:t>
      </w:r>
      <w:r w:rsidRPr="002F69BE">
        <w:rPr>
          <w:b/>
        </w:rPr>
        <w:t xml:space="preserve"> </w:t>
      </w:r>
      <w:r>
        <w:rPr>
          <w:b/>
        </w:rPr>
        <w:t xml:space="preserve">no </w:t>
      </w:r>
      <w:r w:rsidRPr="002F69BE">
        <w:rPr>
          <w:b/>
        </w:rPr>
        <w:t xml:space="preserve">je potrebné doladiť ešte viacero detailov. </w:t>
      </w:r>
      <w:r w:rsidRPr="00427568">
        <w:t xml:space="preserve">V prvom rade </w:t>
      </w:r>
      <w:r>
        <w:t xml:space="preserve">musí každý rezort </w:t>
      </w:r>
      <w:r w:rsidRPr="00427568">
        <w:t>dokončiť</w:t>
      </w:r>
      <w:r>
        <w:t xml:space="preserve"> analyticky podloženú metodiku a investičný plán projektov (najmenej na obdobie do konca roku 2026).</w:t>
      </w:r>
      <w:r w:rsidRPr="00427568">
        <w:t xml:space="preserve"> </w:t>
      </w:r>
      <w:r>
        <w:t>Z návrhu rozpočtu vyplýva, že z 13 ministerstiev</w:t>
      </w:r>
      <w:r w:rsidRPr="003B1E6E">
        <w:t xml:space="preserve"> </w:t>
      </w:r>
      <w:r>
        <w:t>doposiaľ osem už zverejnilo metodiku a iba šesť investičný plán</w:t>
      </w:r>
      <w:r w:rsidRPr="003B1E6E">
        <w:rPr>
          <w:rStyle w:val="Odkaznapoznmkupodiarou"/>
          <w:i/>
        </w:rPr>
        <w:footnoteReference w:id="16"/>
      </w:r>
      <w:r w:rsidRPr="003B1E6E">
        <w:rPr>
          <w:i/>
          <w:vertAlign w:val="superscript"/>
        </w:rPr>
        <w:t>)</w:t>
      </w:r>
      <w:r>
        <w:t>.  Plány investícií sa musia</w:t>
      </w:r>
      <w:r w:rsidRPr="00427568">
        <w:t xml:space="preserve"> následne prepojiť s návrhom rozpočtu, kde bude uvedená aj výška nákladov na daný projekt na nasledujúci rozpočtový rok. Zároveň je potrebné striktne oddeľovať investície, ktoré majú byť ešte len posúdené</w:t>
      </w:r>
      <w:r w:rsidR="009B66D6">
        <w:t>,</w:t>
      </w:r>
      <w:r w:rsidRPr="00427568">
        <w:t xml:space="preserve"> </w:t>
      </w:r>
      <w:r w:rsidR="009B66D6">
        <w:t>od</w:t>
      </w:r>
      <w:r w:rsidRPr="00427568">
        <w:t> investíci</w:t>
      </w:r>
      <w:r w:rsidR="009B66D6">
        <w:t>í</w:t>
      </w:r>
      <w:r w:rsidRPr="00427568">
        <w:t xml:space="preserve">, ktoré </w:t>
      </w:r>
      <w:r w:rsidR="009B66D6">
        <w:t xml:space="preserve">sa </w:t>
      </w:r>
      <w:r w:rsidRPr="00427568">
        <w:t xml:space="preserve">už </w:t>
      </w:r>
      <w:r w:rsidR="009B66D6">
        <w:t>realizu</w:t>
      </w:r>
      <w:r w:rsidRPr="00427568">
        <w:t xml:space="preserve">jú a tie potom alokovať priamo do kapitol.  </w:t>
      </w:r>
    </w:p>
    <w:p w14:paraId="2EA17FF6" w14:textId="39071E08" w:rsidR="00993E8C" w:rsidRPr="0089621C" w:rsidRDefault="00993E8C" w:rsidP="0089621C">
      <w:pPr>
        <w:pStyle w:val="Odsekzoznamu"/>
        <w:numPr>
          <w:ilvl w:val="0"/>
          <w:numId w:val="43"/>
        </w:numPr>
        <w:rPr>
          <w:rFonts w:eastAsia="Times New Roman" w:cs="Segoe UI"/>
          <w:b/>
          <w:szCs w:val="20"/>
          <w:lang w:eastAsia="sk-SK"/>
        </w:rPr>
      </w:pPr>
      <w:r w:rsidRPr="0089621C">
        <w:rPr>
          <w:rFonts w:eastAsia="Times New Roman" w:cs="Segoe UI"/>
          <w:b/>
          <w:szCs w:val="20"/>
          <w:lang w:eastAsia="sk-SK"/>
        </w:rPr>
        <w:t>Rozpočtov</w:t>
      </w:r>
      <w:r w:rsidR="00E34BBA" w:rsidRPr="0089621C">
        <w:rPr>
          <w:rFonts w:eastAsia="Times New Roman" w:cs="Segoe UI"/>
          <w:b/>
          <w:szCs w:val="20"/>
          <w:lang w:eastAsia="sk-SK"/>
        </w:rPr>
        <w:t>anie</w:t>
      </w:r>
      <w:r w:rsidRPr="0089621C">
        <w:rPr>
          <w:rFonts w:eastAsia="Times New Roman" w:cs="Segoe UI"/>
          <w:b/>
          <w:szCs w:val="20"/>
          <w:lang w:eastAsia="sk-SK"/>
        </w:rPr>
        <w:t xml:space="preserve"> rezerv</w:t>
      </w:r>
    </w:p>
    <w:p w14:paraId="109B0FFE" w14:textId="42AE968C" w:rsidR="00D21A62" w:rsidRPr="00D21A62" w:rsidRDefault="00EF22CA" w:rsidP="00D21A62">
      <w:pPr>
        <w:rPr>
          <w:rFonts w:eastAsia="Times New Roman" w:cs="Segoe UI"/>
          <w:color w:val="000000"/>
          <w:lang w:eastAsia="sk-SK"/>
        </w:rPr>
      </w:pPr>
      <w:r w:rsidRPr="00082776">
        <w:rPr>
          <w:rFonts w:eastAsia="Times New Roman" w:cs="Segoe UI"/>
          <w:szCs w:val="20"/>
          <w:lang w:eastAsia="sk-SK"/>
        </w:rPr>
        <w:t>Na krytie nepredvídaných výdavkov nevyhnutných na zabezpečenie rozpočtového hospodárenia alebo na krytie zníženia rozpočtovaných príjmov s</w:t>
      </w:r>
      <w:r w:rsidR="00AC6430">
        <w:rPr>
          <w:rFonts w:eastAsia="Times New Roman" w:cs="Segoe UI"/>
          <w:szCs w:val="20"/>
          <w:lang w:eastAsia="sk-SK"/>
        </w:rPr>
        <w:t>ú vytvorené</w:t>
      </w:r>
      <w:r w:rsidRPr="00082776">
        <w:rPr>
          <w:rFonts w:eastAsia="Times New Roman" w:cs="Segoe UI"/>
          <w:szCs w:val="20"/>
          <w:lang w:eastAsia="sk-SK"/>
        </w:rPr>
        <w:t xml:space="preserve"> v ŠR </w:t>
      </w:r>
      <w:r w:rsidRPr="00082776">
        <w:rPr>
          <w:rFonts w:eastAsia="Times New Roman" w:cs="Segoe UI"/>
          <w:b/>
          <w:szCs w:val="20"/>
          <w:lang w:eastAsia="sk-SK"/>
        </w:rPr>
        <w:t>rozpočtové rezervy</w:t>
      </w:r>
      <w:r w:rsidRPr="00082776">
        <w:rPr>
          <w:rFonts w:eastAsia="Times New Roman" w:cs="Segoe UI"/>
          <w:szCs w:val="20"/>
          <w:lang w:eastAsia="sk-SK"/>
        </w:rPr>
        <w:t xml:space="preserve">. </w:t>
      </w:r>
      <w:r w:rsidR="00391D7C">
        <w:rPr>
          <w:rFonts w:eastAsia="Times New Roman" w:cs="Segoe UI"/>
          <w:szCs w:val="20"/>
          <w:lang w:eastAsia="sk-SK"/>
        </w:rPr>
        <w:t>V</w:t>
      </w:r>
      <w:r w:rsidR="004F0587">
        <w:rPr>
          <w:rFonts w:eastAsia="Calibri" w:cs="Segoe UI"/>
        </w:rPr>
        <w:t xml:space="preserve"> kapitole VPS </w:t>
      </w:r>
      <w:r w:rsidR="00D21A62" w:rsidRPr="00D21A62">
        <w:rPr>
          <w:rFonts w:eastAsia="Calibri" w:cs="Segoe UI"/>
        </w:rPr>
        <w:t>by mali v roku 2022 medziročne rásť o 3,3 %, čo je o</w:t>
      </w:r>
      <w:r w:rsidR="00D21A62">
        <w:rPr>
          <w:rFonts w:eastAsia="Calibri" w:cs="Segoe UI"/>
        </w:rPr>
        <w:t> </w:t>
      </w:r>
      <w:r w:rsidR="00D21A62" w:rsidRPr="00D21A62">
        <w:rPr>
          <w:rFonts w:eastAsia="Times New Roman" w:cs="Segoe UI"/>
          <w:color w:val="000000"/>
          <w:lang w:eastAsia="sk-SK"/>
        </w:rPr>
        <w:t>1</w:t>
      </w:r>
      <w:r w:rsidR="00D21A62">
        <w:rPr>
          <w:rFonts w:eastAsia="Times New Roman" w:cs="Segoe UI"/>
          <w:color w:val="000000"/>
          <w:lang w:eastAsia="sk-SK"/>
        </w:rPr>
        <w:t>,</w:t>
      </w:r>
      <w:r w:rsidR="00541E71">
        <w:rPr>
          <w:rFonts w:eastAsia="Times New Roman" w:cs="Segoe UI"/>
          <w:color w:val="000000"/>
          <w:lang w:eastAsia="sk-SK"/>
        </w:rPr>
        <w:t>8</w:t>
      </w:r>
      <w:r w:rsidR="00D21A62">
        <w:rPr>
          <w:rFonts w:eastAsia="Times New Roman" w:cs="Segoe UI"/>
          <w:color w:val="000000"/>
          <w:lang w:eastAsia="sk-SK"/>
        </w:rPr>
        <w:t xml:space="preserve"> mld</w:t>
      </w:r>
      <w:r w:rsidR="00D21A62" w:rsidRPr="00D21A62">
        <w:rPr>
          <w:rFonts w:eastAsia="Times New Roman" w:cs="Segoe UI"/>
          <w:color w:val="000000"/>
          <w:lang w:eastAsia="sk-SK"/>
        </w:rPr>
        <w:t>. eur viac oproti skutočnosti 2020</w:t>
      </w:r>
      <w:r w:rsidR="00D21A62">
        <w:rPr>
          <w:rFonts w:eastAsia="Times New Roman" w:cs="Segoe UI"/>
          <w:color w:val="000000"/>
          <w:lang w:eastAsia="sk-SK"/>
        </w:rPr>
        <w:t xml:space="preserve"> (Tabuľka 9)</w:t>
      </w:r>
      <w:r w:rsidR="00D21A62" w:rsidRPr="00D21A62">
        <w:rPr>
          <w:rFonts w:eastAsia="Times New Roman" w:cs="Segoe UI"/>
          <w:color w:val="000000"/>
          <w:lang w:eastAsia="sk-SK"/>
        </w:rPr>
        <w:t>.</w:t>
      </w:r>
    </w:p>
    <w:p w14:paraId="4368B3C0" w14:textId="77777777" w:rsidR="00656939" w:rsidRPr="00330871" w:rsidRDefault="00656939" w:rsidP="00656939">
      <w:pPr>
        <w:keepNext/>
        <w:spacing w:after="0" w:line="240" w:lineRule="auto"/>
        <w:rPr>
          <w:rFonts w:eastAsia="Calibri" w:cs="Times New Roman"/>
          <w:b/>
          <w:iCs/>
          <w:color w:val="314364"/>
          <w:szCs w:val="18"/>
        </w:rPr>
      </w:pPr>
      <w:r w:rsidRPr="00330871">
        <w:rPr>
          <w:rFonts w:eastAsia="Calibri" w:cs="Times New Roman"/>
          <w:b/>
          <w:iCs/>
          <w:color w:val="314364"/>
          <w:szCs w:val="18"/>
        </w:rPr>
        <w:t xml:space="preserve">Tabuľka </w:t>
      </w:r>
      <w:r>
        <w:rPr>
          <w:rFonts w:eastAsia="Calibri" w:cs="Times New Roman"/>
          <w:b/>
          <w:iCs/>
          <w:color w:val="314364"/>
          <w:szCs w:val="18"/>
        </w:rPr>
        <w:t>9:</w:t>
      </w:r>
      <w:r w:rsidRPr="00330871">
        <w:rPr>
          <w:rFonts w:eastAsia="Calibri" w:cs="Times New Roman"/>
          <w:b/>
          <w:iCs/>
          <w:color w:val="314364"/>
          <w:szCs w:val="18"/>
        </w:rPr>
        <w:t xml:space="preserve"> Rozpočtové rezervy v kapitole VPS</w:t>
      </w:r>
    </w:p>
    <w:tbl>
      <w:tblPr>
        <w:tblW w:w="5000" w:type="pct"/>
        <w:tblBorders>
          <w:bottom w:val="single" w:sz="4" w:space="0" w:color="314364" w:themeColor="text2"/>
        </w:tblBorders>
        <w:tblLook w:val="0000" w:firstRow="0" w:lastRow="0" w:firstColumn="0" w:lastColumn="0" w:noHBand="0" w:noVBand="0"/>
      </w:tblPr>
      <w:tblGrid>
        <w:gridCol w:w="3359"/>
        <w:gridCol w:w="892"/>
        <w:gridCol w:w="1132"/>
        <w:gridCol w:w="1132"/>
        <w:gridCol w:w="1273"/>
        <w:gridCol w:w="1282"/>
      </w:tblGrid>
      <w:tr w:rsidR="00656939" w:rsidRPr="00082776" w14:paraId="16D91B98" w14:textId="77777777" w:rsidTr="00381348">
        <w:trPr>
          <w:trHeight w:val="71"/>
        </w:trPr>
        <w:tc>
          <w:tcPr>
            <w:tcW w:w="1851" w:type="pct"/>
            <w:shd w:val="clear" w:color="auto" w:fill="314364" w:themeFill="text2"/>
          </w:tcPr>
          <w:p w14:paraId="22C4A8D7" w14:textId="77777777" w:rsidR="00656939" w:rsidRPr="00054A5A" w:rsidRDefault="00656939" w:rsidP="00381348">
            <w:pPr>
              <w:autoSpaceDE w:val="0"/>
              <w:autoSpaceDN w:val="0"/>
              <w:adjustRightInd w:val="0"/>
              <w:spacing w:after="0" w:line="240" w:lineRule="auto"/>
              <w:rPr>
                <w:rFonts w:eastAsia="Calibri" w:cs="Segoe UI"/>
                <w:b/>
                <w:color w:val="FFFFFF" w:themeColor="background1"/>
                <w:sz w:val="18"/>
                <w:szCs w:val="18"/>
              </w:rPr>
            </w:pPr>
            <w:r w:rsidRPr="00054A5A">
              <w:rPr>
                <w:rFonts w:eastAsia="Calibri" w:cs="Segoe UI"/>
                <w:b/>
                <w:color w:val="FFFFFF" w:themeColor="background1"/>
                <w:sz w:val="18"/>
                <w:szCs w:val="18"/>
              </w:rPr>
              <w:t xml:space="preserve">Rezervy v tis. eur </w:t>
            </w:r>
          </w:p>
        </w:tc>
        <w:tc>
          <w:tcPr>
            <w:tcW w:w="491" w:type="pct"/>
            <w:shd w:val="clear" w:color="auto" w:fill="314364" w:themeFill="text2"/>
            <w:vAlign w:val="center"/>
          </w:tcPr>
          <w:p w14:paraId="6D8DFCA5" w14:textId="77777777" w:rsidR="00656939" w:rsidRPr="00054A5A" w:rsidRDefault="00656939" w:rsidP="00381348">
            <w:pPr>
              <w:autoSpaceDE w:val="0"/>
              <w:autoSpaceDN w:val="0"/>
              <w:adjustRightInd w:val="0"/>
              <w:spacing w:after="0" w:line="240" w:lineRule="auto"/>
              <w:jc w:val="center"/>
              <w:rPr>
                <w:rFonts w:eastAsia="Calibri" w:cs="Segoe UI"/>
                <w:color w:val="FFFFFF" w:themeColor="background1"/>
                <w:sz w:val="18"/>
                <w:szCs w:val="18"/>
              </w:rPr>
            </w:pPr>
            <w:r w:rsidRPr="00054A5A">
              <w:rPr>
                <w:rFonts w:eastAsia="Calibri" w:cs="Segoe UI"/>
                <w:b/>
                <w:bCs/>
                <w:color w:val="FFFFFF" w:themeColor="background1"/>
                <w:sz w:val="18"/>
                <w:szCs w:val="18"/>
              </w:rPr>
              <w:t>2020 S</w:t>
            </w:r>
          </w:p>
        </w:tc>
        <w:tc>
          <w:tcPr>
            <w:tcW w:w="624" w:type="pct"/>
            <w:shd w:val="clear" w:color="auto" w:fill="314364" w:themeFill="text2"/>
            <w:vAlign w:val="center"/>
          </w:tcPr>
          <w:p w14:paraId="7B223D26" w14:textId="77777777" w:rsidR="00656939" w:rsidRPr="00054A5A" w:rsidRDefault="00656939" w:rsidP="00381348">
            <w:pPr>
              <w:autoSpaceDE w:val="0"/>
              <w:autoSpaceDN w:val="0"/>
              <w:adjustRightInd w:val="0"/>
              <w:spacing w:after="0" w:line="240" w:lineRule="auto"/>
              <w:jc w:val="center"/>
              <w:rPr>
                <w:rFonts w:eastAsia="Calibri" w:cs="Segoe UI"/>
                <w:color w:val="FFFFFF" w:themeColor="background1"/>
                <w:sz w:val="18"/>
                <w:szCs w:val="18"/>
              </w:rPr>
            </w:pPr>
            <w:r w:rsidRPr="00054A5A">
              <w:rPr>
                <w:rFonts w:eastAsia="Calibri" w:cs="Segoe UI"/>
                <w:b/>
                <w:bCs/>
                <w:color w:val="FFFFFF" w:themeColor="background1"/>
                <w:sz w:val="18"/>
                <w:szCs w:val="18"/>
              </w:rPr>
              <w:t>2021 R</w:t>
            </w:r>
          </w:p>
        </w:tc>
        <w:tc>
          <w:tcPr>
            <w:tcW w:w="624" w:type="pct"/>
            <w:shd w:val="clear" w:color="auto" w:fill="314364" w:themeFill="text2"/>
            <w:vAlign w:val="center"/>
          </w:tcPr>
          <w:p w14:paraId="6B90DAB4" w14:textId="77777777" w:rsidR="00656939" w:rsidRPr="00054A5A" w:rsidRDefault="00656939" w:rsidP="00381348">
            <w:pPr>
              <w:autoSpaceDE w:val="0"/>
              <w:autoSpaceDN w:val="0"/>
              <w:adjustRightInd w:val="0"/>
              <w:spacing w:after="0" w:line="240" w:lineRule="auto"/>
              <w:jc w:val="center"/>
              <w:rPr>
                <w:rFonts w:eastAsia="Calibri" w:cs="Segoe UI"/>
                <w:color w:val="FFFFFF" w:themeColor="background1"/>
                <w:sz w:val="18"/>
                <w:szCs w:val="18"/>
              </w:rPr>
            </w:pPr>
            <w:r w:rsidRPr="00054A5A">
              <w:rPr>
                <w:rFonts w:eastAsia="Calibri" w:cs="Segoe UI"/>
                <w:b/>
                <w:bCs/>
                <w:color w:val="FFFFFF" w:themeColor="background1"/>
                <w:sz w:val="18"/>
                <w:szCs w:val="18"/>
              </w:rPr>
              <w:t>2022 N</w:t>
            </w:r>
          </w:p>
        </w:tc>
        <w:tc>
          <w:tcPr>
            <w:tcW w:w="702" w:type="pct"/>
            <w:shd w:val="clear" w:color="auto" w:fill="314364" w:themeFill="text2"/>
            <w:vAlign w:val="center"/>
          </w:tcPr>
          <w:p w14:paraId="2F232DFE" w14:textId="77777777" w:rsidR="00656939" w:rsidRPr="00054A5A" w:rsidRDefault="00656939" w:rsidP="00381348">
            <w:pPr>
              <w:autoSpaceDE w:val="0"/>
              <w:autoSpaceDN w:val="0"/>
              <w:adjustRightInd w:val="0"/>
              <w:spacing w:after="0" w:line="240" w:lineRule="auto"/>
              <w:jc w:val="center"/>
              <w:rPr>
                <w:rFonts w:eastAsia="Calibri" w:cs="Segoe UI"/>
                <w:b/>
                <w:bCs/>
                <w:color w:val="FFFFFF" w:themeColor="background1"/>
                <w:sz w:val="18"/>
                <w:szCs w:val="18"/>
              </w:rPr>
            </w:pPr>
            <w:r w:rsidRPr="00054A5A">
              <w:rPr>
                <w:rFonts w:eastAsia="Calibri" w:cs="Segoe UI"/>
                <w:b/>
                <w:bCs/>
                <w:color w:val="FFFFFF" w:themeColor="background1"/>
                <w:sz w:val="18"/>
                <w:szCs w:val="18"/>
              </w:rPr>
              <w:t>2022-2021</w:t>
            </w:r>
          </w:p>
        </w:tc>
        <w:tc>
          <w:tcPr>
            <w:tcW w:w="707" w:type="pct"/>
            <w:shd w:val="clear" w:color="auto" w:fill="314364" w:themeFill="text2"/>
            <w:vAlign w:val="center"/>
          </w:tcPr>
          <w:p w14:paraId="73A833D3" w14:textId="77777777" w:rsidR="00656939" w:rsidRPr="00054A5A" w:rsidRDefault="00656939" w:rsidP="00381348">
            <w:pPr>
              <w:autoSpaceDE w:val="0"/>
              <w:autoSpaceDN w:val="0"/>
              <w:adjustRightInd w:val="0"/>
              <w:spacing w:after="0" w:line="240" w:lineRule="auto"/>
              <w:jc w:val="center"/>
              <w:rPr>
                <w:rFonts w:eastAsia="Calibri" w:cs="Segoe UI"/>
                <w:b/>
                <w:bCs/>
                <w:color w:val="FFFFFF" w:themeColor="background1"/>
                <w:sz w:val="18"/>
                <w:szCs w:val="18"/>
              </w:rPr>
            </w:pPr>
            <w:r w:rsidRPr="00054A5A">
              <w:rPr>
                <w:rFonts w:eastAsia="Calibri" w:cs="Segoe UI"/>
                <w:b/>
                <w:bCs/>
                <w:color w:val="FFFFFF" w:themeColor="background1"/>
                <w:sz w:val="18"/>
                <w:szCs w:val="18"/>
              </w:rPr>
              <w:t>2022/2021</w:t>
            </w:r>
          </w:p>
        </w:tc>
      </w:tr>
      <w:tr w:rsidR="00656939" w:rsidRPr="00082776" w14:paraId="07B4D338" w14:textId="77777777" w:rsidTr="00381348">
        <w:trPr>
          <w:trHeight w:val="71"/>
        </w:trPr>
        <w:tc>
          <w:tcPr>
            <w:tcW w:w="1851" w:type="pct"/>
            <w:vAlign w:val="center"/>
          </w:tcPr>
          <w:p w14:paraId="2204461A" w14:textId="77777777" w:rsidR="00656939" w:rsidRPr="00082776" w:rsidRDefault="00656939" w:rsidP="00381348">
            <w:pPr>
              <w:autoSpaceDE w:val="0"/>
              <w:autoSpaceDN w:val="0"/>
              <w:adjustRightInd w:val="0"/>
              <w:spacing w:after="0" w:line="240" w:lineRule="auto"/>
              <w:rPr>
                <w:rFonts w:eastAsia="Calibri" w:cs="Segoe UI"/>
                <w:color w:val="000000"/>
                <w:sz w:val="18"/>
                <w:szCs w:val="18"/>
              </w:rPr>
            </w:pPr>
            <w:r w:rsidRPr="00082776">
              <w:rPr>
                <w:rFonts w:eastAsia="Calibri" w:cs="Segoe UI"/>
                <w:bCs/>
                <w:color w:val="000000"/>
                <w:sz w:val="18"/>
                <w:szCs w:val="18"/>
              </w:rPr>
              <w:t>Rozpočtové rezervy v kapitole VPS</w:t>
            </w:r>
          </w:p>
        </w:tc>
        <w:tc>
          <w:tcPr>
            <w:tcW w:w="491" w:type="pct"/>
            <w:vAlign w:val="center"/>
          </w:tcPr>
          <w:p w14:paraId="1902098C" w14:textId="77777777" w:rsidR="00656939" w:rsidRPr="00082776" w:rsidRDefault="00656939" w:rsidP="00381348">
            <w:pPr>
              <w:autoSpaceDE w:val="0"/>
              <w:autoSpaceDN w:val="0"/>
              <w:adjustRightInd w:val="0"/>
              <w:spacing w:after="0" w:line="240" w:lineRule="auto"/>
              <w:jc w:val="center"/>
              <w:rPr>
                <w:rFonts w:eastAsia="Calibri" w:cs="Segoe UI"/>
                <w:color w:val="000000"/>
                <w:sz w:val="18"/>
                <w:szCs w:val="18"/>
              </w:rPr>
            </w:pPr>
            <w:r w:rsidRPr="00082776">
              <w:rPr>
                <w:rFonts w:eastAsia="Calibri" w:cs="Segoe UI"/>
                <w:bCs/>
                <w:color w:val="000000"/>
                <w:sz w:val="18"/>
                <w:szCs w:val="18"/>
              </w:rPr>
              <w:t>4 273</w:t>
            </w:r>
          </w:p>
        </w:tc>
        <w:tc>
          <w:tcPr>
            <w:tcW w:w="624" w:type="pct"/>
            <w:vAlign w:val="center"/>
          </w:tcPr>
          <w:p w14:paraId="7E34F8E0" w14:textId="77777777" w:rsidR="00656939" w:rsidRPr="00082776" w:rsidRDefault="00656939" w:rsidP="00381348">
            <w:pPr>
              <w:autoSpaceDE w:val="0"/>
              <w:autoSpaceDN w:val="0"/>
              <w:adjustRightInd w:val="0"/>
              <w:spacing w:after="0" w:line="240" w:lineRule="auto"/>
              <w:jc w:val="center"/>
              <w:rPr>
                <w:rFonts w:eastAsia="Calibri" w:cs="Segoe UI"/>
                <w:color w:val="000000"/>
                <w:sz w:val="18"/>
                <w:szCs w:val="18"/>
              </w:rPr>
            </w:pPr>
            <w:r w:rsidRPr="00082776">
              <w:rPr>
                <w:rFonts w:eastAsia="Calibri" w:cs="Segoe UI"/>
                <w:bCs/>
                <w:color w:val="000000"/>
                <w:sz w:val="18"/>
                <w:szCs w:val="18"/>
              </w:rPr>
              <w:t>1 695 604</w:t>
            </w:r>
          </w:p>
        </w:tc>
        <w:tc>
          <w:tcPr>
            <w:tcW w:w="624" w:type="pct"/>
            <w:vAlign w:val="center"/>
          </w:tcPr>
          <w:p w14:paraId="513CB258" w14:textId="77777777" w:rsidR="00656939" w:rsidRPr="00082776" w:rsidRDefault="00656939" w:rsidP="00381348">
            <w:pPr>
              <w:autoSpaceDE w:val="0"/>
              <w:autoSpaceDN w:val="0"/>
              <w:adjustRightInd w:val="0"/>
              <w:spacing w:after="0" w:line="240" w:lineRule="auto"/>
              <w:jc w:val="center"/>
              <w:rPr>
                <w:rFonts w:eastAsia="Calibri" w:cs="Segoe UI"/>
                <w:color w:val="000000"/>
                <w:sz w:val="18"/>
                <w:szCs w:val="18"/>
              </w:rPr>
            </w:pPr>
            <w:r w:rsidRPr="00082776">
              <w:rPr>
                <w:rFonts w:eastAsia="Calibri" w:cs="Segoe UI"/>
                <w:bCs/>
                <w:color w:val="000000"/>
                <w:sz w:val="18"/>
                <w:szCs w:val="18"/>
              </w:rPr>
              <w:t>1 752 294</w:t>
            </w:r>
          </w:p>
        </w:tc>
        <w:tc>
          <w:tcPr>
            <w:tcW w:w="702" w:type="pct"/>
            <w:vAlign w:val="center"/>
          </w:tcPr>
          <w:p w14:paraId="2092B54F" w14:textId="77777777" w:rsidR="00656939" w:rsidRPr="00082776" w:rsidRDefault="00656939" w:rsidP="00381348">
            <w:pPr>
              <w:spacing w:after="0" w:line="240" w:lineRule="auto"/>
              <w:jc w:val="center"/>
              <w:rPr>
                <w:rFonts w:eastAsia="Times New Roman" w:cs="Segoe UI"/>
                <w:color w:val="000000"/>
                <w:sz w:val="18"/>
                <w:szCs w:val="18"/>
                <w:lang w:eastAsia="sk-SK"/>
              </w:rPr>
            </w:pPr>
            <w:r w:rsidRPr="00082776">
              <w:rPr>
                <w:rFonts w:eastAsia="Times New Roman" w:cs="Segoe UI"/>
                <w:bCs/>
                <w:color w:val="000000"/>
                <w:sz w:val="18"/>
                <w:szCs w:val="18"/>
                <w:lang w:eastAsia="sk-SK"/>
              </w:rPr>
              <w:t>56 690</w:t>
            </w:r>
          </w:p>
        </w:tc>
        <w:tc>
          <w:tcPr>
            <w:tcW w:w="707" w:type="pct"/>
            <w:vAlign w:val="center"/>
          </w:tcPr>
          <w:p w14:paraId="37425B49" w14:textId="77777777" w:rsidR="00656939" w:rsidRPr="00082776" w:rsidRDefault="00656939" w:rsidP="00381348">
            <w:pPr>
              <w:spacing w:after="0" w:line="240" w:lineRule="auto"/>
              <w:jc w:val="center"/>
              <w:rPr>
                <w:rFonts w:eastAsia="Times New Roman" w:cs="Segoe UI"/>
                <w:color w:val="000000"/>
                <w:sz w:val="18"/>
                <w:szCs w:val="18"/>
                <w:lang w:eastAsia="sk-SK"/>
              </w:rPr>
            </w:pPr>
            <w:r w:rsidRPr="00082776">
              <w:rPr>
                <w:rFonts w:eastAsia="Times New Roman" w:cs="Segoe UI"/>
                <w:bCs/>
                <w:color w:val="000000"/>
                <w:sz w:val="18"/>
                <w:szCs w:val="18"/>
                <w:lang w:eastAsia="sk-SK"/>
              </w:rPr>
              <w:t>103,3</w:t>
            </w:r>
          </w:p>
        </w:tc>
      </w:tr>
    </w:tbl>
    <w:p w14:paraId="3F17BAB3" w14:textId="026AF6BD" w:rsidR="00656939" w:rsidRDefault="00656939" w:rsidP="00656939">
      <w:pPr>
        <w:autoSpaceDE w:val="0"/>
        <w:autoSpaceDN w:val="0"/>
        <w:adjustRightInd w:val="0"/>
        <w:spacing w:after="100"/>
        <w:rPr>
          <w:rFonts w:eastAsia="Calibri" w:cs="Times New Roman"/>
          <w:i/>
          <w:color w:val="314364" w:themeColor="text2"/>
          <w:sz w:val="16"/>
        </w:rPr>
      </w:pPr>
      <w:r w:rsidRPr="00330871">
        <w:rPr>
          <w:rFonts w:eastAsia="Calibri" w:cs="Times New Roman"/>
          <w:i/>
          <w:color w:val="314364" w:themeColor="text2"/>
          <w:sz w:val="16"/>
        </w:rPr>
        <w:t>Zdroj: Návrh RVS na roky 2022 až 2024</w:t>
      </w:r>
    </w:p>
    <w:p w14:paraId="0EC09AA2" w14:textId="73CA0F1F" w:rsidR="00F42833" w:rsidRPr="00BB0230" w:rsidRDefault="00F42833" w:rsidP="00F42833">
      <w:pPr>
        <w:shd w:val="clear" w:color="auto" w:fill="FFFFFF"/>
        <w:rPr>
          <w:rFonts w:eastAsia="Times New Roman" w:cs="Segoe UI"/>
          <w:color w:val="494949"/>
          <w:szCs w:val="20"/>
          <w:lang w:eastAsia="sk-SK"/>
        </w:rPr>
      </w:pPr>
      <w:r w:rsidRPr="00BB0230">
        <w:rPr>
          <w:rFonts w:eastAsia="Times New Roman" w:cs="Segoe UI"/>
          <w:color w:val="494949"/>
          <w:szCs w:val="20"/>
          <w:lang w:eastAsia="sk-SK"/>
        </w:rPr>
        <w:t xml:space="preserve">Výšku celkových rozpočtových rezerv (vrátane rezervy predsedu vlády) v hodnote 1 753 794 tis. eur (Graf 6) síce schvaľuje NR SR zákonom o ŠR, </w:t>
      </w:r>
      <w:r w:rsidRPr="00BB0230">
        <w:rPr>
          <w:rFonts w:eastAsia="Times New Roman" w:cs="Segoe UI"/>
          <w:b/>
          <w:color w:val="494949"/>
          <w:szCs w:val="20"/>
          <w:lang w:eastAsia="sk-SK"/>
        </w:rPr>
        <w:t xml:space="preserve">ale rozpočtové pravidlá VS dávajú ministrovi financií </w:t>
      </w:r>
      <w:r>
        <w:rPr>
          <w:rFonts w:eastAsia="Times New Roman" w:cs="Segoe UI"/>
          <w:b/>
          <w:color w:val="494949"/>
          <w:szCs w:val="20"/>
          <w:lang w:eastAsia="sk-SK"/>
        </w:rPr>
        <w:t>neúmerné</w:t>
      </w:r>
      <w:r w:rsidRPr="00BB0230">
        <w:rPr>
          <w:rFonts w:eastAsia="Times New Roman" w:cs="Segoe UI"/>
          <w:b/>
          <w:color w:val="494949"/>
          <w:szCs w:val="20"/>
          <w:lang w:eastAsia="sk-SK"/>
        </w:rPr>
        <w:t xml:space="preserve"> právomoci pri rozhodovaní o ich použití</w:t>
      </w:r>
      <w:r>
        <w:rPr>
          <w:rFonts w:eastAsia="Times New Roman" w:cs="Segoe UI"/>
          <w:b/>
          <w:color w:val="494949"/>
          <w:szCs w:val="20"/>
          <w:lang w:eastAsia="sk-SK"/>
        </w:rPr>
        <w:t>, a to bez súhlasu NR SR</w:t>
      </w:r>
      <w:r w:rsidRPr="009B66D6">
        <w:rPr>
          <w:rFonts w:eastAsia="Times New Roman" w:cs="Segoe UI"/>
          <w:color w:val="494949"/>
          <w:szCs w:val="20"/>
          <w:lang w:eastAsia="sk-SK"/>
        </w:rPr>
        <w:t>.</w:t>
      </w:r>
      <w:r>
        <w:rPr>
          <w:rFonts w:eastAsia="Times New Roman" w:cs="Segoe UI"/>
          <w:color w:val="494949"/>
          <w:szCs w:val="20"/>
          <w:lang w:eastAsia="sk-SK"/>
        </w:rPr>
        <w:t xml:space="preserve"> Vláda SR rozhoduje l</w:t>
      </w:r>
      <w:r w:rsidRPr="00BB0230">
        <w:rPr>
          <w:rFonts w:eastAsia="Times New Roman" w:cs="Segoe UI"/>
          <w:color w:val="494949"/>
          <w:szCs w:val="20"/>
          <w:lang w:eastAsia="sk-SK"/>
        </w:rPr>
        <w:t xml:space="preserve">en o rezerve vlády vo výške 5 mil. eur </w:t>
      </w:r>
      <w:r w:rsidRPr="00F0594E">
        <w:rPr>
          <w:rFonts w:eastAsia="Times New Roman" w:cs="Segoe UI"/>
          <w:b/>
          <w:color w:val="494949"/>
          <w:szCs w:val="20"/>
          <w:lang w:eastAsia="sk-SK"/>
        </w:rPr>
        <w:t>na základe návrhu ministra financií</w:t>
      </w:r>
      <w:r w:rsidRPr="00BB0230">
        <w:rPr>
          <w:rFonts w:eastAsia="Times New Roman" w:cs="Segoe UI"/>
          <w:color w:val="494949"/>
          <w:szCs w:val="20"/>
          <w:lang w:eastAsia="sk-SK"/>
        </w:rPr>
        <w:t xml:space="preserve"> </w:t>
      </w:r>
      <w:r>
        <w:rPr>
          <w:rFonts w:eastAsia="Times New Roman" w:cs="Segoe UI"/>
          <w:color w:val="494949"/>
          <w:szCs w:val="20"/>
          <w:lang w:eastAsia="sk-SK"/>
        </w:rPr>
        <w:t>a o rezerve predsedu vlády (1,5 mil. </w:t>
      </w:r>
      <w:r w:rsidRPr="00BB0230">
        <w:rPr>
          <w:rFonts w:eastAsia="Times New Roman" w:cs="Segoe UI"/>
          <w:color w:val="494949"/>
          <w:szCs w:val="20"/>
          <w:lang w:eastAsia="sk-SK"/>
        </w:rPr>
        <w:t xml:space="preserve">eur) </w:t>
      </w:r>
      <w:r>
        <w:rPr>
          <w:rFonts w:eastAsia="Times New Roman" w:cs="Segoe UI"/>
          <w:color w:val="494949"/>
          <w:szCs w:val="20"/>
          <w:lang w:eastAsia="sk-SK"/>
        </w:rPr>
        <w:t xml:space="preserve">rozhoduje </w:t>
      </w:r>
      <w:r w:rsidRPr="00BB0230">
        <w:rPr>
          <w:rFonts w:eastAsia="Times New Roman" w:cs="Segoe UI"/>
          <w:color w:val="494949"/>
          <w:szCs w:val="20"/>
          <w:lang w:eastAsia="sk-SK"/>
        </w:rPr>
        <w:t>jej predseda.</w:t>
      </w:r>
    </w:p>
    <w:p w14:paraId="2B664261" w14:textId="77777777" w:rsidR="00427568" w:rsidRPr="00330871" w:rsidRDefault="00427568" w:rsidP="00427568">
      <w:pPr>
        <w:keepNext/>
        <w:spacing w:after="0" w:line="240" w:lineRule="auto"/>
        <w:rPr>
          <w:rFonts w:eastAsia="Calibri" w:cs="Times New Roman"/>
          <w:b/>
          <w:iCs/>
          <w:color w:val="314364"/>
          <w:szCs w:val="18"/>
        </w:rPr>
      </w:pPr>
      <w:r w:rsidRPr="00330871">
        <w:rPr>
          <w:rFonts w:eastAsia="Calibri" w:cs="Times New Roman"/>
          <w:b/>
          <w:iCs/>
          <w:color w:val="314364"/>
          <w:szCs w:val="18"/>
        </w:rPr>
        <w:t xml:space="preserve">Graf </w:t>
      </w:r>
      <w:r>
        <w:rPr>
          <w:rFonts w:eastAsia="Calibri" w:cs="Times New Roman"/>
          <w:b/>
          <w:iCs/>
          <w:color w:val="314364"/>
          <w:szCs w:val="18"/>
        </w:rPr>
        <w:t>6:</w:t>
      </w:r>
      <w:r w:rsidRPr="00330871">
        <w:rPr>
          <w:rFonts w:eastAsia="Calibri" w:cs="Times New Roman"/>
          <w:b/>
          <w:iCs/>
          <w:color w:val="314364"/>
          <w:szCs w:val="18"/>
        </w:rPr>
        <w:t xml:space="preserve"> Štruktúra návrhu rozpočtových rezerv na rok 2022 (v tis. eur)</w:t>
      </w:r>
    </w:p>
    <w:tbl>
      <w:tblPr>
        <w:tblStyle w:val="Mriekatabuky"/>
        <w:tblW w:w="0" w:type="auto"/>
        <w:tblBorders>
          <w:left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427568" w:rsidRPr="00082776" w14:paraId="51EFBA02" w14:textId="77777777" w:rsidTr="00381348">
        <w:trPr>
          <w:trHeight w:val="3118"/>
        </w:trPr>
        <w:tc>
          <w:tcPr>
            <w:tcW w:w="9070" w:type="dxa"/>
            <w:tcBorders>
              <w:top w:val="single" w:sz="4" w:space="0" w:color="314364" w:themeColor="text2"/>
              <w:bottom w:val="single" w:sz="4" w:space="0" w:color="314364" w:themeColor="text2"/>
            </w:tcBorders>
          </w:tcPr>
          <w:p w14:paraId="0D0D4A80" w14:textId="77777777" w:rsidR="00427568" w:rsidRPr="00082776" w:rsidRDefault="00427568" w:rsidP="00381348">
            <w:pPr>
              <w:spacing w:after="0"/>
              <w:rPr>
                <w:rFonts w:eastAsia="Calibri" w:cs="Times New Roman"/>
              </w:rPr>
            </w:pPr>
            <w:r>
              <w:rPr>
                <w:noProof/>
                <w:lang w:eastAsia="sk-SK"/>
              </w:rPr>
              <w:drawing>
                <wp:inline distT="0" distB="0" distL="0" distR="0" wp14:anchorId="7DB5FAB4" wp14:editId="331381CF">
                  <wp:extent cx="5759450" cy="2028825"/>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74BFD0B1" w14:textId="77777777" w:rsidR="00427568" w:rsidRPr="00330871" w:rsidRDefault="00427568" w:rsidP="00427568">
      <w:pPr>
        <w:autoSpaceDE w:val="0"/>
        <w:autoSpaceDN w:val="0"/>
        <w:adjustRightInd w:val="0"/>
        <w:spacing w:after="100"/>
        <w:rPr>
          <w:rFonts w:eastAsia="Calibri" w:cs="Times New Roman"/>
          <w:i/>
          <w:color w:val="314364" w:themeColor="text2"/>
          <w:sz w:val="16"/>
        </w:rPr>
      </w:pPr>
      <w:r w:rsidRPr="00330871">
        <w:rPr>
          <w:rFonts w:eastAsia="Calibri" w:cs="Times New Roman"/>
          <w:i/>
          <w:color w:val="314364" w:themeColor="text2"/>
          <w:sz w:val="16"/>
        </w:rPr>
        <w:t>Zdroj: Návrh RVS na roky 2022 až 2024</w:t>
      </w:r>
    </w:p>
    <w:p w14:paraId="37F69F55" w14:textId="22809E09" w:rsidR="003914D9" w:rsidRPr="00E34BBA" w:rsidRDefault="003914D9" w:rsidP="0089621C">
      <w:pPr>
        <w:pStyle w:val="Odsekzoznamu"/>
        <w:numPr>
          <w:ilvl w:val="0"/>
          <w:numId w:val="43"/>
        </w:numPr>
        <w:rPr>
          <w:b/>
        </w:rPr>
      </w:pPr>
      <w:r w:rsidRPr="00E34BBA">
        <w:rPr>
          <w:b/>
        </w:rPr>
        <w:t>Vznik samostatných rozpočtových organizácií</w:t>
      </w:r>
    </w:p>
    <w:p w14:paraId="3D44D1F8" w14:textId="5B127298" w:rsidR="00BA6F05" w:rsidRDefault="00BA6F05" w:rsidP="00BA6F05">
      <w:r>
        <w:rPr>
          <w:lang w:eastAsia="sk-SK"/>
        </w:rPr>
        <w:t>Z návrhu rozpočtu na budúci rok vyplýva, že zamestnanosť rozpočtových organizácií vo VS sa v roku 2022 zvýši medziročne o 1 622 osôb, z čoho 1 515 osôb bude podliehať navýšeniu z dôvodu realizácie Plánu obnovy a odolnosti. Okrem toho sa na náraste počtu zamestnancov podieľa aj zvýšenie limitu počtu zamestnancov súvisiaci</w:t>
      </w:r>
      <w:r w:rsidR="009B66D6">
        <w:rPr>
          <w:lang w:eastAsia="sk-SK"/>
        </w:rPr>
        <w:t>m</w:t>
      </w:r>
      <w:r>
        <w:rPr>
          <w:lang w:eastAsia="sk-SK"/>
        </w:rPr>
        <w:t xml:space="preserve"> </w:t>
      </w:r>
      <w:r w:rsidRPr="00BA6F05">
        <w:rPr>
          <w:b/>
          <w:lang w:eastAsia="sk-SK"/>
        </w:rPr>
        <w:t>so vznikom nových úradov a organizácií</w:t>
      </w:r>
      <w:r>
        <w:rPr>
          <w:lang w:eastAsia="sk-SK"/>
        </w:rPr>
        <w:t xml:space="preserve">, ako aj </w:t>
      </w:r>
      <w:r w:rsidR="009B66D6">
        <w:rPr>
          <w:lang w:eastAsia="sk-SK"/>
        </w:rPr>
        <w:t xml:space="preserve">s </w:t>
      </w:r>
      <w:r>
        <w:rPr>
          <w:lang w:eastAsia="sk-SK"/>
        </w:rPr>
        <w:t>posilnen</w:t>
      </w:r>
      <w:r w:rsidR="009B66D6">
        <w:rPr>
          <w:lang w:eastAsia="sk-SK"/>
        </w:rPr>
        <w:t>ím</w:t>
      </w:r>
      <w:r>
        <w:rPr>
          <w:lang w:eastAsia="sk-SK"/>
        </w:rPr>
        <w:t xml:space="preserve"> už existujúcich útvarov a pracovísk. V kapitole MDV SR vznikla nová rozpočtová organizácia Slovakia </w:t>
      </w:r>
      <w:proofErr w:type="spellStart"/>
      <w:r>
        <w:rPr>
          <w:lang w:eastAsia="sk-SK"/>
        </w:rPr>
        <w:t>Travel</w:t>
      </w:r>
      <w:proofErr w:type="spellEnd"/>
      <w:r>
        <w:rPr>
          <w:lang w:eastAsia="sk-SK"/>
        </w:rPr>
        <w:t xml:space="preserve"> so 101 zamestnancami. Ďalej vznikla aj nová rozpočtová kapitola, Kancelária Najvyššieho správneho súdu SR s počtom zamestnancov na úrovni 100 osôb, z ktorých časť bola delimitovaná z Kancelárie </w:t>
      </w:r>
      <w:r>
        <w:rPr>
          <w:lang w:eastAsia="sk-SK"/>
        </w:rPr>
        <w:lastRenderedPageBreak/>
        <w:t>Najvyššieho súdu SR. Súčasne sa pre Úrad na ochranu oznamovateľov protispoločenskej činnosti SR rozpočtuje 19 zamestnancov.</w:t>
      </w:r>
    </w:p>
    <w:p w14:paraId="0B4B5D2B" w14:textId="471323A0" w:rsidR="003914D9" w:rsidRDefault="003914D9" w:rsidP="003914D9">
      <w:r w:rsidRPr="00C67B5A">
        <w:t xml:space="preserve">Z PVV vyplýva, že </w:t>
      </w:r>
      <w:r w:rsidR="00E34BBA">
        <w:t xml:space="preserve">v tomto volebnom období </w:t>
      </w:r>
      <w:r w:rsidRPr="00C67B5A">
        <w:t xml:space="preserve">sa plánuje </w:t>
      </w:r>
      <w:r w:rsidR="00E34BBA">
        <w:t>z</w:t>
      </w:r>
      <w:r w:rsidRPr="00C67B5A">
        <w:t xml:space="preserve">riadiť </w:t>
      </w:r>
      <w:r w:rsidR="003A151A">
        <w:t xml:space="preserve">minimálne </w:t>
      </w:r>
      <w:r w:rsidRPr="00C67B5A">
        <w:t xml:space="preserve">14 nových subjektov </w:t>
      </w:r>
      <w:r>
        <w:t>VS</w:t>
      </w:r>
      <w:r w:rsidRPr="00C67B5A">
        <w:t>, ktorých konštituovanie a následn</w:t>
      </w:r>
      <w:r w:rsidR="00E34BBA">
        <w:t>é</w:t>
      </w:r>
      <w:r w:rsidRPr="00C67B5A">
        <w:t xml:space="preserve"> fungovanie bud</w:t>
      </w:r>
      <w:r w:rsidR="009B66D6">
        <w:t>e</w:t>
      </w:r>
      <w:r w:rsidRPr="00C67B5A">
        <w:t xml:space="preserve"> mať </w:t>
      </w:r>
      <w:r>
        <w:t xml:space="preserve">zväčša </w:t>
      </w:r>
      <w:r w:rsidRPr="00C67B5A">
        <w:t xml:space="preserve">negatívny vplyv na rozpočet. </w:t>
      </w:r>
      <w:r w:rsidR="0046587D">
        <w:t xml:space="preserve">Pre porovnanie, za obdobie rokov 2011 – 2019 vzniklo spolu 42 nových subjektov VS (Graf 7). </w:t>
      </w:r>
      <w:r>
        <w:t xml:space="preserve">V prípade šiestich </w:t>
      </w:r>
      <w:r w:rsidR="00EE1CA6">
        <w:t xml:space="preserve">plánovaných </w:t>
      </w:r>
      <w:r>
        <w:t xml:space="preserve">subjektov už došlo k pretaveniu politickej vôle </w:t>
      </w:r>
      <w:r w:rsidR="0046587D">
        <w:t>do podoby</w:t>
      </w:r>
      <w:r>
        <w:t xml:space="preserve"> schváleného legislatívneho návrhu alebo zriadenia organizácie na základe zriaďovacej listiny. V tomto roku bol zriadený </w:t>
      </w:r>
      <w:r w:rsidRPr="003F7A7B">
        <w:t xml:space="preserve">Úrad pre správu </w:t>
      </w:r>
      <w:r w:rsidR="00FB3A40">
        <w:t xml:space="preserve">zaisteného </w:t>
      </w:r>
      <w:r w:rsidRPr="003F7A7B">
        <w:t>majetku</w:t>
      </w:r>
      <w:r>
        <w:t xml:space="preserve">, Najvyšší správny súd či sfunkčnil </w:t>
      </w:r>
      <w:r w:rsidR="009B66D6">
        <w:t xml:space="preserve">sa </w:t>
      </w:r>
      <w:r w:rsidRPr="00955EC4">
        <w:t>Úrad na ochranu oznamovateľov protispoločenskej činnost</w:t>
      </w:r>
      <w:r>
        <w:t>i.</w:t>
      </w:r>
    </w:p>
    <w:p w14:paraId="063A1EE2" w14:textId="2FCA42A5" w:rsidR="003914D9" w:rsidRPr="00330871" w:rsidRDefault="003914D9" w:rsidP="003914D9">
      <w:pPr>
        <w:keepNext/>
        <w:spacing w:after="0" w:line="240" w:lineRule="auto"/>
        <w:rPr>
          <w:rFonts w:eastAsia="Calibri" w:cs="Times New Roman"/>
          <w:b/>
          <w:iCs/>
          <w:color w:val="314364"/>
          <w:szCs w:val="18"/>
        </w:rPr>
      </w:pPr>
      <w:r w:rsidRPr="00330871">
        <w:rPr>
          <w:rFonts w:eastAsia="Calibri" w:cs="Times New Roman"/>
          <w:b/>
          <w:iCs/>
          <w:color w:val="314364"/>
          <w:szCs w:val="18"/>
        </w:rPr>
        <w:t xml:space="preserve">Graf </w:t>
      </w:r>
      <w:r w:rsidR="00413AF0">
        <w:rPr>
          <w:rFonts w:eastAsia="Calibri" w:cs="Times New Roman"/>
          <w:b/>
          <w:iCs/>
          <w:color w:val="314364"/>
          <w:szCs w:val="18"/>
        </w:rPr>
        <w:t>7</w:t>
      </w:r>
      <w:r>
        <w:rPr>
          <w:rFonts w:eastAsia="Calibri" w:cs="Times New Roman"/>
          <w:b/>
          <w:iCs/>
          <w:color w:val="314364"/>
          <w:szCs w:val="18"/>
        </w:rPr>
        <w:t>:</w:t>
      </w:r>
      <w:r w:rsidRPr="00330871">
        <w:rPr>
          <w:rFonts w:eastAsia="Calibri" w:cs="Times New Roman"/>
          <w:b/>
          <w:iCs/>
          <w:color w:val="314364"/>
          <w:szCs w:val="18"/>
        </w:rPr>
        <w:t xml:space="preserve"> </w:t>
      </w:r>
      <w:r w:rsidRPr="001E7493">
        <w:rPr>
          <w:rFonts w:eastAsia="Calibri" w:cs="Times New Roman"/>
          <w:b/>
          <w:iCs/>
          <w:color w:val="314364"/>
          <w:szCs w:val="18"/>
        </w:rPr>
        <w:t xml:space="preserve">Počet </w:t>
      </w:r>
      <w:r w:rsidR="0046587D">
        <w:rPr>
          <w:rFonts w:eastAsia="Calibri" w:cs="Times New Roman"/>
          <w:b/>
          <w:iCs/>
          <w:color w:val="314364"/>
          <w:szCs w:val="18"/>
        </w:rPr>
        <w:t>novo</w:t>
      </w:r>
      <w:r w:rsidRPr="001E7493">
        <w:rPr>
          <w:rFonts w:eastAsia="Calibri" w:cs="Times New Roman"/>
          <w:b/>
          <w:iCs/>
          <w:color w:val="314364"/>
          <w:szCs w:val="18"/>
        </w:rPr>
        <w:t xml:space="preserve">vzniknutých subjektov </w:t>
      </w:r>
      <w:r w:rsidR="0046587D">
        <w:rPr>
          <w:rFonts w:eastAsia="Calibri" w:cs="Times New Roman"/>
          <w:b/>
          <w:iCs/>
          <w:color w:val="314364"/>
          <w:szCs w:val="18"/>
        </w:rPr>
        <w:t>VS</w:t>
      </w:r>
      <w:r w:rsidRPr="001E7493">
        <w:rPr>
          <w:rFonts w:eastAsia="Calibri" w:cs="Times New Roman"/>
          <w:b/>
          <w:iCs/>
          <w:color w:val="314364"/>
          <w:szCs w:val="18"/>
        </w:rPr>
        <w:t xml:space="preserve"> s celoštátnou pôsobnosťou v rokoch 2011 – 2021</w:t>
      </w:r>
    </w:p>
    <w:tbl>
      <w:tblPr>
        <w:tblStyle w:val="Mriekatabuky"/>
        <w:tblW w:w="0" w:type="auto"/>
        <w:tblBorders>
          <w:left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3914D9" w:rsidRPr="00082776" w14:paraId="11E55FBE" w14:textId="77777777" w:rsidTr="00E24BE7">
        <w:trPr>
          <w:trHeight w:val="3402"/>
        </w:trPr>
        <w:tc>
          <w:tcPr>
            <w:tcW w:w="9070" w:type="dxa"/>
            <w:tcBorders>
              <w:top w:val="single" w:sz="4" w:space="0" w:color="314364" w:themeColor="text2"/>
              <w:bottom w:val="single" w:sz="4" w:space="0" w:color="314364" w:themeColor="text2"/>
            </w:tcBorders>
          </w:tcPr>
          <w:p w14:paraId="7EBF7480" w14:textId="77777777" w:rsidR="003914D9" w:rsidRPr="00082776" w:rsidRDefault="003914D9" w:rsidP="00E24BE7">
            <w:pPr>
              <w:spacing w:after="0"/>
              <w:rPr>
                <w:rFonts w:eastAsia="Calibri" w:cs="Times New Roman"/>
              </w:rPr>
            </w:pPr>
            <w:r>
              <w:rPr>
                <w:noProof/>
                <w:lang w:eastAsia="sk-SK"/>
              </w:rPr>
              <w:drawing>
                <wp:inline distT="0" distB="0" distL="0" distR="0" wp14:anchorId="1EC5664A" wp14:editId="42E8CC59">
                  <wp:extent cx="5707380" cy="2105025"/>
                  <wp:effectExtent l="0" t="0" r="762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2796BEA3" w14:textId="4EA6099D" w:rsidR="003914D9" w:rsidRPr="0046587D" w:rsidRDefault="003914D9" w:rsidP="003914D9">
      <w:pPr>
        <w:pStyle w:val="Zdroj"/>
        <w:spacing w:after="0"/>
      </w:pPr>
      <w:r w:rsidRPr="0046587D">
        <w:rPr>
          <w:rFonts w:eastAsia="Calibri" w:cs="Times New Roman"/>
        </w:rPr>
        <w:t xml:space="preserve">Zdroj: </w:t>
      </w:r>
      <w:r w:rsidR="0046587D" w:rsidRPr="0046587D">
        <w:rPr>
          <w:rFonts w:eastAsia="Calibri" w:cs="Times New Roman"/>
        </w:rPr>
        <w:t>R</w:t>
      </w:r>
      <w:r w:rsidRPr="0046587D">
        <w:t>egist</w:t>
      </w:r>
      <w:r w:rsidR="0046587D" w:rsidRPr="0046587D">
        <w:t>er subjektov verejnej správy (ŠÚ</w:t>
      </w:r>
      <w:r w:rsidRPr="0046587D">
        <w:t xml:space="preserve"> SR)</w:t>
      </w:r>
      <w:r w:rsidR="0046587D" w:rsidRPr="0046587D">
        <w:t>; údaje sú aktualizované v septembri 2021</w:t>
      </w:r>
    </w:p>
    <w:p w14:paraId="5D1C390C" w14:textId="445DA402" w:rsidR="003914D9" w:rsidRPr="0046587D" w:rsidRDefault="003914D9" w:rsidP="003914D9">
      <w:pPr>
        <w:pStyle w:val="Zdroj"/>
        <w:jc w:val="both"/>
      </w:pPr>
      <w:r w:rsidRPr="0046587D">
        <w:t>Poznámka: Medzi subjektami sú aj tie, ktoré vznikli transfor</w:t>
      </w:r>
      <w:r w:rsidR="0046587D">
        <w:t>movaním iného právneho subjektu. N</w:t>
      </w:r>
      <w:r w:rsidRPr="0046587D">
        <w:t>apr</w:t>
      </w:r>
      <w:r w:rsidR="0046587D">
        <w:t>.</w:t>
      </w:r>
      <w:r w:rsidRPr="0046587D">
        <w:t xml:space="preserve"> </w:t>
      </w:r>
      <w:r w:rsidR="0046587D">
        <w:t>z</w:t>
      </w:r>
      <w:r w:rsidRPr="0046587D">
        <w:t>ákonom č. 440/2015 Z. z. o športe a o zmene a doplnení niektorých zákonov bola zrušená Antidopingová agentúra zriadená zriaďovacou listinou a súčasne bola zriadená Agentúra priamo zákonom</w:t>
      </w:r>
      <w:r w:rsidR="0046587D">
        <w:t>.</w:t>
      </w:r>
      <w:r w:rsidRPr="0046587D">
        <w:t xml:space="preserve"> [</w:t>
      </w:r>
      <w:hyperlink r:id="rId18" w:history="1">
        <w:r w:rsidRPr="0046587D">
          <w:t>on-line</w:t>
        </w:r>
      </w:hyperlink>
      <w:r w:rsidRPr="0046587D">
        <w:t>].</w:t>
      </w:r>
    </w:p>
    <w:p w14:paraId="79C806B9" w14:textId="2D49D39A" w:rsidR="00091866" w:rsidRDefault="003914D9" w:rsidP="0089621C">
      <w:pPr>
        <w:rPr>
          <w:b/>
        </w:rPr>
      </w:pPr>
      <w:r>
        <w:t>Podľa PVV sa v budúcnosti zvažuje založenie osobitného ú</w:t>
      </w:r>
      <w:r w:rsidRPr="003F7A7B">
        <w:t>radu pre národnostné menšiny</w:t>
      </w:r>
      <w:r>
        <w:t xml:space="preserve">, štátnej personálnej agentúry, </w:t>
      </w:r>
      <w:r w:rsidRPr="003F7A7B">
        <w:t xml:space="preserve">štátnej distribučnej spoločnosti na dodávku </w:t>
      </w:r>
      <w:r>
        <w:t>liekov a zdravotníckych pomôcok,</w:t>
      </w:r>
      <w:r w:rsidRPr="003F7A7B">
        <w:t xml:space="preserve"> </w:t>
      </w:r>
      <w:r>
        <w:t>nezávislej inštitúcie</w:t>
      </w:r>
      <w:r w:rsidRPr="003F7A7B">
        <w:t>, ktorá bude mať na starosti etiku verejných funkcionárov, konflikt záujmov a kontrolu majetkových priznaní</w:t>
      </w:r>
      <w:r>
        <w:t xml:space="preserve"> či centralizovaného stavebného</w:t>
      </w:r>
      <w:r w:rsidRPr="003F7A7B">
        <w:t xml:space="preserve"> úrad</w:t>
      </w:r>
      <w:r>
        <w:t xml:space="preserve">u. </w:t>
      </w:r>
      <w:r w:rsidR="00FB3A40">
        <w:t xml:space="preserve">Pri konštitúcii samostatných subjektov VS vznikajú náklady na materiálno - technické a personálne zabezpečenie. Z toho dôvodu by sa malo najskôr vyhodnotiť zabezpečenie nových kompetencií v rámci už existujúcich subjektov VS. </w:t>
      </w:r>
      <w:r w:rsidR="0046587D" w:rsidRPr="0046587D">
        <w:rPr>
          <w:b/>
        </w:rPr>
        <w:t>NKÚ SR odporúča, aby v</w:t>
      </w:r>
      <w:r w:rsidRPr="0046587D">
        <w:rPr>
          <w:b/>
        </w:rPr>
        <w:t>erejné vyhodnotenie</w:t>
      </w:r>
      <w:r w:rsidRPr="003914D9">
        <w:rPr>
          <w:b/>
        </w:rPr>
        <w:t xml:space="preserve"> nákladov a prínosov rozširovania VS </w:t>
      </w:r>
      <w:r w:rsidR="0046587D">
        <w:rPr>
          <w:b/>
        </w:rPr>
        <w:t>bolo</w:t>
      </w:r>
      <w:r w:rsidRPr="003914D9">
        <w:rPr>
          <w:b/>
        </w:rPr>
        <w:t xml:space="preserve"> súčasťou každého zvažovaného vzniku </w:t>
      </w:r>
      <w:r w:rsidR="00EE1CA6">
        <w:rPr>
          <w:b/>
        </w:rPr>
        <w:t xml:space="preserve">nového </w:t>
      </w:r>
      <w:r w:rsidRPr="003914D9">
        <w:rPr>
          <w:b/>
        </w:rPr>
        <w:t>subjektu VS.</w:t>
      </w:r>
    </w:p>
    <w:p w14:paraId="1FDEE706" w14:textId="6CAC8F27" w:rsidR="000D05F7" w:rsidRPr="007E630A" w:rsidRDefault="000D05F7" w:rsidP="009B66D6">
      <w:pPr>
        <w:pStyle w:val="Nadpis1"/>
        <w:jc w:val="left"/>
      </w:pPr>
      <w:bookmarkStart w:id="18" w:name="_Toc86396378"/>
      <w:bookmarkStart w:id="19" w:name="_Toc87345111"/>
      <w:r w:rsidRPr="007E630A">
        <w:lastRenderedPageBreak/>
        <w:t xml:space="preserve">Riziká </w:t>
      </w:r>
      <w:r w:rsidR="007E630A">
        <w:t>rozpočtovania pri dosahovaní najvýznamnejších cieľov</w:t>
      </w:r>
      <w:bookmarkEnd w:id="18"/>
      <w:bookmarkEnd w:id="19"/>
    </w:p>
    <w:p w14:paraId="4551912B" w14:textId="5ED49C55" w:rsidR="000D752F" w:rsidRDefault="008E5EE3" w:rsidP="009E7E3C">
      <w:r>
        <w:t xml:space="preserve">Rok 2022 </w:t>
      </w:r>
      <w:r w:rsidR="00887C94">
        <w:t>je</w:t>
      </w:r>
      <w:r>
        <w:t xml:space="preserve"> už tretím</w:t>
      </w:r>
      <w:r w:rsidR="000D752F">
        <w:t xml:space="preserve"> rok</w:t>
      </w:r>
      <w:r>
        <w:t xml:space="preserve">om, v ktorom bude </w:t>
      </w:r>
      <w:r w:rsidR="00635F0B">
        <w:t xml:space="preserve">vláda SR </w:t>
      </w:r>
      <w:r>
        <w:t xml:space="preserve">napĺňať </w:t>
      </w:r>
      <w:r w:rsidR="00D83DB2">
        <w:t xml:space="preserve">najnovšie </w:t>
      </w:r>
      <w:r w:rsidR="000D752F">
        <w:t>p</w:t>
      </w:r>
      <w:r w:rsidR="000D752F" w:rsidRPr="000D752F">
        <w:t>rogramové vyhláseni</w:t>
      </w:r>
      <w:r>
        <w:t>e</w:t>
      </w:r>
      <w:r w:rsidR="002C2BAB">
        <w:t xml:space="preserve"> na roky 2020</w:t>
      </w:r>
      <w:r w:rsidR="000347E2">
        <w:t xml:space="preserve"> – 2024 </w:t>
      </w:r>
      <w:r w:rsidR="008203E1">
        <w:t>(PVV</w:t>
      </w:r>
      <w:r w:rsidR="00635F0B">
        <w:t>)</w:t>
      </w:r>
      <w:r w:rsidR="00635F0B" w:rsidRPr="00E058A7">
        <w:rPr>
          <w:rStyle w:val="Odkaznapoznmkupodiarou"/>
          <w:i/>
        </w:rPr>
        <w:footnoteReference w:id="17"/>
      </w:r>
      <w:r w:rsidR="00E058A7" w:rsidRPr="00E058A7">
        <w:rPr>
          <w:i/>
          <w:vertAlign w:val="superscript"/>
        </w:rPr>
        <w:t>)</w:t>
      </w:r>
      <w:r w:rsidR="00887C94">
        <w:t>.</w:t>
      </w:r>
      <w:r w:rsidR="000D752F" w:rsidRPr="000D752F">
        <w:t xml:space="preserve"> </w:t>
      </w:r>
      <w:r w:rsidR="00887C94">
        <w:t>P</w:t>
      </w:r>
      <w:r>
        <w:t xml:space="preserve">reto sme sa </w:t>
      </w:r>
      <w:r w:rsidR="000347E2">
        <w:t>zameral</w:t>
      </w:r>
      <w:r>
        <w:t xml:space="preserve">i na to, či sú </w:t>
      </w:r>
      <w:r w:rsidR="003914D9">
        <w:t xml:space="preserve">programy </w:t>
      </w:r>
      <w:r w:rsidR="00887C94">
        <w:t>financované zo ŠR</w:t>
      </w:r>
      <w:r w:rsidR="003914D9">
        <w:t xml:space="preserve"> naviazané na plnenie h</w:t>
      </w:r>
      <w:r w:rsidR="000D752F">
        <w:t>lavn</w:t>
      </w:r>
      <w:r w:rsidR="003914D9">
        <w:t>ých</w:t>
      </w:r>
      <w:r w:rsidR="000D752F">
        <w:t xml:space="preserve"> cie</w:t>
      </w:r>
      <w:r w:rsidR="003914D9">
        <w:t>ľov</w:t>
      </w:r>
      <w:r w:rsidR="00635F0B">
        <w:t xml:space="preserve"> PVV vo vybraných oblastiach</w:t>
      </w:r>
      <w:r w:rsidR="003914D9">
        <w:t>.</w:t>
      </w:r>
      <w:r w:rsidR="000D752F">
        <w:t xml:space="preserve"> </w:t>
      </w:r>
      <w:r w:rsidR="003914D9">
        <w:t>Identifik</w:t>
      </w:r>
      <w:r w:rsidR="00635F0B">
        <w:t>ovali sme tak</w:t>
      </w:r>
      <w:r w:rsidR="003914D9">
        <w:t xml:space="preserve"> riziká, ktoré súvisia s reálnosťou </w:t>
      </w:r>
      <w:r w:rsidR="000D752F">
        <w:t>splneni</w:t>
      </w:r>
      <w:r w:rsidR="003914D9">
        <w:t>a jednotlivých cieľov v kontexte</w:t>
      </w:r>
      <w:r w:rsidR="000D752F">
        <w:t xml:space="preserve"> navrhnutého rozpočtu</w:t>
      </w:r>
      <w:r w:rsidR="00FA4826">
        <w:t xml:space="preserve"> na rok 2022.</w:t>
      </w:r>
    </w:p>
    <w:p w14:paraId="4262D673" w14:textId="66B87D06" w:rsidR="00F05471" w:rsidRDefault="00F05471" w:rsidP="00F05471">
      <w:pPr>
        <w:spacing w:before="60" w:after="60"/>
      </w:pPr>
      <w:r>
        <w:t xml:space="preserve">Pri tvorbe tohto stanoviska bola venovaná zvýšená pozornosť </w:t>
      </w:r>
      <w:r w:rsidR="00E65596">
        <w:t>trom</w:t>
      </w:r>
      <w:r>
        <w:t xml:space="preserve"> oblastiam verejných politík, ktoré sú priorit</w:t>
      </w:r>
      <w:r w:rsidR="00957C35">
        <w:t>ami</w:t>
      </w:r>
      <w:r>
        <w:t xml:space="preserve"> kontrolnej činnosti NKÚ SR </w:t>
      </w:r>
      <w:r w:rsidR="003567A1">
        <w:t>pre</w:t>
      </w:r>
      <w:r>
        <w:t> rok 202</w:t>
      </w:r>
      <w:r w:rsidR="003567A1">
        <w:t>2</w:t>
      </w:r>
      <w:r w:rsidR="000D752F">
        <w:t xml:space="preserve"> -</w:t>
      </w:r>
      <w:r>
        <w:t xml:space="preserve"> </w:t>
      </w:r>
      <w:r w:rsidR="00D83DB2">
        <w:t>V</w:t>
      </w:r>
      <w:r w:rsidR="00E65596" w:rsidRPr="00E65596">
        <w:t>zdelávanie, výskum, vývoj a</w:t>
      </w:r>
      <w:r w:rsidR="00E65596">
        <w:t> </w:t>
      </w:r>
      <w:r w:rsidR="00E65596" w:rsidRPr="00E65596">
        <w:t>inovácie</w:t>
      </w:r>
      <w:r w:rsidR="00E65596">
        <w:t>,</w:t>
      </w:r>
      <w:r w:rsidR="00E65596" w:rsidRPr="00E65596">
        <w:t xml:space="preserve"> </w:t>
      </w:r>
      <w:r w:rsidR="00D83DB2">
        <w:t>Z</w:t>
      </w:r>
      <w:r w:rsidR="003567A1">
        <w:t xml:space="preserve">dravotníctvo </w:t>
      </w:r>
      <w:r w:rsidR="00AE01AE">
        <w:t xml:space="preserve">a </w:t>
      </w:r>
      <w:r w:rsidR="003567A1">
        <w:t>sociálne politiky</w:t>
      </w:r>
      <w:r w:rsidRPr="000F275F">
        <w:t>.</w:t>
      </w:r>
      <w:r w:rsidR="00BD3AA3">
        <w:t xml:space="preserve"> </w:t>
      </w:r>
      <w:r w:rsidR="00AE01AE">
        <w:t>Zároveň s</w:t>
      </w:r>
      <w:r w:rsidR="008203E1">
        <w:t>me sa zamerali</w:t>
      </w:r>
      <w:r w:rsidR="00AE01AE">
        <w:t xml:space="preserve"> na dve oblasti, ktoré </w:t>
      </w:r>
      <w:r w:rsidR="00BD3AA3">
        <w:t xml:space="preserve">NKÚ SR </w:t>
      </w:r>
      <w:r w:rsidR="00AE01AE">
        <w:t xml:space="preserve">dlhodobo </w:t>
      </w:r>
      <w:r w:rsidR="00BD3AA3">
        <w:t>detailnejšie monitoruje z hľadiska rizík</w:t>
      </w:r>
      <w:r w:rsidR="000347E2">
        <w:t>,</w:t>
      </w:r>
      <w:r w:rsidR="00AE01AE">
        <w:t xml:space="preserve"> a to </w:t>
      </w:r>
      <w:r w:rsidR="00D83DB2">
        <w:t>D</w:t>
      </w:r>
      <w:r w:rsidR="00AE01AE">
        <w:t>opravnú infraštruktúru</w:t>
      </w:r>
      <w:r w:rsidR="00D83DB2">
        <w:t xml:space="preserve"> a E</w:t>
      </w:r>
      <w:r w:rsidR="00E65596">
        <w:t>nvironmentálnu udržateľnosť</w:t>
      </w:r>
      <w:r w:rsidR="00BD3AA3">
        <w:t>.</w:t>
      </w:r>
    </w:p>
    <w:p w14:paraId="70373E99" w14:textId="61422D72" w:rsidR="00E65596" w:rsidRPr="00432AD8" w:rsidRDefault="00E65596" w:rsidP="00E65596">
      <w:pPr>
        <w:pStyle w:val="Nadpis2"/>
      </w:pPr>
      <w:bookmarkStart w:id="20" w:name="_Toc86396379"/>
      <w:bookmarkStart w:id="21" w:name="_Toc87345112"/>
      <w:r>
        <w:t>V</w:t>
      </w:r>
      <w:r w:rsidRPr="00E65596">
        <w:t>zdel</w:t>
      </w:r>
      <w:r>
        <w:t>ávanie, výskum, vývoj a inovácie</w:t>
      </w:r>
      <w:bookmarkEnd w:id="20"/>
      <w:bookmarkEnd w:id="21"/>
    </w:p>
    <w:p w14:paraId="49722FDF" w14:textId="4DF29BD1" w:rsidR="00EF7A27" w:rsidRPr="00B42065" w:rsidRDefault="00EF7A27" w:rsidP="00E65596">
      <w:pPr>
        <w:rPr>
          <w:i/>
        </w:rPr>
      </w:pPr>
      <w:r>
        <w:t>V</w:t>
      </w:r>
      <w:r w:rsidR="00B42065">
        <w:t xml:space="preserve"> PVV</w:t>
      </w:r>
      <w:r>
        <w:t xml:space="preserve"> sa </w:t>
      </w:r>
      <w:r w:rsidR="00E65596">
        <w:t xml:space="preserve">vláda </w:t>
      </w:r>
      <w:r w:rsidR="00E65596" w:rsidRPr="00E65596">
        <w:t>zaviazala k zabezpečeniu adekvátneho ohodnotenia pedagogických a odborných zamestnancov a</w:t>
      </w:r>
      <w:r w:rsidR="009B66D6">
        <w:t xml:space="preserve"> k </w:t>
      </w:r>
      <w:r w:rsidR="00E65596" w:rsidRPr="00E65596">
        <w:t xml:space="preserve">vytvoreniu podmienok na kontinuálny rast ich platov. Mzdové výdavky na pedagogických a odborných zamestnancov v regionálnom školstve rozpočtované na rok 2022 v objeme 1 115 mil. eur však predstavujú pokles oproti očakávanej skutočnosti za rok 2021 (1 123 mil. eur) a aj oproti výdavkom v roku 2020 (1 149 mil. eur). To spolu s vysokou infláciou spôsobí </w:t>
      </w:r>
      <w:r w:rsidR="00E65596" w:rsidRPr="00BA173B">
        <w:rPr>
          <w:b/>
        </w:rPr>
        <w:t>pokles reálnych platov učiteľov, a teda zníženie už v súčasnosti nízkej atr</w:t>
      </w:r>
      <w:r w:rsidRPr="00BA173B">
        <w:rPr>
          <w:b/>
        </w:rPr>
        <w:t>aktivity učiteľského povolania</w:t>
      </w:r>
      <w:r>
        <w:t>.</w:t>
      </w:r>
      <w:r w:rsidR="00DB3893">
        <w:t xml:space="preserve"> Po desiatich rokoch tieto výdavky opäť spadajú pod kapitolu ministerstva školstva. </w:t>
      </w:r>
      <w:r w:rsidR="00B42065" w:rsidRPr="00B42065">
        <w:rPr>
          <w:i/>
        </w:rPr>
        <w:t>Téme</w:t>
      </w:r>
      <w:r w:rsidR="00DB3893" w:rsidRPr="00B42065">
        <w:rPr>
          <w:i/>
        </w:rPr>
        <w:t xml:space="preserve"> zjednotenia financovania sa bližšie venuje kapitol</w:t>
      </w:r>
      <w:r w:rsidR="00624D44">
        <w:rPr>
          <w:i/>
        </w:rPr>
        <w:t>a</w:t>
      </w:r>
      <w:r w:rsidR="00DB3893" w:rsidRPr="00B42065">
        <w:rPr>
          <w:i/>
        </w:rPr>
        <w:t xml:space="preserve"> </w:t>
      </w:r>
      <w:r w:rsidR="00FB6475">
        <w:rPr>
          <w:i/>
        </w:rPr>
        <w:t>5.1</w:t>
      </w:r>
      <w:r w:rsidR="00DB3893" w:rsidRPr="00B42065">
        <w:rPr>
          <w:i/>
        </w:rPr>
        <w:t>.1</w:t>
      </w:r>
      <w:r w:rsidR="00B42065" w:rsidRPr="00B42065">
        <w:t xml:space="preserve"> </w:t>
      </w:r>
      <w:r w:rsidR="00B42065" w:rsidRPr="00B42065">
        <w:rPr>
          <w:i/>
        </w:rPr>
        <w:t>Prenesený výkon štátnej správy na úseku regionálneho školstva</w:t>
      </w:r>
      <w:r w:rsidR="00DB3893" w:rsidRPr="00B42065">
        <w:rPr>
          <w:i/>
        </w:rPr>
        <w:t>.</w:t>
      </w:r>
    </w:p>
    <w:p w14:paraId="26F6F536" w14:textId="77777777" w:rsidR="00624D44" w:rsidRDefault="00E65596" w:rsidP="00E65596">
      <w:r w:rsidRPr="00B42065">
        <w:rPr>
          <w:b/>
        </w:rPr>
        <w:t>Ešte výraznejší pokles priemerných mzdových výdavkov sa má týkať verejných vysokých škôl.</w:t>
      </w:r>
      <w:r w:rsidRPr="00E65596">
        <w:t xml:space="preserve"> Je to v protiklade s deklarovaným dlhodobým cieľom rozpočtu, aby sa aspoň jedna slovenská vysoká škola umiestnila medzi TOP500 vysokými školami sveta v renomovaných akademických rebríčkoch a ďalšie </w:t>
      </w:r>
      <w:r w:rsidR="00EF7A27">
        <w:t>v</w:t>
      </w:r>
      <w:r w:rsidRPr="00E65596">
        <w:t>ysoké školy sa pra</w:t>
      </w:r>
      <w:r w:rsidR="00624D44">
        <w:t>videlne umiestňovali v TOP1000.</w:t>
      </w:r>
    </w:p>
    <w:p w14:paraId="41ADF57F" w14:textId="3C0903D2" w:rsidR="00E65596" w:rsidRDefault="00624D44" w:rsidP="00E65596">
      <w:r w:rsidRPr="00624D44">
        <w:rPr>
          <w:b/>
        </w:rPr>
        <w:t>Navrhované je aj zníženie výdavkov na vedu a techniku.</w:t>
      </w:r>
      <w:r>
        <w:t xml:space="preserve"> </w:t>
      </w:r>
      <w:r w:rsidR="00E65596" w:rsidRPr="00E65596">
        <w:t xml:space="preserve">Na rok 2022 rozpočtovaných 478 mil. eur predstavuje pokles oproti očakávanej skutočnosti za rok 2021 o 11 % a oproti výdavkom v roku 2020 o 3 %. Táto skutočnosť ide proti deklarovanému cieľu zvýšenia inovačnej výkonnosti slovenskej ekonomiky a zvyšovanie reálneho financovania vedy a výskumu sa nachádza aj v </w:t>
      </w:r>
      <w:r w:rsidR="002C2BAB">
        <w:t>PVV</w:t>
      </w:r>
      <w:r w:rsidR="00E65596" w:rsidRPr="00E65596">
        <w:t>.</w:t>
      </w:r>
    </w:p>
    <w:p w14:paraId="468C31B3" w14:textId="5A6B6942" w:rsidR="00FB6475" w:rsidRPr="00FB6475" w:rsidRDefault="00FB6475" w:rsidP="00FB6475">
      <w:pPr>
        <w:pStyle w:val="Nadpis3"/>
      </w:pPr>
      <w:bookmarkStart w:id="22" w:name="_Toc86396385"/>
      <w:bookmarkStart w:id="23" w:name="_Toc87345113"/>
      <w:r w:rsidRPr="00FB6475">
        <w:t>Prenesený výkon štátnej správy na úseku regionálneho školstva</w:t>
      </w:r>
      <w:bookmarkEnd w:id="22"/>
      <w:bookmarkEnd w:id="23"/>
    </w:p>
    <w:p w14:paraId="0B5B74DA" w14:textId="77777777" w:rsidR="00FB6475" w:rsidRDefault="00FB6475" w:rsidP="00FB6475">
      <w:r>
        <w:t>Pre obce sú výdavky na rok 2022 rozpočtované vo výške 5,68 mld. eur a pre VÚC 1,75 mld. eur. Väčšina výdavkov má byť krytá vlastnými príjmami týchto subjektov</w:t>
      </w:r>
      <w:r w:rsidRPr="00E058A7">
        <w:rPr>
          <w:rStyle w:val="Odkaznapoznmkupodiarou"/>
          <w:i/>
        </w:rPr>
        <w:footnoteReference w:id="18"/>
      </w:r>
      <w:r w:rsidRPr="00E058A7">
        <w:rPr>
          <w:i/>
          <w:vertAlign w:val="superscript"/>
        </w:rPr>
        <w:t>)</w:t>
      </w:r>
      <w:r>
        <w:t xml:space="preserve"> (67 % pri obciach a necelých 60 % pri VÚC). Druhý najväčší zdroj krytia výdavkov sú prostriedky od ministerstiev, ktoré týmto spôsobom samospráve financujú prenesený výkon štátnej správy. Z tohto zdroja je na rok 2022 pre obce rozpočtovaný 1,43 mld. eur a pre VÚC 0,57 mld. eur. Z pohľadu funkčnej klasifikácie týchto výdavkov má jednoznačne najväčší podiel oblasť vzdelávania (43 % pri obciach a 41 % u VÚC).</w:t>
      </w:r>
    </w:p>
    <w:p w14:paraId="4E9E73FC" w14:textId="2CCF34D5" w:rsidR="00FB6475" w:rsidRDefault="00FB6475" w:rsidP="00FB6475">
      <w:r>
        <w:t xml:space="preserve">Jednou z dlhodobo kritizovaných skutočností vo financovaní školstva s negatívnym vplyvom na samosprávy bol prenesený výkon štátnej správy v regionálnom školstve, ktorý bol financovaný prostredníctvom dvoch rôznych kapitol (MŠVVaŠ SR a MV SR). Presun financovania časti regionálneho </w:t>
      </w:r>
      <w:r>
        <w:lastRenderedPageBreak/>
        <w:t xml:space="preserve">školstva pod kapitolu MV SR nastal od roku 2013 v rámci reformy ESO. ZMOS poukázal na to, že toto rozdelenie bolo problematické </w:t>
      </w:r>
      <w:r w:rsidRPr="008D7D60">
        <w:t>tak v súvislosti s metodickým riadením regionálneho školstva, ako aj v súvi</w:t>
      </w:r>
      <w:r>
        <w:t>slosti so systémom financovania</w:t>
      </w:r>
      <w:r w:rsidRPr="00E058A7">
        <w:rPr>
          <w:rStyle w:val="Odkaznapoznmkupodiarou"/>
          <w:i/>
        </w:rPr>
        <w:footnoteReference w:id="19"/>
      </w:r>
      <w:r w:rsidRPr="00E058A7">
        <w:rPr>
          <w:rStyle w:val="Odkaznapoznmkupodiarou"/>
          <w:i/>
        </w:rPr>
        <w:t>)</w:t>
      </w:r>
      <w:r w:rsidR="0052787E">
        <w:rPr>
          <w:rStyle w:val="Odkaznapoznmkupodiarou"/>
          <w:i/>
          <w:vertAlign w:val="baseline"/>
        </w:rPr>
        <w:t>.</w:t>
      </w:r>
      <w:r w:rsidRPr="00E058A7">
        <w:rPr>
          <w:i/>
        </w:rPr>
        <w:t xml:space="preserve"> </w:t>
      </w:r>
      <w:r>
        <w:t>R</w:t>
      </w:r>
      <w:r w:rsidRPr="00986C25">
        <w:t>o</w:t>
      </w:r>
      <w:r>
        <w:t>zdelenie a opätovné spojenie financovania regionálneho školstva dokumentuje Graf 8.</w:t>
      </w:r>
    </w:p>
    <w:p w14:paraId="711373F9" w14:textId="77777777" w:rsidR="00C1712A" w:rsidRDefault="00C1712A" w:rsidP="009B66D6">
      <w:pPr>
        <w:pStyle w:val="Popis"/>
        <w:keepNext/>
        <w:jc w:val="left"/>
      </w:pPr>
      <w:r>
        <w:t xml:space="preserve">Graf 8: </w:t>
      </w:r>
      <w:r w:rsidRPr="00C94050">
        <w:t xml:space="preserve">Vývoj výdavkov kapitol MŠVVaŠ SR a MV SR na programy súvisiace s výchovou a vzdelávaním mládeže v regionálnom školstve </w:t>
      </w:r>
      <w:r>
        <w:t xml:space="preserve">v rokoch 2011 až 2022 </w:t>
      </w:r>
      <w:r w:rsidRPr="00C94050">
        <w:t>(v mil. eur)</w:t>
      </w: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110"/>
      </w:tblGrid>
      <w:tr w:rsidR="00C1712A" w:rsidRPr="00B67668" w14:paraId="650C450E" w14:textId="77777777" w:rsidTr="00EC6F47">
        <w:trPr>
          <w:trHeight w:val="3402"/>
        </w:trPr>
        <w:tc>
          <w:tcPr>
            <w:tcW w:w="9110" w:type="dxa"/>
            <w:tcBorders>
              <w:top w:val="single" w:sz="4" w:space="0" w:color="314364" w:themeColor="text2"/>
              <w:bottom w:val="single" w:sz="4" w:space="0" w:color="314364" w:themeColor="text2"/>
            </w:tcBorders>
            <w:vAlign w:val="center"/>
          </w:tcPr>
          <w:p w14:paraId="125514D1" w14:textId="77777777" w:rsidR="00C1712A" w:rsidRPr="00B67668" w:rsidRDefault="00C1712A" w:rsidP="00EC6F47">
            <w:pPr>
              <w:spacing w:after="0"/>
              <w:rPr>
                <w:b/>
              </w:rPr>
            </w:pPr>
            <w:r>
              <w:rPr>
                <w:noProof/>
                <w:lang w:eastAsia="sk-SK"/>
              </w:rPr>
              <w:drawing>
                <wp:inline distT="0" distB="0" distL="0" distR="0" wp14:anchorId="09903C17" wp14:editId="7D5DF6D9">
                  <wp:extent cx="5695950" cy="213360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22C20D98" w14:textId="16141835" w:rsidR="00C1712A" w:rsidRDefault="00C1712A" w:rsidP="00C1712A">
      <w:pPr>
        <w:pStyle w:val="Zdroj"/>
      </w:pPr>
      <w:r>
        <w:t>Zdroj: RIS, úpravy OSA.</w:t>
      </w:r>
      <w:r>
        <w:br/>
        <w:t xml:space="preserve">Poznámka: V prípade MŠVVaŠ SR ide o údaje za Národný program výchovy, vzdelávania a mládeže, v prípade MV SR ide o údaje za program Výchova a vzdelávanie mládeže; hodnoty za roky 2011 – 2020 sú skutočne čerpané výdavky, za roky 2021 a 2022 ide o rozpočtované objemy (2021 </w:t>
      </w:r>
      <w:r w:rsidR="009B66D6">
        <w:t>–</w:t>
      </w:r>
      <w:r>
        <w:t xml:space="preserve"> parlamentný rozpis rozpočtu, 2022 – úpravy MF).</w:t>
      </w:r>
    </w:p>
    <w:p w14:paraId="2FD46B81" w14:textId="77777777" w:rsidR="00FB6475" w:rsidRDefault="00FB6475" w:rsidP="00FB6475">
      <w:r>
        <w:t>Popri systéme financovania regionálneho školstva je nemenej dôležitý aj samotný objem financií, ktoré štát samospráve na výkon úloh v oblasti školstva poskytuje. Nedostatočné financovanie zo strany štátu je označované ako problém výkonu tak prenesených,</w:t>
      </w:r>
      <w:r w:rsidRPr="00E058A7">
        <w:rPr>
          <w:rStyle w:val="Odkaznapoznmkupodiarou"/>
          <w:i/>
        </w:rPr>
        <w:footnoteReference w:id="20"/>
      </w:r>
      <w:r w:rsidRPr="00E058A7">
        <w:rPr>
          <w:i/>
          <w:vertAlign w:val="superscript"/>
        </w:rPr>
        <w:t>)</w:t>
      </w:r>
      <w:r>
        <w:t xml:space="preserve"> ako aj originálnych</w:t>
      </w:r>
      <w:r w:rsidRPr="00E058A7">
        <w:rPr>
          <w:rStyle w:val="Odkaznapoznmkupodiarou"/>
          <w:i/>
        </w:rPr>
        <w:footnoteReference w:id="21"/>
      </w:r>
      <w:r w:rsidRPr="00E058A7">
        <w:rPr>
          <w:i/>
          <w:vertAlign w:val="superscript"/>
        </w:rPr>
        <w:t>)</w:t>
      </w:r>
      <w:r>
        <w:t xml:space="preserve"> kompetencií v oblasti školstva. Pre riadne fungovanie regionálneho školstva, bez tlaku na to, aby samospráva musela dofinancovať výkon prenesených kompetencií v školstve, by bolo vhodné, aby štát alokoval primerané zdroje na regionálne školstvo. Návrh rozpočtu na rok 2022 síce pre regionálne školstvo počíta s vyšším celkovým objemom prostriedkov (o 272,2 mil. eur) oproti očakávanej skutočnosti roku 2021, no nárast je spôsobený predovšetkým zahrnutím prostriedkov z Plánu obnovy a odolnosti vo výške 343,4 mil. eur. Štandardný chod regionálneho školstva je financovaný predovšetkým normatívnymi a nenormatívnymi výdavkami ktoré majú oproti očakávanej skutočnosti 2021 rozpočtovaný objem </w:t>
      </w:r>
      <w:r w:rsidRPr="00472DEF">
        <w:rPr>
          <w:b/>
        </w:rPr>
        <w:t>až o 96,7 mil. eur nižší</w:t>
      </w:r>
      <w:r>
        <w:t xml:space="preserve">. </w:t>
      </w:r>
    </w:p>
    <w:p w14:paraId="5E64E510" w14:textId="24C9DF00" w:rsidR="00FB6475" w:rsidRDefault="00FB6475" w:rsidP="00FB6475">
      <w:r>
        <w:t xml:space="preserve">Jedným z konkrétnych dopadov nižšieho financovania bežného chodu škôl je </w:t>
      </w:r>
      <w:r w:rsidRPr="00665139">
        <w:rPr>
          <w:b/>
        </w:rPr>
        <w:t>zníženie</w:t>
      </w:r>
      <w:r>
        <w:rPr>
          <w:b/>
        </w:rPr>
        <w:t xml:space="preserve"> nominálnych</w:t>
      </w:r>
      <w:r w:rsidRPr="00665139">
        <w:rPr>
          <w:b/>
        </w:rPr>
        <w:t xml:space="preserve"> miezd v regionálnom školstve o približne 1 %</w:t>
      </w:r>
      <w:r>
        <w:t>, s ktorým Návrh rozpočtu na rok 2022 oproti očakávanej skutočnosti 2021 počíta. V období, kedy je nízke ohodnotenie zamestnancov v školstve dlhodobo jedným zo zásadných problémov sektora, a</w:t>
      </w:r>
      <w:r w:rsidR="009B66D6">
        <w:t xml:space="preserve"> kedy sa </w:t>
      </w:r>
      <w:r>
        <w:t xml:space="preserve">zároveň očakáva vyššia inflácia, vytvára znižovanie miezd v regionálnom školstve významné riziká </w:t>
      </w:r>
      <w:r w:rsidR="009B66D6">
        <w:rPr>
          <w:sz w:val="18"/>
        </w:rPr>
        <w:t xml:space="preserve">– </w:t>
      </w:r>
      <w:r>
        <w:t xml:space="preserve">či už vo vzťahu ku kvalite vzdelávania, alebo k fungovaniu školstva ako takého. </w:t>
      </w:r>
    </w:p>
    <w:p w14:paraId="5FB49105" w14:textId="7D8239BF" w:rsidR="00FB6475" w:rsidRDefault="00FB6475" w:rsidP="00FB6475">
      <w:r>
        <w:t xml:space="preserve">Ďalším príkladom významného faktoru, ktorý v rozpočte nie je zohľadnený, je prognózovaný nárast počtu žiakov. Podľa analýzy CVTI SR bude celé obdobie, na ktoré je aktuálny návrh rozpočtu tvorený, sprevádzané </w:t>
      </w:r>
      <w:r w:rsidRPr="00570942">
        <w:rPr>
          <w:b/>
        </w:rPr>
        <w:t>rastom počtu žiakov</w:t>
      </w:r>
      <w:r>
        <w:t xml:space="preserve"> tak na základných, ako aj stredných školách</w:t>
      </w:r>
      <w:r w:rsidRPr="00E058A7">
        <w:rPr>
          <w:rStyle w:val="Odkaznapoznmkupodiarou"/>
          <w:i/>
        </w:rPr>
        <w:footnoteReference w:id="22"/>
      </w:r>
      <w:r w:rsidRPr="00E058A7">
        <w:rPr>
          <w:i/>
          <w:vertAlign w:val="superscript"/>
        </w:rPr>
        <w:t>)</w:t>
      </w:r>
      <w:r w:rsidR="0052787E">
        <w:rPr>
          <w:i/>
        </w:rPr>
        <w:t>.</w:t>
      </w:r>
      <w:r>
        <w:t xml:space="preserve"> Navrhovaný rozpočet </w:t>
      </w:r>
      <w:r w:rsidR="009B66D6">
        <w:lastRenderedPageBreak/>
        <w:t xml:space="preserve">však </w:t>
      </w:r>
      <w:r>
        <w:t>nijako nezohľadňuje tento dôležitý faktor, pričom podľa prepočtov MŠVVaŠ SR</w:t>
      </w:r>
      <w:r w:rsidRPr="00E058A7">
        <w:rPr>
          <w:rStyle w:val="Odkaznapoznmkupodiarou"/>
          <w:i/>
        </w:rPr>
        <w:footnoteReference w:id="23"/>
      </w:r>
      <w:r w:rsidRPr="00E058A7">
        <w:rPr>
          <w:i/>
          <w:vertAlign w:val="superscript"/>
        </w:rPr>
        <w:t>)</w:t>
      </w:r>
      <w:r>
        <w:t xml:space="preserve"> bude jeho vplyv v roku 2022 znamenať potreb</w:t>
      </w:r>
      <w:r w:rsidR="009B66D6">
        <w:t>nosť</w:t>
      </w:r>
      <w:r>
        <w:t xml:space="preserve"> dodatočných 40,2 mil. eur a v ďalších dvoch rokoch ešte násobne viac. </w:t>
      </w:r>
    </w:p>
    <w:p w14:paraId="2D2C5079" w14:textId="77777777" w:rsidR="00FB6475" w:rsidRDefault="00FB6475" w:rsidP="00FB6475">
      <w:r>
        <w:t xml:space="preserve">Z návrhu rozpočtu vyplýva </w:t>
      </w:r>
      <w:r w:rsidRPr="000A14D8">
        <w:rPr>
          <w:b/>
        </w:rPr>
        <w:t>riziko nedostatočného financovania bežného chodu regionálneho školstva zo strany ŠR, čo bude znamenať tlak na samosprávy ako zriaďovateľov škôl</w:t>
      </w:r>
      <w:r>
        <w:t>.</w:t>
      </w:r>
    </w:p>
    <w:p w14:paraId="2B66C17D" w14:textId="136F1433" w:rsidR="000D05F7" w:rsidRPr="00432AD8" w:rsidRDefault="003567A1" w:rsidP="00432AD8">
      <w:pPr>
        <w:pStyle w:val="Nadpis2"/>
      </w:pPr>
      <w:bookmarkStart w:id="24" w:name="_Toc86396380"/>
      <w:bookmarkStart w:id="25" w:name="_Toc87345114"/>
      <w:r w:rsidRPr="00432AD8">
        <w:t>Zdravotníctvo</w:t>
      </w:r>
      <w:bookmarkEnd w:id="24"/>
      <w:bookmarkEnd w:id="25"/>
    </w:p>
    <w:p w14:paraId="7574795F" w14:textId="0CAF9F62" w:rsidR="00E20790" w:rsidRDefault="00E20790" w:rsidP="00E20790">
      <w:r>
        <w:t>V PVV</w:t>
      </w:r>
      <w:r w:rsidRPr="00862CFE">
        <w:t xml:space="preserve"> v rámci reformy financovania zdravotnej starostlivosti sa vláda </w:t>
      </w:r>
      <w:r w:rsidR="00857CB1">
        <w:t>z</w:t>
      </w:r>
      <w:r w:rsidRPr="00862CFE">
        <w:t xml:space="preserve">aviazala odpolitizovať financovanie zdravotníctva a zabezpečiť výrazný rast celkových výdavkov s cieľom čo najrýchlejšie dosiahnuť priemer </w:t>
      </w:r>
      <w:r w:rsidR="00857CB1">
        <w:t xml:space="preserve">v </w:t>
      </w:r>
      <w:r w:rsidRPr="00862CFE">
        <w:t>EÚ, v rámci možnosti verejných financií (ideálne s rastom 0,3 p</w:t>
      </w:r>
      <w:r w:rsidR="00857CB1">
        <w:t>. b.</w:t>
      </w:r>
      <w:r w:rsidRPr="00862CFE">
        <w:t xml:space="preserve"> HDP ročne).</w:t>
      </w:r>
      <w:r>
        <w:t xml:space="preserve"> Pri porovnaní n</w:t>
      </w:r>
      <w:r w:rsidR="00857CB1">
        <w:t>ávrhu</w:t>
      </w:r>
      <w:r>
        <w:t xml:space="preserve"> </w:t>
      </w:r>
      <w:r w:rsidR="005A0044">
        <w:t>RVS</w:t>
      </w:r>
      <w:r>
        <w:t xml:space="preserve"> </w:t>
      </w:r>
      <w:r w:rsidR="00857CB1">
        <w:t xml:space="preserve">na rok 2022 </w:t>
      </w:r>
      <w:r>
        <w:t>s </w:t>
      </w:r>
      <w:r w:rsidR="005A0044">
        <w:t>RVS</w:t>
      </w:r>
      <w:r>
        <w:t xml:space="preserve"> na rok 2021 sa javí tento záväzok ako splnený, keďže celkové rozpočtované výdavky na zdravotníctvo v objeme 6,38 ml</w:t>
      </w:r>
      <w:r w:rsidR="008876BA">
        <w:t>d</w:t>
      </w:r>
      <w:r>
        <w:t>. eur sú o 411 mil. eur vyššie</w:t>
      </w:r>
      <w:r w:rsidR="005A0044">
        <w:t xml:space="preserve"> (Tabuľka 10)</w:t>
      </w:r>
      <w:r>
        <w:t>.</w:t>
      </w:r>
    </w:p>
    <w:p w14:paraId="106115EB" w14:textId="33296BFB" w:rsidR="00E20790" w:rsidRDefault="00E20790" w:rsidP="00E20790">
      <w:pPr>
        <w:pStyle w:val="Popis"/>
        <w:keepNext/>
      </w:pPr>
      <w:r>
        <w:t xml:space="preserve">Tabuľka 10: </w:t>
      </w:r>
      <w:r w:rsidRPr="009E0940">
        <w:t>C</w:t>
      </w:r>
      <w:r w:rsidRPr="009A5E6F">
        <w:t>elkové výdavky v zdravotníctve (v tis. eur)</w:t>
      </w:r>
    </w:p>
    <w:tbl>
      <w:tblPr>
        <w:tblW w:w="5000" w:type="pct"/>
        <w:tblBorders>
          <w:bottom w:val="single" w:sz="4" w:space="0" w:color="314364" w:themeColor="text2"/>
        </w:tblBorders>
        <w:tblCellMar>
          <w:left w:w="70" w:type="dxa"/>
          <w:right w:w="70" w:type="dxa"/>
        </w:tblCellMar>
        <w:tblLook w:val="04A0" w:firstRow="1" w:lastRow="0" w:firstColumn="1" w:lastColumn="0" w:noHBand="0" w:noVBand="1"/>
      </w:tblPr>
      <w:tblGrid>
        <w:gridCol w:w="2714"/>
        <w:gridCol w:w="1237"/>
        <w:gridCol w:w="1237"/>
        <w:gridCol w:w="1237"/>
        <w:gridCol w:w="1237"/>
        <w:gridCol w:w="1408"/>
      </w:tblGrid>
      <w:tr w:rsidR="007B7DCB" w:rsidRPr="00806DC3" w14:paraId="70E7EF54" w14:textId="77777777" w:rsidTr="007B7DCB">
        <w:trPr>
          <w:trHeight w:val="283"/>
        </w:trPr>
        <w:tc>
          <w:tcPr>
            <w:tcW w:w="1496" w:type="pct"/>
            <w:shd w:val="clear" w:color="auto" w:fill="314364" w:themeFill="accent1"/>
            <w:vAlign w:val="center"/>
            <w:hideMark/>
          </w:tcPr>
          <w:p w14:paraId="77929B21" w14:textId="77777777" w:rsidR="007B7DCB" w:rsidRPr="008C6BB3" w:rsidRDefault="007B7DCB" w:rsidP="007B7DCB">
            <w:pPr>
              <w:spacing w:after="0" w:line="240" w:lineRule="auto"/>
              <w:jc w:val="left"/>
              <w:rPr>
                <w:rFonts w:eastAsia="Times New Roman" w:cs="Segoe UI"/>
                <w:b/>
                <w:bCs/>
                <w:color w:val="FFFFFF"/>
                <w:sz w:val="18"/>
                <w:szCs w:val="16"/>
                <w:lang w:eastAsia="sk-SK"/>
              </w:rPr>
            </w:pPr>
            <w:r w:rsidRPr="008C6BB3">
              <w:rPr>
                <w:rFonts w:eastAsia="Times New Roman" w:cs="Segoe UI"/>
                <w:b/>
                <w:bCs/>
                <w:color w:val="FFFFFF"/>
                <w:sz w:val="18"/>
                <w:szCs w:val="16"/>
                <w:lang w:eastAsia="sk-SK"/>
              </w:rPr>
              <w:t>Ukazovateľ</w:t>
            </w:r>
          </w:p>
        </w:tc>
        <w:tc>
          <w:tcPr>
            <w:tcW w:w="682" w:type="pct"/>
            <w:shd w:val="clear" w:color="auto" w:fill="314364" w:themeFill="accent1"/>
            <w:vAlign w:val="center"/>
            <w:hideMark/>
          </w:tcPr>
          <w:p w14:paraId="4E563B1F" w14:textId="77777777" w:rsidR="007B7DCB" w:rsidRPr="008C6BB3" w:rsidRDefault="007B7DCB" w:rsidP="007B7DCB">
            <w:pPr>
              <w:spacing w:after="0" w:line="240" w:lineRule="auto"/>
              <w:jc w:val="right"/>
              <w:rPr>
                <w:rFonts w:eastAsia="Times New Roman" w:cs="Segoe UI"/>
                <w:b/>
                <w:bCs/>
                <w:color w:val="FFFFFF"/>
                <w:sz w:val="18"/>
                <w:szCs w:val="16"/>
                <w:lang w:eastAsia="sk-SK"/>
              </w:rPr>
            </w:pPr>
            <w:r w:rsidRPr="008C6BB3">
              <w:rPr>
                <w:rFonts w:eastAsia="Times New Roman" w:cs="Segoe UI"/>
                <w:b/>
                <w:bCs/>
                <w:color w:val="FFFFFF"/>
                <w:sz w:val="18"/>
                <w:szCs w:val="16"/>
                <w:lang w:eastAsia="sk-SK"/>
              </w:rPr>
              <w:t>2019 S</w:t>
            </w:r>
          </w:p>
        </w:tc>
        <w:tc>
          <w:tcPr>
            <w:tcW w:w="682" w:type="pct"/>
            <w:shd w:val="clear" w:color="auto" w:fill="314364" w:themeFill="accent1"/>
            <w:vAlign w:val="center"/>
          </w:tcPr>
          <w:p w14:paraId="0B655257" w14:textId="68CE0CEC" w:rsidR="007B7DCB" w:rsidRPr="008C6BB3" w:rsidRDefault="007B7DCB" w:rsidP="007B7DCB">
            <w:pPr>
              <w:spacing w:after="0" w:line="240" w:lineRule="auto"/>
              <w:jc w:val="right"/>
              <w:rPr>
                <w:rFonts w:eastAsia="Times New Roman" w:cs="Segoe UI"/>
                <w:b/>
                <w:bCs/>
                <w:color w:val="FFFFFF"/>
                <w:sz w:val="18"/>
                <w:szCs w:val="16"/>
                <w:lang w:eastAsia="sk-SK"/>
              </w:rPr>
            </w:pPr>
            <w:r w:rsidRPr="008C6BB3">
              <w:rPr>
                <w:rFonts w:eastAsia="Times New Roman" w:cs="Segoe UI"/>
                <w:b/>
                <w:bCs/>
                <w:color w:val="FFFFFF"/>
                <w:sz w:val="18"/>
                <w:szCs w:val="16"/>
                <w:lang w:eastAsia="sk-SK"/>
              </w:rPr>
              <w:t>2020 S</w:t>
            </w:r>
          </w:p>
        </w:tc>
        <w:tc>
          <w:tcPr>
            <w:tcW w:w="682" w:type="pct"/>
            <w:shd w:val="clear" w:color="auto" w:fill="314364" w:themeFill="accent1"/>
            <w:vAlign w:val="center"/>
          </w:tcPr>
          <w:p w14:paraId="654A9B47" w14:textId="4E5D1840" w:rsidR="007B7DCB" w:rsidRPr="008C6BB3" w:rsidRDefault="007B7DCB" w:rsidP="007B7DCB">
            <w:pPr>
              <w:spacing w:after="0" w:line="240" w:lineRule="auto"/>
              <w:jc w:val="right"/>
              <w:rPr>
                <w:rFonts w:eastAsia="Times New Roman" w:cs="Segoe UI"/>
                <w:b/>
                <w:bCs/>
                <w:color w:val="FFFFFF"/>
                <w:sz w:val="18"/>
                <w:szCs w:val="16"/>
                <w:lang w:eastAsia="sk-SK"/>
              </w:rPr>
            </w:pPr>
            <w:r w:rsidRPr="008C6BB3">
              <w:rPr>
                <w:rFonts w:eastAsia="Times New Roman" w:cs="Segoe UI"/>
                <w:b/>
                <w:bCs/>
                <w:color w:val="FFFFFF"/>
                <w:sz w:val="18"/>
                <w:szCs w:val="16"/>
                <w:lang w:eastAsia="sk-SK"/>
              </w:rPr>
              <w:t>2020 R</w:t>
            </w:r>
          </w:p>
        </w:tc>
        <w:tc>
          <w:tcPr>
            <w:tcW w:w="682" w:type="pct"/>
            <w:shd w:val="clear" w:color="auto" w:fill="314364" w:themeFill="accent1"/>
            <w:vAlign w:val="center"/>
          </w:tcPr>
          <w:p w14:paraId="5184BD39" w14:textId="4DDA3339" w:rsidR="007B7DCB" w:rsidRPr="008C6BB3" w:rsidRDefault="007B7DCB" w:rsidP="007B7DCB">
            <w:pPr>
              <w:spacing w:after="0" w:line="240" w:lineRule="auto"/>
              <w:jc w:val="right"/>
              <w:rPr>
                <w:rFonts w:eastAsia="Times New Roman" w:cs="Segoe UI"/>
                <w:b/>
                <w:bCs/>
                <w:color w:val="FFFFFF"/>
                <w:sz w:val="18"/>
                <w:szCs w:val="16"/>
                <w:lang w:eastAsia="sk-SK"/>
              </w:rPr>
            </w:pPr>
            <w:r w:rsidRPr="008C6BB3">
              <w:rPr>
                <w:rFonts w:eastAsia="Times New Roman" w:cs="Segoe UI"/>
                <w:b/>
                <w:bCs/>
                <w:color w:val="FFFFFF"/>
                <w:sz w:val="18"/>
                <w:szCs w:val="16"/>
                <w:lang w:eastAsia="sk-SK"/>
              </w:rPr>
              <w:t>2021 R</w:t>
            </w:r>
          </w:p>
        </w:tc>
        <w:tc>
          <w:tcPr>
            <w:tcW w:w="776" w:type="pct"/>
            <w:shd w:val="clear" w:color="auto" w:fill="314364" w:themeFill="accent1"/>
            <w:vAlign w:val="center"/>
            <w:hideMark/>
          </w:tcPr>
          <w:p w14:paraId="204ACEB0" w14:textId="77777777" w:rsidR="007B7DCB" w:rsidRPr="008C6BB3" w:rsidRDefault="007B7DCB" w:rsidP="007B7DCB">
            <w:pPr>
              <w:spacing w:after="0" w:line="240" w:lineRule="auto"/>
              <w:jc w:val="right"/>
              <w:rPr>
                <w:rFonts w:eastAsia="Times New Roman" w:cs="Segoe UI"/>
                <w:b/>
                <w:bCs/>
                <w:color w:val="FFFFFF"/>
                <w:sz w:val="18"/>
                <w:szCs w:val="16"/>
                <w:lang w:eastAsia="sk-SK"/>
              </w:rPr>
            </w:pPr>
            <w:r w:rsidRPr="008C6BB3">
              <w:rPr>
                <w:rFonts w:eastAsia="Times New Roman" w:cs="Segoe UI"/>
                <w:b/>
                <w:bCs/>
                <w:color w:val="FFFFFF"/>
                <w:sz w:val="18"/>
                <w:szCs w:val="16"/>
                <w:lang w:eastAsia="sk-SK"/>
              </w:rPr>
              <w:t>2022 R</w:t>
            </w:r>
          </w:p>
        </w:tc>
      </w:tr>
      <w:tr w:rsidR="007B7DCB" w:rsidRPr="00806DC3" w14:paraId="186FAA46" w14:textId="77777777" w:rsidTr="007B7DCB">
        <w:trPr>
          <w:trHeight w:val="283"/>
        </w:trPr>
        <w:tc>
          <w:tcPr>
            <w:tcW w:w="1496" w:type="pct"/>
            <w:shd w:val="clear" w:color="auto" w:fill="auto"/>
            <w:vAlign w:val="center"/>
            <w:hideMark/>
          </w:tcPr>
          <w:p w14:paraId="0CD56EF7" w14:textId="77777777" w:rsidR="007B7DCB" w:rsidRPr="008C6BB3" w:rsidRDefault="007B7DCB" w:rsidP="007B7DCB">
            <w:pPr>
              <w:spacing w:after="0" w:line="240" w:lineRule="auto"/>
              <w:jc w:val="left"/>
              <w:rPr>
                <w:rFonts w:eastAsia="Times New Roman" w:cs="Segoe UI"/>
                <w:color w:val="000000"/>
                <w:sz w:val="18"/>
                <w:szCs w:val="16"/>
                <w:lang w:eastAsia="sk-SK"/>
              </w:rPr>
            </w:pPr>
            <w:r w:rsidRPr="008C6BB3">
              <w:rPr>
                <w:rFonts w:eastAsia="Times New Roman" w:cs="Segoe UI"/>
                <w:color w:val="000000"/>
                <w:sz w:val="18"/>
                <w:szCs w:val="16"/>
                <w:lang w:eastAsia="sk-SK"/>
              </w:rPr>
              <w:t>Výdavky na zdravotníctvo</w:t>
            </w:r>
          </w:p>
        </w:tc>
        <w:tc>
          <w:tcPr>
            <w:tcW w:w="682" w:type="pct"/>
            <w:shd w:val="clear" w:color="auto" w:fill="auto"/>
            <w:vAlign w:val="center"/>
            <w:hideMark/>
          </w:tcPr>
          <w:p w14:paraId="730EC089" w14:textId="77777777"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5 487 891</w:t>
            </w:r>
          </w:p>
        </w:tc>
        <w:tc>
          <w:tcPr>
            <w:tcW w:w="682" w:type="pct"/>
            <w:vAlign w:val="center"/>
          </w:tcPr>
          <w:p w14:paraId="32BA4BDF" w14:textId="43D2AF99"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5 607 202</w:t>
            </w:r>
          </w:p>
        </w:tc>
        <w:tc>
          <w:tcPr>
            <w:tcW w:w="682" w:type="pct"/>
            <w:vAlign w:val="center"/>
          </w:tcPr>
          <w:p w14:paraId="3500FDB1" w14:textId="64782F62"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5 613 569</w:t>
            </w:r>
          </w:p>
        </w:tc>
        <w:tc>
          <w:tcPr>
            <w:tcW w:w="682" w:type="pct"/>
            <w:vAlign w:val="center"/>
          </w:tcPr>
          <w:p w14:paraId="218390EA" w14:textId="0B6FDBCD" w:rsidR="007B7DCB" w:rsidRPr="008C6BB3" w:rsidRDefault="006458B4" w:rsidP="007B7DCB">
            <w:pPr>
              <w:spacing w:after="0" w:line="240" w:lineRule="auto"/>
              <w:jc w:val="center"/>
              <w:rPr>
                <w:rFonts w:eastAsia="Times New Roman" w:cs="Segoe UI"/>
                <w:color w:val="000000"/>
                <w:sz w:val="18"/>
                <w:szCs w:val="16"/>
                <w:lang w:eastAsia="sk-SK"/>
              </w:rPr>
            </w:pPr>
            <w:r>
              <w:rPr>
                <w:rFonts w:eastAsia="Times New Roman" w:cs="Segoe UI"/>
                <w:color w:val="000000"/>
                <w:sz w:val="18"/>
                <w:szCs w:val="16"/>
                <w:lang w:eastAsia="sk-SK"/>
              </w:rPr>
              <w:t xml:space="preserve">    </w:t>
            </w:r>
            <w:r w:rsidR="007B7DCB" w:rsidRPr="008C6BB3">
              <w:rPr>
                <w:rFonts w:eastAsia="Times New Roman" w:cs="Segoe UI"/>
                <w:color w:val="000000"/>
                <w:sz w:val="18"/>
                <w:szCs w:val="16"/>
                <w:lang w:eastAsia="sk-SK"/>
              </w:rPr>
              <w:t>5 966 840</w:t>
            </w:r>
          </w:p>
        </w:tc>
        <w:tc>
          <w:tcPr>
            <w:tcW w:w="776" w:type="pct"/>
            <w:shd w:val="clear" w:color="auto" w:fill="auto"/>
            <w:vAlign w:val="center"/>
            <w:hideMark/>
          </w:tcPr>
          <w:p w14:paraId="4F3AA8EF" w14:textId="77777777"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6 377 706</w:t>
            </w:r>
          </w:p>
        </w:tc>
      </w:tr>
      <w:tr w:rsidR="007B7DCB" w:rsidRPr="00806DC3" w14:paraId="787D9B33" w14:textId="77777777" w:rsidTr="007B7DCB">
        <w:trPr>
          <w:trHeight w:val="283"/>
        </w:trPr>
        <w:tc>
          <w:tcPr>
            <w:tcW w:w="1496" w:type="pct"/>
            <w:shd w:val="clear" w:color="auto" w:fill="auto"/>
            <w:vAlign w:val="center"/>
          </w:tcPr>
          <w:p w14:paraId="0287F3EB" w14:textId="5945F800" w:rsidR="007B7DCB" w:rsidRPr="008C6BB3" w:rsidRDefault="007B7DCB" w:rsidP="007B7DCB">
            <w:pPr>
              <w:spacing w:after="0" w:line="240" w:lineRule="auto"/>
              <w:jc w:val="left"/>
              <w:rPr>
                <w:rFonts w:eastAsia="Times New Roman" w:cs="Segoe UI"/>
                <w:color w:val="000000"/>
                <w:sz w:val="18"/>
                <w:szCs w:val="16"/>
                <w:lang w:eastAsia="sk-SK"/>
              </w:rPr>
            </w:pPr>
            <w:r>
              <w:rPr>
                <w:rFonts w:eastAsia="Times New Roman" w:cs="Segoe UI"/>
                <w:color w:val="000000"/>
                <w:sz w:val="18"/>
                <w:szCs w:val="16"/>
                <w:lang w:eastAsia="sk-SK"/>
              </w:rPr>
              <w:t xml:space="preserve">Zmena oproti </w:t>
            </w:r>
            <w:proofErr w:type="spellStart"/>
            <w:r>
              <w:rPr>
                <w:rFonts w:eastAsia="Times New Roman" w:cs="Segoe UI"/>
                <w:color w:val="000000"/>
                <w:sz w:val="18"/>
                <w:szCs w:val="16"/>
                <w:lang w:eastAsia="sk-SK"/>
              </w:rPr>
              <w:t>predch</w:t>
            </w:r>
            <w:proofErr w:type="spellEnd"/>
            <w:r>
              <w:rPr>
                <w:rFonts w:eastAsia="Times New Roman" w:cs="Segoe UI"/>
                <w:color w:val="000000"/>
                <w:sz w:val="18"/>
                <w:szCs w:val="16"/>
                <w:lang w:eastAsia="sk-SK"/>
              </w:rPr>
              <w:t>. roku</w:t>
            </w:r>
          </w:p>
        </w:tc>
        <w:tc>
          <w:tcPr>
            <w:tcW w:w="682" w:type="pct"/>
            <w:shd w:val="clear" w:color="auto" w:fill="auto"/>
            <w:vAlign w:val="center"/>
          </w:tcPr>
          <w:p w14:paraId="34A52197" w14:textId="0CBF2BCB" w:rsidR="007B7DCB" w:rsidRPr="008C6BB3" w:rsidRDefault="00046FC0" w:rsidP="007B7DCB">
            <w:pPr>
              <w:spacing w:after="0" w:line="240" w:lineRule="auto"/>
              <w:jc w:val="right"/>
              <w:rPr>
                <w:rFonts w:eastAsia="Times New Roman" w:cs="Segoe UI"/>
                <w:color w:val="000000"/>
                <w:sz w:val="18"/>
                <w:szCs w:val="16"/>
                <w:lang w:eastAsia="sk-SK"/>
              </w:rPr>
            </w:pPr>
            <w:r>
              <w:rPr>
                <w:rFonts w:eastAsia="Times New Roman" w:cs="Segoe UI"/>
                <w:color w:val="000000"/>
                <w:sz w:val="18"/>
                <w:szCs w:val="16"/>
                <w:lang w:eastAsia="sk-SK"/>
              </w:rPr>
              <w:t>314 141</w:t>
            </w:r>
          </w:p>
        </w:tc>
        <w:tc>
          <w:tcPr>
            <w:tcW w:w="682" w:type="pct"/>
            <w:vAlign w:val="center"/>
          </w:tcPr>
          <w:p w14:paraId="2B5C1802" w14:textId="7318A658" w:rsidR="007B7DCB" w:rsidRPr="008C6BB3" w:rsidRDefault="006458B4" w:rsidP="007B7DCB">
            <w:pPr>
              <w:spacing w:after="0" w:line="240" w:lineRule="auto"/>
              <w:jc w:val="right"/>
              <w:rPr>
                <w:rFonts w:eastAsia="Times New Roman" w:cs="Segoe UI"/>
                <w:color w:val="000000"/>
                <w:sz w:val="18"/>
                <w:szCs w:val="16"/>
                <w:lang w:eastAsia="sk-SK"/>
              </w:rPr>
            </w:pPr>
            <w:r>
              <w:rPr>
                <w:rFonts w:eastAsia="Times New Roman" w:cs="Segoe UI"/>
                <w:color w:val="000000"/>
                <w:sz w:val="18"/>
                <w:szCs w:val="16"/>
                <w:lang w:eastAsia="sk-SK"/>
              </w:rPr>
              <w:t>119 311</w:t>
            </w:r>
          </w:p>
        </w:tc>
        <w:tc>
          <w:tcPr>
            <w:tcW w:w="682" w:type="pct"/>
          </w:tcPr>
          <w:p w14:paraId="68FF607A" w14:textId="29329CB8" w:rsidR="007B7DCB" w:rsidRPr="008C6BB3" w:rsidRDefault="006458B4" w:rsidP="007B7DCB">
            <w:pPr>
              <w:spacing w:after="0" w:line="240" w:lineRule="auto"/>
              <w:jc w:val="right"/>
              <w:rPr>
                <w:rFonts w:eastAsia="Times New Roman" w:cs="Segoe UI"/>
                <w:color w:val="000000"/>
                <w:sz w:val="18"/>
                <w:szCs w:val="16"/>
                <w:lang w:eastAsia="sk-SK"/>
              </w:rPr>
            </w:pPr>
            <w:r>
              <w:rPr>
                <w:rFonts w:eastAsia="Times New Roman" w:cs="Segoe UI"/>
                <w:color w:val="000000"/>
                <w:sz w:val="18"/>
                <w:szCs w:val="16"/>
                <w:lang w:eastAsia="sk-SK"/>
              </w:rPr>
              <w:t>-</w:t>
            </w:r>
          </w:p>
        </w:tc>
        <w:tc>
          <w:tcPr>
            <w:tcW w:w="682" w:type="pct"/>
            <w:vAlign w:val="center"/>
          </w:tcPr>
          <w:p w14:paraId="65F63922" w14:textId="557AFA01" w:rsidR="007B7DCB" w:rsidRPr="008C6BB3" w:rsidRDefault="006458B4" w:rsidP="006458B4">
            <w:pPr>
              <w:spacing w:after="0" w:line="240" w:lineRule="auto"/>
              <w:jc w:val="center"/>
              <w:rPr>
                <w:rFonts w:eastAsia="Times New Roman" w:cs="Segoe UI"/>
                <w:color w:val="000000"/>
                <w:sz w:val="18"/>
                <w:szCs w:val="16"/>
                <w:lang w:eastAsia="sk-SK"/>
              </w:rPr>
            </w:pPr>
            <w:r>
              <w:rPr>
                <w:rFonts w:eastAsia="Times New Roman" w:cs="Segoe UI"/>
                <w:color w:val="000000"/>
                <w:sz w:val="18"/>
                <w:szCs w:val="16"/>
                <w:lang w:eastAsia="sk-SK"/>
              </w:rPr>
              <w:t xml:space="preserve">      353 271</w:t>
            </w:r>
          </w:p>
        </w:tc>
        <w:tc>
          <w:tcPr>
            <w:tcW w:w="776" w:type="pct"/>
            <w:shd w:val="clear" w:color="auto" w:fill="auto"/>
            <w:vAlign w:val="center"/>
          </w:tcPr>
          <w:p w14:paraId="7B39EE73" w14:textId="3D37DCEC" w:rsidR="007B7DCB" w:rsidRPr="008C6BB3" w:rsidRDefault="006458B4" w:rsidP="007B7DCB">
            <w:pPr>
              <w:spacing w:after="0" w:line="240" w:lineRule="auto"/>
              <w:jc w:val="right"/>
              <w:rPr>
                <w:rFonts w:eastAsia="Times New Roman" w:cs="Segoe UI"/>
                <w:color w:val="000000"/>
                <w:sz w:val="18"/>
                <w:szCs w:val="16"/>
                <w:lang w:eastAsia="sk-SK"/>
              </w:rPr>
            </w:pPr>
            <w:r>
              <w:rPr>
                <w:rFonts w:eastAsia="Times New Roman" w:cs="Segoe UI"/>
                <w:color w:val="000000"/>
                <w:sz w:val="18"/>
                <w:szCs w:val="16"/>
                <w:lang w:eastAsia="sk-SK"/>
              </w:rPr>
              <w:t>410 866</w:t>
            </w:r>
          </w:p>
        </w:tc>
      </w:tr>
      <w:tr w:rsidR="007B7DCB" w:rsidRPr="00806DC3" w14:paraId="1581E7DB" w14:textId="77777777" w:rsidTr="007B7DCB">
        <w:trPr>
          <w:trHeight w:val="283"/>
        </w:trPr>
        <w:tc>
          <w:tcPr>
            <w:tcW w:w="1496" w:type="pct"/>
            <w:shd w:val="clear" w:color="auto" w:fill="auto"/>
            <w:vAlign w:val="center"/>
            <w:hideMark/>
          </w:tcPr>
          <w:p w14:paraId="0EE403EB" w14:textId="77777777" w:rsidR="007B7DCB" w:rsidRPr="008C6BB3" w:rsidRDefault="007B7DCB" w:rsidP="007B7DCB">
            <w:pPr>
              <w:spacing w:after="0" w:line="240" w:lineRule="auto"/>
              <w:jc w:val="left"/>
              <w:rPr>
                <w:rFonts w:eastAsia="Times New Roman" w:cs="Segoe UI"/>
                <w:color w:val="000000"/>
                <w:sz w:val="18"/>
                <w:szCs w:val="16"/>
                <w:lang w:eastAsia="sk-SK"/>
              </w:rPr>
            </w:pPr>
            <w:r w:rsidRPr="008C6BB3">
              <w:rPr>
                <w:rFonts w:eastAsia="Times New Roman" w:cs="Segoe UI"/>
                <w:color w:val="000000"/>
                <w:sz w:val="18"/>
                <w:szCs w:val="16"/>
                <w:lang w:eastAsia="sk-SK"/>
              </w:rPr>
              <w:t>HDP v bežných cenách</w:t>
            </w:r>
          </w:p>
        </w:tc>
        <w:tc>
          <w:tcPr>
            <w:tcW w:w="682" w:type="pct"/>
            <w:shd w:val="clear" w:color="auto" w:fill="auto"/>
            <w:vAlign w:val="center"/>
            <w:hideMark/>
          </w:tcPr>
          <w:p w14:paraId="5C770298" w14:textId="77777777"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93 900 450</w:t>
            </w:r>
          </w:p>
        </w:tc>
        <w:tc>
          <w:tcPr>
            <w:tcW w:w="682" w:type="pct"/>
            <w:vAlign w:val="center"/>
          </w:tcPr>
          <w:p w14:paraId="5047185E" w14:textId="04A74FB6"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91 555 334</w:t>
            </w:r>
          </w:p>
        </w:tc>
        <w:tc>
          <w:tcPr>
            <w:tcW w:w="682" w:type="pct"/>
          </w:tcPr>
          <w:p w14:paraId="31AAE6B9" w14:textId="71BE9E29" w:rsidR="007B7DCB" w:rsidRPr="008C6BB3" w:rsidRDefault="007B7DCB" w:rsidP="007B7DCB">
            <w:pPr>
              <w:spacing w:after="0" w:line="240" w:lineRule="auto"/>
              <w:jc w:val="right"/>
              <w:rPr>
                <w:rFonts w:eastAsia="Times New Roman" w:cs="Segoe UI"/>
                <w:color w:val="000000"/>
                <w:sz w:val="18"/>
                <w:szCs w:val="16"/>
                <w:lang w:eastAsia="sk-SK"/>
              </w:rPr>
            </w:pPr>
            <w:r>
              <w:rPr>
                <w:rFonts w:eastAsia="Times New Roman" w:cs="Segoe UI"/>
                <w:color w:val="000000"/>
                <w:sz w:val="18"/>
                <w:szCs w:val="16"/>
                <w:lang w:eastAsia="sk-SK"/>
              </w:rPr>
              <w:t>-</w:t>
            </w:r>
          </w:p>
        </w:tc>
        <w:tc>
          <w:tcPr>
            <w:tcW w:w="682" w:type="pct"/>
            <w:vAlign w:val="center"/>
          </w:tcPr>
          <w:p w14:paraId="76BD0D3B" w14:textId="580ABA14"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96 885</w:t>
            </w:r>
            <w:r>
              <w:rPr>
                <w:rFonts w:eastAsia="Times New Roman" w:cs="Segoe UI"/>
                <w:color w:val="000000"/>
                <w:sz w:val="18"/>
                <w:szCs w:val="16"/>
                <w:lang w:eastAsia="sk-SK"/>
              </w:rPr>
              <w:t> </w:t>
            </w:r>
            <w:r w:rsidRPr="008C6BB3">
              <w:rPr>
                <w:rFonts w:eastAsia="Times New Roman" w:cs="Segoe UI"/>
                <w:color w:val="000000"/>
                <w:sz w:val="18"/>
                <w:szCs w:val="16"/>
                <w:lang w:eastAsia="sk-SK"/>
              </w:rPr>
              <w:t>196*</w:t>
            </w:r>
          </w:p>
        </w:tc>
        <w:tc>
          <w:tcPr>
            <w:tcW w:w="776" w:type="pct"/>
            <w:shd w:val="clear" w:color="auto" w:fill="auto"/>
            <w:vAlign w:val="center"/>
            <w:hideMark/>
          </w:tcPr>
          <w:p w14:paraId="0B60A40B" w14:textId="578C9AC3"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104 934</w:t>
            </w:r>
            <w:r>
              <w:rPr>
                <w:rFonts w:eastAsia="Times New Roman" w:cs="Segoe UI"/>
                <w:color w:val="000000"/>
                <w:sz w:val="18"/>
                <w:szCs w:val="16"/>
                <w:lang w:eastAsia="sk-SK"/>
              </w:rPr>
              <w:t> </w:t>
            </w:r>
            <w:r w:rsidRPr="008C6BB3">
              <w:rPr>
                <w:rFonts w:eastAsia="Times New Roman" w:cs="Segoe UI"/>
                <w:color w:val="000000"/>
                <w:sz w:val="18"/>
                <w:szCs w:val="16"/>
                <w:lang w:eastAsia="sk-SK"/>
              </w:rPr>
              <w:t>974*</w:t>
            </w:r>
          </w:p>
        </w:tc>
      </w:tr>
      <w:tr w:rsidR="007B7DCB" w:rsidRPr="00806DC3" w14:paraId="27F8E2B0" w14:textId="77777777" w:rsidTr="007B7DCB">
        <w:trPr>
          <w:trHeight w:val="283"/>
        </w:trPr>
        <w:tc>
          <w:tcPr>
            <w:tcW w:w="1496" w:type="pct"/>
            <w:shd w:val="clear" w:color="auto" w:fill="auto"/>
            <w:vAlign w:val="center"/>
            <w:hideMark/>
          </w:tcPr>
          <w:p w14:paraId="33A87654" w14:textId="77777777" w:rsidR="007B7DCB" w:rsidRPr="008C6BB3" w:rsidRDefault="007B7DCB" w:rsidP="007B7DCB">
            <w:pPr>
              <w:spacing w:after="0" w:line="240" w:lineRule="auto"/>
              <w:jc w:val="left"/>
              <w:rPr>
                <w:rFonts w:eastAsia="Times New Roman" w:cs="Segoe UI"/>
                <w:color w:val="000000"/>
                <w:sz w:val="18"/>
                <w:szCs w:val="16"/>
                <w:lang w:eastAsia="sk-SK"/>
              </w:rPr>
            </w:pPr>
            <w:r w:rsidRPr="008C6BB3">
              <w:rPr>
                <w:rFonts w:eastAsia="Times New Roman" w:cs="Segoe UI"/>
                <w:color w:val="000000"/>
                <w:sz w:val="18"/>
                <w:szCs w:val="16"/>
                <w:lang w:eastAsia="sk-SK"/>
              </w:rPr>
              <w:t>0,3 % z HDP</w:t>
            </w:r>
          </w:p>
        </w:tc>
        <w:tc>
          <w:tcPr>
            <w:tcW w:w="682" w:type="pct"/>
            <w:shd w:val="clear" w:color="auto" w:fill="auto"/>
            <w:vAlign w:val="center"/>
            <w:hideMark/>
          </w:tcPr>
          <w:p w14:paraId="60D05014" w14:textId="77777777"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281 701</w:t>
            </w:r>
          </w:p>
        </w:tc>
        <w:tc>
          <w:tcPr>
            <w:tcW w:w="682" w:type="pct"/>
            <w:vAlign w:val="center"/>
          </w:tcPr>
          <w:p w14:paraId="6346C0D1" w14:textId="21A9A567"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274 666</w:t>
            </w:r>
          </w:p>
        </w:tc>
        <w:tc>
          <w:tcPr>
            <w:tcW w:w="682" w:type="pct"/>
          </w:tcPr>
          <w:p w14:paraId="4089DE56" w14:textId="38C689C0" w:rsidR="007B7DCB" w:rsidRPr="008C6BB3" w:rsidRDefault="007B7DCB" w:rsidP="007B7DCB">
            <w:pPr>
              <w:spacing w:after="0" w:line="240" w:lineRule="auto"/>
              <w:jc w:val="right"/>
              <w:rPr>
                <w:rFonts w:eastAsia="Times New Roman" w:cs="Segoe UI"/>
                <w:color w:val="000000"/>
                <w:sz w:val="18"/>
                <w:szCs w:val="16"/>
                <w:lang w:eastAsia="sk-SK"/>
              </w:rPr>
            </w:pPr>
            <w:r>
              <w:rPr>
                <w:rFonts w:eastAsia="Times New Roman" w:cs="Segoe UI"/>
                <w:color w:val="000000"/>
                <w:sz w:val="18"/>
                <w:szCs w:val="16"/>
                <w:lang w:eastAsia="sk-SK"/>
              </w:rPr>
              <w:t>-</w:t>
            </w:r>
          </w:p>
        </w:tc>
        <w:tc>
          <w:tcPr>
            <w:tcW w:w="682" w:type="pct"/>
            <w:vAlign w:val="center"/>
          </w:tcPr>
          <w:p w14:paraId="2D20F054" w14:textId="14065A9D" w:rsidR="007B7DCB" w:rsidRPr="008C6BB3" w:rsidRDefault="007B7DCB" w:rsidP="007B7DCB">
            <w:pPr>
              <w:spacing w:after="0" w:line="240" w:lineRule="auto"/>
              <w:jc w:val="center"/>
              <w:rPr>
                <w:rFonts w:eastAsia="Times New Roman" w:cs="Segoe UI"/>
                <w:color w:val="000000"/>
                <w:sz w:val="18"/>
                <w:szCs w:val="16"/>
                <w:lang w:eastAsia="sk-SK"/>
              </w:rPr>
            </w:pPr>
            <w:r>
              <w:rPr>
                <w:rFonts w:eastAsia="Times New Roman" w:cs="Segoe UI"/>
                <w:color w:val="000000"/>
                <w:sz w:val="18"/>
                <w:szCs w:val="16"/>
                <w:lang w:eastAsia="sk-SK"/>
              </w:rPr>
              <w:t xml:space="preserve">    </w:t>
            </w:r>
            <w:r w:rsidRPr="008C6BB3">
              <w:rPr>
                <w:rFonts w:eastAsia="Times New Roman" w:cs="Segoe UI"/>
                <w:color w:val="000000"/>
                <w:sz w:val="18"/>
                <w:szCs w:val="16"/>
                <w:lang w:eastAsia="sk-SK"/>
              </w:rPr>
              <w:t>290 656</w:t>
            </w:r>
          </w:p>
        </w:tc>
        <w:tc>
          <w:tcPr>
            <w:tcW w:w="776" w:type="pct"/>
            <w:shd w:val="clear" w:color="auto" w:fill="auto"/>
            <w:vAlign w:val="center"/>
            <w:hideMark/>
          </w:tcPr>
          <w:p w14:paraId="55C95619" w14:textId="786E10AF" w:rsidR="007B7DCB" w:rsidRPr="008C6BB3" w:rsidRDefault="007B7DCB" w:rsidP="007B7DCB">
            <w:pPr>
              <w:spacing w:after="0" w:line="240" w:lineRule="auto"/>
              <w:jc w:val="right"/>
              <w:rPr>
                <w:rFonts w:eastAsia="Times New Roman" w:cs="Segoe UI"/>
                <w:color w:val="000000"/>
                <w:sz w:val="18"/>
                <w:szCs w:val="16"/>
                <w:lang w:eastAsia="sk-SK"/>
              </w:rPr>
            </w:pPr>
            <w:r w:rsidRPr="008C6BB3">
              <w:rPr>
                <w:rFonts w:eastAsia="Times New Roman" w:cs="Segoe UI"/>
                <w:color w:val="000000"/>
                <w:sz w:val="18"/>
                <w:szCs w:val="16"/>
                <w:lang w:eastAsia="sk-SK"/>
              </w:rPr>
              <w:t>314 805</w:t>
            </w:r>
          </w:p>
        </w:tc>
      </w:tr>
    </w:tbl>
    <w:p w14:paraId="121D391B" w14:textId="46002C67" w:rsidR="00E20790" w:rsidRPr="00A51D2F" w:rsidRDefault="00E20790" w:rsidP="00E20790">
      <w:pPr>
        <w:pStyle w:val="Zdroj"/>
      </w:pPr>
      <w:r w:rsidRPr="00A51D2F">
        <w:t>Zdroj: MF SR</w:t>
      </w:r>
      <w:r w:rsidR="00857CB1">
        <w:t xml:space="preserve">; </w:t>
      </w:r>
      <w:r>
        <w:t xml:space="preserve">*prognóza prezentovaná na zasadnutí </w:t>
      </w:r>
      <w:proofErr w:type="spellStart"/>
      <w:r>
        <w:t>V</w:t>
      </w:r>
      <w:r w:rsidR="007B7DCB">
        <w:t>pMP</w:t>
      </w:r>
      <w:proofErr w:type="spellEnd"/>
      <w:r>
        <w:t xml:space="preserve"> 16. 9. 2021</w:t>
      </w:r>
    </w:p>
    <w:p w14:paraId="4042FE0B" w14:textId="360FF01A" w:rsidR="00E20790" w:rsidRDefault="00E20790" w:rsidP="00E20790">
      <w:r>
        <w:t xml:space="preserve">Pri hodnotení celkového rozpočtovaného objemu na zdravotníctvo je </w:t>
      </w:r>
      <w:r w:rsidR="009B66D6">
        <w:t>však</w:t>
      </w:r>
      <w:r>
        <w:t xml:space="preserve"> nutné zobrať do úvahy aj nasledujúce skutočnosti. Tento objem je nižší ako očakávaná skutočnosť výdavkov za rok 2021</w:t>
      </w:r>
      <w:r w:rsidR="007B7DCB">
        <w:t xml:space="preserve"> (6,4 mld. eur)</w:t>
      </w:r>
      <w:r>
        <w:t xml:space="preserve">, takže navrhovaný rozpočet nepočíta s medziročným rastom zdrojov oproti reálnym výdavkom. Ďalšia dôležitá skutočnosť je, že v celkovej rozpočtovanej sume sú zahrnuté prostriedky z Plánu obnovy a odolnosti vo výške 219,9 mil. eur. </w:t>
      </w:r>
      <w:r w:rsidR="00973297">
        <w:t xml:space="preserve">Vzhľadom </w:t>
      </w:r>
      <w:r w:rsidR="009B66D6">
        <w:t>na</w:t>
      </w:r>
      <w:r w:rsidR="00973297">
        <w:t> pripravenos</w:t>
      </w:r>
      <w:r w:rsidR="009B66D6">
        <w:t>ť</w:t>
      </w:r>
      <w:r w:rsidR="00973297">
        <w:t xml:space="preserve"> projektov, ktoré majú byť touto formou financované vzniká riziko, koľko výdavkov sa reálne podarí v roku 2022 vyčerpať. Navyše</w:t>
      </w:r>
      <w:r w:rsidR="009B66D6">
        <w:t>,</w:t>
      </w:r>
      <w:r w:rsidR="00973297">
        <w:t xml:space="preserve"> podľa NKÚ SR</w:t>
      </w:r>
      <w:r w:rsidR="009B66D6">
        <w:t>,</w:t>
      </w:r>
      <w:r w:rsidR="00973297">
        <w:t xml:space="preserve"> by mal byť </w:t>
      </w:r>
      <w:r>
        <w:t>Plán obnovy a odolnosti dodatočným zdrojom prostriedkov na uskutočnenie reforiem</w:t>
      </w:r>
      <w:r w:rsidR="00973297">
        <w:t>.</w:t>
      </w:r>
      <w:r>
        <w:t xml:space="preserve"> </w:t>
      </w:r>
      <w:r w:rsidR="00973297">
        <w:t>J</w:t>
      </w:r>
      <w:r>
        <w:t xml:space="preserve">eho zahrnutím do celkových výdavkov na zdravotníctvo pri porovnaní s hodnotami z minulých rokov dochádza k istému skresleniu. Ďalšou rizikovou položkou vstupujúcou do celkových výdavkov za oblasť zdravotníctva je rezerva vo výške 220 mil. eur, </w:t>
      </w:r>
      <w:r w:rsidR="00973297">
        <w:t>pri</w:t>
      </w:r>
      <w:r>
        <w:t xml:space="preserve"> ktorej nie je isté, či a za akých podmienok sa do zdravotníctva reálne </w:t>
      </w:r>
      <w:r w:rsidR="009B66D6">
        <w:t xml:space="preserve">môže </w:t>
      </w:r>
      <w:r>
        <w:t>dosta</w:t>
      </w:r>
      <w:r w:rsidR="009B66D6">
        <w:t>ť</w:t>
      </w:r>
      <w:r>
        <w:t xml:space="preserve">. Po zohľadnení týchto faktorov sa ukazuje, že </w:t>
      </w:r>
      <w:r w:rsidRPr="00B63856">
        <w:rPr>
          <w:b/>
        </w:rPr>
        <w:t xml:space="preserve">navrhovaný rozpočet môže znamenať výrazné riziko </w:t>
      </w:r>
      <w:proofErr w:type="spellStart"/>
      <w:r w:rsidRPr="00B63856">
        <w:rPr>
          <w:b/>
        </w:rPr>
        <w:t>po</w:t>
      </w:r>
      <w:r>
        <w:rPr>
          <w:b/>
        </w:rPr>
        <w:t>d</w:t>
      </w:r>
      <w:r w:rsidRPr="00B63856">
        <w:rPr>
          <w:b/>
        </w:rPr>
        <w:t>financovania</w:t>
      </w:r>
      <w:proofErr w:type="spellEnd"/>
      <w:r w:rsidRPr="00B63856">
        <w:rPr>
          <w:b/>
        </w:rPr>
        <w:t xml:space="preserve"> riadneho chodu zdravotníctva</w:t>
      </w:r>
      <w:r>
        <w:t xml:space="preserve">. Toto riziko </w:t>
      </w:r>
      <w:r w:rsidR="00973297">
        <w:t>podčiarkuje aj</w:t>
      </w:r>
      <w:r>
        <w:t xml:space="preserve"> skutočnosť, že kým MZ SR odhaduje potrebu platieb </w:t>
      </w:r>
      <w:r w:rsidR="009C4845">
        <w:t xml:space="preserve">za </w:t>
      </w:r>
      <w:r>
        <w:t>poistencov štátu na rok 2022 vo výške viac ako 1,5 mld. eur</w:t>
      </w:r>
      <w:r w:rsidRPr="00E058A7">
        <w:rPr>
          <w:rStyle w:val="Odkaznapoznmkupodiarou"/>
          <w:i/>
        </w:rPr>
        <w:footnoteReference w:id="24"/>
      </w:r>
      <w:r w:rsidR="00E058A7" w:rsidRPr="00E058A7">
        <w:rPr>
          <w:i/>
          <w:vertAlign w:val="superscript"/>
        </w:rPr>
        <w:t>)</w:t>
      </w:r>
      <w:r>
        <w:t>, rozpočet počít</w:t>
      </w:r>
      <w:r w:rsidR="00361E85">
        <w:t>a s hodnotou 1,1 mld. eur.</w:t>
      </w:r>
    </w:p>
    <w:p w14:paraId="6518CE4D" w14:textId="77777777" w:rsidR="00E20790" w:rsidRPr="002A599C" w:rsidRDefault="00E20790" w:rsidP="00E20790">
      <w:pPr>
        <w:rPr>
          <w:b/>
          <w:u w:val="single"/>
        </w:rPr>
      </w:pPr>
      <w:r w:rsidRPr="002A599C">
        <w:rPr>
          <w:b/>
          <w:u w:val="single"/>
        </w:rPr>
        <w:t>Prostriedky verejného zdravotného poistenia</w:t>
      </w:r>
    </w:p>
    <w:p w14:paraId="07AAB563" w14:textId="49E12497" w:rsidR="00400A50" w:rsidRDefault="00E20790" w:rsidP="00D34389">
      <w:pPr>
        <w:spacing w:after="0"/>
        <w:rPr>
          <w:szCs w:val="20"/>
        </w:rPr>
      </w:pPr>
      <w:r>
        <w:rPr>
          <w:szCs w:val="20"/>
        </w:rPr>
        <w:t>Súhrn verejných zdrojov, ktoré sú určené na úhradu zdravotnej starostlivosti (ZS) predstavuje VZP. Rozhodujúci podiel na výdavkoch VZP predstavujú výdavky poistenia, čo sú výdavky na ZS</w:t>
      </w:r>
      <w:r w:rsidR="008876BA">
        <w:rPr>
          <w:szCs w:val="20"/>
        </w:rPr>
        <w:t xml:space="preserve"> (Tabuľka 11)</w:t>
      </w:r>
      <w:r>
        <w:rPr>
          <w:szCs w:val="20"/>
        </w:rPr>
        <w:t>. V roku 2022 b</w:t>
      </w:r>
      <w:r w:rsidR="00915019">
        <w:rPr>
          <w:szCs w:val="20"/>
        </w:rPr>
        <w:t xml:space="preserve">y mal </w:t>
      </w:r>
      <w:r w:rsidR="00400A50">
        <w:rPr>
          <w:szCs w:val="20"/>
        </w:rPr>
        <w:t>tento podiel tvoriť 95,2 %.</w:t>
      </w:r>
    </w:p>
    <w:p w14:paraId="5D45A46C" w14:textId="61B3A25B" w:rsidR="001C7997" w:rsidRDefault="001C7997" w:rsidP="00D34389">
      <w:pPr>
        <w:spacing w:after="0"/>
        <w:rPr>
          <w:szCs w:val="20"/>
        </w:rPr>
      </w:pPr>
      <w:r>
        <w:rPr>
          <w:szCs w:val="20"/>
        </w:rPr>
        <w:t xml:space="preserve">Úpravou legislatívy sa od roku 2020 zaviedol nový spôsob financovania VZP, pre ktorý počet poistencov štátu už nie je relevantný údaj pre platbu štátu. Nový spôsob financovania VZP, ktorý by mal reagovať na reálne potreby rezortu a znížiť prepojenie na ekonomický cyklus, bol využitý na radikálny medziročný pokles rozpočtovanej platby za poistencov štátu o 330 mil. eur (o 23 %). V dôsledku toho sa rozpočet </w:t>
      </w:r>
      <w:r>
        <w:rPr>
          <w:szCs w:val="20"/>
        </w:rPr>
        <w:lastRenderedPageBreak/>
        <w:t>príjmov VZP spolu v návrhu RVS na rok 2022 zvyšuje medziročne len o 2,6 % a rozpočet výdavkov VZP stagnuje (rast o 0,02 %).</w:t>
      </w:r>
    </w:p>
    <w:p w14:paraId="2888D8A2" w14:textId="77777777" w:rsidR="00400A50" w:rsidRDefault="00400A50" w:rsidP="00400A50">
      <w:pPr>
        <w:pStyle w:val="Popis"/>
        <w:keepNext/>
      </w:pPr>
      <w:r>
        <w:t xml:space="preserve">Tabuľka 11: </w:t>
      </w:r>
      <w:r w:rsidRPr="00C02479">
        <w:t>Príjmy a výdavky verejného zdravotného poistenia</w:t>
      </w:r>
      <w:r>
        <w:t xml:space="preserve"> </w:t>
      </w:r>
      <w:r w:rsidRPr="001A7B16">
        <w:t>(v tis. eur)</w:t>
      </w:r>
    </w:p>
    <w:tbl>
      <w:tblPr>
        <w:tblW w:w="5000" w:type="pct"/>
        <w:tblBorders>
          <w:bottom w:val="single" w:sz="4" w:space="0" w:color="314364" w:themeColor="text2"/>
        </w:tblBorders>
        <w:tblLayout w:type="fixed"/>
        <w:tblCellMar>
          <w:left w:w="70" w:type="dxa"/>
          <w:right w:w="70" w:type="dxa"/>
        </w:tblCellMar>
        <w:tblLook w:val="04A0" w:firstRow="1" w:lastRow="0" w:firstColumn="1" w:lastColumn="0" w:noHBand="0" w:noVBand="1"/>
      </w:tblPr>
      <w:tblGrid>
        <w:gridCol w:w="2268"/>
        <w:gridCol w:w="994"/>
        <w:gridCol w:w="992"/>
        <w:gridCol w:w="992"/>
        <w:gridCol w:w="1134"/>
        <w:gridCol w:w="992"/>
        <w:gridCol w:w="854"/>
        <w:gridCol w:w="844"/>
      </w:tblGrid>
      <w:tr w:rsidR="00400A50" w:rsidRPr="00C02479" w14:paraId="2699C1D9" w14:textId="77777777" w:rsidTr="004A3F2C">
        <w:trPr>
          <w:trHeight w:val="567"/>
        </w:trPr>
        <w:tc>
          <w:tcPr>
            <w:tcW w:w="1250" w:type="pct"/>
            <w:shd w:val="clear" w:color="auto" w:fill="314364" w:themeFill="accent1"/>
            <w:vAlign w:val="center"/>
            <w:hideMark/>
          </w:tcPr>
          <w:p w14:paraId="24EB752D" w14:textId="77777777" w:rsidR="00400A50" w:rsidRPr="008C6BB3" w:rsidRDefault="00400A50" w:rsidP="004A3F2C">
            <w:pPr>
              <w:spacing w:after="0" w:line="240" w:lineRule="auto"/>
              <w:jc w:val="left"/>
              <w:rPr>
                <w:rFonts w:eastAsia="Times New Roman" w:cs="Segoe UI"/>
                <w:b/>
                <w:bCs/>
                <w:color w:val="FFFFFF"/>
                <w:sz w:val="18"/>
                <w:szCs w:val="18"/>
                <w:lang w:eastAsia="sk-SK"/>
              </w:rPr>
            </w:pPr>
            <w:r w:rsidRPr="008C6BB3">
              <w:rPr>
                <w:rFonts w:eastAsia="Times New Roman" w:cs="Segoe UI"/>
                <w:b/>
                <w:bCs/>
                <w:color w:val="FFFFFF"/>
                <w:sz w:val="18"/>
                <w:szCs w:val="18"/>
                <w:lang w:eastAsia="sk-SK"/>
              </w:rPr>
              <w:t xml:space="preserve">Ukazovateľ </w:t>
            </w:r>
          </w:p>
        </w:tc>
        <w:tc>
          <w:tcPr>
            <w:tcW w:w="548" w:type="pct"/>
            <w:shd w:val="clear" w:color="auto" w:fill="314364" w:themeFill="accent1"/>
            <w:vAlign w:val="center"/>
          </w:tcPr>
          <w:p w14:paraId="77FB0D45" w14:textId="77777777" w:rsidR="00400A50" w:rsidRPr="008C6BB3" w:rsidRDefault="00400A50" w:rsidP="004A3F2C">
            <w:pPr>
              <w:spacing w:after="0" w:line="240" w:lineRule="auto"/>
              <w:jc w:val="right"/>
              <w:rPr>
                <w:rFonts w:eastAsia="Times New Roman" w:cs="Segoe UI"/>
                <w:b/>
                <w:bCs/>
                <w:color w:val="FFFFFF"/>
                <w:sz w:val="18"/>
                <w:szCs w:val="18"/>
                <w:lang w:eastAsia="sk-SK"/>
              </w:rPr>
            </w:pPr>
            <w:r w:rsidRPr="008C6BB3">
              <w:rPr>
                <w:rFonts w:eastAsia="Times New Roman" w:cs="Segoe UI"/>
                <w:b/>
                <w:bCs/>
                <w:color w:val="FFFFFF"/>
                <w:sz w:val="18"/>
                <w:szCs w:val="18"/>
                <w:lang w:eastAsia="sk-SK"/>
              </w:rPr>
              <w:t>2020 R</w:t>
            </w:r>
          </w:p>
        </w:tc>
        <w:tc>
          <w:tcPr>
            <w:tcW w:w="547" w:type="pct"/>
            <w:shd w:val="clear" w:color="auto" w:fill="314364" w:themeFill="accent1"/>
            <w:vAlign w:val="center"/>
          </w:tcPr>
          <w:p w14:paraId="75390CAB" w14:textId="77777777" w:rsidR="00400A50" w:rsidRPr="008C6BB3" w:rsidRDefault="00400A50" w:rsidP="004A3F2C">
            <w:pPr>
              <w:spacing w:after="0" w:line="240" w:lineRule="auto"/>
              <w:jc w:val="right"/>
              <w:rPr>
                <w:rFonts w:eastAsia="Times New Roman" w:cs="Segoe UI"/>
                <w:b/>
                <w:bCs/>
                <w:color w:val="FFFFFF"/>
                <w:sz w:val="18"/>
                <w:szCs w:val="18"/>
                <w:lang w:eastAsia="sk-SK"/>
              </w:rPr>
            </w:pPr>
            <w:r w:rsidRPr="008C6BB3">
              <w:rPr>
                <w:rFonts w:eastAsia="Times New Roman" w:cs="Segoe UI"/>
                <w:b/>
                <w:bCs/>
                <w:color w:val="FFFFFF"/>
                <w:sz w:val="18"/>
                <w:szCs w:val="18"/>
                <w:lang w:eastAsia="sk-SK"/>
              </w:rPr>
              <w:t>2020 S</w:t>
            </w:r>
          </w:p>
        </w:tc>
        <w:tc>
          <w:tcPr>
            <w:tcW w:w="547" w:type="pct"/>
            <w:shd w:val="clear" w:color="auto" w:fill="314364" w:themeFill="accent1"/>
            <w:vAlign w:val="center"/>
          </w:tcPr>
          <w:p w14:paraId="28A7FF06" w14:textId="77777777" w:rsidR="00400A50" w:rsidRPr="008C6BB3" w:rsidRDefault="00400A50" w:rsidP="004A3F2C">
            <w:pPr>
              <w:spacing w:after="0" w:line="240" w:lineRule="auto"/>
              <w:jc w:val="right"/>
              <w:rPr>
                <w:rFonts w:eastAsia="Times New Roman" w:cs="Segoe UI"/>
                <w:b/>
                <w:bCs/>
                <w:color w:val="FFFFFF"/>
                <w:sz w:val="18"/>
                <w:szCs w:val="18"/>
                <w:lang w:eastAsia="sk-SK"/>
              </w:rPr>
            </w:pPr>
            <w:r w:rsidRPr="008C6BB3">
              <w:rPr>
                <w:rFonts w:eastAsia="Times New Roman" w:cs="Segoe UI"/>
                <w:b/>
                <w:bCs/>
                <w:color w:val="FFFFFF"/>
                <w:sz w:val="18"/>
                <w:szCs w:val="18"/>
                <w:lang w:eastAsia="sk-SK"/>
              </w:rPr>
              <w:t>2021 R</w:t>
            </w:r>
          </w:p>
        </w:tc>
        <w:tc>
          <w:tcPr>
            <w:tcW w:w="625" w:type="pct"/>
            <w:shd w:val="clear" w:color="auto" w:fill="314364" w:themeFill="accent1"/>
            <w:vAlign w:val="center"/>
          </w:tcPr>
          <w:p w14:paraId="4FEF493E" w14:textId="77777777" w:rsidR="00400A50" w:rsidRPr="008C6BB3" w:rsidRDefault="00400A50" w:rsidP="004A3F2C">
            <w:pPr>
              <w:spacing w:after="0" w:line="240" w:lineRule="auto"/>
              <w:jc w:val="right"/>
              <w:rPr>
                <w:rFonts w:eastAsia="Times New Roman" w:cs="Segoe UI"/>
                <w:b/>
                <w:bCs/>
                <w:color w:val="FFFFFF"/>
                <w:sz w:val="18"/>
                <w:szCs w:val="18"/>
                <w:lang w:eastAsia="sk-SK"/>
              </w:rPr>
            </w:pPr>
            <w:r w:rsidRPr="008C6BB3">
              <w:rPr>
                <w:rFonts w:eastAsia="Times New Roman" w:cs="Segoe UI"/>
                <w:b/>
                <w:bCs/>
                <w:color w:val="FFFFFF"/>
                <w:sz w:val="18"/>
                <w:szCs w:val="18"/>
                <w:lang w:eastAsia="sk-SK"/>
              </w:rPr>
              <w:t>2021 OS</w:t>
            </w:r>
          </w:p>
        </w:tc>
        <w:tc>
          <w:tcPr>
            <w:tcW w:w="547" w:type="pct"/>
            <w:shd w:val="clear" w:color="auto" w:fill="314364" w:themeFill="accent1"/>
            <w:vAlign w:val="center"/>
            <w:hideMark/>
          </w:tcPr>
          <w:p w14:paraId="29D9B4FA" w14:textId="77777777" w:rsidR="00400A50" w:rsidRPr="008C6BB3" w:rsidRDefault="00400A50" w:rsidP="004A3F2C">
            <w:pPr>
              <w:spacing w:after="0" w:line="240" w:lineRule="auto"/>
              <w:jc w:val="right"/>
              <w:rPr>
                <w:rFonts w:eastAsia="Times New Roman" w:cs="Segoe UI"/>
                <w:b/>
                <w:bCs/>
                <w:color w:val="FFFFFF"/>
                <w:sz w:val="18"/>
                <w:szCs w:val="18"/>
                <w:lang w:eastAsia="sk-SK"/>
              </w:rPr>
            </w:pPr>
            <w:r w:rsidRPr="008C6BB3">
              <w:rPr>
                <w:rFonts w:eastAsia="Times New Roman" w:cs="Segoe UI"/>
                <w:b/>
                <w:bCs/>
                <w:color w:val="FFFFFF"/>
                <w:sz w:val="18"/>
                <w:szCs w:val="18"/>
                <w:lang w:eastAsia="sk-SK"/>
              </w:rPr>
              <w:t>2022 R</w:t>
            </w:r>
          </w:p>
        </w:tc>
        <w:tc>
          <w:tcPr>
            <w:tcW w:w="471" w:type="pct"/>
            <w:shd w:val="clear" w:color="auto" w:fill="314364" w:themeFill="accent1"/>
            <w:vAlign w:val="center"/>
            <w:hideMark/>
          </w:tcPr>
          <w:p w14:paraId="2000B26A" w14:textId="77777777" w:rsidR="00400A50" w:rsidRPr="008C6BB3" w:rsidRDefault="00400A50" w:rsidP="004A3F2C">
            <w:pPr>
              <w:spacing w:after="0" w:line="240" w:lineRule="auto"/>
              <w:jc w:val="right"/>
              <w:rPr>
                <w:rFonts w:eastAsia="Times New Roman" w:cs="Segoe UI"/>
                <w:b/>
                <w:bCs/>
                <w:color w:val="FFFFFF"/>
                <w:sz w:val="18"/>
                <w:szCs w:val="18"/>
                <w:lang w:eastAsia="sk-SK"/>
              </w:rPr>
            </w:pPr>
            <w:r w:rsidRPr="008C6BB3">
              <w:rPr>
                <w:rFonts w:eastAsia="Times New Roman" w:cs="Segoe UI"/>
                <w:b/>
                <w:bCs/>
                <w:color w:val="FFFFFF"/>
                <w:sz w:val="18"/>
                <w:szCs w:val="18"/>
                <w:lang w:eastAsia="sk-SK"/>
              </w:rPr>
              <w:t>2022R-2021R</w:t>
            </w:r>
          </w:p>
        </w:tc>
        <w:tc>
          <w:tcPr>
            <w:tcW w:w="465" w:type="pct"/>
            <w:shd w:val="clear" w:color="auto" w:fill="314364" w:themeFill="accent1"/>
            <w:vAlign w:val="center"/>
            <w:hideMark/>
          </w:tcPr>
          <w:p w14:paraId="55C94CF2" w14:textId="77777777" w:rsidR="00400A50" w:rsidRPr="008C6BB3" w:rsidRDefault="00400A50" w:rsidP="004A3F2C">
            <w:pPr>
              <w:spacing w:after="0" w:line="240" w:lineRule="auto"/>
              <w:jc w:val="right"/>
              <w:rPr>
                <w:rFonts w:eastAsia="Times New Roman" w:cs="Segoe UI"/>
                <w:b/>
                <w:bCs/>
                <w:color w:val="FFFFFF"/>
                <w:sz w:val="18"/>
                <w:szCs w:val="18"/>
                <w:lang w:eastAsia="sk-SK"/>
              </w:rPr>
            </w:pPr>
            <w:r w:rsidRPr="008C6BB3">
              <w:rPr>
                <w:rFonts w:eastAsia="Times New Roman" w:cs="Segoe UI"/>
                <w:b/>
                <w:bCs/>
                <w:color w:val="FFFFFF"/>
                <w:sz w:val="18"/>
                <w:szCs w:val="18"/>
                <w:lang w:eastAsia="sk-SK"/>
              </w:rPr>
              <w:t xml:space="preserve">2022R/2021R </w:t>
            </w:r>
          </w:p>
        </w:tc>
      </w:tr>
      <w:tr w:rsidR="00400A50" w:rsidRPr="00C02479" w14:paraId="319EF3B1" w14:textId="77777777" w:rsidTr="004A3F2C">
        <w:trPr>
          <w:trHeight w:val="315"/>
        </w:trPr>
        <w:tc>
          <w:tcPr>
            <w:tcW w:w="1250" w:type="pct"/>
            <w:shd w:val="clear" w:color="auto" w:fill="auto"/>
            <w:vAlign w:val="center"/>
            <w:hideMark/>
          </w:tcPr>
          <w:p w14:paraId="73AE64D1" w14:textId="77777777" w:rsidR="00400A50" w:rsidRPr="008C6BB3" w:rsidRDefault="00400A50" w:rsidP="004A3F2C">
            <w:pPr>
              <w:spacing w:after="0" w:line="240" w:lineRule="auto"/>
              <w:jc w:val="left"/>
              <w:rPr>
                <w:rFonts w:eastAsia="Times New Roman" w:cs="Segoe UI"/>
                <w:color w:val="000000"/>
                <w:sz w:val="18"/>
                <w:szCs w:val="18"/>
                <w:lang w:eastAsia="sk-SK"/>
              </w:rPr>
            </w:pPr>
            <w:r w:rsidRPr="008C6BB3">
              <w:rPr>
                <w:rFonts w:eastAsia="Times New Roman" w:cs="Segoe UI"/>
                <w:color w:val="000000"/>
                <w:sz w:val="18"/>
                <w:szCs w:val="18"/>
                <w:lang w:eastAsia="sk-SK"/>
              </w:rPr>
              <w:t>Výdavky VZP spolu</w:t>
            </w:r>
          </w:p>
        </w:tc>
        <w:tc>
          <w:tcPr>
            <w:tcW w:w="548" w:type="pct"/>
            <w:shd w:val="clear" w:color="auto" w:fill="auto"/>
            <w:vAlign w:val="center"/>
          </w:tcPr>
          <w:p w14:paraId="045E8E9B"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5 418 027</w:t>
            </w:r>
          </w:p>
        </w:tc>
        <w:tc>
          <w:tcPr>
            <w:tcW w:w="547" w:type="pct"/>
            <w:shd w:val="clear" w:color="auto" w:fill="auto"/>
            <w:vAlign w:val="center"/>
          </w:tcPr>
          <w:p w14:paraId="3A917A58"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5 323 111</w:t>
            </w:r>
          </w:p>
        </w:tc>
        <w:tc>
          <w:tcPr>
            <w:tcW w:w="547" w:type="pct"/>
            <w:shd w:val="clear" w:color="auto" w:fill="auto"/>
            <w:vAlign w:val="center"/>
          </w:tcPr>
          <w:p w14:paraId="7A0F57FC"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5 692 945</w:t>
            </w:r>
          </w:p>
        </w:tc>
        <w:tc>
          <w:tcPr>
            <w:tcW w:w="625" w:type="pct"/>
            <w:shd w:val="clear" w:color="auto" w:fill="auto"/>
            <w:vAlign w:val="center"/>
          </w:tcPr>
          <w:p w14:paraId="39AF4C78"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5 558 657</w:t>
            </w:r>
          </w:p>
        </w:tc>
        <w:tc>
          <w:tcPr>
            <w:tcW w:w="547" w:type="pct"/>
            <w:shd w:val="clear" w:color="auto" w:fill="auto"/>
            <w:vAlign w:val="center"/>
            <w:hideMark/>
          </w:tcPr>
          <w:p w14:paraId="15155D0E"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5 693 854</w:t>
            </w:r>
          </w:p>
        </w:tc>
        <w:tc>
          <w:tcPr>
            <w:tcW w:w="471" w:type="pct"/>
            <w:shd w:val="clear" w:color="auto" w:fill="auto"/>
            <w:vAlign w:val="center"/>
            <w:hideMark/>
          </w:tcPr>
          <w:p w14:paraId="6F9FA42C"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909</w:t>
            </w:r>
          </w:p>
        </w:tc>
        <w:tc>
          <w:tcPr>
            <w:tcW w:w="465" w:type="pct"/>
            <w:shd w:val="clear" w:color="auto" w:fill="auto"/>
            <w:vAlign w:val="center"/>
            <w:hideMark/>
          </w:tcPr>
          <w:p w14:paraId="5A6A0DC4"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100,02</w:t>
            </w:r>
          </w:p>
        </w:tc>
      </w:tr>
      <w:tr w:rsidR="00400A50" w:rsidRPr="00C02479" w14:paraId="5672C4B9" w14:textId="77777777" w:rsidTr="004A3F2C">
        <w:trPr>
          <w:trHeight w:val="315"/>
        </w:trPr>
        <w:tc>
          <w:tcPr>
            <w:tcW w:w="1250" w:type="pct"/>
            <w:shd w:val="clear" w:color="auto" w:fill="auto"/>
            <w:vAlign w:val="center"/>
            <w:hideMark/>
          </w:tcPr>
          <w:p w14:paraId="39F79ED3" w14:textId="77777777" w:rsidR="00400A50" w:rsidRPr="008C6BB3" w:rsidRDefault="00400A50" w:rsidP="004A3F2C">
            <w:pPr>
              <w:tabs>
                <w:tab w:val="left" w:pos="2280"/>
              </w:tabs>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w:t>
            </w:r>
            <w:r w:rsidRPr="008C6BB3">
              <w:rPr>
                <w:rFonts w:eastAsia="Times New Roman" w:cs="Segoe UI"/>
                <w:color w:val="000000"/>
                <w:sz w:val="18"/>
                <w:szCs w:val="18"/>
                <w:lang w:eastAsia="sk-SK"/>
              </w:rPr>
              <w:t>Výdavky poistenia</w:t>
            </w:r>
          </w:p>
        </w:tc>
        <w:tc>
          <w:tcPr>
            <w:tcW w:w="548" w:type="pct"/>
            <w:shd w:val="clear" w:color="auto" w:fill="auto"/>
            <w:vAlign w:val="center"/>
          </w:tcPr>
          <w:p w14:paraId="6B94D01A"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5 167 508</w:t>
            </w:r>
          </w:p>
        </w:tc>
        <w:tc>
          <w:tcPr>
            <w:tcW w:w="547" w:type="pct"/>
            <w:shd w:val="clear" w:color="auto" w:fill="auto"/>
            <w:vAlign w:val="center"/>
          </w:tcPr>
          <w:p w14:paraId="47007247"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5 022 848</w:t>
            </w:r>
          </w:p>
        </w:tc>
        <w:tc>
          <w:tcPr>
            <w:tcW w:w="547" w:type="pct"/>
            <w:shd w:val="clear" w:color="auto" w:fill="auto"/>
            <w:vAlign w:val="center"/>
          </w:tcPr>
          <w:p w14:paraId="772CD8F1"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5 428 321</w:t>
            </w:r>
          </w:p>
        </w:tc>
        <w:tc>
          <w:tcPr>
            <w:tcW w:w="625" w:type="pct"/>
            <w:shd w:val="clear" w:color="auto" w:fill="auto"/>
            <w:vAlign w:val="center"/>
          </w:tcPr>
          <w:p w14:paraId="0E8B9CE0"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5 296 211</w:t>
            </w:r>
          </w:p>
        </w:tc>
        <w:tc>
          <w:tcPr>
            <w:tcW w:w="547" w:type="pct"/>
            <w:shd w:val="clear" w:color="auto" w:fill="auto"/>
            <w:vAlign w:val="center"/>
            <w:hideMark/>
          </w:tcPr>
          <w:p w14:paraId="1D0DF2A7"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5 422 162</w:t>
            </w:r>
          </w:p>
        </w:tc>
        <w:tc>
          <w:tcPr>
            <w:tcW w:w="471" w:type="pct"/>
            <w:shd w:val="clear" w:color="auto" w:fill="auto"/>
            <w:vAlign w:val="center"/>
            <w:hideMark/>
          </w:tcPr>
          <w:p w14:paraId="3B22A9C4"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-6 159</w:t>
            </w:r>
          </w:p>
        </w:tc>
        <w:tc>
          <w:tcPr>
            <w:tcW w:w="465" w:type="pct"/>
            <w:shd w:val="clear" w:color="auto" w:fill="auto"/>
            <w:vAlign w:val="center"/>
            <w:hideMark/>
          </w:tcPr>
          <w:p w14:paraId="3BD7876A"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99,89</w:t>
            </w:r>
          </w:p>
        </w:tc>
      </w:tr>
      <w:tr w:rsidR="00400A50" w:rsidRPr="00C02479" w14:paraId="080C8E7F" w14:textId="77777777" w:rsidTr="004A3F2C">
        <w:trPr>
          <w:trHeight w:val="312"/>
        </w:trPr>
        <w:tc>
          <w:tcPr>
            <w:tcW w:w="1250" w:type="pct"/>
            <w:shd w:val="clear" w:color="auto" w:fill="auto"/>
            <w:vAlign w:val="center"/>
            <w:hideMark/>
          </w:tcPr>
          <w:p w14:paraId="0BF1D789" w14:textId="77777777" w:rsidR="00400A50" w:rsidRPr="008C6BB3" w:rsidRDefault="00400A50" w:rsidP="004A3F2C">
            <w:pPr>
              <w:spacing w:after="0" w:line="240" w:lineRule="auto"/>
              <w:jc w:val="left"/>
              <w:rPr>
                <w:rFonts w:eastAsia="Times New Roman" w:cs="Segoe UI"/>
                <w:color w:val="000000"/>
                <w:sz w:val="18"/>
                <w:szCs w:val="18"/>
                <w:lang w:eastAsia="sk-SK"/>
              </w:rPr>
            </w:pPr>
            <w:r w:rsidRPr="008C6BB3">
              <w:rPr>
                <w:rFonts w:eastAsia="Times New Roman" w:cs="Segoe UI"/>
                <w:color w:val="000000"/>
                <w:sz w:val="18"/>
                <w:szCs w:val="18"/>
                <w:lang w:eastAsia="sk-SK"/>
              </w:rPr>
              <w:t>Príjmy VZP spolu</w:t>
            </w:r>
          </w:p>
        </w:tc>
        <w:tc>
          <w:tcPr>
            <w:tcW w:w="548" w:type="pct"/>
            <w:shd w:val="clear" w:color="auto" w:fill="auto"/>
            <w:vAlign w:val="center"/>
          </w:tcPr>
          <w:p w14:paraId="57E64C94"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5 685 890</w:t>
            </w:r>
          </w:p>
        </w:tc>
        <w:tc>
          <w:tcPr>
            <w:tcW w:w="547" w:type="pct"/>
            <w:shd w:val="clear" w:color="auto" w:fill="auto"/>
            <w:vAlign w:val="center"/>
          </w:tcPr>
          <w:p w14:paraId="3914B13E"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5 722 560</w:t>
            </w:r>
          </w:p>
        </w:tc>
        <w:tc>
          <w:tcPr>
            <w:tcW w:w="547" w:type="pct"/>
            <w:shd w:val="clear" w:color="auto" w:fill="auto"/>
            <w:vAlign w:val="center"/>
          </w:tcPr>
          <w:p w14:paraId="69E06B71"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5 940 853</w:t>
            </w:r>
          </w:p>
        </w:tc>
        <w:tc>
          <w:tcPr>
            <w:tcW w:w="625" w:type="pct"/>
            <w:shd w:val="clear" w:color="auto" w:fill="auto"/>
            <w:vAlign w:val="center"/>
          </w:tcPr>
          <w:p w14:paraId="6186B8AC"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5 957 522</w:t>
            </w:r>
          </w:p>
        </w:tc>
        <w:tc>
          <w:tcPr>
            <w:tcW w:w="547" w:type="pct"/>
            <w:shd w:val="clear" w:color="auto" w:fill="auto"/>
            <w:vAlign w:val="center"/>
            <w:hideMark/>
          </w:tcPr>
          <w:p w14:paraId="08678A89"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6 092 719</w:t>
            </w:r>
          </w:p>
        </w:tc>
        <w:tc>
          <w:tcPr>
            <w:tcW w:w="471" w:type="pct"/>
            <w:shd w:val="clear" w:color="auto" w:fill="auto"/>
            <w:vAlign w:val="center"/>
            <w:hideMark/>
          </w:tcPr>
          <w:p w14:paraId="073A5A67"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151 866</w:t>
            </w:r>
          </w:p>
        </w:tc>
        <w:tc>
          <w:tcPr>
            <w:tcW w:w="465" w:type="pct"/>
            <w:shd w:val="clear" w:color="auto" w:fill="auto"/>
            <w:vAlign w:val="center"/>
            <w:hideMark/>
          </w:tcPr>
          <w:p w14:paraId="64AAD079"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102,56</w:t>
            </w:r>
          </w:p>
        </w:tc>
      </w:tr>
      <w:tr w:rsidR="00400A50" w:rsidRPr="00C02479" w14:paraId="60EC7867" w14:textId="77777777" w:rsidTr="004A3F2C">
        <w:trPr>
          <w:trHeight w:val="312"/>
        </w:trPr>
        <w:tc>
          <w:tcPr>
            <w:tcW w:w="1250" w:type="pct"/>
            <w:shd w:val="clear" w:color="auto" w:fill="auto"/>
            <w:vAlign w:val="center"/>
            <w:hideMark/>
          </w:tcPr>
          <w:p w14:paraId="64C35E20" w14:textId="77777777" w:rsidR="00400A50" w:rsidRPr="008C6BB3" w:rsidRDefault="00400A50" w:rsidP="004A3F2C">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E</w:t>
            </w:r>
            <w:r w:rsidRPr="008C6BB3">
              <w:rPr>
                <w:rFonts w:eastAsia="Times New Roman" w:cs="Segoe UI"/>
                <w:color w:val="000000"/>
                <w:sz w:val="18"/>
                <w:szCs w:val="18"/>
                <w:lang w:eastAsia="sk-SK"/>
              </w:rPr>
              <w:t>konomicky aktívne os.</w:t>
            </w:r>
          </w:p>
        </w:tc>
        <w:tc>
          <w:tcPr>
            <w:tcW w:w="548" w:type="pct"/>
            <w:shd w:val="clear" w:color="auto" w:fill="auto"/>
            <w:vAlign w:val="center"/>
          </w:tcPr>
          <w:p w14:paraId="35FED01C"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4 164 407</w:t>
            </w:r>
          </w:p>
        </w:tc>
        <w:tc>
          <w:tcPr>
            <w:tcW w:w="547" w:type="pct"/>
            <w:shd w:val="clear" w:color="auto" w:fill="auto"/>
            <w:vAlign w:val="center"/>
          </w:tcPr>
          <w:p w14:paraId="0B829DE3"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4 049 150</w:t>
            </w:r>
          </w:p>
        </w:tc>
        <w:tc>
          <w:tcPr>
            <w:tcW w:w="547" w:type="pct"/>
            <w:shd w:val="clear" w:color="auto" w:fill="auto"/>
            <w:vAlign w:val="center"/>
          </w:tcPr>
          <w:p w14:paraId="2CEFCD88"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4 203 505</w:t>
            </w:r>
          </w:p>
        </w:tc>
        <w:tc>
          <w:tcPr>
            <w:tcW w:w="625" w:type="pct"/>
            <w:shd w:val="clear" w:color="auto" w:fill="auto"/>
            <w:vAlign w:val="center"/>
          </w:tcPr>
          <w:p w14:paraId="06AC9980"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4 268 173</w:t>
            </w:r>
          </w:p>
        </w:tc>
        <w:tc>
          <w:tcPr>
            <w:tcW w:w="547" w:type="pct"/>
            <w:shd w:val="clear" w:color="auto" w:fill="auto"/>
            <w:vAlign w:val="center"/>
            <w:hideMark/>
          </w:tcPr>
          <w:p w14:paraId="268974BB"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4 521 456</w:t>
            </w:r>
          </w:p>
        </w:tc>
        <w:tc>
          <w:tcPr>
            <w:tcW w:w="471" w:type="pct"/>
            <w:shd w:val="clear" w:color="auto" w:fill="auto"/>
            <w:vAlign w:val="center"/>
            <w:hideMark/>
          </w:tcPr>
          <w:p w14:paraId="024FEA60"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317 951</w:t>
            </w:r>
          </w:p>
        </w:tc>
        <w:tc>
          <w:tcPr>
            <w:tcW w:w="465" w:type="pct"/>
            <w:shd w:val="clear" w:color="auto" w:fill="auto"/>
            <w:vAlign w:val="center"/>
            <w:hideMark/>
          </w:tcPr>
          <w:p w14:paraId="4EDF2071"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107,56</w:t>
            </w:r>
          </w:p>
        </w:tc>
      </w:tr>
      <w:tr w:rsidR="00400A50" w:rsidRPr="00C02479" w14:paraId="0F19453E" w14:textId="77777777" w:rsidTr="004A3F2C">
        <w:trPr>
          <w:trHeight w:val="312"/>
        </w:trPr>
        <w:tc>
          <w:tcPr>
            <w:tcW w:w="1250" w:type="pct"/>
            <w:shd w:val="clear" w:color="auto" w:fill="auto"/>
            <w:noWrap/>
            <w:vAlign w:val="bottom"/>
            <w:hideMark/>
          </w:tcPr>
          <w:p w14:paraId="6AD3E0BB" w14:textId="77777777" w:rsidR="00400A50" w:rsidRPr="008C6BB3" w:rsidRDefault="00400A50" w:rsidP="004A3F2C">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w:t>
            </w:r>
            <w:r w:rsidRPr="008C6BB3">
              <w:rPr>
                <w:rFonts w:eastAsia="Times New Roman" w:cs="Segoe UI"/>
                <w:color w:val="000000"/>
                <w:sz w:val="18"/>
                <w:szCs w:val="18"/>
                <w:lang w:eastAsia="sk-SK"/>
              </w:rPr>
              <w:t>Platba štátu (preddavky)</w:t>
            </w:r>
          </w:p>
        </w:tc>
        <w:tc>
          <w:tcPr>
            <w:tcW w:w="548" w:type="pct"/>
            <w:shd w:val="clear" w:color="auto" w:fill="auto"/>
            <w:vAlign w:val="center"/>
          </w:tcPr>
          <w:p w14:paraId="5D61538D"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1 139 029</w:t>
            </w:r>
          </w:p>
        </w:tc>
        <w:tc>
          <w:tcPr>
            <w:tcW w:w="547" w:type="pct"/>
            <w:shd w:val="clear" w:color="auto" w:fill="auto"/>
            <w:vAlign w:val="center"/>
          </w:tcPr>
          <w:p w14:paraId="79CF3E88"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1 139 029</w:t>
            </w:r>
          </w:p>
        </w:tc>
        <w:tc>
          <w:tcPr>
            <w:tcW w:w="547" w:type="pct"/>
            <w:shd w:val="clear" w:color="auto" w:fill="auto"/>
            <w:vAlign w:val="center"/>
          </w:tcPr>
          <w:p w14:paraId="1E9EE058"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1 432 968</w:t>
            </w:r>
          </w:p>
        </w:tc>
        <w:tc>
          <w:tcPr>
            <w:tcW w:w="625" w:type="pct"/>
            <w:shd w:val="clear" w:color="auto" w:fill="auto"/>
            <w:vAlign w:val="center"/>
          </w:tcPr>
          <w:p w14:paraId="50114A0A"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1 200 426</w:t>
            </w:r>
          </w:p>
        </w:tc>
        <w:tc>
          <w:tcPr>
            <w:tcW w:w="547" w:type="pct"/>
            <w:shd w:val="clear" w:color="auto" w:fill="auto"/>
            <w:vAlign w:val="center"/>
            <w:hideMark/>
          </w:tcPr>
          <w:p w14:paraId="425232B5"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1 102 969</w:t>
            </w:r>
          </w:p>
        </w:tc>
        <w:tc>
          <w:tcPr>
            <w:tcW w:w="471" w:type="pct"/>
            <w:shd w:val="clear" w:color="auto" w:fill="auto"/>
            <w:vAlign w:val="center"/>
            <w:hideMark/>
          </w:tcPr>
          <w:p w14:paraId="667011C2"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-329 999</w:t>
            </w:r>
          </w:p>
        </w:tc>
        <w:tc>
          <w:tcPr>
            <w:tcW w:w="465" w:type="pct"/>
            <w:shd w:val="clear" w:color="auto" w:fill="auto"/>
            <w:vAlign w:val="center"/>
            <w:hideMark/>
          </w:tcPr>
          <w:p w14:paraId="74662EAB"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76,97</w:t>
            </w:r>
          </w:p>
        </w:tc>
      </w:tr>
      <w:tr w:rsidR="00400A50" w:rsidRPr="00C02479" w14:paraId="3376DCE3" w14:textId="77777777" w:rsidTr="004A3F2C">
        <w:trPr>
          <w:trHeight w:val="312"/>
        </w:trPr>
        <w:tc>
          <w:tcPr>
            <w:tcW w:w="1250" w:type="pct"/>
            <w:shd w:val="clear" w:color="auto" w:fill="auto"/>
            <w:noWrap/>
            <w:vAlign w:val="bottom"/>
            <w:hideMark/>
          </w:tcPr>
          <w:p w14:paraId="57821D62" w14:textId="77777777" w:rsidR="00400A50" w:rsidRPr="008C6BB3" w:rsidRDefault="00400A50" w:rsidP="004A3F2C">
            <w:pPr>
              <w:spacing w:after="0" w:line="240" w:lineRule="auto"/>
              <w:jc w:val="left"/>
              <w:rPr>
                <w:rFonts w:eastAsia="Times New Roman" w:cs="Segoe UI"/>
                <w:color w:val="000000"/>
                <w:sz w:val="18"/>
                <w:szCs w:val="18"/>
                <w:lang w:eastAsia="sk-SK"/>
              </w:rPr>
            </w:pPr>
            <w:r w:rsidRPr="008C6BB3">
              <w:rPr>
                <w:rFonts w:eastAsia="Times New Roman" w:cs="Segoe UI"/>
                <w:color w:val="000000"/>
                <w:sz w:val="18"/>
                <w:szCs w:val="18"/>
                <w:lang w:eastAsia="sk-SK"/>
              </w:rPr>
              <w:t>Poistenci štátu (počet)</w:t>
            </w:r>
          </w:p>
        </w:tc>
        <w:tc>
          <w:tcPr>
            <w:tcW w:w="548" w:type="pct"/>
            <w:shd w:val="clear" w:color="auto" w:fill="auto"/>
            <w:vAlign w:val="center"/>
          </w:tcPr>
          <w:p w14:paraId="35AE2BD8" w14:textId="77777777" w:rsidR="00400A50" w:rsidRPr="008C6BB3" w:rsidRDefault="00400A50" w:rsidP="004A3F2C">
            <w:pPr>
              <w:spacing w:after="0" w:line="240" w:lineRule="auto"/>
              <w:jc w:val="right"/>
              <w:rPr>
                <w:rFonts w:eastAsia="Times New Roman" w:cs="Segoe UI"/>
                <w:color w:val="000000"/>
                <w:sz w:val="18"/>
                <w:szCs w:val="18"/>
                <w:lang w:eastAsia="sk-SK"/>
              </w:rPr>
            </w:pPr>
          </w:p>
        </w:tc>
        <w:tc>
          <w:tcPr>
            <w:tcW w:w="547" w:type="pct"/>
            <w:shd w:val="clear" w:color="auto" w:fill="auto"/>
            <w:vAlign w:val="center"/>
          </w:tcPr>
          <w:p w14:paraId="75D4BEE1"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3 017 621</w:t>
            </w:r>
          </w:p>
        </w:tc>
        <w:tc>
          <w:tcPr>
            <w:tcW w:w="547" w:type="pct"/>
            <w:shd w:val="clear" w:color="auto" w:fill="auto"/>
            <w:vAlign w:val="center"/>
          </w:tcPr>
          <w:p w14:paraId="7DABAD87" w14:textId="77777777" w:rsidR="00400A50" w:rsidRPr="008C6BB3" w:rsidRDefault="00400A50" w:rsidP="004A3F2C">
            <w:pPr>
              <w:spacing w:after="0" w:line="240" w:lineRule="auto"/>
              <w:jc w:val="right"/>
              <w:rPr>
                <w:rFonts w:eastAsia="Times New Roman" w:cs="Segoe UI"/>
                <w:color w:val="000000"/>
                <w:sz w:val="18"/>
                <w:szCs w:val="18"/>
                <w:lang w:eastAsia="sk-SK"/>
              </w:rPr>
            </w:pPr>
          </w:p>
        </w:tc>
        <w:tc>
          <w:tcPr>
            <w:tcW w:w="625" w:type="pct"/>
            <w:shd w:val="clear" w:color="auto" w:fill="auto"/>
            <w:vAlign w:val="center"/>
            <w:hideMark/>
          </w:tcPr>
          <w:p w14:paraId="3E2D148C"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2 964</w:t>
            </w:r>
            <w:r>
              <w:rPr>
                <w:rFonts w:eastAsia="Times New Roman" w:cs="Segoe UI"/>
                <w:color w:val="000000"/>
                <w:sz w:val="18"/>
                <w:szCs w:val="18"/>
                <w:lang w:eastAsia="sk-SK"/>
              </w:rPr>
              <w:t> </w:t>
            </w:r>
            <w:r w:rsidRPr="008C6BB3">
              <w:rPr>
                <w:rFonts w:eastAsia="Times New Roman" w:cs="Segoe UI"/>
                <w:color w:val="000000"/>
                <w:sz w:val="18"/>
                <w:szCs w:val="18"/>
                <w:lang w:eastAsia="sk-SK"/>
              </w:rPr>
              <w:t>374* </w:t>
            </w:r>
          </w:p>
        </w:tc>
        <w:tc>
          <w:tcPr>
            <w:tcW w:w="547" w:type="pct"/>
            <w:shd w:val="clear" w:color="auto" w:fill="auto"/>
            <w:vAlign w:val="center"/>
            <w:hideMark/>
          </w:tcPr>
          <w:p w14:paraId="627A061D"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 </w:t>
            </w:r>
          </w:p>
        </w:tc>
        <w:tc>
          <w:tcPr>
            <w:tcW w:w="471" w:type="pct"/>
            <w:shd w:val="clear" w:color="auto" w:fill="auto"/>
            <w:vAlign w:val="center"/>
            <w:hideMark/>
          </w:tcPr>
          <w:p w14:paraId="7E497CC5"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 </w:t>
            </w:r>
          </w:p>
        </w:tc>
        <w:tc>
          <w:tcPr>
            <w:tcW w:w="465" w:type="pct"/>
            <w:shd w:val="clear" w:color="auto" w:fill="auto"/>
            <w:vAlign w:val="center"/>
            <w:hideMark/>
          </w:tcPr>
          <w:p w14:paraId="64448388" w14:textId="77777777" w:rsidR="00400A50" w:rsidRPr="008C6BB3" w:rsidRDefault="00400A50" w:rsidP="004A3F2C">
            <w:pPr>
              <w:spacing w:after="0" w:line="240" w:lineRule="auto"/>
              <w:jc w:val="right"/>
              <w:rPr>
                <w:rFonts w:eastAsia="Times New Roman" w:cs="Segoe UI"/>
                <w:color w:val="000000"/>
                <w:sz w:val="18"/>
                <w:szCs w:val="18"/>
                <w:lang w:eastAsia="sk-SK"/>
              </w:rPr>
            </w:pPr>
            <w:r w:rsidRPr="008C6BB3">
              <w:rPr>
                <w:rFonts w:eastAsia="Times New Roman" w:cs="Segoe UI"/>
                <w:color w:val="000000"/>
                <w:sz w:val="18"/>
                <w:szCs w:val="18"/>
                <w:lang w:eastAsia="sk-SK"/>
              </w:rPr>
              <w:t> </w:t>
            </w:r>
          </w:p>
        </w:tc>
      </w:tr>
    </w:tbl>
    <w:p w14:paraId="7204BA31" w14:textId="77777777" w:rsidR="00400A50" w:rsidRPr="00DE3577" w:rsidRDefault="00400A50" w:rsidP="00400A50">
      <w:pPr>
        <w:pStyle w:val="Zdroj"/>
      </w:pPr>
      <w:r w:rsidRPr="00263D86">
        <w:t>Zdroj</w:t>
      </w:r>
      <w:r>
        <w:t>: MF SR, ÚDZS; *odhad počtu poistencov štátu na rok 2021 je vypočítaný z 9 mesiacov roka 2021</w:t>
      </w:r>
    </w:p>
    <w:p w14:paraId="03AF45CE" w14:textId="2C67D42B" w:rsidR="00E20790" w:rsidRDefault="00D34389" w:rsidP="00D34389">
      <w:pPr>
        <w:spacing w:after="0"/>
        <w:rPr>
          <w:szCs w:val="20"/>
        </w:rPr>
      </w:pPr>
      <w:r>
        <w:rPr>
          <w:szCs w:val="20"/>
        </w:rPr>
        <w:t xml:space="preserve">Rozpočet výdavkov na ZS v roku 2022 oproti očakávanej skutočnosti 2021 vzrastie o 126 mil. eur., no v porovnaní s rozpočtom 2021 ide o pokles o 6,2 mil. eur. </w:t>
      </w:r>
      <w:r w:rsidR="00E20790">
        <w:rPr>
          <w:szCs w:val="20"/>
        </w:rPr>
        <w:t>Pre porovnanie v roku 2021 oproti roku 2020 rozpočet výdavkov na ZS zaznamenal nárast o 261 mil. eur. V návrhu RVS na rok 2022 je síce naplánovaná rezerva na výdavky v zdravotníctve v sume 220 mil. eur, ale pre nasledovné dôvody vzniká reálne riziko nedofinancovania ZS:</w:t>
      </w:r>
    </w:p>
    <w:p w14:paraId="76159D8A" w14:textId="4CD8D075" w:rsidR="00E20790" w:rsidRDefault="00E20790" w:rsidP="00607D51">
      <w:pPr>
        <w:pStyle w:val="Odsekzoznamu"/>
        <w:numPr>
          <w:ilvl w:val="0"/>
          <w:numId w:val="33"/>
        </w:numPr>
        <w:ind w:left="470" w:hanging="357"/>
        <w:rPr>
          <w:szCs w:val="20"/>
        </w:rPr>
      </w:pPr>
      <w:r>
        <w:t>odkladanie ZS pre pandémiu znamená, že pacientom sa bude zhoršovať stav a ich liečba bude v roku 2022 drahšia;</w:t>
      </w:r>
    </w:p>
    <w:p w14:paraId="3649AFB1" w14:textId="77777777" w:rsidR="00E20790" w:rsidRDefault="00E20790" w:rsidP="00607D51">
      <w:pPr>
        <w:pStyle w:val="Odsekzoznamu"/>
        <w:numPr>
          <w:ilvl w:val="0"/>
          <w:numId w:val="33"/>
        </w:numPr>
        <w:ind w:left="470" w:hanging="357"/>
      </w:pPr>
      <w:r>
        <w:t>zvyšovanie cien energií, ktoré sa premietne do zvyšovania cien vstupov do zdravotníctva;</w:t>
      </w:r>
    </w:p>
    <w:p w14:paraId="43E5FD2E" w14:textId="6D990F9B" w:rsidR="00E20790" w:rsidRDefault="00E20790" w:rsidP="00607D51">
      <w:pPr>
        <w:pStyle w:val="Odsekzoznamu"/>
        <w:numPr>
          <w:ilvl w:val="0"/>
          <w:numId w:val="33"/>
        </w:numPr>
        <w:ind w:left="470" w:hanging="357"/>
      </w:pPr>
      <w:r>
        <w:t xml:space="preserve">rezerva sa javí ako netransparentný spôsob dofinancovania ZS, je vedená ako rezerva </w:t>
      </w:r>
      <w:r w:rsidR="00915019">
        <w:t>VPS</w:t>
      </w:r>
      <w:r>
        <w:t>, nie je súčasťou sumy priamo rozpočtovanej pre VZP a zdravotné poisťovne podiely na uvedenej sume nerozpočtujú medzi budúce výdavky v pripravovanom pláne činnosti.</w:t>
      </w:r>
    </w:p>
    <w:p w14:paraId="692EAC6B" w14:textId="0C608C1F" w:rsidR="00E20790" w:rsidRDefault="00E20790" w:rsidP="00E20790">
      <w:pPr>
        <w:rPr>
          <w:rFonts w:cs="Segoe UI"/>
          <w:szCs w:val="20"/>
        </w:rPr>
      </w:pPr>
      <w:r>
        <w:rPr>
          <w:szCs w:val="20"/>
        </w:rPr>
        <w:t>V PVV vláda deklaruje</w:t>
      </w:r>
      <w:r w:rsidR="0014479C">
        <w:rPr>
          <w:szCs w:val="20"/>
        </w:rPr>
        <w:t>, že</w:t>
      </w:r>
      <w:r>
        <w:rPr>
          <w:szCs w:val="20"/>
        </w:rPr>
        <w:t xml:space="preserve"> zabezpeč</w:t>
      </w:r>
      <w:r w:rsidR="0014479C">
        <w:rPr>
          <w:szCs w:val="20"/>
        </w:rPr>
        <w:t>í</w:t>
      </w:r>
      <w:r>
        <w:rPr>
          <w:szCs w:val="20"/>
        </w:rPr>
        <w:t xml:space="preserve"> stabilitu a predvídateľnosť financovania zdravotnej </w:t>
      </w:r>
      <w:r w:rsidR="0014479C">
        <w:rPr>
          <w:szCs w:val="20"/>
        </w:rPr>
        <w:t>starostlivosti. P</w:t>
      </w:r>
      <w:r>
        <w:rPr>
          <w:szCs w:val="20"/>
        </w:rPr>
        <w:t>odľa NKÚ SR</w:t>
      </w:r>
      <w:r w:rsidR="009B66D6">
        <w:rPr>
          <w:szCs w:val="20"/>
        </w:rPr>
        <w:t>,</w:t>
      </w:r>
      <w:r>
        <w:rPr>
          <w:szCs w:val="20"/>
        </w:rPr>
        <w:t xml:space="preserve"> </w:t>
      </w:r>
      <w:r w:rsidR="009C4845">
        <w:rPr>
          <w:szCs w:val="20"/>
        </w:rPr>
        <w:t>rizikom</w:t>
      </w:r>
      <w:r w:rsidR="009B66D6">
        <w:rPr>
          <w:szCs w:val="20"/>
        </w:rPr>
        <w:t xml:space="preserve"> je</w:t>
      </w:r>
      <w:r w:rsidR="009C4845">
        <w:rPr>
          <w:szCs w:val="20"/>
        </w:rPr>
        <w:t xml:space="preserve">, </w:t>
      </w:r>
      <w:r w:rsidR="009B66D6">
        <w:rPr>
          <w:szCs w:val="20"/>
        </w:rPr>
        <w:t>že k</w:t>
      </w:r>
      <w:r w:rsidR="009C4845">
        <w:rPr>
          <w:szCs w:val="20"/>
        </w:rPr>
        <w:t xml:space="preserve"> rozhodnuti</w:t>
      </w:r>
      <w:r w:rsidR="009B66D6">
        <w:rPr>
          <w:szCs w:val="20"/>
        </w:rPr>
        <w:t>u</w:t>
      </w:r>
      <w:r>
        <w:rPr>
          <w:szCs w:val="20"/>
        </w:rPr>
        <w:t xml:space="preserve"> rezortu financií </w:t>
      </w:r>
      <w:r w:rsidR="0014479C">
        <w:rPr>
          <w:szCs w:val="20"/>
        </w:rPr>
        <w:t xml:space="preserve">o znížení platby za poistencov štátu na rok 2021 formou viazania rozpočtových prostriedkov v sume 232,5 mil. eur </w:t>
      </w:r>
      <w:r w:rsidR="009B66D6">
        <w:rPr>
          <w:szCs w:val="20"/>
        </w:rPr>
        <w:t>došlo</w:t>
      </w:r>
      <w:r w:rsidR="0014479C">
        <w:rPr>
          <w:szCs w:val="20"/>
        </w:rPr>
        <w:t xml:space="preserve"> </w:t>
      </w:r>
      <w:r>
        <w:rPr>
          <w:szCs w:val="20"/>
        </w:rPr>
        <w:t xml:space="preserve">bez predchádzajúcej odbornej diskusie. Aj keď rezort financií deklaruje, že v prípade potreby bude všetka poskytnutá ZS v súlade so zákonom dofinancovaná, tento krok vniesol neistotu </w:t>
      </w:r>
      <w:r>
        <w:rPr>
          <w:rFonts w:cs="Segoe UI"/>
          <w:szCs w:val="20"/>
        </w:rPr>
        <w:t>do zabezpečenia stabilného a predvídateľného financovania zdravotnej starostlivosti v SR. Vzniknutá situácia v systéme VZP môže spôsobiť, že sa systém a kvalita zdravotníctva v SR bude naďalej prepadať a vzďaľovať od systémov ostatných krajín V4 a ďalších vyspelých krajín EÚ.</w:t>
      </w:r>
    </w:p>
    <w:p w14:paraId="14AFD45F" w14:textId="4C2F958A" w:rsidR="00E11826" w:rsidRDefault="00E11826" w:rsidP="00E11826">
      <w:pPr>
        <w:spacing w:line="264" w:lineRule="auto"/>
        <w:rPr>
          <w:rFonts w:cs="Segoe UI"/>
          <w:szCs w:val="20"/>
        </w:rPr>
      </w:pPr>
      <w:r>
        <w:rPr>
          <w:szCs w:val="20"/>
        </w:rPr>
        <w:t xml:space="preserve">Podľa názoru NKÚ SR  je nevyhnutné nájsť a zrealizovať </w:t>
      </w:r>
      <w:r>
        <w:rPr>
          <w:rFonts w:cs="Segoe UI"/>
          <w:szCs w:val="20"/>
        </w:rPr>
        <w:t xml:space="preserve">koncepčné riešenie, ktoré povedie k stabilnej a transparentnej politike financovania VZP zo strany štátu. Kým k tomu nedôjde, musia zdravotné poisťovne, ako aj ostatné dotknuté subjekty kalkulovať s rizikom podobných nesystémových krokov ako je viazanie rozpočtových prostriedkov v roku 2021, čo môže mať negatívny dopad na efektívne vynakladanie prostriedkov VZP. </w:t>
      </w:r>
    </w:p>
    <w:p w14:paraId="4BD4A712" w14:textId="77777777" w:rsidR="00E20790" w:rsidRPr="002A599C" w:rsidRDefault="00E20790" w:rsidP="00E20790">
      <w:pPr>
        <w:rPr>
          <w:b/>
          <w:u w:val="single"/>
        </w:rPr>
      </w:pPr>
      <w:r>
        <w:rPr>
          <w:b/>
          <w:u w:val="single"/>
        </w:rPr>
        <w:t xml:space="preserve">Zadlženosť univerzitných a fakultných nemocníc </w:t>
      </w:r>
    </w:p>
    <w:p w14:paraId="1D8E4938" w14:textId="77777777" w:rsidR="001C7997" w:rsidRDefault="0077629D" w:rsidP="0077629D">
      <w:pPr>
        <w:rPr>
          <w:rFonts w:cs="Segoe UI"/>
          <w:szCs w:val="20"/>
        </w:rPr>
      </w:pPr>
      <w:r>
        <w:rPr>
          <w:rFonts w:cs="Segoe UI"/>
          <w:szCs w:val="20"/>
        </w:rPr>
        <w:t xml:space="preserve">NKÚ SR dlhodobo upozorňuje, že v systémových opatreniach na zastavenie zadlžovania (predovšetkým zavedenie úhradového mechanizmu DRG, plná funkcionalita e-Zdravia, zefektívnenie prevádzky nemocníc) nenastal výrazný pokrok. Ak doteraz náklady poskytovateľov ZS neboli v dostatočnej miere pokryté výnosmi od ZP, </w:t>
      </w:r>
      <w:r w:rsidRPr="0077629D">
        <w:rPr>
          <w:rFonts w:cs="Segoe UI"/>
          <w:b/>
          <w:szCs w:val="20"/>
        </w:rPr>
        <w:t>vplyvom nesystémových krokov sa zadlženosť môže ešte prehlbovať</w:t>
      </w:r>
      <w:r>
        <w:rPr>
          <w:rFonts w:cs="Segoe UI"/>
          <w:szCs w:val="20"/>
        </w:rPr>
        <w:t xml:space="preserve">. </w:t>
      </w:r>
      <w:r>
        <w:rPr>
          <w:szCs w:val="20"/>
        </w:rPr>
        <w:t xml:space="preserve">Ide najmä o univerzitné a fakultné nemocnice, ktoré uskutočňujú najväčší rozsah finančne náročných výkonov poskytovania ZS. </w:t>
      </w:r>
      <w:r>
        <w:rPr>
          <w:rFonts w:cs="Segoe UI"/>
          <w:szCs w:val="20"/>
        </w:rPr>
        <w:t xml:space="preserve">Nemocnice sú v zložitej situácii aj z dôvodu vysokých a nepredvídaných nákladov súvisiacich so </w:t>
      </w:r>
      <w:r w:rsidR="001C7997">
        <w:rPr>
          <w:rFonts w:cs="Segoe UI"/>
          <w:szCs w:val="20"/>
        </w:rPr>
        <w:t>zabezpečením ZS počas pandémie.</w:t>
      </w:r>
    </w:p>
    <w:p w14:paraId="5248501F" w14:textId="318384E6" w:rsidR="0077629D" w:rsidRDefault="0077629D" w:rsidP="0077629D">
      <w:pPr>
        <w:rPr>
          <w:szCs w:val="20"/>
        </w:rPr>
      </w:pPr>
      <w:r>
        <w:rPr>
          <w:szCs w:val="20"/>
        </w:rPr>
        <w:lastRenderedPageBreak/>
        <w:t>K 31. 8. 2021 dosiahol celkový stav záväzkov univerzitných a fakultných nemocníc 914 mil. eur a od začiatku roka 2021 sa zvýšil o 79 mil. eur (Graf 9). Finančné zdravie zdravotníckych zariadení ilustrujú predovšetkým záväzky po lehote splatnosti, ktoré sa zvýšili od začiatku roka 2021 o 86 mil. eur.</w:t>
      </w:r>
    </w:p>
    <w:p w14:paraId="3EDC3A07" w14:textId="44786911" w:rsidR="00E20790" w:rsidRPr="00BC3CA3" w:rsidRDefault="00E20790" w:rsidP="00E20790">
      <w:pPr>
        <w:pStyle w:val="Popis"/>
        <w:keepNext/>
        <w:rPr>
          <w:color w:val="314364"/>
        </w:rPr>
      </w:pPr>
      <w:r w:rsidRPr="00BC3CA3">
        <w:rPr>
          <w:color w:val="314364"/>
        </w:rPr>
        <w:t xml:space="preserve">Graf </w:t>
      </w:r>
      <w:r w:rsidR="00FB6475">
        <w:rPr>
          <w:color w:val="314364"/>
        </w:rPr>
        <w:t>9</w:t>
      </w:r>
      <w:r w:rsidRPr="00BC3CA3">
        <w:rPr>
          <w:color w:val="314364"/>
        </w:rPr>
        <w:t>:</w:t>
      </w:r>
      <w:r>
        <w:rPr>
          <w:color w:val="314364"/>
        </w:rPr>
        <w:t xml:space="preserve"> </w:t>
      </w:r>
      <w:r w:rsidRPr="00F13426">
        <w:rPr>
          <w:color w:val="314364"/>
        </w:rPr>
        <w:t xml:space="preserve">Vývoj stavu záväzkov univerzitných a </w:t>
      </w:r>
      <w:r>
        <w:rPr>
          <w:color w:val="314364"/>
        </w:rPr>
        <w:t>fakultných nemocníc od roku 2013 (v mil. eur)</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E20790" w:rsidRPr="00C75134" w14:paraId="3602050B" w14:textId="77777777" w:rsidTr="00381348">
        <w:trPr>
          <w:trHeight w:val="3685"/>
        </w:trPr>
        <w:tc>
          <w:tcPr>
            <w:tcW w:w="9070" w:type="dxa"/>
            <w:tcBorders>
              <w:top w:val="single" w:sz="4" w:space="0" w:color="314364"/>
              <w:bottom w:val="single" w:sz="4" w:space="0" w:color="314364"/>
            </w:tcBorders>
            <w:vAlign w:val="center"/>
          </w:tcPr>
          <w:p w14:paraId="21AAF191" w14:textId="77777777" w:rsidR="00E20790" w:rsidRPr="00C75134" w:rsidRDefault="00E20790" w:rsidP="00381348">
            <w:pPr>
              <w:spacing w:after="0"/>
              <w:rPr>
                <w:b/>
                <w:color w:val="576431"/>
              </w:rPr>
            </w:pPr>
            <w:r>
              <w:rPr>
                <w:noProof/>
                <w:lang w:eastAsia="sk-SK"/>
              </w:rPr>
              <w:drawing>
                <wp:inline distT="0" distB="0" distL="0" distR="0" wp14:anchorId="76B9FA1C" wp14:editId="2B646FFC">
                  <wp:extent cx="5838190" cy="2390775"/>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068847C6" w14:textId="77777777" w:rsidR="00E20790" w:rsidRDefault="00E20790" w:rsidP="00E20790">
      <w:pPr>
        <w:pStyle w:val="Zdroj"/>
      </w:pPr>
      <w:r w:rsidRPr="00627D87">
        <w:t xml:space="preserve">Zdroj: </w:t>
      </w:r>
      <w:r>
        <w:t>MZ SR</w:t>
      </w:r>
    </w:p>
    <w:p w14:paraId="0F4E1740" w14:textId="77777777" w:rsidR="00E20790" w:rsidRPr="002A599C" w:rsidRDefault="00E20790" w:rsidP="00E20790">
      <w:pPr>
        <w:spacing w:line="264" w:lineRule="auto"/>
        <w:rPr>
          <w:b/>
          <w:u w:val="single"/>
        </w:rPr>
      </w:pPr>
      <w:r w:rsidRPr="002A599C">
        <w:rPr>
          <w:b/>
          <w:u w:val="single"/>
        </w:rPr>
        <w:t>Kapitálové výdavky</w:t>
      </w:r>
    </w:p>
    <w:p w14:paraId="41DE9BD6" w14:textId="0E2978F9" w:rsidR="00E20790" w:rsidRDefault="00E20790" w:rsidP="00E20790">
      <w:r>
        <w:t>Aj v zdravotníctve vychádza aktuálny návrh rozpočtu v prípade</w:t>
      </w:r>
      <w:r w:rsidRPr="008919B1">
        <w:t xml:space="preserve"> kapitálových výdavkov </w:t>
      </w:r>
      <w:r>
        <w:t xml:space="preserve">z princípu tzv. </w:t>
      </w:r>
      <w:proofErr w:type="spellStart"/>
      <w:r>
        <w:t>zero-based</w:t>
      </w:r>
      <w:proofErr w:type="spellEnd"/>
      <w:r>
        <w:t xml:space="preserve"> </w:t>
      </w:r>
      <w:proofErr w:type="spellStart"/>
      <w:r>
        <w:t>budgeting</w:t>
      </w:r>
      <w:proofErr w:type="spellEnd"/>
      <w:r w:rsidR="00973297">
        <w:t>.</w:t>
      </w:r>
      <w:r w:rsidRPr="008919B1">
        <w:t xml:space="preserve"> </w:t>
      </w:r>
      <w:r w:rsidR="00973297">
        <w:t>Ten</w:t>
      </w:r>
      <w:r w:rsidRPr="008919B1">
        <w:t xml:space="preserve"> </w:t>
      </w:r>
      <w:r>
        <w:t>má zabezpečiť, že f</w:t>
      </w:r>
      <w:r w:rsidRPr="008919B1">
        <w:t>inancované budú iba pripravené a návratné projekty v súlade s pri</w:t>
      </w:r>
      <w:r>
        <w:t xml:space="preserve">orizovanými investičnými plánmi. NKÚ SR víta, že </w:t>
      </w:r>
      <w:r w:rsidR="00037A18">
        <w:t>MZ SR</w:t>
      </w:r>
      <w:r>
        <w:t xml:space="preserve"> pripravil metodické materiály na prípravu a hodnotenie investícií</w:t>
      </w:r>
      <w:r w:rsidRPr="00E058A7">
        <w:rPr>
          <w:rStyle w:val="Odkaznapoznmkupodiarou"/>
          <w:i/>
        </w:rPr>
        <w:footnoteReference w:id="25"/>
      </w:r>
      <w:r w:rsidR="00E058A7" w:rsidRPr="00E058A7">
        <w:rPr>
          <w:i/>
          <w:vertAlign w:val="superscript"/>
        </w:rPr>
        <w:t>)</w:t>
      </w:r>
      <w:r>
        <w:t xml:space="preserve">. Problémom </w:t>
      </w:r>
      <w:r w:rsidR="009B66D6">
        <w:t>však</w:t>
      </w:r>
      <w:r>
        <w:t xml:space="preserve"> je, že zatiaľ </w:t>
      </w:r>
      <w:r w:rsidRPr="00A373FA">
        <w:rPr>
          <w:b/>
        </w:rPr>
        <w:t>neexistuje komplexný investičný plán s</w:t>
      </w:r>
      <w:r w:rsidR="00400A50">
        <w:rPr>
          <w:b/>
        </w:rPr>
        <w:t>o</w:t>
      </w:r>
      <w:r w:rsidRPr="00A373FA">
        <w:rPr>
          <w:b/>
        </w:rPr>
        <w:t> špecifikovaním konkrétnych projektov</w:t>
      </w:r>
      <w:r>
        <w:t xml:space="preserve">. MZ SR má na </w:t>
      </w:r>
      <w:r w:rsidR="009B66D6">
        <w:t xml:space="preserve">webovej </w:t>
      </w:r>
      <w:r>
        <w:t>stránke zverejnený dokument s názvom „</w:t>
      </w:r>
      <w:r w:rsidRPr="00AC3306">
        <w:t>Investičný plán</w:t>
      </w:r>
      <w:r>
        <w:t>“</w:t>
      </w:r>
      <w:r w:rsidRPr="00E058A7">
        <w:rPr>
          <w:rStyle w:val="Odkaznapoznmkupodiarou"/>
          <w:i/>
        </w:rPr>
        <w:footnoteReference w:id="26"/>
      </w:r>
      <w:r w:rsidR="00E058A7" w:rsidRPr="00E058A7">
        <w:rPr>
          <w:i/>
          <w:vertAlign w:val="superscript"/>
        </w:rPr>
        <w:t>)</w:t>
      </w:r>
      <w:r>
        <w:t>, no ide o všeobecný dokument bez zoznamu konkrétnych projektov</w:t>
      </w:r>
      <w:r w:rsidR="00973297">
        <w:t>.</w:t>
      </w:r>
      <w:r>
        <w:t xml:space="preserve"> </w:t>
      </w:r>
      <w:r w:rsidR="00973297">
        <w:t>Rezort</w:t>
      </w:r>
      <w:r>
        <w:t xml:space="preserve"> sa v tomto dokumente zaväzuje, že „</w:t>
      </w:r>
      <w:r w:rsidRPr="00AC3306">
        <w:t xml:space="preserve">Investičný plán bude MZ SR pravidelne aktualizovať a v priebehu druhého štvrťroka 2021 konkretizuje investičný </w:t>
      </w:r>
      <w:r>
        <w:t xml:space="preserve">plán do požadovanej </w:t>
      </w:r>
      <w:proofErr w:type="spellStart"/>
      <w:r>
        <w:t>granularity</w:t>
      </w:r>
      <w:proofErr w:type="spellEnd"/>
      <w:r>
        <w:t xml:space="preserve">“. Tento záväzok rezort nesplnil, a tak riadny investičný plán nemohol byť základom pre tvorbu návrhu rozpočtu. </w:t>
      </w:r>
      <w:r w:rsidRPr="00CA24C4">
        <w:t xml:space="preserve">V </w:t>
      </w:r>
      <w:r w:rsidR="00400A50">
        <w:t>PVV</w:t>
      </w:r>
      <w:r w:rsidRPr="00CA24C4">
        <w:t xml:space="preserve"> je</w:t>
      </w:r>
      <w:r>
        <w:t xml:space="preserve"> v časti k zdravotníctvu</w:t>
      </w:r>
      <w:r w:rsidRPr="00CA24C4">
        <w:t xml:space="preserve"> uvedené: „Súčasťou rozpočtu je vopred definovaný balík peňazí na investovanie“</w:t>
      </w:r>
      <w:r>
        <w:t xml:space="preserve">. Splnenie tohto záväzku je </w:t>
      </w:r>
      <w:r w:rsidR="009B66D6">
        <w:t>však</w:t>
      </w:r>
      <w:r>
        <w:t xml:space="preserve"> možné až po dokončení a zverejnení investičného plánu MZ</w:t>
      </w:r>
      <w:r w:rsidR="00400A50">
        <w:t xml:space="preserve"> </w:t>
      </w:r>
      <w:r>
        <w:t>SR</w:t>
      </w:r>
      <w:r w:rsidRPr="00E058A7">
        <w:rPr>
          <w:rStyle w:val="Odkaznapoznmkupodiarou"/>
          <w:i/>
        </w:rPr>
        <w:footnoteReference w:id="27"/>
      </w:r>
      <w:r w:rsidR="00E058A7" w:rsidRPr="00E058A7">
        <w:rPr>
          <w:i/>
          <w:vertAlign w:val="superscript"/>
        </w:rPr>
        <w:t>)</w:t>
      </w:r>
      <w:r>
        <w:t>. Aktuálne navrhovaný rozpočet teda daný záväzok z PVV nespĺňa a nateraz nie je jednoznačne definované, koľko prostriedkov v roku 2022 reálne pôjde na kapitálové výdavky v</w:t>
      </w:r>
      <w:r w:rsidR="00037A18">
        <w:t> </w:t>
      </w:r>
      <w:r>
        <w:t>zdravotníctve</w:t>
      </w:r>
      <w:r w:rsidR="00037A18">
        <w:t xml:space="preserve"> a</w:t>
      </w:r>
      <w:r>
        <w:t xml:space="preserve"> či budú na tento účel uvoľnené aj prostriedky z VPS a v akom objeme.</w:t>
      </w:r>
    </w:p>
    <w:p w14:paraId="140D3351" w14:textId="22C3E583" w:rsidR="00E20790" w:rsidRDefault="00E20790" w:rsidP="00E20790">
      <w:r>
        <w:t xml:space="preserve">Rozpočet na rok 2022 počíta s kapitálovými výdavkami v kapitole </w:t>
      </w:r>
      <w:r w:rsidR="00973297">
        <w:t>zdravotníctva</w:t>
      </w:r>
      <w:r>
        <w:t xml:space="preserve"> vo výške 206 mil. eur, pričom absolútna väčšina – až 199 mil. eur má byť z Plánu obnovy a odolnosti. </w:t>
      </w:r>
      <w:r w:rsidR="00400A50">
        <w:t>P</w:t>
      </w:r>
      <w:r>
        <w:t xml:space="preserve">re roky 2023 a 2024 návrh rozpočtu predpokladá, že všetky kapitálové výdavky rezortu zdravotníctva budú kryté Plánom obnovy. Takáto závislosť investícií rezortu na jedinom zdroji, ktorého čerpanie je navyše podmieňované splnením rôznych kritérií je riziková, preto NKÚ SR odporúča </w:t>
      </w:r>
      <w:r w:rsidRPr="00F3045B">
        <w:rPr>
          <w:b/>
        </w:rPr>
        <w:t>primeranú diverzifikáciu zdrojov financovania investícií v zdravotníctve</w:t>
      </w:r>
      <w:r>
        <w:t>.</w:t>
      </w:r>
    </w:p>
    <w:p w14:paraId="59766458" w14:textId="469C55AC" w:rsidR="00E20790" w:rsidRDefault="00E20790" w:rsidP="00E20790">
      <w:r>
        <w:t xml:space="preserve">V PVV sa uvádza viacero konkrétnych investičných zámerov v zdravotníctve. Vláda sa napríklad zaviazala vybudovať </w:t>
      </w:r>
      <w:r w:rsidRPr="00974033">
        <w:t>ko</w:t>
      </w:r>
      <w:r>
        <w:t>mplexnú</w:t>
      </w:r>
      <w:r w:rsidRPr="00974033">
        <w:t xml:space="preserve"> koncov</w:t>
      </w:r>
      <w:r>
        <w:t>ú</w:t>
      </w:r>
      <w:r w:rsidRPr="00974033">
        <w:t xml:space="preserve"> univerzitn</w:t>
      </w:r>
      <w:r>
        <w:t>ú</w:t>
      </w:r>
      <w:r w:rsidRPr="00974033">
        <w:t xml:space="preserve"> nemocnic</w:t>
      </w:r>
      <w:r>
        <w:t>u</w:t>
      </w:r>
      <w:r w:rsidRPr="00974033">
        <w:t xml:space="preserve"> v Bratislave na Rázsochách</w:t>
      </w:r>
      <w:r>
        <w:t xml:space="preserve">, k pokračovaniu </w:t>
      </w:r>
      <w:r w:rsidRPr="00784628">
        <w:t>v projekte výstavby novej Martinskej univerzitnej nemocnice</w:t>
      </w:r>
      <w:r>
        <w:t>, či k</w:t>
      </w:r>
      <w:r w:rsidRPr="00784628">
        <w:t xml:space="preserve"> </w:t>
      </w:r>
      <w:r>
        <w:t>príprave</w:t>
      </w:r>
      <w:r w:rsidRPr="00784628">
        <w:t xml:space="preserve"> koncepci</w:t>
      </w:r>
      <w:r>
        <w:t>e</w:t>
      </w:r>
      <w:r w:rsidRPr="00784628">
        <w:t xml:space="preserve"> rozvoja univerzitných </w:t>
      </w:r>
      <w:r w:rsidRPr="00784628">
        <w:lastRenderedPageBreak/>
        <w:t>nemocníc v Košiciach a v Banskej Bystrici.</w:t>
      </w:r>
      <w:r>
        <w:t xml:space="preserve"> N</w:t>
      </w:r>
      <w:r w:rsidR="00400A50">
        <w:t>ávrh RVS</w:t>
      </w:r>
      <w:r>
        <w:t xml:space="preserve"> však neposkytuje žiadnu informáciu o tom, s akými konkrétnymi projektami sa v roku 2022 počíta, preto nie je možné vyhodnotiť, či rozpočet dostatočne reaguje na ciele vlády stanovené v PVV. Podľa dostupných informácií o realizácii projektu Rázsochy stále nie je rozhodnuté</w:t>
      </w:r>
      <w:r w:rsidRPr="00E058A7">
        <w:rPr>
          <w:rStyle w:val="Odkaznapoznmkupodiarou"/>
          <w:i/>
        </w:rPr>
        <w:footnoteReference w:id="28"/>
      </w:r>
      <w:r w:rsidR="00E058A7" w:rsidRPr="00E058A7">
        <w:rPr>
          <w:i/>
          <w:vertAlign w:val="superscript"/>
        </w:rPr>
        <w:t>)</w:t>
      </w:r>
      <w:r>
        <w:t>. Z tejto informácie a vzhľadom k rozsahu a časovej náročnosti realizácie takéhoto projektu je vysoko pravdepodobné, že tento konkrétny záväzok z PVV vláda nesplní.</w:t>
      </w:r>
    </w:p>
    <w:p w14:paraId="1FF47379" w14:textId="77777777" w:rsidR="00400A50" w:rsidRDefault="00E20790" w:rsidP="00E20790">
      <w:pPr>
        <w:rPr>
          <w:b/>
          <w:u w:val="single"/>
        </w:rPr>
      </w:pPr>
      <w:r w:rsidRPr="002A599C">
        <w:rPr>
          <w:b/>
          <w:u w:val="single"/>
        </w:rPr>
        <w:t>Ďalšie vybrané aspekty navrhovaného rozpočtu za oblasť zdravotníctva</w:t>
      </w:r>
    </w:p>
    <w:p w14:paraId="151864D8" w14:textId="79138783" w:rsidR="00E20790" w:rsidRDefault="00451D11" w:rsidP="00E20790">
      <w:r>
        <w:t>V</w:t>
      </w:r>
      <w:r w:rsidR="00E20790">
        <w:t> súčasnosti platným strategickým dokumentom</w:t>
      </w:r>
      <w:r>
        <w:t>, ktorý zastrešuje</w:t>
      </w:r>
      <w:r w:rsidR="00E20790">
        <w:t xml:space="preserve"> oblasť zdravotníctva je Strategický rámec starostlivosti o zdravie </w:t>
      </w:r>
      <w:r w:rsidR="009D0D58">
        <w:t>na</w:t>
      </w:r>
      <w:r w:rsidR="00E20790">
        <w:t xml:space="preserve"> roky 2014 </w:t>
      </w:r>
      <w:r w:rsidR="009D0D58">
        <w:rPr>
          <w:sz w:val="18"/>
        </w:rPr>
        <w:t>–</w:t>
      </w:r>
      <w:r w:rsidR="00E20790">
        <w:t xml:space="preserve"> 2030</w:t>
      </w:r>
      <w:r w:rsidR="00E20790" w:rsidRPr="00E058A7">
        <w:rPr>
          <w:rStyle w:val="Odkaznapoznmkupodiarou"/>
          <w:i/>
        </w:rPr>
        <w:footnoteReference w:id="29"/>
      </w:r>
      <w:r w:rsidR="00E058A7" w:rsidRPr="00E058A7">
        <w:rPr>
          <w:i/>
          <w:vertAlign w:val="superscript"/>
        </w:rPr>
        <w:t>)</w:t>
      </w:r>
      <w:r w:rsidR="00E20790">
        <w:t xml:space="preserve">. V ňom sú definované tri strategické oblasti, ku ktorým sú definované aj konkrétne indikátory a ich cieľové hodnoty. NKÚ SR pozitívne hodnotí, že aj </w:t>
      </w:r>
      <w:r w:rsidR="00E20790" w:rsidRPr="00771FD2">
        <w:rPr>
          <w:b/>
        </w:rPr>
        <w:t>aktuálny návrh rozpočtu uvádza kľúčové ukazovatele zdravotníctva spolu s cieľovými hodnotami</w:t>
      </w:r>
      <w:r w:rsidR="00E20790">
        <w:t>, a že tieto ukazovatele sú v konzistencii s dlhodobým strategickým rámcom zdravotníctva. V strategickom materiáli sú identifikované aj konkrétne opatrenia a programy. Pre možnosť adekvátneho hodnotenia finančného krytia takto dlhodobo a strategicky definovan</w:t>
      </w:r>
      <w:r w:rsidR="00034CF4">
        <w:t>ých</w:t>
      </w:r>
      <w:r w:rsidR="00E20790">
        <w:t xml:space="preserve"> priorít by bolo žiadúce, keby sa dlhodobá stratégia primerane premietala priamo do programov</w:t>
      </w:r>
      <w:r w:rsidR="00034CF4">
        <w:t>ého</w:t>
      </w:r>
      <w:r w:rsidR="00E20790">
        <w:t xml:space="preserve"> rozpočtu</w:t>
      </w:r>
      <w:r w:rsidR="00034CF4">
        <w:t xml:space="preserve"> kapitoly</w:t>
      </w:r>
      <w:r w:rsidR="00E20790">
        <w:t xml:space="preserve">. </w:t>
      </w:r>
      <w:r w:rsidR="00E20790" w:rsidRPr="00400A50">
        <w:rPr>
          <w:b/>
        </w:rPr>
        <w:t xml:space="preserve">V tomto zmysle NKÚ SR konštatuje, že neexistuje dostatočná previazanosť prijatej dlhodobej stratégie v zdravotníctve a programového rozpočtovania pri zostavovaní návrhu </w:t>
      </w:r>
      <w:r w:rsidR="00400A50">
        <w:rPr>
          <w:b/>
        </w:rPr>
        <w:t>RVS.</w:t>
      </w:r>
      <w:r w:rsidR="00E20790">
        <w:t xml:space="preserve"> Navyše v</w:t>
      </w:r>
      <w:r w:rsidR="00E20790" w:rsidRPr="00973A2D">
        <w:t xml:space="preserve">äčšina verejných zdrojov rozpočtovaných pre oblasť zdravotníctva nateká do systému cez </w:t>
      </w:r>
      <w:r w:rsidR="00400A50">
        <w:t>VZP</w:t>
      </w:r>
      <w:r w:rsidR="00E20790" w:rsidRPr="00973A2D">
        <w:t>. Tento druh rozpočtovaných výdavkov je z hľadiska programového rozpo</w:t>
      </w:r>
      <w:r w:rsidR="00400A50">
        <w:t>čtovania nealokovaný. Dokument Ú</w:t>
      </w:r>
      <w:r w:rsidR="00E20790" w:rsidRPr="00973A2D">
        <w:t>HP z novembra 2020 pod názvom „Programovanie pre pokročilých“ deklaruje ambíciu zaviesť programové rozpočtovanie aj do tých oblastí verejných financií, kde sa doposiaľ nepoužívalo.</w:t>
      </w:r>
      <w:r w:rsidR="00E20790">
        <w:t xml:space="preserve"> V aktuálnom návrhu rozpočtu sa táto ambícia odzrkadlila uvedením výdavkov VZP podľa vecných oblastí, čo NKÚ víta. Nenahrádza to </w:t>
      </w:r>
      <w:r w:rsidR="009D0D58">
        <w:t>však</w:t>
      </w:r>
      <w:r w:rsidR="00E20790">
        <w:t xml:space="preserve"> riadne programové rozpočtovanie týchto výdavkov a preto bude potrebné pokračovať v úsilí o zavádzanie programového rozpočtovania VZP.</w:t>
      </w:r>
    </w:p>
    <w:p w14:paraId="63E17A8C" w14:textId="44AC6267" w:rsidR="00E20790" w:rsidRDefault="00E20790" w:rsidP="00E20790">
      <w:r>
        <w:t xml:space="preserve">V PVV sa vláda zaviazala </w:t>
      </w:r>
      <w:r w:rsidRPr="00C04711">
        <w:t>zasad</w:t>
      </w:r>
      <w:r>
        <w:t xml:space="preserve">iť </w:t>
      </w:r>
      <w:r w:rsidRPr="00C04711">
        <w:t>o zlepšenie pracovných podmienok</w:t>
      </w:r>
      <w:r>
        <w:t xml:space="preserve"> zdravotníkov</w:t>
      </w:r>
      <w:r w:rsidRPr="00C04711">
        <w:t xml:space="preserve"> a</w:t>
      </w:r>
      <w:r>
        <w:t> </w:t>
      </w:r>
      <w:r w:rsidRPr="00C04711">
        <w:t>nastav</w:t>
      </w:r>
      <w:r>
        <w:t>iť motivačné prostredie</w:t>
      </w:r>
      <w:r w:rsidRPr="00C04711">
        <w:t xml:space="preserve"> tak, aby pracovník v zdravotníctve zostával a takisto sa vracal za prácou na Slovensko.</w:t>
      </w:r>
      <w:r>
        <w:t xml:space="preserve"> V rozpočte sa uvádza, že riešenie dostatku zdravotníckych pracovníkov bude jednou z kľúčových výziev v nadchádzajúcom období, a počíta s prípravou dlhodobej stratégie ľudských zdrojov</w:t>
      </w:r>
      <w:r w:rsidR="00034CF4">
        <w:t>.</w:t>
      </w:r>
      <w:r>
        <w:t xml:space="preserve"> </w:t>
      </w:r>
      <w:r w:rsidR="00034CF4">
        <w:t>A</w:t>
      </w:r>
      <w:r>
        <w:t>kútnosť situácie by si žiadala, aby už navrhovaný rozpočet z takejto analýzy reálne vychádzal. Aj keď návrh rozpočtu počíta s navýšením mzdového balíka o 91 mil</w:t>
      </w:r>
      <w:r w:rsidR="00400A50">
        <w:t>.</w:t>
      </w:r>
      <w:r>
        <w:t xml:space="preserve"> eur, ide len o zdroje potrebné na legislatívnu valorizáciu, pričom splnenie spomínaného záväzku z PVV by si, aj vzhľadom na rast miezd v okolitých štátoch, žiadalo skokové navýšenie </w:t>
      </w:r>
      <w:r w:rsidR="00E11826">
        <w:t>miezd</w:t>
      </w:r>
      <w:r w:rsidR="00CA1767">
        <w:t xml:space="preserve"> </w:t>
      </w:r>
      <w:r>
        <w:t xml:space="preserve">slovenských zdravotníkov, s čím návrh rozpočtu nepočíta. Existuje preto </w:t>
      </w:r>
      <w:r w:rsidRPr="00B6147E">
        <w:rPr>
          <w:b/>
        </w:rPr>
        <w:t>riziko nesplnenia cieľa z PVV a zhoršenia problému s nedostatkom zdravotníckych pracovníkov</w:t>
      </w:r>
      <w:r>
        <w:t xml:space="preserve">. NKÚ </w:t>
      </w:r>
      <w:r w:rsidR="00400A50">
        <w:t xml:space="preserve">SR </w:t>
      </w:r>
      <w:r>
        <w:t xml:space="preserve">na druhej strane víta, že rozpočet pamätá osobitne na zdravotné sestry a plánuje na navýšenie ich počtu </w:t>
      </w:r>
      <w:r w:rsidR="000347E2">
        <w:t>použi</w:t>
      </w:r>
      <w:r>
        <w:t xml:space="preserve">ť 11 mil. eur. Nie je </w:t>
      </w:r>
      <w:r w:rsidR="009D0D58">
        <w:t>však</w:t>
      </w:r>
      <w:r>
        <w:t xml:space="preserve"> špecifikované, aké navýšenie počtu sestier sa týmto objemom financií plánuje zabezpečiť</w:t>
      </w:r>
      <w:r w:rsidR="00034CF4">
        <w:t>.</w:t>
      </w:r>
      <w:r>
        <w:t xml:space="preserve"> </w:t>
      </w:r>
      <w:r w:rsidR="00034CF4">
        <w:t>J</w:t>
      </w:r>
      <w:r>
        <w:t>e zrejmé</w:t>
      </w:r>
      <w:r w:rsidR="00034CF4">
        <w:t>,</w:t>
      </w:r>
      <w:r>
        <w:t xml:space="preserve"> že na vykrytie chýbajúceho počtu, ktorý je rádovo v</w:t>
      </w:r>
      <w:r w:rsidR="009D0D58">
        <w:t> </w:t>
      </w:r>
      <w:r>
        <w:t>tisíckach</w:t>
      </w:r>
      <w:r w:rsidR="009D0D58">
        <w:t>,</w:t>
      </w:r>
      <w:r w:rsidRPr="00E058A7">
        <w:rPr>
          <w:rStyle w:val="Odkaznapoznmkupodiarou"/>
          <w:i/>
        </w:rPr>
        <w:footnoteReference w:id="30"/>
      </w:r>
      <w:r w:rsidR="00E058A7" w:rsidRPr="00E058A7">
        <w:rPr>
          <w:i/>
          <w:vertAlign w:val="superscript"/>
        </w:rPr>
        <w:t>)</w:t>
      </w:r>
      <w:r>
        <w:t xml:space="preserve"> objem 11 mil. eur na rok </w:t>
      </w:r>
      <w:r w:rsidR="00034CF4">
        <w:t xml:space="preserve">2022 </w:t>
      </w:r>
      <w:r>
        <w:t>postač</w:t>
      </w:r>
      <w:r w:rsidR="00034CF4">
        <w:t>ovať nebude</w:t>
      </w:r>
      <w:r w:rsidRPr="00E058A7">
        <w:rPr>
          <w:rStyle w:val="Odkaznapoznmkupodiarou"/>
          <w:i/>
        </w:rPr>
        <w:footnoteReference w:id="31"/>
      </w:r>
      <w:r w:rsidR="00E058A7" w:rsidRPr="00E058A7">
        <w:rPr>
          <w:i/>
          <w:vertAlign w:val="superscript"/>
        </w:rPr>
        <w:t>)</w:t>
      </w:r>
      <w:r>
        <w:t>.</w:t>
      </w:r>
    </w:p>
    <w:p w14:paraId="5C274305" w14:textId="10289D1E" w:rsidR="00E20790" w:rsidRDefault="00E20790" w:rsidP="00E20790">
      <w:r>
        <w:t>P</w:t>
      </w:r>
      <w:r w:rsidR="002317A5">
        <w:t>VV</w:t>
      </w:r>
      <w:r>
        <w:t xml:space="preserve"> kladie veľký dôraz aj na prevenciu. Z posledných dostupných údajov vyplýva, že </w:t>
      </w:r>
      <w:r w:rsidRPr="00A4621E">
        <w:rPr>
          <w:b/>
        </w:rPr>
        <w:t>S</w:t>
      </w:r>
      <w:r w:rsidR="002317A5">
        <w:rPr>
          <w:b/>
        </w:rPr>
        <w:t>R</w:t>
      </w:r>
      <w:r>
        <w:rPr>
          <w:b/>
        </w:rPr>
        <w:t xml:space="preserve"> do prevencie investoval</w:t>
      </w:r>
      <w:r w:rsidR="002317A5">
        <w:rPr>
          <w:b/>
        </w:rPr>
        <w:t>a</w:t>
      </w:r>
      <w:r w:rsidRPr="00A4621E">
        <w:rPr>
          <w:b/>
        </w:rPr>
        <w:t xml:space="preserve"> najmenej spomedzi všetkých krajín EÚ</w:t>
      </w:r>
      <w:r>
        <w:t xml:space="preserve"> (Graf </w:t>
      </w:r>
      <w:r w:rsidR="00FB6475">
        <w:t>10</w:t>
      </w:r>
      <w:r>
        <w:t xml:space="preserve">). Dosiahnutie primeraného financovania prevencie by si taktiež vyžadovalo skokové navýšenie zdrojov, s čím </w:t>
      </w:r>
      <w:r w:rsidR="009D0D58">
        <w:t>však</w:t>
      </w:r>
      <w:r>
        <w:t xml:space="preserve"> navrhovaný rozpočet nepočíta. </w:t>
      </w:r>
      <w:r>
        <w:lastRenderedPageBreak/>
        <w:t>V programe 079 Prevencia a</w:t>
      </w:r>
      <w:r w:rsidR="002317A5">
        <w:t> ochrana zdravia je pre rok 2022</w:t>
      </w:r>
      <w:r>
        <w:t xml:space="preserve"> rozpočtovaných 65,6 mil. eur, </w:t>
      </w:r>
      <w:r w:rsidR="00085D9A">
        <w:t>čo je približne rovnaká hodnota</w:t>
      </w:r>
      <w:r w:rsidR="00034CF4">
        <w:t xml:space="preserve"> ako v rozpočte na rok 2021.</w:t>
      </w:r>
    </w:p>
    <w:p w14:paraId="694301D0" w14:textId="6A427EAB" w:rsidR="00E20790" w:rsidRPr="00BC3CA3" w:rsidRDefault="00E20790" w:rsidP="00E20790">
      <w:pPr>
        <w:pStyle w:val="Popis"/>
        <w:keepNext/>
        <w:rPr>
          <w:color w:val="314364"/>
        </w:rPr>
      </w:pPr>
      <w:r w:rsidRPr="00BC3CA3">
        <w:rPr>
          <w:color w:val="314364"/>
        </w:rPr>
        <w:t xml:space="preserve">Graf </w:t>
      </w:r>
      <w:r w:rsidR="00FB6475">
        <w:rPr>
          <w:color w:val="314364"/>
        </w:rPr>
        <w:t>10</w:t>
      </w:r>
      <w:r w:rsidRPr="00BC3CA3">
        <w:rPr>
          <w:color w:val="314364"/>
        </w:rPr>
        <w:t>:</w:t>
      </w:r>
      <w:r>
        <w:rPr>
          <w:color w:val="314364"/>
        </w:rPr>
        <w:t xml:space="preserve"> Výdavky na preventívnu zdravotnú starostlivosť (</w:t>
      </w:r>
      <w:r w:rsidR="002317A5">
        <w:rPr>
          <w:color w:val="314364"/>
        </w:rPr>
        <w:t xml:space="preserve">v </w:t>
      </w:r>
      <w:r>
        <w:rPr>
          <w:color w:val="314364"/>
        </w:rPr>
        <w:t>eur</w:t>
      </w:r>
      <w:r w:rsidR="002317A5">
        <w:rPr>
          <w:color w:val="314364"/>
        </w:rPr>
        <w:t>ách</w:t>
      </w:r>
      <w:r>
        <w:rPr>
          <w:color w:val="314364"/>
        </w:rPr>
        <w:t xml:space="preserve"> na obyvateľa)</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70"/>
      </w:tblGrid>
      <w:tr w:rsidR="00E20790" w:rsidRPr="00C75134" w14:paraId="616441BD" w14:textId="77777777" w:rsidTr="00381348">
        <w:trPr>
          <w:trHeight w:val="3685"/>
        </w:trPr>
        <w:tc>
          <w:tcPr>
            <w:tcW w:w="9070" w:type="dxa"/>
            <w:tcBorders>
              <w:top w:val="single" w:sz="4" w:space="0" w:color="314364"/>
              <w:bottom w:val="single" w:sz="4" w:space="0" w:color="314364"/>
            </w:tcBorders>
            <w:vAlign w:val="center"/>
          </w:tcPr>
          <w:p w14:paraId="4AA97116" w14:textId="77777777" w:rsidR="00E20790" w:rsidRPr="00C75134" w:rsidRDefault="00E20790" w:rsidP="00381348">
            <w:pPr>
              <w:spacing w:after="0"/>
              <w:rPr>
                <w:b/>
                <w:color w:val="576431"/>
              </w:rPr>
            </w:pPr>
            <w:r>
              <w:rPr>
                <w:noProof/>
                <w:lang w:eastAsia="sk-SK"/>
              </w:rPr>
              <w:drawing>
                <wp:inline distT="0" distB="0" distL="0" distR="0" wp14:anchorId="05B772BB" wp14:editId="347FB078">
                  <wp:extent cx="5759450" cy="230886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5E3AED50" w14:textId="73AB17EF" w:rsidR="00E20790" w:rsidRDefault="00E20790" w:rsidP="00E20790">
      <w:pPr>
        <w:pStyle w:val="Zdroj"/>
      </w:pPr>
      <w:r w:rsidRPr="00627D87">
        <w:t xml:space="preserve">Zdroj: </w:t>
      </w:r>
      <w:proofErr w:type="spellStart"/>
      <w:r>
        <w:t>Eurostat</w:t>
      </w:r>
      <w:proofErr w:type="spellEnd"/>
      <w:r>
        <w:t xml:space="preserve">, databáza </w:t>
      </w:r>
      <w:r w:rsidRPr="00E560A4">
        <w:t>HLTH_SHA11_HC</w:t>
      </w:r>
      <w:r>
        <w:t xml:space="preserve">; spracovanie </w:t>
      </w:r>
      <w:r w:rsidR="00A1276B">
        <w:t>NKÚ SR</w:t>
      </w:r>
      <w:r>
        <w:t xml:space="preserve">; dáta za Poľsko a Maltu </w:t>
      </w:r>
      <w:r w:rsidR="00A1276B">
        <w:t xml:space="preserve">sú </w:t>
      </w:r>
      <w:r>
        <w:t>nedostupné</w:t>
      </w:r>
    </w:p>
    <w:p w14:paraId="0F338715" w14:textId="280AFC2D" w:rsidR="000347E2" w:rsidRDefault="000347E2" w:rsidP="000347E2">
      <w:r>
        <w:t xml:space="preserve">NKÚ SR upozorňuje na skutočnosť, že návrh rozpočtu výrazne </w:t>
      </w:r>
      <w:r w:rsidRPr="003A5E25">
        <w:rPr>
          <w:b/>
        </w:rPr>
        <w:t>okliešťuje zdroje smerujúce do vedy a výskumu v zdravotníctve</w:t>
      </w:r>
      <w:r>
        <w:t>. Na príslušnej položke programového rozpočtovania</w:t>
      </w:r>
      <w:r w:rsidRPr="00E058A7">
        <w:rPr>
          <w:rStyle w:val="Odkaznapoznmkupodiarou"/>
          <w:i/>
        </w:rPr>
        <w:footnoteReference w:id="32"/>
      </w:r>
      <w:r w:rsidRPr="00E058A7">
        <w:rPr>
          <w:i/>
          <w:vertAlign w:val="superscript"/>
        </w:rPr>
        <w:t>)</w:t>
      </w:r>
      <w:r>
        <w:t xml:space="preserve"> je </w:t>
      </w:r>
      <w:r w:rsidR="009D0D58">
        <w:t>na</w:t>
      </w:r>
      <w:r>
        <w:t xml:space="preserve"> rok 2022 rozpočtovaná suma 350 tis. eur, pričom na rok 2021 to bolo 1,2 mil. eur a v rokoch 2019 a 2020 sa reálne ročne vyčerpalo cez 2 mil. eur.</w:t>
      </w:r>
    </w:p>
    <w:p w14:paraId="5AD117AB" w14:textId="3B8237ED" w:rsidR="000D05F7" w:rsidRDefault="005F383C" w:rsidP="00432AD8">
      <w:pPr>
        <w:pStyle w:val="Nadpis2"/>
      </w:pPr>
      <w:bookmarkStart w:id="26" w:name="_Toc86396381"/>
      <w:bookmarkStart w:id="27" w:name="_Toc87345115"/>
      <w:r>
        <w:t>Zamestnanosť a s</w:t>
      </w:r>
      <w:r w:rsidR="003567A1">
        <w:t>ociálne politiky</w:t>
      </w:r>
      <w:bookmarkEnd w:id="26"/>
      <w:bookmarkEnd w:id="27"/>
    </w:p>
    <w:p w14:paraId="1B077E5C" w14:textId="11BC9F73" w:rsidR="005F0F5B" w:rsidRPr="009202E9" w:rsidRDefault="005F0F5B" w:rsidP="005F0F5B">
      <w:pPr>
        <w:rPr>
          <w:rFonts w:cs="Segoe UI"/>
          <w:szCs w:val="20"/>
        </w:rPr>
      </w:pPr>
      <w:r>
        <w:rPr>
          <w:rFonts w:cs="Segoe UI"/>
          <w:szCs w:val="20"/>
        </w:rPr>
        <w:t xml:space="preserve">Z celkového rozpočtu kapitoly MPSVR SR vo výške 3 452,8 mil. eur je najväčší balík určený na program Sociálna inklúzia (85,91 %), Ľudské zdroje (8,05 %) a na tvorbu a implementácia politík (5,34 %). </w:t>
      </w:r>
      <w:r w:rsidR="00CA1767">
        <w:rPr>
          <w:rFonts w:cs="Segoe UI"/>
          <w:szCs w:val="20"/>
        </w:rPr>
        <w:t>V dominujúcej sociálnej inklúzii</w:t>
      </w:r>
      <w:r>
        <w:rPr>
          <w:rFonts w:cs="Segoe UI"/>
          <w:szCs w:val="20"/>
        </w:rPr>
        <w:t xml:space="preserve"> najviac finančných zdrojov smeruje na podporu rodiny (1 023,4 mil. eur), ďalej na kompenzáciu sociálnych dôsledkov ťažkého zdravotného postihnutia a na štátom platené poistné, čo je v súlade s PVV</w:t>
      </w:r>
      <w:r w:rsidRPr="009202E9">
        <w:rPr>
          <w:rFonts w:cs="Segoe UI"/>
          <w:szCs w:val="20"/>
        </w:rPr>
        <w:t>.</w:t>
      </w:r>
    </w:p>
    <w:p w14:paraId="09875F99" w14:textId="4588FA85" w:rsidR="005F0F5B" w:rsidRPr="009202E9" w:rsidRDefault="00037A18" w:rsidP="005F0F5B">
      <w:pPr>
        <w:rPr>
          <w:rFonts w:cs="Segoe UI"/>
          <w:szCs w:val="20"/>
        </w:rPr>
      </w:pPr>
      <w:r>
        <w:rPr>
          <w:rFonts w:cs="Segoe UI"/>
          <w:szCs w:val="20"/>
        </w:rPr>
        <w:t xml:space="preserve">Na rok 2022 sa rozpočtuje v rezorte práce aj 3,9 mil. eur kapitálových výdavkov. </w:t>
      </w:r>
      <w:r w:rsidR="005F0F5B" w:rsidRPr="009202E9">
        <w:rPr>
          <w:rFonts w:cs="Segoe UI"/>
          <w:szCs w:val="20"/>
        </w:rPr>
        <w:t>Sú určené na odstránenie havarijných stavov budov, nákup motorových vozidiel</w:t>
      </w:r>
      <w:r w:rsidR="005F0F5B">
        <w:rPr>
          <w:rFonts w:cs="Segoe UI"/>
          <w:szCs w:val="20"/>
        </w:rPr>
        <w:t xml:space="preserve"> a</w:t>
      </w:r>
      <w:r w:rsidR="005F0F5B" w:rsidRPr="009202E9">
        <w:rPr>
          <w:rFonts w:cs="Segoe UI"/>
          <w:szCs w:val="20"/>
        </w:rPr>
        <w:t xml:space="preserve"> výpočtovej techniky</w:t>
      </w:r>
      <w:r w:rsidR="005F0F5B">
        <w:rPr>
          <w:rFonts w:cs="Segoe UI"/>
          <w:szCs w:val="20"/>
        </w:rPr>
        <w:t xml:space="preserve"> pre rozpočtové organizácie, ústredie, úrady práce a pre aparát ministerstva</w:t>
      </w:r>
      <w:r w:rsidR="005F0F5B" w:rsidRPr="009202E9">
        <w:rPr>
          <w:rFonts w:cs="Segoe UI"/>
          <w:szCs w:val="20"/>
        </w:rPr>
        <w:t>. Plánovaný objem týchto finančných prostriedkov je nedostatočný a ani zďaleka nepokrýva potreby rezortu.</w:t>
      </w:r>
      <w:r w:rsidR="005F0F5B">
        <w:rPr>
          <w:rFonts w:cs="Segoe UI"/>
          <w:szCs w:val="20"/>
        </w:rPr>
        <w:t xml:space="preserve"> Ministerstvo požadovalo v rámci priorít zvýšenie kapitálových výdavkov pre svoje rozpočtové organizácie o 12,3 mil. eur, čo sa do rozpočtu nedostalo.</w:t>
      </w:r>
    </w:p>
    <w:p w14:paraId="296B31B2" w14:textId="00C1D556" w:rsidR="005F0F5B" w:rsidRPr="009202E9" w:rsidRDefault="005F0F5B" w:rsidP="005F0F5B">
      <w:pPr>
        <w:rPr>
          <w:rFonts w:cs="Segoe UI"/>
          <w:szCs w:val="20"/>
        </w:rPr>
      </w:pPr>
      <w:r w:rsidRPr="009202E9">
        <w:rPr>
          <w:rFonts w:cs="Segoe UI"/>
          <w:szCs w:val="20"/>
        </w:rPr>
        <w:t>V kapitole nie sú dostatočn</w:t>
      </w:r>
      <w:r>
        <w:rPr>
          <w:rFonts w:cs="Segoe UI"/>
          <w:szCs w:val="20"/>
        </w:rPr>
        <w:t>e</w:t>
      </w:r>
      <w:r w:rsidRPr="009202E9">
        <w:rPr>
          <w:rFonts w:cs="Segoe UI"/>
          <w:szCs w:val="20"/>
        </w:rPr>
        <w:t xml:space="preserve"> rozpočtované</w:t>
      </w:r>
      <w:r>
        <w:rPr>
          <w:rFonts w:cs="Segoe UI"/>
          <w:szCs w:val="20"/>
        </w:rPr>
        <w:t xml:space="preserve"> </w:t>
      </w:r>
      <w:r w:rsidRPr="009202E9">
        <w:rPr>
          <w:rFonts w:cs="Segoe UI"/>
          <w:szCs w:val="20"/>
        </w:rPr>
        <w:t>prostriedky na všetky programy</w:t>
      </w:r>
      <w:r>
        <w:rPr>
          <w:rFonts w:cs="Segoe UI"/>
          <w:szCs w:val="20"/>
        </w:rPr>
        <w:t>.</w:t>
      </w:r>
      <w:r w:rsidRPr="009202E9">
        <w:rPr>
          <w:rFonts w:cs="Segoe UI"/>
          <w:szCs w:val="20"/>
        </w:rPr>
        <w:t xml:space="preserve"> </w:t>
      </w:r>
      <w:r>
        <w:rPr>
          <w:rFonts w:cs="Segoe UI"/>
          <w:szCs w:val="20"/>
        </w:rPr>
        <w:t>N</w:t>
      </w:r>
      <w:r w:rsidRPr="009202E9">
        <w:rPr>
          <w:rFonts w:cs="Segoe UI"/>
          <w:szCs w:val="20"/>
        </w:rPr>
        <w:t xml:space="preserve">apr. v programe </w:t>
      </w:r>
      <w:r w:rsidRPr="00700E5A">
        <w:rPr>
          <w:rFonts w:cs="Segoe UI"/>
          <w:i/>
          <w:szCs w:val="20"/>
        </w:rPr>
        <w:t>Tvorba a implementácia politík</w:t>
      </w:r>
      <w:r w:rsidRPr="009202E9">
        <w:rPr>
          <w:rFonts w:cs="Segoe UI"/>
          <w:szCs w:val="20"/>
        </w:rPr>
        <w:t xml:space="preserve"> chýbajú finančné prostriedky na osobné výdavky zamestnancov úrad</w:t>
      </w:r>
      <w:r>
        <w:rPr>
          <w:rFonts w:cs="Segoe UI"/>
          <w:szCs w:val="20"/>
        </w:rPr>
        <w:t>ov</w:t>
      </w:r>
      <w:r w:rsidRPr="009202E9">
        <w:rPr>
          <w:rFonts w:cs="Segoe UI"/>
          <w:szCs w:val="20"/>
        </w:rPr>
        <w:t xml:space="preserve"> práce, sociálnych vecí a</w:t>
      </w:r>
      <w:r>
        <w:rPr>
          <w:rFonts w:cs="Segoe UI"/>
          <w:szCs w:val="20"/>
        </w:rPr>
        <w:t> </w:t>
      </w:r>
      <w:r w:rsidRPr="009202E9">
        <w:rPr>
          <w:rFonts w:cs="Segoe UI"/>
          <w:szCs w:val="20"/>
        </w:rPr>
        <w:t>rodiny</w:t>
      </w:r>
      <w:r>
        <w:rPr>
          <w:rFonts w:cs="Segoe UI"/>
          <w:szCs w:val="20"/>
        </w:rPr>
        <w:t xml:space="preserve"> v čiastke 12,9 mil. eur, v</w:t>
      </w:r>
      <w:r w:rsidRPr="009202E9">
        <w:rPr>
          <w:rFonts w:cs="Segoe UI"/>
          <w:szCs w:val="20"/>
        </w:rPr>
        <w:t xml:space="preserve"> programe </w:t>
      </w:r>
      <w:r w:rsidRPr="00274EED">
        <w:rPr>
          <w:rFonts w:cs="Segoe UI"/>
          <w:i/>
          <w:szCs w:val="20"/>
        </w:rPr>
        <w:t>Ľudské zdroje</w:t>
      </w:r>
      <w:r w:rsidRPr="009202E9">
        <w:rPr>
          <w:rFonts w:cs="Segoe UI"/>
          <w:szCs w:val="20"/>
        </w:rPr>
        <w:t xml:space="preserve"> 59,6 mil. eur na aktívne opatrenia trhu práce</w:t>
      </w:r>
      <w:r>
        <w:rPr>
          <w:rFonts w:cs="Segoe UI"/>
          <w:szCs w:val="20"/>
        </w:rPr>
        <w:t xml:space="preserve"> a v</w:t>
      </w:r>
      <w:r w:rsidRPr="009202E9">
        <w:rPr>
          <w:rFonts w:cs="Segoe UI"/>
          <w:szCs w:val="20"/>
        </w:rPr>
        <w:t xml:space="preserve"> programe </w:t>
      </w:r>
      <w:r w:rsidRPr="00274EED">
        <w:rPr>
          <w:rFonts w:cs="Segoe UI"/>
          <w:i/>
          <w:szCs w:val="20"/>
        </w:rPr>
        <w:t>Sociálna inklúzia</w:t>
      </w:r>
      <w:r w:rsidRPr="009202E9">
        <w:rPr>
          <w:rFonts w:cs="Segoe UI"/>
          <w:szCs w:val="20"/>
        </w:rPr>
        <w:t xml:space="preserve"> 20 mil. eur na nové dotačné tituly v zmysle novely zákona č. 544/2010 Z.</w:t>
      </w:r>
      <w:r w:rsidR="00A02DD1">
        <w:rPr>
          <w:rFonts w:cs="Segoe UI"/>
          <w:szCs w:val="20"/>
        </w:rPr>
        <w:t xml:space="preserve"> </w:t>
      </w:r>
      <w:r w:rsidRPr="009202E9">
        <w:rPr>
          <w:rFonts w:cs="Segoe UI"/>
          <w:szCs w:val="20"/>
        </w:rPr>
        <w:t>z. o</w:t>
      </w:r>
      <w:r>
        <w:rPr>
          <w:rFonts w:cs="Segoe UI"/>
          <w:szCs w:val="20"/>
        </w:rPr>
        <w:t> </w:t>
      </w:r>
      <w:r w:rsidRPr="009202E9">
        <w:rPr>
          <w:rFonts w:cs="Segoe UI"/>
          <w:szCs w:val="20"/>
        </w:rPr>
        <w:t>dotáciách</w:t>
      </w:r>
      <w:r w:rsidR="0055168A" w:rsidRPr="0055168A">
        <w:rPr>
          <w:rStyle w:val="Odkaznapoznmkupodiarou"/>
          <w:rFonts w:cs="Segoe UI"/>
          <w:i/>
          <w:szCs w:val="20"/>
        </w:rPr>
        <w:footnoteReference w:id="33"/>
      </w:r>
      <w:r w:rsidR="0055168A" w:rsidRPr="0055168A">
        <w:rPr>
          <w:rFonts w:cs="Segoe UI"/>
          <w:i/>
          <w:szCs w:val="20"/>
          <w:vertAlign w:val="superscript"/>
        </w:rPr>
        <w:t>)</w:t>
      </w:r>
      <w:r>
        <w:rPr>
          <w:rFonts w:cs="Segoe UI"/>
          <w:szCs w:val="20"/>
        </w:rPr>
        <w:t>.</w:t>
      </w:r>
    </w:p>
    <w:p w14:paraId="105E4D96" w14:textId="5F98C44A" w:rsidR="005F0F5B" w:rsidRPr="009202E9" w:rsidRDefault="005F0F5B" w:rsidP="005F0F5B">
      <w:pPr>
        <w:rPr>
          <w:rFonts w:cs="Segoe UI"/>
          <w:szCs w:val="20"/>
        </w:rPr>
      </w:pPr>
      <w:r w:rsidRPr="00391D7C">
        <w:rPr>
          <w:rFonts w:cs="Segoe UI"/>
          <w:b/>
          <w:szCs w:val="20"/>
        </w:rPr>
        <w:t>NKÚ SR pozitívne hodnotí stanovenie kľúčových ukazovateľov sociálneho zabezpečenia a podpory zamestnanosti v návrhu rozpočtu kapitoly MPSVR SR.</w:t>
      </w:r>
      <w:r w:rsidRPr="009202E9">
        <w:rPr>
          <w:rFonts w:cs="Segoe UI"/>
          <w:szCs w:val="20"/>
        </w:rPr>
        <w:t xml:space="preserve"> </w:t>
      </w:r>
      <w:r>
        <w:rPr>
          <w:rFonts w:cs="Segoe UI"/>
          <w:szCs w:val="20"/>
        </w:rPr>
        <w:t>Sedem</w:t>
      </w:r>
      <w:r w:rsidRPr="009202E9">
        <w:rPr>
          <w:rFonts w:cs="Segoe UI"/>
          <w:szCs w:val="20"/>
        </w:rPr>
        <w:t xml:space="preserve"> sa týka trhu práce a </w:t>
      </w:r>
      <w:r>
        <w:rPr>
          <w:rFonts w:cs="Segoe UI"/>
          <w:szCs w:val="20"/>
        </w:rPr>
        <w:t>štyri</w:t>
      </w:r>
      <w:r w:rsidRPr="009202E9">
        <w:rPr>
          <w:rFonts w:cs="Segoe UI"/>
          <w:szCs w:val="20"/>
        </w:rPr>
        <w:t xml:space="preserve"> chudoby. S</w:t>
      </w:r>
      <w:r>
        <w:rPr>
          <w:rFonts w:cs="Segoe UI"/>
          <w:szCs w:val="20"/>
        </w:rPr>
        <w:t>R</w:t>
      </w:r>
      <w:r w:rsidRPr="009202E9">
        <w:rPr>
          <w:rFonts w:cs="Segoe UI"/>
          <w:szCs w:val="20"/>
        </w:rPr>
        <w:t xml:space="preserve"> zaznamenáva v porovnaní s priemerom EÚ horšie výsledky na trhu práce a lepšie výsledky v sociálnej oblasti</w:t>
      </w:r>
      <w:r>
        <w:rPr>
          <w:rFonts w:cs="Segoe UI"/>
          <w:szCs w:val="20"/>
        </w:rPr>
        <w:t xml:space="preserve"> v miere rizika chudoby</w:t>
      </w:r>
      <w:r w:rsidR="00712A2B">
        <w:rPr>
          <w:rFonts w:cs="Segoe UI"/>
          <w:szCs w:val="20"/>
        </w:rPr>
        <w:t>.</w:t>
      </w:r>
    </w:p>
    <w:p w14:paraId="0CD337C1" w14:textId="7EEB408D" w:rsidR="005F0F5B" w:rsidRDefault="005F0F5B" w:rsidP="005F0F5B">
      <w:pPr>
        <w:rPr>
          <w:rFonts w:cs="Segoe UI"/>
          <w:szCs w:val="20"/>
        </w:rPr>
      </w:pPr>
      <w:r>
        <w:rPr>
          <w:rFonts w:cs="Segoe UI"/>
          <w:szCs w:val="20"/>
        </w:rPr>
        <w:lastRenderedPageBreak/>
        <w:t xml:space="preserve">V sociálnej politike a politike zamestnanosti sa vláda SR v PVV sústreďuje predovšetkým na rodinu, zamestnanosť, sociálne služby, dôchodky a sociálne poistenie. V oblasti rodiny sa podarilo legislatívne pripraviť vytvorenie Rady vlády SR pre rodinu a demografický vývoj. Ostatné opatrenia ako je napr. </w:t>
      </w:r>
      <w:r w:rsidRPr="00037A18">
        <w:rPr>
          <w:rFonts w:cs="Segoe UI"/>
          <w:b/>
          <w:szCs w:val="20"/>
        </w:rPr>
        <w:t>zvýšenie rodičovského príspevku, zjednotenie výšky príspevku pri narodení dieťaťa, postupné zvyšovanie rodinných prídavkov a ich odstupňovanie podľa veku dieťaťa a pod. doposiaľ neboli zavedené a ani nie sú rozpočtované na rok 2022</w:t>
      </w:r>
      <w:r>
        <w:rPr>
          <w:rFonts w:cs="Segoe UI"/>
          <w:szCs w:val="20"/>
        </w:rPr>
        <w:t>. Minimálne zvýšenie štátnych sociálnych dávok od januára 2022</w:t>
      </w:r>
      <w:r w:rsidR="00296624" w:rsidRPr="00E058A7">
        <w:rPr>
          <w:rStyle w:val="Odkaznapoznmkupodiarou"/>
          <w:rFonts w:cs="Segoe UI"/>
          <w:i/>
          <w:szCs w:val="20"/>
        </w:rPr>
        <w:footnoteReference w:id="34"/>
      </w:r>
      <w:r w:rsidR="00E058A7" w:rsidRPr="00E058A7">
        <w:rPr>
          <w:rFonts w:cs="Segoe UI"/>
          <w:i/>
          <w:szCs w:val="20"/>
          <w:vertAlign w:val="superscript"/>
        </w:rPr>
        <w:t>)</w:t>
      </w:r>
      <w:r>
        <w:rPr>
          <w:rFonts w:cs="Segoe UI"/>
          <w:szCs w:val="20"/>
        </w:rPr>
        <w:t xml:space="preserve"> súvisí s valorizáciou v zmysle platnej legislatívy a je vzhľadom na očakávanú infláciu v budúcom roku nedostatočné (prognóza EK: 2,2 %, prognóza MF SR: 4,0 %)</w:t>
      </w:r>
      <w:r w:rsidRPr="00E058A7">
        <w:rPr>
          <w:rStyle w:val="Odkaznapoznmkupodiarou"/>
          <w:rFonts w:cs="Segoe UI"/>
          <w:i/>
          <w:szCs w:val="20"/>
        </w:rPr>
        <w:footnoteReference w:id="35"/>
      </w:r>
      <w:r w:rsidR="00E058A7" w:rsidRPr="00E058A7">
        <w:rPr>
          <w:rFonts w:cs="Segoe UI"/>
          <w:i/>
          <w:szCs w:val="20"/>
          <w:vertAlign w:val="superscript"/>
        </w:rPr>
        <w:t>)</w:t>
      </w:r>
      <w:r>
        <w:rPr>
          <w:rFonts w:cs="Segoe UI"/>
          <w:szCs w:val="20"/>
        </w:rPr>
        <w:t xml:space="preserve">. </w:t>
      </w:r>
    </w:p>
    <w:p w14:paraId="1E0EACCD" w14:textId="71704CB9" w:rsidR="005F0F5B" w:rsidRDefault="005F0F5B" w:rsidP="005F0F5B">
      <w:pPr>
        <w:rPr>
          <w:rFonts w:cs="Segoe UI"/>
          <w:szCs w:val="20"/>
        </w:rPr>
      </w:pPr>
      <w:r>
        <w:rPr>
          <w:rFonts w:cs="Segoe UI"/>
          <w:szCs w:val="20"/>
        </w:rPr>
        <w:t xml:space="preserve">Udržanie zamestnanosti a tvorba nových pracovných miest je jednou z priorít vlády. Na splnenie tohto cieľa vláda využila prostriedky z ESF v rámci tzv. prvej pomoci. Podľa posledných známych údajov sa k 30. </w:t>
      </w:r>
      <w:r w:rsidR="00296624">
        <w:rPr>
          <w:rFonts w:cs="Segoe UI"/>
          <w:szCs w:val="20"/>
        </w:rPr>
        <w:t>9.</w:t>
      </w:r>
      <w:r>
        <w:rPr>
          <w:rFonts w:cs="Segoe UI"/>
          <w:szCs w:val="20"/>
        </w:rPr>
        <w:t xml:space="preserve"> 2021 rozdelila prvá pomoc v celkovej výške 2 079 mil. eur, čím sa podporila tretina pracovných miest</w:t>
      </w:r>
      <w:r w:rsidRPr="00E058A7">
        <w:rPr>
          <w:rStyle w:val="Odkaznapoznmkupodiarou"/>
          <w:rFonts w:cs="Segoe UI"/>
          <w:i/>
          <w:szCs w:val="20"/>
        </w:rPr>
        <w:footnoteReference w:id="36"/>
      </w:r>
      <w:r w:rsidR="00E058A7" w:rsidRPr="00E058A7">
        <w:rPr>
          <w:rFonts w:cs="Segoe UI"/>
          <w:i/>
          <w:szCs w:val="20"/>
          <w:vertAlign w:val="superscript"/>
        </w:rPr>
        <w:t>)</w:t>
      </w:r>
      <w:r>
        <w:rPr>
          <w:rFonts w:cs="Segoe UI"/>
          <w:szCs w:val="20"/>
        </w:rPr>
        <w:t>. Finančná podpora za november</w:t>
      </w:r>
      <w:r w:rsidR="00296624">
        <w:rPr>
          <w:rFonts w:cs="Segoe UI"/>
          <w:szCs w:val="20"/>
        </w:rPr>
        <w:t xml:space="preserve"> a</w:t>
      </w:r>
      <w:r>
        <w:rPr>
          <w:rFonts w:cs="Segoe UI"/>
          <w:szCs w:val="20"/>
        </w:rPr>
        <w:t xml:space="preserve"> december 2021 bude vyplatená z prostriedkov rozpočtovaných pre rok 2022 v kapitole VPS.</w:t>
      </w:r>
      <w:r w:rsidRPr="00BC6974">
        <w:rPr>
          <w:rFonts w:cs="Segoe UI"/>
          <w:szCs w:val="20"/>
        </w:rPr>
        <w:t xml:space="preserve"> </w:t>
      </w:r>
      <w:r>
        <w:rPr>
          <w:rStyle w:val="markedcontent"/>
          <w:rFonts w:cs="Segoe UI"/>
          <w:szCs w:val="20"/>
        </w:rPr>
        <w:t>Od</w:t>
      </w:r>
      <w:r w:rsidRPr="0079741A">
        <w:rPr>
          <w:rStyle w:val="markedcontent"/>
          <w:rFonts w:cs="Segoe UI"/>
          <w:szCs w:val="20"/>
        </w:rPr>
        <w:t xml:space="preserve"> január</w:t>
      </w:r>
      <w:r>
        <w:rPr>
          <w:rStyle w:val="markedcontent"/>
          <w:rFonts w:cs="Segoe UI"/>
          <w:szCs w:val="20"/>
        </w:rPr>
        <w:t>a</w:t>
      </w:r>
      <w:r w:rsidRPr="0079741A">
        <w:rPr>
          <w:rStyle w:val="markedcontent"/>
          <w:rFonts w:cs="Segoe UI"/>
          <w:szCs w:val="20"/>
        </w:rPr>
        <w:t xml:space="preserve"> 2022 nadobudne účinnosť zákon </w:t>
      </w:r>
      <w:r>
        <w:rPr>
          <w:rStyle w:val="markedcontent"/>
          <w:rFonts w:cs="Segoe UI"/>
          <w:szCs w:val="20"/>
        </w:rPr>
        <w:t>č. 215/2021 Z.</w:t>
      </w:r>
      <w:r w:rsidR="00296624">
        <w:rPr>
          <w:rStyle w:val="markedcontent"/>
          <w:rFonts w:cs="Segoe UI"/>
          <w:szCs w:val="20"/>
        </w:rPr>
        <w:t xml:space="preserve"> </w:t>
      </w:r>
      <w:r>
        <w:rPr>
          <w:rStyle w:val="markedcontent"/>
          <w:rFonts w:cs="Segoe UI"/>
          <w:szCs w:val="20"/>
        </w:rPr>
        <w:t xml:space="preserve">z. </w:t>
      </w:r>
      <w:r w:rsidRPr="0079741A">
        <w:rPr>
          <w:rStyle w:val="markedcontent"/>
          <w:rFonts w:cs="Segoe UI"/>
          <w:szCs w:val="20"/>
        </w:rPr>
        <w:t xml:space="preserve">o podpore v čase skrátenej práce, tzv. </w:t>
      </w:r>
      <w:proofErr w:type="spellStart"/>
      <w:r>
        <w:rPr>
          <w:rStyle w:val="markedcontent"/>
          <w:rFonts w:cs="Segoe UI"/>
          <w:szCs w:val="20"/>
        </w:rPr>
        <w:t>k</w:t>
      </w:r>
      <w:r w:rsidRPr="0079741A">
        <w:rPr>
          <w:rStyle w:val="markedcontent"/>
          <w:rFonts w:cs="Segoe UI"/>
          <w:szCs w:val="20"/>
        </w:rPr>
        <w:t>urzarbeitu</w:t>
      </w:r>
      <w:proofErr w:type="spellEnd"/>
      <w:r>
        <w:rPr>
          <w:rStyle w:val="markedcontent"/>
          <w:rFonts w:cs="Segoe UI"/>
          <w:szCs w:val="20"/>
        </w:rPr>
        <w:t xml:space="preserve">, </w:t>
      </w:r>
      <w:r w:rsidR="00274EED">
        <w:rPr>
          <w:rStyle w:val="markedcontent"/>
          <w:rFonts w:cs="Segoe UI"/>
          <w:szCs w:val="20"/>
        </w:rPr>
        <w:t>N</w:t>
      </w:r>
      <w:r>
        <w:rPr>
          <w:rStyle w:val="markedcontent"/>
          <w:rFonts w:cs="Segoe UI"/>
          <w:szCs w:val="20"/>
        </w:rPr>
        <w:t>a tento účel sú výdavky plánované v čiastke 16,5 mil. eur.</w:t>
      </w:r>
      <w:r w:rsidR="00296624">
        <w:rPr>
          <w:rStyle w:val="markedcontent"/>
          <w:rFonts w:cs="Segoe UI"/>
          <w:szCs w:val="20"/>
        </w:rPr>
        <w:t xml:space="preserve"> </w:t>
      </w:r>
      <w:r w:rsidRPr="009202E9">
        <w:rPr>
          <w:rFonts w:cs="Segoe UI"/>
          <w:szCs w:val="20"/>
        </w:rPr>
        <w:t>Novozavedený prvok rozpočtu Plán obnovy a odolnosti na rok 2022 obsahuje ďalšie kapitálo</w:t>
      </w:r>
      <w:r w:rsidR="00296624">
        <w:rPr>
          <w:rFonts w:cs="Segoe UI"/>
          <w:szCs w:val="20"/>
        </w:rPr>
        <w:t>vé výdavky (38,2 mil. eur)</w:t>
      </w:r>
      <w:r w:rsidRPr="009202E9">
        <w:rPr>
          <w:rFonts w:cs="Segoe UI"/>
          <w:szCs w:val="20"/>
        </w:rPr>
        <w:t xml:space="preserve"> určené na rozvoj kapacít sociálnych služieb</w:t>
      </w:r>
      <w:r>
        <w:rPr>
          <w:rFonts w:cs="Segoe UI"/>
          <w:szCs w:val="20"/>
        </w:rPr>
        <w:t>, podporené sumou 1,2 mil. eur na implementáciu týchto projektov</w:t>
      </w:r>
      <w:r w:rsidRPr="009202E9">
        <w:rPr>
          <w:rFonts w:cs="Segoe UI"/>
          <w:szCs w:val="20"/>
        </w:rPr>
        <w:t xml:space="preserve">. </w:t>
      </w:r>
    </w:p>
    <w:p w14:paraId="3407E51A" w14:textId="77777777" w:rsidR="005F0F5B" w:rsidRPr="00D40AB4" w:rsidRDefault="005F0F5B" w:rsidP="005F0F5B">
      <w:pPr>
        <w:rPr>
          <w:rFonts w:cs="Segoe UI"/>
          <w:b/>
          <w:szCs w:val="20"/>
          <w:u w:val="single"/>
        </w:rPr>
      </w:pPr>
      <w:r w:rsidRPr="00D40AB4">
        <w:rPr>
          <w:rFonts w:cs="Segoe UI"/>
          <w:b/>
          <w:szCs w:val="20"/>
          <w:u w:val="single"/>
        </w:rPr>
        <w:t>Sociálne poistenie</w:t>
      </w:r>
    </w:p>
    <w:p w14:paraId="2DECEBDD" w14:textId="35E28842" w:rsidR="005F0F5B" w:rsidRDefault="005F0F5B" w:rsidP="005F0F5B">
      <w:pPr>
        <w:rPr>
          <w:rFonts w:cs="Segoe UI"/>
          <w:szCs w:val="20"/>
        </w:rPr>
      </w:pPr>
      <w:r w:rsidRPr="00402675">
        <w:rPr>
          <w:rFonts w:cs="Segoe UI"/>
          <w:szCs w:val="20"/>
        </w:rPr>
        <w:t xml:space="preserve">Jednou z hlavných tém </w:t>
      </w:r>
      <w:r>
        <w:rPr>
          <w:rFonts w:cs="Segoe UI"/>
          <w:szCs w:val="20"/>
        </w:rPr>
        <w:t>PVV</w:t>
      </w:r>
      <w:r w:rsidRPr="00402675">
        <w:rPr>
          <w:rFonts w:cs="Segoe UI"/>
          <w:szCs w:val="20"/>
        </w:rPr>
        <w:t xml:space="preserve"> je presadenie dlhodobej udržateľnosti dôchodkového systému. V rámci dôchodkovej reformy bola už v decembri 2020 prijatá zmena Ústavy SR</w:t>
      </w:r>
      <w:r w:rsidRPr="00E058A7">
        <w:rPr>
          <w:rStyle w:val="Odkaznapoznmkupodiarou"/>
          <w:rFonts w:cs="Segoe UI"/>
          <w:i/>
          <w:szCs w:val="20"/>
        </w:rPr>
        <w:footnoteReference w:id="37"/>
      </w:r>
      <w:r w:rsidR="00E058A7" w:rsidRPr="00E058A7">
        <w:rPr>
          <w:rFonts w:cs="Segoe UI"/>
          <w:i/>
          <w:szCs w:val="20"/>
          <w:vertAlign w:val="superscript"/>
        </w:rPr>
        <w:t>)</w:t>
      </w:r>
      <w:r w:rsidRPr="00402675">
        <w:rPr>
          <w:rFonts w:cs="Segoe UI"/>
          <w:szCs w:val="20"/>
        </w:rPr>
        <w:t>, ktorou sa vypustil strop na dôchodkový vek. Pripravovanou novelou zákona o sociálnom poistení</w:t>
      </w:r>
      <w:r w:rsidRPr="00E058A7">
        <w:rPr>
          <w:rStyle w:val="Odkaznapoznmkupodiarou"/>
          <w:rFonts w:cs="Segoe UI"/>
          <w:i/>
          <w:szCs w:val="20"/>
        </w:rPr>
        <w:footnoteReference w:id="38"/>
      </w:r>
      <w:r w:rsidR="00E058A7" w:rsidRPr="00E058A7">
        <w:rPr>
          <w:rFonts w:cs="Segoe UI"/>
          <w:i/>
          <w:szCs w:val="20"/>
          <w:vertAlign w:val="superscript"/>
        </w:rPr>
        <w:t>)</w:t>
      </w:r>
      <w:r w:rsidRPr="00402675">
        <w:rPr>
          <w:rFonts w:cs="Segoe UI"/>
          <w:szCs w:val="20"/>
        </w:rPr>
        <w:t xml:space="preserve">, ktorá by mala platiť od januára 2023, sa zavádza tzv. príspevok k dôchodku rodičov, predčasný starobný dôchodok po získaní 40 rokov dôchodkového poistenia, spomalenie rastu novopriznaných dôchodkov korekciou aktuálnej dôchodkovej hodnoty či naviazanie odchodu do dôchodku na strednú dĺžku života. Zmiernenie tlaku na verejné financie sa </w:t>
      </w:r>
      <w:r>
        <w:rPr>
          <w:rFonts w:cs="Segoe UI"/>
          <w:szCs w:val="20"/>
        </w:rPr>
        <w:t>preto ešte neprejaví v rozpočte na rok 2022, ale</w:t>
      </w:r>
      <w:r w:rsidRPr="00402675">
        <w:rPr>
          <w:rFonts w:cs="Segoe UI"/>
          <w:szCs w:val="20"/>
        </w:rPr>
        <w:t xml:space="preserve"> až v ďalších rokoch</w:t>
      </w:r>
      <w:r>
        <w:rPr>
          <w:rFonts w:cs="Segoe UI"/>
          <w:szCs w:val="20"/>
        </w:rPr>
        <w:t>.</w:t>
      </w:r>
    </w:p>
    <w:p w14:paraId="4A93E230" w14:textId="1CDF417D" w:rsidR="00037A18" w:rsidRDefault="00037A18" w:rsidP="00037A18">
      <w:pPr>
        <w:rPr>
          <w:rFonts w:cs="Segoe UI"/>
          <w:szCs w:val="20"/>
        </w:rPr>
      </w:pPr>
      <w:r w:rsidRPr="00391D7C">
        <w:rPr>
          <w:rFonts w:cs="Segoe UI"/>
          <w:b/>
          <w:szCs w:val="20"/>
        </w:rPr>
        <w:t>Ambiciózne nastavenie plánovaných príjmov Sociálnej poisťovne sa vzhľadom na očakávané udalosti najbližších mesiaco</w:t>
      </w:r>
      <w:r>
        <w:rPr>
          <w:rFonts w:cs="Segoe UI"/>
          <w:b/>
          <w:szCs w:val="20"/>
        </w:rPr>
        <w:t>v</w:t>
      </w:r>
      <w:r w:rsidRPr="00391D7C">
        <w:rPr>
          <w:rFonts w:cs="Segoe UI"/>
          <w:b/>
          <w:szCs w:val="20"/>
        </w:rPr>
        <w:t xml:space="preserve"> javí ako rizikové.</w:t>
      </w:r>
      <w:r w:rsidRPr="00402675">
        <w:rPr>
          <w:rFonts w:cs="Segoe UI"/>
          <w:szCs w:val="20"/>
        </w:rPr>
        <w:t xml:space="preserve"> NKÚ SR upozorňuje, že rastúce ceny energi</w:t>
      </w:r>
      <w:r>
        <w:rPr>
          <w:rFonts w:cs="Segoe UI"/>
          <w:szCs w:val="20"/>
        </w:rPr>
        <w:t>í</w:t>
      </w:r>
      <w:r w:rsidRPr="00402675">
        <w:rPr>
          <w:rFonts w:cs="Segoe UI"/>
          <w:szCs w:val="20"/>
        </w:rPr>
        <w:t>, pohonných hmôt, následný rast cien tovarov a služieb, nedostatok surovín</w:t>
      </w:r>
      <w:r>
        <w:rPr>
          <w:rFonts w:cs="Segoe UI"/>
          <w:szCs w:val="20"/>
        </w:rPr>
        <w:t xml:space="preserve"> a prechodné zníženie či odstavenie </w:t>
      </w:r>
      <w:r w:rsidRPr="00402675">
        <w:rPr>
          <w:rFonts w:cs="Segoe UI"/>
          <w:szCs w:val="20"/>
        </w:rPr>
        <w:t>výroby vo firmách na Slovensku</w:t>
      </w:r>
      <w:r w:rsidR="009D0D58">
        <w:rPr>
          <w:rFonts w:cs="Segoe UI"/>
          <w:szCs w:val="20"/>
        </w:rPr>
        <w:t>, to všetko</w:t>
      </w:r>
      <w:r w:rsidRPr="00402675">
        <w:rPr>
          <w:rFonts w:cs="Segoe UI"/>
          <w:szCs w:val="20"/>
        </w:rPr>
        <w:t xml:space="preserve"> môž</w:t>
      </w:r>
      <w:r w:rsidR="009D0D58">
        <w:rPr>
          <w:rFonts w:cs="Segoe UI"/>
          <w:szCs w:val="20"/>
        </w:rPr>
        <w:t>e</w:t>
      </w:r>
      <w:r w:rsidRPr="00402675">
        <w:rPr>
          <w:rFonts w:cs="Segoe UI"/>
          <w:szCs w:val="20"/>
        </w:rPr>
        <w:t xml:space="preserve"> spôsobiť </w:t>
      </w:r>
      <w:r>
        <w:rPr>
          <w:rFonts w:cs="Segoe UI"/>
          <w:szCs w:val="20"/>
        </w:rPr>
        <w:t>dočasný nárast nezamestnanosti.</w:t>
      </w:r>
    </w:p>
    <w:p w14:paraId="21290FC5" w14:textId="597E4EA8" w:rsidR="00037A18" w:rsidRDefault="009D0D58" w:rsidP="00037A18">
      <w:pPr>
        <w:rPr>
          <w:rFonts w:cs="Segoe UI"/>
          <w:szCs w:val="20"/>
        </w:rPr>
      </w:pPr>
      <w:r>
        <w:rPr>
          <w:rFonts w:cs="Segoe UI"/>
          <w:szCs w:val="20"/>
        </w:rPr>
        <w:t>A t</w:t>
      </w:r>
      <w:r w:rsidR="00037A18">
        <w:rPr>
          <w:rFonts w:cs="Segoe UI"/>
          <w:szCs w:val="20"/>
        </w:rPr>
        <w:t xml:space="preserve">o sa môže premietnuť do </w:t>
      </w:r>
      <w:r w:rsidR="00037A18" w:rsidRPr="00402675">
        <w:rPr>
          <w:rFonts w:cs="Segoe UI"/>
          <w:szCs w:val="20"/>
        </w:rPr>
        <w:t>nedosiahn</w:t>
      </w:r>
      <w:r w:rsidR="00037A18">
        <w:rPr>
          <w:rFonts w:cs="Segoe UI"/>
          <w:szCs w:val="20"/>
        </w:rPr>
        <w:t>utia</w:t>
      </w:r>
      <w:r w:rsidR="00037A18" w:rsidRPr="00402675">
        <w:rPr>
          <w:rFonts w:cs="Segoe UI"/>
          <w:szCs w:val="20"/>
        </w:rPr>
        <w:t xml:space="preserve"> predpokladan</w:t>
      </w:r>
      <w:r w:rsidR="00037A18">
        <w:rPr>
          <w:rFonts w:cs="Segoe UI"/>
          <w:szCs w:val="20"/>
        </w:rPr>
        <w:t>ej</w:t>
      </w:r>
      <w:r w:rsidR="00037A18" w:rsidRPr="00402675">
        <w:rPr>
          <w:rFonts w:cs="Segoe UI"/>
          <w:szCs w:val="20"/>
        </w:rPr>
        <w:t xml:space="preserve"> výšk</w:t>
      </w:r>
      <w:r w:rsidR="00037A18">
        <w:rPr>
          <w:rFonts w:cs="Segoe UI"/>
          <w:szCs w:val="20"/>
        </w:rPr>
        <w:t>y</w:t>
      </w:r>
      <w:r w:rsidR="00037A18" w:rsidRPr="00402675">
        <w:rPr>
          <w:rFonts w:cs="Segoe UI"/>
          <w:szCs w:val="20"/>
        </w:rPr>
        <w:t xml:space="preserve"> príjmov Sociálnej poisťovne z poistného od ekonomicky aktívneho obyvateľstva vo výške 8,8 mld. </w:t>
      </w:r>
      <w:r w:rsidR="00037A18">
        <w:rPr>
          <w:rFonts w:cs="Segoe UI"/>
          <w:szCs w:val="20"/>
        </w:rPr>
        <w:t>e</w:t>
      </w:r>
      <w:r w:rsidR="00037A18" w:rsidRPr="00402675">
        <w:rPr>
          <w:rFonts w:cs="Segoe UI"/>
          <w:szCs w:val="20"/>
        </w:rPr>
        <w:t>ur</w:t>
      </w:r>
      <w:r w:rsidR="00037A18">
        <w:rPr>
          <w:rFonts w:cs="Segoe UI"/>
          <w:szCs w:val="20"/>
        </w:rPr>
        <w:t xml:space="preserve"> </w:t>
      </w:r>
      <w:r w:rsidR="00037A18" w:rsidRPr="00402675">
        <w:rPr>
          <w:rFonts w:cs="Segoe UI"/>
          <w:szCs w:val="20"/>
        </w:rPr>
        <w:t>(</w:t>
      </w:r>
      <w:r w:rsidR="00037A18">
        <w:rPr>
          <w:rFonts w:cs="Segoe UI"/>
          <w:szCs w:val="20"/>
        </w:rPr>
        <w:t>G</w:t>
      </w:r>
      <w:r w:rsidR="00037A18" w:rsidRPr="00402675">
        <w:rPr>
          <w:rFonts w:cs="Segoe UI"/>
          <w:szCs w:val="20"/>
        </w:rPr>
        <w:t>raf 1</w:t>
      </w:r>
      <w:r w:rsidR="00FB6475">
        <w:rPr>
          <w:rFonts w:cs="Segoe UI"/>
          <w:szCs w:val="20"/>
        </w:rPr>
        <w:t>1</w:t>
      </w:r>
      <w:r w:rsidR="00037A18" w:rsidRPr="00402675">
        <w:rPr>
          <w:rFonts w:cs="Segoe UI"/>
          <w:szCs w:val="20"/>
        </w:rPr>
        <w:t xml:space="preserve">). </w:t>
      </w:r>
      <w:r w:rsidR="00037A18">
        <w:t>Očakáva sa, že koncom tohto roku bude trh práce stagnovať a zamestnanosť začne výraznejšie rásť až na jar 2022. Miera nezamestnanosti v roku 2022 by mala dosiahnuť v priemere 6,7 %.</w:t>
      </w:r>
      <w:r w:rsidR="00C1712A">
        <w:t xml:space="preserve"> </w:t>
      </w:r>
      <w:r w:rsidR="00037A18" w:rsidRPr="00402675">
        <w:rPr>
          <w:rFonts w:cs="Segoe UI"/>
          <w:szCs w:val="20"/>
        </w:rPr>
        <w:t xml:space="preserve">Plánovaný transfer </w:t>
      </w:r>
      <w:r w:rsidR="00C1712A" w:rsidRPr="00402675">
        <w:rPr>
          <w:rFonts w:cs="Segoe UI"/>
          <w:szCs w:val="20"/>
        </w:rPr>
        <w:t>400 mil. eur</w:t>
      </w:r>
      <w:r w:rsidR="00C1712A">
        <w:rPr>
          <w:rFonts w:cs="Segoe UI"/>
          <w:szCs w:val="20"/>
        </w:rPr>
        <w:t xml:space="preserve"> </w:t>
      </w:r>
      <w:r w:rsidR="00037A18" w:rsidRPr="00402675">
        <w:rPr>
          <w:rFonts w:cs="Segoe UI"/>
          <w:szCs w:val="20"/>
        </w:rPr>
        <w:t xml:space="preserve">zo </w:t>
      </w:r>
      <w:r w:rsidR="00037A18">
        <w:rPr>
          <w:rFonts w:cs="Segoe UI"/>
          <w:szCs w:val="20"/>
        </w:rPr>
        <w:t>ŠR</w:t>
      </w:r>
      <w:r w:rsidR="00037A18" w:rsidRPr="00402675">
        <w:rPr>
          <w:rFonts w:cs="Segoe UI"/>
          <w:szCs w:val="20"/>
        </w:rPr>
        <w:t xml:space="preserve"> </w:t>
      </w:r>
      <w:r w:rsidR="00037A18">
        <w:rPr>
          <w:rFonts w:cs="Segoe UI"/>
          <w:szCs w:val="20"/>
        </w:rPr>
        <w:t>na rok 2022 má byť medziročne o polovicu nižší. Tento transfer slúži</w:t>
      </w:r>
      <w:r w:rsidR="00037A18" w:rsidRPr="00402675">
        <w:rPr>
          <w:rFonts w:cs="Segoe UI"/>
          <w:szCs w:val="20"/>
        </w:rPr>
        <w:t xml:space="preserve"> na krytie deficitného hospodárenia starobného poistenia. </w:t>
      </w:r>
      <w:r w:rsidR="00037A18">
        <w:rPr>
          <w:rFonts w:cs="Segoe UI"/>
          <w:szCs w:val="20"/>
        </w:rPr>
        <w:t xml:space="preserve">NKÚ SR upozorňuje, že táto výška </w:t>
      </w:r>
      <w:r w:rsidR="00037A18" w:rsidRPr="00402675">
        <w:rPr>
          <w:rFonts w:cs="Segoe UI"/>
          <w:szCs w:val="20"/>
        </w:rPr>
        <w:t>nemusí</w:t>
      </w:r>
      <w:r w:rsidR="00037A18">
        <w:rPr>
          <w:rFonts w:cs="Segoe UI"/>
          <w:szCs w:val="20"/>
        </w:rPr>
        <w:t xml:space="preserve"> v budúcom roku </w:t>
      </w:r>
      <w:r w:rsidR="00C1712A">
        <w:rPr>
          <w:rFonts w:cs="Segoe UI"/>
          <w:szCs w:val="20"/>
        </w:rPr>
        <w:t xml:space="preserve">stačiť </w:t>
      </w:r>
      <w:r w:rsidR="00037A18">
        <w:rPr>
          <w:rFonts w:cs="Segoe UI"/>
          <w:szCs w:val="20"/>
        </w:rPr>
        <w:t>na dofinancovanie dôchodkov, čo potvrdzuje vývoj v</w:t>
      </w:r>
      <w:r w:rsidR="00C1712A">
        <w:rPr>
          <w:rFonts w:cs="Segoe UI"/>
          <w:szCs w:val="20"/>
        </w:rPr>
        <w:t> predchádzajúcich rokoch</w:t>
      </w:r>
      <w:r w:rsidR="00037A18" w:rsidRPr="00402675">
        <w:rPr>
          <w:rFonts w:cs="Segoe UI"/>
          <w:szCs w:val="20"/>
        </w:rPr>
        <w:t xml:space="preserve"> (</w:t>
      </w:r>
      <w:r w:rsidR="00037A18">
        <w:rPr>
          <w:rFonts w:cs="Segoe UI"/>
          <w:szCs w:val="20"/>
        </w:rPr>
        <w:t>G</w:t>
      </w:r>
      <w:r w:rsidR="00037A18" w:rsidRPr="00402675">
        <w:rPr>
          <w:rFonts w:cs="Segoe UI"/>
          <w:szCs w:val="20"/>
        </w:rPr>
        <w:t xml:space="preserve">raf </w:t>
      </w:r>
      <w:r w:rsidR="00037A18">
        <w:rPr>
          <w:rFonts w:cs="Segoe UI"/>
          <w:szCs w:val="20"/>
        </w:rPr>
        <w:t>1</w:t>
      </w:r>
      <w:r w:rsidR="00FB6475">
        <w:rPr>
          <w:rFonts w:cs="Segoe UI"/>
          <w:szCs w:val="20"/>
        </w:rPr>
        <w:t>2</w:t>
      </w:r>
      <w:r w:rsidR="00037A18" w:rsidRPr="00402675">
        <w:rPr>
          <w:rFonts w:cs="Segoe UI"/>
          <w:szCs w:val="20"/>
        </w:rPr>
        <w:t>).</w:t>
      </w:r>
    </w:p>
    <w:tbl>
      <w:tblPr>
        <w:tblStyle w:val="Mriekatabuky3"/>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4365"/>
      </w:tblGrid>
      <w:tr w:rsidR="0057191D" w:rsidRPr="00D40AB4" w14:paraId="7474B68A" w14:textId="77777777" w:rsidTr="00162997">
        <w:trPr>
          <w:trHeight w:val="283"/>
        </w:trPr>
        <w:tc>
          <w:tcPr>
            <w:tcW w:w="4706" w:type="dxa"/>
            <w:tcBorders>
              <w:bottom w:val="single" w:sz="4" w:space="0" w:color="314364"/>
            </w:tcBorders>
            <w:shd w:val="clear" w:color="auto" w:fill="auto"/>
          </w:tcPr>
          <w:p w14:paraId="1C186C9A" w14:textId="5E8D8041" w:rsidR="0057191D" w:rsidRPr="00D40AB4" w:rsidRDefault="0057191D" w:rsidP="00FB6475">
            <w:pPr>
              <w:pStyle w:val="Popis"/>
              <w:keepNext/>
              <w:rPr>
                <w:color w:val="314364"/>
              </w:rPr>
            </w:pPr>
            <w:r w:rsidRPr="00D40AB4">
              <w:rPr>
                <w:color w:val="314364"/>
              </w:rPr>
              <w:lastRenderedPageBreak/>
              <w:t>Graf</w:t>
            </w:r>
            <w:r>
              <w:rPr>
                <w:color w:val="314364"/>
              </w:rPr>
              <w:t xml:space="preserve"> 1</w:t>
            </w:r>
            <w:r w:rsidR="00FB6475">
              <w:rPr>
                <w:color w:val="314364"/>
              </w:rPr>
              <w:t>1</w:t>
            </w:r>
            <w:r w:rsidRPr="00D40AB4">
              <w:rPr>
                <w:color w:val="314364"/>
              </w:rPr>
              <w:t xml:space="preserve">: Príjmy SP z poistného od EAO (mil. eur) </w:t>
            </w:r>
          </w:p>
        </w:tc>
        <w:tc>
          <w:tcPr>
            <w:tcW w:w="4365" w:type="dxa"/>
            <w:tcBorders>
              <w:bottom w:val="single" w:sz="4" w:space="0" w:color="314364"/>
            </w:tcBorders>
            <w:shd w:val="clear" w:color="auto" w:fill="auto"/>
          </w:tcPr>
          <w:p w14:paraId="700B16C0" w14:textId="7B27B13D" w:rsidR="0057191D" w:rsidRPr="00D40AB4" w:rsidRDefault="0057191D" w:rsidP="00FB6475">
            <w:pPr>
              <w:pStyle w:val="Popis"/>
              <w:keepNext/>
              <w:ind w:left="8"/>
              <w:rPr>
                <w:color w:val="314364"/>
              </w:rPr>
            </w:pPr>
            <w:r w:rsidRPr="00D40AB4">
              <w:rPr>
                <w:color w:val="314364"/>
              </w:rPr>
              <w:t xml:space="preserve">Graf </w:t>
            </w:r>
            <w:r>
              <w:rPr>
                <w:color w:val="314364"/>
              </w:rPr>
              <w:t>1</w:t>
            </w:r>
            <w:r w:rsidR="00FB6475">
              <w:rPr>
                <w:color w:val="314364"/>
              </w:rPr>
              <w:t>2</w:t>
            </w:r>
            <w:r w:rsidRPr="00D40AB4">
              <w:rPr>
                <w:color w:val="314364"/>
              </w:rPr>
              <w:t>: Transfer zo ŠR SR (mil. eur)</w:t>
            </w:r>
          </w:p>
        </w:tc>
      </w:tr>
      <w:tr w:rsidR="0057191D" w:rsidRPr="00402675" w14:paraId="794E7AF0" w14:textId="77777777" w:rsidTr="00162997">
        <w:tblPrEx>
          <w:tblCellMar>
            <w:left w:w="70" w:type="dxa"/>
            <w:right w:w="70" w:type="dxa"/>
          </w:tblCellMar>
        </w:tblPrEx>
        <w:trPr>
          <w:trHeight w:val="3268"/>
        </w:trPr>
        <w:tc>
          <w:tcPr>
            <w:tcW w:w="4706" w:type="dxa"/>
            <w:tcBorders>
              <w:top w:val="single" w:sz="4" w:space="0" w:color="314364"/>
              <w:bottom w:val="single" w:sz="4" w:space="0" w:color="314364"/>
            </w:tcBorders>
            <w:vAlign w:val="center"/>
          </w:tcPr>
          <w:p w14:paraId="3C8BB076" w14:textId="77777777" w:rsidR="0057191D" w:rsidRPr="00402675" w:rsidRDefault="0057191D" w:rsidP="00162997">
            <w:pPr>
              <w:spacing w:after="0"/>
              <w:rPr>
                <w:rFonts w:cs="Segoe UI"/>
                <w:b/>
                <w:szCs w:val="20"/>
              </w:rPr>
            </w:pPr>
            <w:r>
              <w:rPr>
                <w:noProof/>
                <w:lang w:eastAsia="sk-SK"/>
              </w:rPr>
              <w:drawing>
                <wp:inline distT="0" distB="0" distL="0" distR="0" wp14:anchorId="750015EB" wp14:editId="1F55C6AB">
                  <wp:extent cx="2899410" cy="2123440"/>
                  <wp:effectExtent l="0" t="0" r="0" b="0"/>
                  <wp:docPr id="12" name="Graf 1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365" w:type="dxa"/>
            <w:tcBorders>
              <w:top w:val="single" w:sz="4" w:space="0" w:color="314364"/>
              <w:bottom w:val="single" w:sz="4" w:space="0" w:color="314364"/>
            </w:tcBorders>
            <w:vAlign w:val="center"/>
          </w:tcPr>
          <w:p w14:paraId="55FD8119" w14:textId="77777777" w:rsidR="0057191D" w:rsidRPr="00402675" w:rsidRDefault="0057191D" w:rsidP="00162997">
            <w:pPr>
              <w:keepNext/>
              <w:spacing w:after="0"/>
              <w:rPr>
                <w:rFonts w:cs="Segoe UI"/>
                <w:b/>
                <w:szCs w:val="20"/>
              </w:rPr>
            </w:pPr>
            <w:r>
              <w:rPr>
                <w:noProof/>
                <w:lang w:eastAsia="sk-SK"/>
              </w:rPr>
              <w:drawing>
                <wp:inline distT="0" distB="0" distL="0" distR="0" wp14:anchorId="38B34FFC" wp14:editId="5210436C">
                  <wp:extent cx="2682875" cy="2112645"/>
                  <wp:effectExtent l="0" t="0" r="3175" b="1905"/>
                  <wp:docPr id="13" name="Graf 13">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52CF47BE" w14:textId="77777777" w:rsidR="0057191D" w:rsidRPr="00D40AB4" w:rsidRDefault="0057191D" w:rsidP="0057191D">
      <w:pPr>
        <w:pStyle w:val="Zdroj"/>
      </w:pPr>
      <w:r w:rsidRPr="00D40AB4">
        <w:t>Zdroj: RIS</w:t>
      </w:r>
    </w:p>
    <w:p w14:paraId="2461B96E" w14:textId="77777777" w:rsidR="005F0F5B" w:rsidRDefault="005F0F5B" w:rsidP="005F0F5B">
      <w:pPr>
        <w:rPr>
          <w:rFonts w:cs="Segoe UI"/>
          <w:szCs w:val="20"/>
        </w:rPr>
      </w:pPr>
      <w:r w:rsidRPr="00402675">
        <w:rPr>
          <w:rFonts w:cs="Segoe UI"/>
          <w:szCs w:val="20"/>
        </w:rPr>
        <w:t>Výdavky dôchodkového poistenia vo výške 8,2 mld. eur na rok 2022 sú ovplyvnené okrem iného poklesom počtu poberateľov starobného dôchodku v prvom štvrťroku 2021. Výdavky nemocenského poistenia (</w:t>
      </w:r>
      <w:r>
        <w:rPr>
          <w:rFonts w:cs="Segoe UI"/>
          <w:szCs w:val="20"/>
        </w:rPr>
        <w:t>1 059 mil. eur</w:t>
      </w:r>
      <w:r w:rsidRPr="00402675">
        <w:rPr>
          <w:rFonts w:cs="Segoe UI"/>
          <w:szCs w:val="20"/>
        </w:rPr>
        <w:t>) a poistenia v nezamestnanosti (</w:t>
      </w:r>
      <w:r>
        <w:rPr>
          <w:rFonts w:cs="Segoe UI"/>
          <w:szCs w:val="20"/>
        </w:rPr>
        <w:t>304 tis. eur</w:t>
      </w:r>
      <w:r w:rsidRPr="00402675">
        <w:rPr>
          <w:rFonts w:cs="Segoe UI"/>
          <w:szCs w:val="20"/>
        </w:rPr>
        <w:t>) budú nižšie ako v roku 2021</w:t>
      </w:r>
    </w:p>
    <w:p w14:paraId="54136748" w14:textId="77777777" w:rsidR="005F0F5B" w:rsidRDefault="005F0F5B" w:rsidP="005F0F5B">
      <w:r>
        <w:t xml:space="preserve">NKÚ SR pozitívne hodnotí zavedenie dávky tehotenské od apríla 2021, čo je v súlade s PVV; na rok 2022   sú zabezpečené zdroje na túto dávku v sume 61,8 mil. eur. </w:t>
      </w:r>
    </w:p>
    <w:p w14:paraId="52E7BC56" w14:textId="140B9E51" w:rsidR="00AE01AE" w:rsidRDefault="00AE01AE" w:rsidP="00432AD8">
      <w:pPr>
        <w:pStyle w:val="Nadpis2"/>
      </w:pPr>
      <w:bookmarkStart w:id="28" w:name="_Toc86396382"/>
      <w:bookmarkStart w:id="29" w:name="_Toc87345116"/>
      <w:r>
        <w:t>Dopravná infraštruktúra</w:t>
      </w:r>
      <w:bookmarkEnd w:id="28"/>
      <w:bookmarkEnd w:id="29"/>
    </w:p>
    <w:p w14:paraId="39E69BAF" w14:textId="12F28741" w:rsidR="00972D87" w:rsidRDefault="00972D87" w:rsidP="00972D87">
      <w:r>
        <w:t xml:space="preserve">Rezort dopravy a jeho podriadené organizácie čakajú dva náročné roky. Stojí pred nimi dokončenie množstva projektov z končiaceho </w:t>
      </w:r>
      <w:r w:rsidR="00E65596">
        <w:t>PO</w:t>
      </w:r>
      <w:r>
        <w:t xml:space="preserve"> (pri väčšine ešte ani nebola za</w:t>
      </w:r>
      <w:r w:rsidR="0035040C">
        <w:t>čatá</w:t>
      </w:r>
      <w:r>
        <w:t xml:space="preserve"> realizácia), rozbehnutie projektov financovaných z plánu obnovy, plnenie plánov stanovených v Harmonogramoch výstavby infraštruktúry, zavedenie nového mýtneho systému (spustenie od roku 2023). Do toho hrozia riziká súvisiace s nezrovnalosťami pri výstavbe niektorých úsekov diaľnic alebo tlak zhotoviteľov na zvyšovanie nákladov na rozbehnutých stavbách, ktorý súvisí s nárastom cien stavebných materiálov. To všetko sú faktory, ktoré vnášajú riziká do navrhnutého rozpočtu.</w:t>
      </w:r>
    </w:p>
    <w:p w14:paraId="5EEF5500" w14:textId="013848AE" w:rsidR="00972D87" w:rsidRDefault="00972D87" w:rsidP="00972D87">
      <w:r>
        <w:t xml:space="preserve">Ako všetky programové vyhlásenia, aj to najaktuálnejšie sa v oblasti dopravy venuje predovšetkým tej cestnej a železničnej. </w:t>
      </w:r>
      <w:r w:rsidR="00185FA1">
        <w:t>A</w:t>
      </w:r>
      <w:r>
        <w:t xml:space="preserve">mbiciózne plány so „zásadným zlepšením starostlivosti o jestvujúcu infraštruktúru“ sa </w:t>
      </w:r>
      <w:r w:rsidR="00185FA1">
        <w:t xml:space="preserve">však </w:t>
      </w:r>
      <w:r>
        <w:t xml:space="preserve">doposiaľ neprejavili. Rozpočet na rok 2022 napĺňa túto ambíciu iba sčasti. Konkrétne pri výdavkoch smerujúcich na údržbu a opravy ciest I. triedy, ktoré sa majú už druhý rok po sebe navýšiť o 50 mil. eur. </w:t>
      </w:r>
      <w:r w:rsidR="00185FA1">
        <w:t>Avšak rozpočet nepamätá na</w:t>
      </w:r>
      <w:r>
        <w:t xml:space="preserve"> komplexnejšie rekonštrukcie ciest alebo regionálnych tratí v najhorš</w:t>
      </w:r>
      <w:r w:rsidR="00050F6E">
        <w:t>om</w:t>
      </w:r>
      <w:r>
        <w:t xml:space="preserve"> stav</w:t>
      </w:r>
      <w:r w:rsidR="00050F6E">
        <w:t>e</w:t>
      </w:r>
      <w:r>
        <w:t xml:space="preserve"> financovaných</w:t>
      </w:r>
      <w:r w:rsidR="008647C7">
        <w:t xml:space="preserve"> zo ŠR</w:t>
      </w:r>
      <w:r>
        <w:t>. Časť týchto prostriedkov pokryjú končiace eurofondy a Plán obnovy (týka sa iba železníc). Z pohľadu celkového investičného dlhu v tejto oblasti však ide o malé čiastky. N</w:t>
      </w:r>
      <w:r w:rsidR="00185FA1">
        <w:t>avyše</w:t>
      </w:r>
      <w:r>
        <w:t xml:space="preserve"> vládou schválený a stále platný Strategický plán rozvoja dopravy do roku 2030 počíta s modernizáciou všetkých železničných koridorov. </w:t>
      </w:r>
      <w:r w:rsidRPr="009553E7">
        <w:rPr>
          <w:b/>
        </w:rPr>
        <w:t>Aby sa cieľ splnil, len na túto oblasť by bolo potrebných vyčleniť viac ako 600 mil. eur výdavkov ročne.</w:t>
      </w:r>
      <w:r>
        <w:t xml:space="preserve"> Už teraz je zrejmé že je to nesplniteľná úloha. Preto </w:t>
      </w:r>
      <w:r w:rsidRPr="009553E7">
        <w:rPr>
          <w:b/>
        </w:rPr>
        <w:t xml:space="preserve">je potrebné čo najskôr aktualizovať </w:t>
      </w:r>
      <w:r>
        <w:rPr>
          <w:b/>
        </w:rPr>
        <w:t>Strategický plán</w:t>
      </w:r>
      <w:r w:rsidRPr="009553E7">
        <w:rPr>
          <w:b/>
        </w:rPr>
        <w:t>, tak ako si to vláda naplánovala v </w:t>
      </w:r>
      <w:r w:rsidR="00091866">
        <w:rPr>
          <w:b/>
        </w:rPr>
        <w:t>PVV</w:t>
      </w:r>
      <w:r w:rsidRPr="009553E7">
        <w:rPr>
          <w:b/>
        </w:rPr>
        <w:t>.</w:t>
      </w:r>
      <w:r>
        <w:t xml:space="preserve"> Rovnako je nutné </w:t>
      </w:r>
      <w:r w:rsidRPr="009553E7">
        <w:rPr>
          <w:b/>
        </w:rPr>
        <w:t>zreálniť ciele a zosúladiť spomínaný dokument aj s pripravenými harmonogramami na cesty a železnice</w:t>
      </w:r>
      <w:r>
        <w:t xml:space="preserve">. V neposlednom rade by malo dôjsť k systémovej zmene financovania dopravy </w:t>
      </w:r>
      <w:r w:rsidR="00185FA1">
        <w:t>podľa</w:t>
      </w:r>
      <w:r>
        <w:t xml:space="preserve"> príklado</w:t>
      </w:r>
      <w:r w:rsidR="00185FA1">
        <w:t>v</w:t>
      </w:r>
      <w:r>
        <w:t xml:space="preserve"> dobrej praxe zo zahraničia. Jeden </w:t>
      </w:r>
      <w:r w:rsidR="00E71A03">
        <w:t xml:space="preserve">bol </w:t>
      </w:r>
      <w:r>
        <w:t>na</w:t>
      </w:r>
      <w:r w:rsidR="00185FA1">
        <w:t>vrh</w:t>
      </w:r>
      <w:r w:rsidR="00E71A03">
        <w:t>nutý</w:t>
      </w:r>
      <w:r>
        <w:t xml:space="preserve"> aj </w:t>
      </w:r>
      <w:r w:rsidR="00E71A03">
        <w:t xml:space="preserve">v </w:t>
      </w:r>
      <w:r>
        <w:t>nedávno zverejnen</w:t>
      </w:r>
      <w:r w:rsidR="00E71A03">
        <w:t>om</w:t>
      </w:r>
      <w:r>
        <w:t xml:space="preserve"> analytick</w:t>
      </w:r>
      <w:r w:rsidR="00E71A03">
        <w:t>om</w:t>
      </w:r>
      <w:r>
        <w:t xml:space="preserve"> komentár</w:t>
      </w:r>
      <w:r w:rsidR="00E71A03">
        <w:t>i</w:t>
      </w:r>
      <w:r>
        <w:t xml:space="preserve"> z dielne NKÚ SR</w:t>
      </w:r>
      <w:r w:rsidRPr="00E058A7">
        <w:rPr>
          <w:rStyle w:val="Odkaznapoznmkupodiarou"/>
          <w:i/>
        </w:rPr>
        <w:footnoteReference w:id="39"/>
      </w:r>
      <w:r w:rsidR="00E058A7" w:rsidRPr="00E058A7">
        <w:rPr>
          <w:i/>
          <w:vertAlign w:val="superscript"/>
        </w:rPr>
        <w:t>)</w:t>
      </w:r>
      <w:r>
        <w:t>.</w:t>
      </w:r>
    </w:p>
    <w:p w14:paraId="1E9CC555" w14:textId="77777777" w:rsidR="00972D87" w:rsidRPr="002A599C" w:rsidRDefault="00972D87" w:rsidP="00972D87">
      <w:pPr>
        <w:rPr>
          <w:b/>
          <w:u w:val="single"/>
        </w:rPr>
      </w:pPr>
      <w:r w:rsidRPr="002A599C">
        <w:rPr>
          <w:b/>
          <w:u w:val="single"/>
        </w:rPr>
        <w:lastRenderedPageBreak/>
        <w:t>Investičné projekty</w:t>
      </w:r>
    </w:p>
    <w:p w14:paraId="0CF60E50" w14:textId="1911402F" w:rsidR="0005675B" w:rsidRDefault="0005675B" w:rsidP="0005675B">
      <w:r>
        <w:t>Návrh rozpočtu v oblasti dopravy je z hľadiska informácií nedostatočný. Na takmer siedm</w:t>
      </w:r>
      <w:r w:rsidR="00050F6E">
        <w:t>i</w:t>
      </w:r>
      <w:r>
        <w:t xml:space="preserve">ch stranách venujúcich sa tejto oblasti sú uvedené len sumárne čiastky bez bližšieho popisu účelu, kam tieto financie poputujú. </w:t>
      </w:r>
      <w:r w:rsidRPr="007475B5">
        <w:rPr>
          <w:b/>
        </w:rPr>
        <w:t>Z rozpočtu dokonca nie je možné zistiť</w:t>
      </w:r>
      <w:r>
        <w:rPr>
          <w:b/>
        </w:rPr>
        <w:t>,</w:t>
      </w:r>
      <w:r w:rsidRPr="007475B5">
        <w:rPr>
          <w:b/>
        </w:rPr>
        <w:t xml:space="preserve"> </w:t>
      </w:r>
      <w:r>
        <w:rPr>
          <w:b/>
        </w:rPr>
        <w:t>aká časť</w:t>
      </w:r>
      <w:r w:rsidRPr="007475B5">
        <w:rPr>
          <w:b/>
        </w:rPr>
        <w:t xml:space="preserve"> </w:t>
      </w:r>
      <w:r>
        <w:rPr>
          <w:b/>
        </w:rPr>
        <w:t>kapitálových výdavkov je budúci rok vyčlenená</w:t>
      </w:r>
      <w:r w:rsidRPr="007475B5">
        <w:rPr>
          <w:b/>
        </w:rPr>
        <w:t xml:space="preserve"> na cestnú a </w:t>
      </w:r>
      <w:r>
        <w:rPr>
          <w:b/>
        </w:rPr>
        <w:t>aká</w:t>
      </w:r>
      <w:r w:rsidRPr="007475B5">
        <w:rPr>
          <w:b/>
        </w:rPr>
        <w:t xml:space="preserve"> na železničnú infraštruktúru.</w:t>
      </w:r>
      <w:r>
        <w:t xml:space="preserve"> Dobrá myšlienka so zavedením merateľných ukazovateľov v návrhu rozpočtu a vytvorením harmonogramu investícií podľa priorít (zatiaľ iba na cestnú infraštruktúru) sa v tomto kontexte zatiaľ stráca. Z návrhu rozpočtu síce vyplýva, kam sa chceme v kratšom aj dlhodobom horizonte dostať, ale chýba informácia, akými krokmi sa chceme k týmto cieľom dopracovať – aké projekty a v akej hodnote budú podporené, aby </w:t>
      </w:r>
      <w:r w:rsidR="00050F6E">
        <w:t xml:space="preserve">boli </w:t>
      </w:r>
      <w:r>
        <w:t xml:space="preserve">ciele </w:t>
      </w:r>
      <w:r w:rsidR="00050F6E">
        <w:t>naplnené</w:t>
      </w:r>
      <w:r>
        <w:t>.</w:t>
      </w:r>
    </w:p>
    <w:p w14:paraId="6E05A32B" w14:textId="3B1E1617" w:rsidR="00DA65F4" w:rsidRPr="00DA65F4" w:rsidRDefault="0005675B" w:rsidP="00DA65F4">
      <w:pPr>
        <w:rPr>
          <w:b/>
          <w:i/>
        </w:rPr>
      </w:pPr>
      <w:r>
        <w:t xml:space="preserve">V návrhu rozpočtu chýbajú predovšetkým informácie o projektoch, ktoré majú byť v roku 2022 finančne podporené. </w:t>
      </w:r>
      <w:r w:rsidR="00E71A03">
        <w:t>U</w:t>
      </w:r>
      <w:r>
        <w:t xml:space="preserve">vedené celkové sumy kapitálových výdavkov </w:t>
      </w:r>
      <w:r w:rsidRPr="002A3E26">
        <w:rPr>
          <w:b/>
        </w:rPr>
        <w:t xml:space="preserve">nedávajú priestor na detailný pohľad </w:t>
      </w:r>
      <w:r w:rsidR="00050F6E">
        <w:rPr>
          <w:b/>
        </w:rPr>
        <w:t>o tom, ako a</w:t>
      </w:r>
      <w:r w:rsidRPr="002A3E26">
        <w:rPr>
          <w:b/>
        </w:rPr>
        <w:t> kam sa má v budúcom roku pohnúť doprava na Slovensku. Navyše alokácia investičných výdavkov zo ŠR na cesty a železnice vo výške 504 mil. eur, či už do kapitoly VPS (403 mil. eur) alebo do rezortu dopravy (101 mil. eur) rozpočtov</w:t>
      </w:r>
      <w:r>
        <w:rPr>
          <w:b/>
        </w:rPr>
        <w:t>ú</w:t>
      </w:r>
      <w:r w:rsidRPr="002A3E26">
        <w:rPr>
          <w:b/>
        </w:rPr>
        <w:t xml:space="preserve"> prehľadnos</w:t>
      </w:r>
      <w:r>
        <w:rPr>
          <w:b/>
        </w:rPr>
        <w:t xml:space="preserve">ť nezlepšuje </w:t>
      </w:r>
      <w:r w:rsidRPr="0005675B">
        <w:t>(Schéma1).</w:t>
      </w:r>
      <w:r>
        <w:rPr>
          <w:b/>
        </w:rPr>
        <w:t xml:space="preserve"> </w:t>
      </w:r>
      <w:r>
        <w:t xml:space="preserve">Príkladom je aj rozpočtovanie týchto výdavkov v rámci programovej štruktúry MDV SR. </w:t>
      </w:r>
      <w:r w:rsidR="00DA65F4">
        <w:t xml:space="preserve">Podľa účelu použitia by mali byť alokované v programe </w:t>
      </w:r>
      <w:r w:rsidR="00DA65F4" w:rsidRPr="00912E54">
        <w:rPr>
          <w:i/>
        </w:rPr>
        <w:t>Cestná infraštruktúra a Železničná doprava</w:t>
      </w:r>
      <w:r w:rsidR="00DA65F4">
        <w:t xml:space="preserve">, no namiesto toho sú alokované v programe </w:t>
      </w:r>
      <w:r w:rsidR="00DA65F4" w:rsidRPr="00912E54">
        <w:rPr>
          <w:i/>
        </w:rPr>
        <w:t>Tvorba a implementácia politík</w:t>
      </w:r>
      <w:r w:rsidR="00DA65F4">
        <w:t xml:space="preserve"> </w:t>
      </w:r>
      <w:r w:rsidR="00DA65F4" w:rsidRPr="00DA65F4">
        <w:rPr>
          <w:i/>
        </w:rPr>
        <w:t>(viac v kapitole 4, časť Programové rozpočtovanie</w:t>
      </w:r>
      <w:r w:rsidR="00DA65F4">
        <w:rPr>
          <w:i/>
        </w:rPr>
        <w:t>)</w:t>
      </w:r>
      <w:r w:rsidR="00DA65F4" w:rsidRPr="00DA65F4">
        <w:rPr>
          <w:i/>
        </w:rP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05675B" w:rsidRPr="009D6E29" w14:paraId="21CE2502" w14:textId="77777777" w:rsidTr="00BC4AB9">
        <w:trPr>
          <w:trHeight w:val="113"/>
        </w:trPr>
        <w:tc>
          <w:tcPr>
            <w:tcW w:w="5000" w:type="pct"/>
            <w:tcBorders>
              <w:bottom w:val="single" w:sz="4" w:space="0" w:color="314364"/>
            </w:tcBorders>
            <w:shd w:val="clear" w:color="auto" w:fill="auto"/>
            <w:hideMark/>
          </w:tcPr>
          <w:p w14:paraId="64C62D8B" w14:textId="77777777" w:rsidR="0005675B" w:rsidRPr="009D6E29" w:rsidRDefault="0005675B" w:rsidP="00BC4AB9">
            <w:pPr>
              <w:pStyle w:val="Bezriadkovania"/>
              <w:spacing w:line="240" w:lineRule="atLeast"/>
              <w:jc w:val="both"/>
              <w:rPr>
                <w:rFonts w:ascii="Segoe UI" w:eastAsia="Times New Roman" w:hAnsi="Segoe UI" w:cs="Segoe UI"/>
                <w:b/>
                <w:color w:val="FFFFFF" w:themeColor="background1"/>
                <w:szCs w:val="24"/>
                <w:lang w:eastAsia="en-US"/>
              </w:rPr>
            </w:pPr>
            <w:r>
              <w:rPr>
                <w:rFonts w:ascii="Segoe UI" w:eastAsia="Times New Roman" w:hAnsi="Segoe UI" w:cs="Segoe UI"/>
                <w:b/>
                <w:color w:val="314364"/>
                <w:sz w:val="20"/>
                <w:szCs w:val="24"/>
                <w:lang w:eastAsia="en-US"/>
              </w:rPr>
              <w:t>Schéma</w:t>
            </w:r>
            <w:r w:rsidRPr="009D6E29">
              <w:rPr>
                <w:rFonts w:ascii="Segoe UI" w:eastAsia="Times New Roman" w:hAnsi="Segoe UI" w:cs="Segoe UI"/>
                <w:b/>
                <w:color w:val="314364"/>
                <w:sz w:val="20"/>
                <w:szCs w:val="24"/>
                <w:lang w:eastAsia="en-US"/>
              </w:rPr>
              <w:t xml:space="preserve"> </w:t>
            </w:r>
            <w:r>
              <w:rPr>
                <w:rFonts w:ascii="Segoe UI" w:hAnsi="Segoe UI" w:cs="Segoe UI"/>
                <w:b/>
                <w:color w:val="314364"/>
                <w:sz w:val="20"/>
                <w:lang w:eastAsia="en-US"/>
              </w:rPr>
              <w:t>1</w:t>
            </w:r>
            <w:r w:rsidRPr="009D6E29">
              <w:rPr>
                <w:rFonts w:ascii="Segoe UI" w:eastAsia="Times New Roman" w:hAnsi="Segoe UI" w:cs="Segoe UI"/>
                <w:b/>
                <w:color w:val="314364"/>
                <w:sz w:val="20"/>
                <w:szCs w:val="24"/>
                <w:lang w:eastAsia="en-US"/>
              </w:rPr>
              <w:t>:</w:t>
            </w:r>
            <w:r>
              <w:rPr>
                <w:rFonts w:ascii="Segoe UI" w:eastAsia="Times New Roman" w:hAnsi="Segoe UI" w:cs="Segoe UI"/>
                <w:b/>
                <w:color w:val="314364"/>
                <w:sz w:val="20"/>
                <w:szCs w:val="24"/>
                <w:lang w:eastAsia="en-US"/>
              </w:rPr>
              <w:t xml:space="preserve"> Prehľad toku výdavkov na investície do dopravnej infraštruktúry v roku 2022</w:t>
            </w:r>
          </w:p>
        </w:tc>
      </w:tr>
      <w:tr w:rsidR="0005675B" w:rsidRPr="00C75134" w14:paraId="38189A1A" w14:textId="77777777" w:rsidTr="00E02AC9">
        <w:tblPrEx>
          <w:tblCellMar>
            <w:left w:w="70" w:type="dxa"/>
            <w:right w:w="70" w:type="dxa"/>
          </w:tblCellMar>
        </w:tblPrEx>
        <w:trPr>
          <w:trHeight w:val="3992"/>
        </w:trPr>
        <w:tc>
          <w:tcPr>
            <w:tcW w:w="5000" w:type="pct"/>
            <w:tcBorders>
              <w:top w:val="single" w:sz="4" w:space="0" w:color="314364"/>
              <w:bottom w:val="single" w:sz="4" w:space="0" w:color="314364"/>
            </w:tcBorders>
            <w:vAlign w:val="center"/>
          </w:tcPr>
          <w:p w14:paraId="7C6E8CB3" w14:textId="77777777" w:rsidR="0005675B" w:rsidRPr="00C75134" w:rsidRDefault="0005675B" w:rsidP="00BC4AB9">
            <w:pPr>
              <w:spacing w:after="0"/>
              <w:jc w:val="center"/>
              <w:rPr>
                <w:b/>
                <w:color w:val="576431"/>
              </w:rPr>
            </w:pPr>
            <w:r>
              <w:rPr>
                <w:b/>
                <w:noProof/>
                <w:color w:val="576431"/>
                <w:lang w:eastAsia="sk-SK"/>
              </w:rPr>
              <w:drawing>
                <wp:inline distT="0" distB="0" distL="0" distR="0" wp14:anchorId="75CDAC5B" wp14:editId="6E5A0615">
                  <wp:extent cx="4904105" cy="267652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CB1AE.tmp"/>
                          <pic:cNvPicPr/>
                        </pic:nvPicPr>
                        <pic:blipFill>
                          <a:blip r:embed="rId24">
                            <a:extLst>
                              <a:ext uri="{28A0092B-C50C-407E-A947-70E740481C1C}">
                                <a14:useLocalDpi xmlns:a14="http://schemas.microsoft.com/office/drawing/2010/main" val="0"/>
                              </a:ext>
                            </a:extLst>
                          </a:blip>
                          <a:stretch>
                            <a:fillRect/>
                          </a:stretch>
                        </pic:blipFill>
                        <pic:spPr>
                          <a:xfrm>
                            <a:off x="0" y="0"/>
                            <a:ext cx="4937434" cy="2694715"/>
                          </a:xfrm>
                          <a:prstGeom prst="rect">
                            <a:avLst/>
                          </a:prstGeom>
                        </pic:spPr>
                      </pic:pic>
                    </a:graphicData>
                  </a:graphic>
                </wp:inline>
              </w:drawing>
            </w:r>
          </w:p>
        </w:tc>
      </w:tr>
      <w:tr w:rsidR="0005675B" w:rsidRPr="00627D87" w14:paraId="050BEBE8" w14:textId="77777777" w:rsidTr="00BC4AB9">
        <w:trPr>
          <w:trHeight w:val="113"/>
        </w:trPr>
        <w:tc>
          <w:tcPr>
            <w:tcW w:w="5000" w:type="pct"/>
            <w:tcBorders>
              <w:top w:val="single" w:sz="4" w:space="0" w:color="314364"/>
            </w:tcBorders>
            <w:hideMark/>
          </w:tcPr>
          <w:p w14:paraId="22DCA0A7" w14:textId="77777777" w:rsidR="0005675B" w:rsidRPr="00627D87" w:rsidRDefault="0005675B" w:rsidP="00BC4AB9">
            <w:pPr>
              <w:keepNext/>
              <w:spacing w:line="240" w:lineRule="auto"/>
              <w:rPr>
                <w:rFonts w:cs="Times New Roman"/>
                <w:i/>
                <w:color w:val="000000"/>
                <w:sz w:val="16"/>
                <w:szCs w:val="24"/>
              </w:rPr>
            </w:pPr>
            <w:r>
              <w:rPr>
                <w:rFonts w:cs="Times New Roman"/>
                <w:i/>
                <w:color w:val="314364" w:themeColor="text2"/>
                <w:sz w:val="16"/>
                <w:szCs w:val="24"/>
              </w:rPr>
              <w:t>Zdroj: MDV SR, MF SR,</w:t>
            </w:r>
            <w:r w:rsidRPr="0011364F">
              <w:rPr>
                <w:rFonts w:cs="Times New Roman"/>
                <w:i/>
                <w:color w:val="314364" w:themeColor="text2"/>
                <w:sz w:val="16"/>
                <w:szCs w:val="24"/>
              </w:rPr>
              <w:t xml:space="preserve"> </w:t>
            </w:r>
            <w:r>
              <w:rPr>
                <w:rFonts w:cs="Times New Roman"/>
                <w:i/>
                <w:color w:val="314364" w:themeColor="text2"/>
                <w:sz w:val="16"/>
                <w:szCs w:val="24"/>
              </w:rPr>
              <w:t>RIS</w:t>
            </w:r>
          </w:p>
        </w:tc>
      </w:tr>
    </w:tbl>
    <w:p w14:paraId="1DFB2D04" w14:textId="45950130" w:rsidR="0005675B" w:rsidRDefault="0005675B" w:rsidP="0005675B">
      <w:r>
        <w:t xml:space="preserve">Podľa zverejneného harmonogramu prípravy a výstavby cestnej infraštruktúry zo septembra 2021, ktorý bol predložený na vládu, </w:t>
      </w:r>
      <w:r w:rsidRPr="002A3E26">
        <w:rPr>
          <w:b/>
        </w:rPr>
        <w:t>by na rok 2022 mali ísť len na cestnú infraštruktúru výdavky zo ŠR (bez spolufinancovania k EÚ projektom) vo výške 490 mil. eur.</w:t>
      </w:r>
      <w:r>
        <w:t xml:space="preserve"> Ide pritom najmä o už prebiehajúce projekty, resp. projekty, ktorých realizácia by mala začať v roku 2022. Aj napriek tomu, že od uvedenia harmonogramu došlo k niektorým úpravám projektov</w:t>
      </w:r>
      <w:r w:rsidRPr="00E058A7">
        <w:rPr>
          <w:rStyle w:val="Odkaznapoznmkupodiarou"/>
          <w:i/>
        </w:rPr>
        <w:footnoteReference w:id="40"/>
      </w:r>
      <w:r w:rsidR="00E058A7" w:rsidRPr="00E058A7">
        <w:rPr>
          <w:i/>
          <w:vertAlign w:val="superscript"/>
        </w:rPr>
        <w:t>)</w:t>
      </w:r>
      <w:r>
        <w:t xml:space="preserve">, väčšina prostriedkov by mala byť použitá v súlade so zverejneným harmonogramom. V prípade železničnej infraštruktúry, harmonogram </w:t>
      </w:r>
      <w:r w:rsidRPr="002A3E26">
        <w:rPr>
          <w:b/>
        </w:rPr>
        <w:t xml:space="preserve">nebol ku koncu októbra zverejnený a nebolo možné vyhodnotiť, ktoré projekty by mali byť zo ŠR </w:t>
      </w:r>
      <w:r w:rsidRPr="002A3E26">
        <w:rPr>
          <w:b/>
        </w:rPr>
        <w:lastRenderedPageBreak/>
        <w:t>podporené a či vôbec budú mať v budúcom roku rozpočtové krytie.</w:t>
      </w:r>
      <w:r>
        <w:t xml:space="preserve"> Pre objektívnosť treba dodať, že železničná infraštruktúra bude podporená predovšetkým z plánu obnovy a prostriedkov OPII a CEF. </w:t>
      </w:r>
    </w:p>
    <w:p w14:paraId="47FAA661" w14:textId="4A15C5FD" w:rsidR="0005675B" w:rsidRDefault="0005675B" w:rsidP="0005675B">
      <w:r>
        <w:t xml:space="preserve">Z návrhu rozpočtu investícií v doprave na rok 2022 </w:t>
      </w:r>
      <w:r w:rsidRPr="002A3E26">
        <w:rPr>
          <w:b/>
        </w:rPr>
        <w:t>vyplýva riziko, že nie všetky naplánované projekty budú mať zabezpečené krytie počas roka.</w:t>
      </w:r>
      <w:r>
        <w:t xml:space="preserve"> NKÚ SR v tejto súvislosti odporúča zverejniť </w:t>
      </w:r>
      <w:r w:rsidRPr="002A3E26">
        <w:rPr>
          <w:b/>
        </w:rPr>
        <w:t>aktualizovaný harmonogram spolu so zoznamom projektov, ktoré majú byť podporené</w:t>
      </w:r>
      <w:r>
        <w:t xml:space="preserve"> (vrátane výšky nákladov, zdrojov financovania a kapitoly, v ktorej sa výdavky nachádzajú)</w:t>
      </w:r>
      <w:r w:rsidRPr="0032176E">
        <w:t xml:space="preserve"> </w:t>
      </w:r>
      <w:r w:rsidRPr="002A3E26">
        <w:rPr>
          <w:b/>
        </w:rPr>
        <w:t>v súlade s alokovanými výdavkami uvedenými v návrhu RVS.</w:t>
      </w:r>
      <w:r>
        <w:t xml:space="preserve"> Rovnako tak </w:t>
      </w:r>
      <w:r w:rsidRPr="00FE5698">
        <w:t xml:space="preserve">rozpočtovať výdavky </w:t>
      </w:r>
      <w:r w:rsidR="00FE5698" w:rsidRPr="00FE5698">
        <w:t>do</w:t>
      </w:r>
      <w:r w:rsidRPr="00FE5698">
        <w:t xml:space="preserve"> programo</w:t>
      </w:r>
      <w:r w:rsidR="00FE5698" w:rsidRPr="00FE5698">
        <w:t>v podľa účelu ich použitia, a</w:t>
      </w:r>
      <w:r w:rsidRPr="00FE5698">
        <w:t>by sa celá štruktúra toku výdavkov zjednodušila.</w:t>
      </w:r>
    </w:p>
    <w:p w14:paraId="79E6CAFD" w14:textId="77777777" w:rsidR="00972D87" w:rsidRPr="002A599C" w:rsidRDefault="00972D87" w:rsidP="00972D87">
      <w:pPr>
        <w:rPr>
          <w:b/>
          <w:u w:val="single"/>
        </w:rPr>
      </w:pPr>
      <w:r w:rsidRPr="002A599C">
        <w:rPr>
          <w:b/>
          <w:u w:val="single"/>
        </w:rPr>
        <w:t>Rekonštrukcie ciest I. triedy</w:t>
      </w:r>
    </w:p>
    <w:p w14:paraId="15126A63" w14:textId="3BF76A7D" w:rsidR="004848BF" w:rsidRDefault="004848BF" w:rsidP="004848BF">
      <w:r>
        <w:t xml:space="preserve">Podľa kľúčových ukazovateľov zverejnených v návrhu rozpočtu by v roku 2030 malo byť približne 570 km ciest I. triedy  </w:t>
      </w:r>
      <w:r w:rsidRPr="00300746">
        <w:rPr>
          <w:b/>
        </w:rPr>
        <w:t>v nevyhovujúcom a havarijnom</w:t>
      </w:r>
      <w:r>
        <w:t xml:space="preserve"> stave. V relatívnom vyjadrení je to 17,5 % z celkovej siete komunikácií</w:t>
      </w:r>
      <w:r w:rsidR="00050F6E">
        <w:t xml:space="preserve"> I. triedy</w:t>
      </w:r>
      <w:r w:rsidRPr="00E058A7">
        <w:rPr>
          <w:rStyle w:val="Odkaznapoznmkupodiarou"/>
          <w:i/>
        </w:rPr>
        <w:footnoteReference w:id="41"/>
      </w:r>
      <w:r w:rsidRPr="00E058A7">
        <w:rPr>
          <w:i/>
          <w:vertAlign w:val="superscript"/>
        </w:rPr>
        <w:t>)</w:t>
      </w:r>
      <w:r>
        <w:t xml:space="preserve">. </w:t>
      </w:r>
      <w:r w:rsidRPr="00B45A3F">
        <w:rPr>
          <w:b/>
        </w:rPr>
        <w:t>Ak by sa podarilo dosiahnuť takýto výs</w:t>
      </w:r>
      <w:r>
        <w:rPr>
          <w:b/>
        </w:rPr>
        <w:t>ledok, stalo by sa tak vôbec prvý</w:t>
      </w:r>
      <w:r w:rsidRPr="00B45A3F">
        <w:rPr>
          <w:b/>
        </w:rPr>
        <w:t>krát v 21. storočí</w:t>
      </w:r>
      <w:r w:rsidRPr="00E058A7">
        <w:rPr>
          <w:rStyle w:val="Odkaznapoznmkupodiarou"/>
          <w:i/>
        </w:rPr>
        <w:footnoteReference w:id="42"/>
      </w:r>
      <w:r w:rsidRPr="00E058A7">
        <w:rPr>
          <w:i/>
          <w:vertAlign w:val="superscript"/>
        </w:rPr>
        <w:t>)</w:t>
      </w:r>
      <w:r>
        <w:t xml:space="preserve">. Oproti súčasnosti, kedy cesty I. triedy v najhorších kategóriách tvoria takmer dve pätiny (39,9 %) na celkovej sieti, by </w:t>
      </w:r>
      <w:r w:rsidR="00050F6E">
        <w:t>išlo</w:t>
      </w:r>
      <w:r>
        <w:t xml:space="preserve"> o pokles viac ako 55 %. </w:t>
      </w:r>
      <w:r w:rsidRPr="00387A33">
        <w:rPr>
          <w:b/>
        </w:rPr>
        <w:t>Na dosiahnutie tohto cieľa sú potrebné masívne investície vo výške približne 1,1 mld. eur</w:t>
      </w:r>
      <w:r w:rsidRPr="00E058A7">
        <w:rPr>
          <w:rStyle w:val="Odkaznapoznmkupodiarou"/>
          <w:i/>
        </w:rPr>
        <w:footnoteReference w:id="43"/>
      </w:r>
      <w:r w:rsidRPr="00E058A7">
        <w:rPr>
          <w:i/>
          <w:vertAlign w:val="superscript"/>
        </w:rPr>
        <w:t>)</w:t>
      </w:r>
      <w:r w:rsidRPr="00387A33">
        <w:rPr>
          <w:b/>
        </w:rPr>
        <w:t xml:space="preserve"> (teda približne 138 mil. eur ročne).</w:t>
      </w:r>
      <w:r>
        <w:t xml:space="preserve"> Situácia s finančným krytím na nasledujúce dva roky je zabezpečená vďaka eurofondom. Slovensko má jedinečnú a pravdepodobne poslednú šancu</w:t>
      </w:r>
      <w:r w:rsidRPr="00E058A7">
        <w:rPr>
          <w:rStyle w:val="Odkaznapoznmkupodiarou"/>
          <w:i/>
        </w:rPr>
        <w:footnoteReference w:id="44"/>
      </w:r>
      <w:r w:rsidRPr="00E058A7">
        <w:rPr>
          <w:i/>
          <w:vertAlign w:val="superscript"/>
        </w:rPr>
        <w:t>)</w:t>
      </w:r>
      <w:r>
        <w:t xml:space="preserve"> využiť tieto prostriedky do rozsiahlych rekonštrukcií a priblížiť sa tak k stanovenému cieľu. </w:t>
      </w:r>
      <w:r w:rsidRPr="00387A33">
        <w:rPr>
          <w:b/>
        </w:rPr>
        <w:t xml:space="preserve">Podmienkou je </w:t>
      </w:r>
      <w:r>
        <w:rPr>
          <w:b/>
        </w:rPr>
        <w:t xml:space="preserve">vyčerpať </w:t>
      </w:r>
      <w:r w:rsidR="00050F6E">
        <w:rPr>
          <w:b/>
        </w:rPr>
        <w:t xml:space="preserve">ich </w:t>
      </w:r>
      <w:r w:rsidRPr="00387A33">
        <w:rPr>
          <w:b/>
        </w:rPr>
        <w:t>včas</w:t>
      </w:r>
      <w:r>
        <w:rPr>
          <w:b/>
        </w:rPr>
        <w:t>, efektívne a hospodárne</w:t>
      </w:r>
      <w:r w:rsidRPr="00387A33">
        <w:rPr>
          <w:b/>
        </w:rPr>
        <w:t>.</w:t>
      </w:r>
      <w:r>
        <w:t xml:space="preserve"> Tu existuje veľké riziko, keďže nevyčerpaných prostriedkov je pomerne veľa, naopak času málo (Graf 1</w:t>
      </w:r>
      <w:r w:rsidR="00FB6475">
        <w:t>3</w:t>
      </w:r>
      <w:r>
        <w:t>).</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843815" w:rsidRPr="009D6E29" w14:paraId="4EB3A6EB" w14:textId="77777777" w:rsidTr="00857CB1">
        <w:trPr>
          <w:trHeight w:val="113"/>
        </w:trPr>
        <w:tc>
          <w:tcPr>
            <w:tcW w:w="5000" w:type="pct"/>
            <w:tcBorders>
              <w:bottom w:val="single" w:sz="4" w:space="0" w:color="314364"/>
            </w:tcBorders>
            <w:shd w:val="clear" w:color="auto" w:fill="auto"/>
            <w:hideMark/>
          </w:tcPr>
          <w:p w14:paraId="6FD80E90" w14:textId="1C6FDDC6" w:rsidR="00843815" w:rsidRPr="009D6E29" w:rsidRDefault="00843815" w:rsidP="00FB6475">
            <w:pPr>
              <w:pStyle w:val="Bezriadkovania"/>
              <w:spacing w:line="240" w:lineRule="atLeast"/>
              <w:jc w:val="both"/>
              <w:rPr>
                <w:rFonts w:ascii="Segoe UI" w:eastAsia="Times New Roman" w:hAnsi="Segoe UI" w:cs="Segoe UI"/>
                <w:b/>
                <w:color w:val="FFFFFF" w:themeColor="background1"/>
                <w:szCs w:val="24"/>
                <w:lang w:eastAsia="en-US"/>
              </w:rPr>
            </w:pPr>
            <w:r>
              <w:rPr>
                <w:rFonts w:ascii="Segoe UI" w:eastAsia="Times New Roman" w:hAnsi="Segoe UI" w:cs="Segoe UI"/>
                <w:b/>
                <w:color w:val="314364"/>
                <w:sz w:val="20"/>
                <w:szCs w:val="24"/>
                <w:lang w:eastAsia="en-US"/>
              </w:rPr>
              <w:t>Graf 1</w:t>
            </w:r>
            <w:r w:rsidR="00FB6475">
              <w:rPr>
                <w:rFonts w:ascii="Segoe UI" w:eastAsia="Times New Roman" w:hAnsi="Segoe UI" w:cs="Segoe UI"/>
                <w:b/>
                <w:color w:val="314364"/>
                <w:sz w:val="20"/>
                <w:szCs w:val="24"/>
                <w:lang w:eastAsia="en-US"/>
              </w:rPr>
              <w:t>3</w:t>
            </w:r>
            <w:r w:rsidRPr="009D6E29">
              <w:rPr>
                <w:rFonts w:ascii="Segoe UI" w:eastAsia="Times New Roman" w:hAnsi="Segoe UI" w:cs="Segoe UI"/>
                <w:b/>
                <w:color w:val="314364"/>
                <w:sz w:val="20"/>
                <w:szCs w:val="24"/>
                <w:lang w:eastAsia="en-US"/>
              </w:rPr>
              <w:t>:</w:t>
            </w:r>
            <w:r>
              <w:rPr>
                <w:rFonts w:ascii="Segoe UI" w:eastAsia="Times New Roman" w:hAnsi="Segoe UI" w:cs="Segoe UI"/>
                <w:b/>
                <w:color w:val="314364"/>
                <w:sz w:val="20"/>
                <w:szCs w:val="24"/>
                <w:lang w:eastAsia="en-US"/>
              </w:rPr>
              <w:t xml:space="preserve"> Schválený rozpočet a skutočné čerpanie na prioritnej osi č. 6 (v mil. eur)</w:t>
            </w:r>
          </w:p>
        </w:tc>
      </w:tr>
      <w:tr w:rsidR="00843815" w:rsidRPr="00C75134" w14:paraId="6513E7A2" w14:textId="77777777" w:rsidTr="00E37DC8">
        <w:tblPrEx>
          <w:tblCellMar>
            <w:left w:w="70" w:type="dxa"/>
            <w:right w:w="70" w:type="dxa"/>
          </w:tblCellMar>
        </w:tblPrEx>
        <w:trPr>
          <w:trHeight w:val="2835"/>
        </w:trPr>
        <w:tc>
          <w:tcPr>
            <w:tcW w:w="5000" w:type="pct"/>
            <w:tcBorders>
              <w:top w:val="single" w:sz="4" w:space="0" w:color="314364"/>
              <w:bottom w:val="single" w:sz="4" w:space="0" w:color="314364"/>
            </w:tcBorders>
            <w:vAlign w:val="center"/>
          </w:tcPr>
          <w:p w14:paraId="5D1761E8" w14:textId="77777777" w:rsidR="00843815" w:rsidRPr="00C75134" w:rsidRDefault="00843815" w:rsidP="00857CB1">
            <w:pPr>
              <w:spacing w:after="0"/>
              <w:jc w:val="left"/>
              <w:rPr>
                <w:b/>
                <w:color w:val="576431"/>
              </w:rPr>
            </w:pPr>
            <w:r>
              <w:rPr>
                <w:noProof/>
                <w:lang w:eastAsia="sk-SK"/>
              </w:rPr>
              <w:drawing>
                <wp:inline distT="0" distB="0" distL="0" distR="0" wp14:anchorId="0270F812" wp14:editId="63FFB031">
                  <wp:extent cx="5669280" cy="1767840"/>
                  <wp:effectExtent l="0" t="0" r="7620" b="381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843815" w:rsidRPr="00627D87" w14:paraId="08160D12" w14:textId="77777777" w:rsidTr="00857CB1">
        <w:trPr>
          <w:trHeight w:val="113"/>
        </w:trPr>
        <w:tc>
          <w:tcPr>
            <w:tcW w:w="5000" w:type="pct"/>
            <w:tcBorders>
              <w:top w:val="single" w:sz="4" w:space="0" w:color="314364"/>
            </w:tcBorders>
            <w:hideMark/>
          </w:tcPr>
          <w:p w14:paraId="62418EF4" w14:textId="3D7E3EA6" w:rsidR="00843815" w:rsidRPr="00627D87" w:rsidRDefault="00843815" w:rsidP="00843815">
            <w:pPr>
              <w:keepNext/>
              <w:spacing w:after="0" w:line="240" w:lineRule="auto"/>
              <w:rPr>
                <w:rFonts w:cs="Times New Roman"/>
                <w:i/>
                <w:color w:val="000000"/>
                <w:sz w:val="16"/>
                <w:szCs w:val="24"/>
              </w:rPr>
            </w:pPr>
            <w:r>
              <w:rPr>
                <w:rFonts w:cs="Times New Roman"/>
                <w:i/>
                <w:color w:val="314364" w:themeColor="text2"/>
                <w:sz w:val="16"/>
                <w:szCs w:val="24"/>
              </w:rPr>
              <w:t>Zdroj: RIS, MF SR</w:t>
            </w:r>
            <w:r>
              <w:rPr>
                <w:rFonts w:cs="Times New Roman"/>
                <w:i/>
                <w:color w:val="314364" w:themeColor="text2"/>
                <w:sz w:val="16"/>
                <w:szCs w:val="24"/>
                <w:lang w:val="en-US"/>
              </w:rPr>
              <w:t xml:space="preserve">; </w:t>
            </w:r>
            <w:r>
              <w:rPr>
                <w:rFonts w:cs="Times New Roman"/>
                <w:i/>
                <w:color w:val="314364" w:themeColor="text2"/>
                <w:sz w:val="16"/>
                <w:szCs w:val="24"/>
              </w:rPr>
              <w:t>*skutočnosť je k </w:t>
            </w:r>
            <w:r w:rsidRPr="00843815">
              <w:rPr>
                <w:rFonts w:cs="Times New Roman"/>
                <w:i/>
                <w:color w:val="314364" w:themeColor="text2"/>
                <w:sz w:val="16"/>
                <w:szCs w:val="24"/>
              </w:rPr>
              <w:t>31.</w:t>
            </w:r>
            <w:r>
              <w:rPr>
                <w:rFonts w:cs="Times New Roman"/>
                <w:i/>
                <w:color w:val="314364" w:themeColor="text2"/>
                <w:sz w:val="16"/>
                <w:szCs w:val="24"/>
              </w:rPr>
              <w:t xml:space="preserve"> </w:t>
            </w:r>
            <w:r w:rsidRPr="00843815">
              <w:rPr>
                <w:rFonts w:cs="Times New Roman"/>
                <w:i/>
                <w:color w:val="314364" w:themeColor="text2"/>
                <w:sz w:val="16"/>
                <w:szCs w:val="24"/>
              </w:rPr>
              <w:t>10.</w:t>
            </w:r>
            <w:r>
              <w:rPr>
                <w:rFonts w:cs="Times New Roman"/>
                <w:i/>
                <w:color w:val="314364" w:themeColor="text2"/>
                <w:sz w:val="16"/>
                <w:szCs w:val="24"/>
              </w:rPr>
              <w:t xml:space="preserve"> </w:t>
            </w:r>
            <w:r w:rsidRPr="00843815">
              <w:rPr>
                <w:rFonts w:cs="Times New Roman"/>
                <w:i/>
                <w:color w:val="314364" w:themeColor="text2"/>
                <w:sz w:val="16"/>
                <w:szCs w:val="24"/>
              </w:rPr>
              <w:t>2021</w:t>
            </w:r>
          </w:p>
        </w:tc>
      </w:tr>
    </w:tbl>
    <w:p w14:paraId="0E703A15" w14:textId="4B4A5065" w:rsidR="00843815" w:rsidRDefault="00843815" w:rsidP="00C1712A">
      <w:pPr>
        <w:spacing w:before="120"/>
      </w:pPr>
      <w:r>
        <w:t>V rámci šiestej prioritnej osi (určená na modernizáciu ciest I. triedy a výstavbu rýchlostných ciest) bolo k </w:t>
      </w:r>
      <w:r w:rsidRPr="00912E54">
        <w:t>30. 9. 2021 potrebn</w:t>
      </w:r>
      <w:r>
        <w:t>é</w:t>
      </w:r>
      <w:r w:rsidRPr="00912E54">
        <w:t xml:space="preserve"> vyčerpať ešte 715 mil. eur z celkovej alokácie</w:t>
      </w:r>
      <w:r>
        <w:t xml:space="preserve"> 3. PO. Po odpočítaní prostriedkov určených na výstavbu rýchlostných ciest a obchvatov ostáva na rekonštrukcie ciest I. triedy zhruba 360 mil. eur. Vývoj čerpania prostriedkov na tejto osi indikuje, že v roku 2022 bude potrebné zvýšiť tempo čerpania na maximum a ani to nemusí stačiť. </w:t>
      </w:r>
      <w:r w:rsidRPr="00A478F0">
        <w:rPr>
          <w:b/>
        </w:rPr>
        <w:t xml:space="preserve">Napr. v roku 2022 </w:t>
      </w:r>
      <w:r>
        <w:rPr>
          <w:b/>
        </w:rPr>
        <w:t>bude</w:t>
      </w:r>
      <w:r w:rsidRPr="00A478F0">
        <w:rPr>
          <w:b/>
        </w:rPr>
        <w:t xml:space="preserve"> potrebné vyčerpať takmer desaťkrát viac prostriedkov ako sa minulo v roku 2020</w:t>
      </w:r>
      <w:r>
        <w:t xml:space="preserve"> (skutočnosť 2020: 23,1 mil. eur, rozpočet 2022: 201,7 mil. eur). K tomu treba prirátať ešte prostriedky tohtoročného rozpočtu, ktoré sa nestihnú vyčerpať a presunú sa do roku 2022 </w:t>
      </w:r>
      <w:r w:rsidRPr="00912E54">
        <w:t>(k 31. 10. 2021 sa vyčerpalo iba 26 mil. eur a do konca roka je potrebné vyčerpať ešte 193 mil. eur)</w:t>
      </w:r>
      <w:r w:rsidRPr="006F2B14">
        <w:t>.</w:t>
      </w:r>
      <w:r w:rsidR="00C1712A">
        <w:t xml:space="preserve"> </w:t>
      </w:r>
      <w:r>
        <w:t xml:space="preserve">Ak by sa dokázali minúť všetky prostriedky z fondov EÚ, </w:t>
      </w:r>
      <w:r>
        <w:rPr>
          <w:b/>
        </w:rPr>
        <w:t>prispelo</w:t>
      </w:r>
      <w:r w:rsidRPr="00123E72">
        <w:rPr>
          <w:b/>
        </w:rPr>
        <w:t xml:space="preserve"> </w:t>
      </w:r>
      <w:r w:rsidRPr="00123E72">
        <w:rPr>
          <w:b/>
        </w:rPr>
        <w:lastRenderedPageBreak/>
        <w:t>by to v ďalších rokoch k zlepšeniu stavu ciest I. triedy bez vážnejšieho vplyvu na ŠR.</w:t>
      </w:r>
      <w:r>
        <w:t xml:space="preserve"> Nemenej dôležité je však už teraz hľadať zdroje financovania na ďalšie roky, aby sa zabezpečila kontinuita rekonštrukcií a SR sa priblížila k stanovenému cieľu v roku 2030.</w:t>
      </w:r>
    </w:p>
    <w:p w14:paraId="649407F0" w14:textId="6FF05E1A" w:rsidR="00AE01AE" w:rsidRDefault="00AE01AE" w:rsidP="00432AD8">
      <w:pPr>
        <w:pStyle w:val="Nadpis2"/>
      </w:pPr>
      <w:bookmarkStart w:id="30" w:name="_Toc86396383"/>
      <w:bookmarkStart w:id="31" w:name="_Toc87345117"/>
      <w:r>
        <w:t>Environmentálna udržateľnosť</w:t>
      </w:r>
      <w:bookmarkEnd w:id="30"/>
      <w:bookmarkEnd w:id="31"/>
    </w:p>
    <w:p w14:paraId="2F42BDC5" w14:textId="6C1092D0" w:rsidR="002C16C4" w:rsidRDefault="002C16C4" w:rsidP="002C16C4">
      <w:pPr>
        <w:rPr>
          <w:rFonts w:cs="Segoe UI"/>
          <w:szCs w:val="20"/>
        </w:rPr>
      </w:pPr>
      <w:r>
        <w:rPr>
          <w:rFonts w:cs="Segoe UI"/>
          <w:szCs w:val="20"/>
        </w:rPr>
        <w:t>MŽP SR</w:t>
      </w:r>
      <w:r w:rsidRPr="00C31AC0">
        <w:rPr>
          <w:rFonts w:cs="Segoe UI"/>
          <w:szCs w:val="20"/>
        </w:rPr>
        <w:t xml:space="preserve"> </w:t>
      </w:r>
      <w:r w:rsidR="008A116D">
        <w:rPr>
          <w:rFonts w:cs="Segoe UI"/>
          <w:szCs w:val="20"/>
        </w:rPr>
        <w:t>m</w:t>
      </w:r>
      <w:r w:rsidRPr="00C31AC0">
        <w:rPr>
          <w:rFonts w:cs="Segoe UI"/>
          <w:szCs w:val="20"/>
        </w:rPr>
        <w:t>á na rok 2022 rozpočtované výdavky</w:t>
      </w:r>
      <w:r>
        <w:rPr>
          <w:rFonts w:cs="Segoe UI"/>
          <w:szCs w:val="20"/>
        </w:rPr>
        <w:t xml:space="preserve">, </w:t>
      </w:r>
      <w:r w:rsidRPr="006B1651">
        <w:rPr>
          <w:rFonts w:cs="Segoe UI"/>
          <w:szCs w:val="20"/>
        </w:rPr>
        <w:t xml:space="preserve">ktoré sú oproti schválenému rozpočtu </w:t>
      </w:r>
      <w:r w:rsidR="008A116D">
        <w:rPr>
          <w:rFonts w:cs="Segoe UI"/>
          <w:szCs w:val="20"/>
        </w:rPr>
        <w:t>na</w:t>
      </w:r>
      <w:r w:rsidRPr="006B1651">
        <w:rPr>
          <w:rFonts w:cs="Segoe UI"/>
          <w:szCs w:val="20"/>
        </w:rPr>
        <w:t xml:space="preserve"> rok 2021 vyššie o 35 %. Dôvodom nárastu je alokácia výdavkov z Plánu obnovy a odolnosti 213 mil. eur</w:t>
      </w:r>
      <w:r w:rsidR="008A116D">
        <w:rPr>
          <w:rFonts w:cs="Segoe UI"/>
          <w:szCs w:val="20"/>
        </w:rPr>
        <w:t>)</w:t>
      </w:r>
      <w:r w:rsidRPr="006B1651">
        <w:rPr>
          <w:rFonts w:cs="Segoe UI"/>
          <w:szCs w:val="20"/>
        </w:rPr>
        <w:t xml:space="preserve"> a z Modernizačného fondu </w:t>
      </w:r>
      <w:r w:rsidR="008A116D">
        <w:rPr>
          <w:rFonts w:cs="Segoe UI"/>
          <w:szCs w:val="20"/>
        </w:rPr>
        <w:t>(</w:t>
      </w:r>
      <w:r w:rsidRPr="006B1651">
        <w:rPr>
          <w:rFonts w:cs="Segoe UI"/>
          <w:szCs w:val="20"/>
        </w:rPr>
        <w:t>100 mil. eur rozpočtovan</w:t>
      </w:r>
      <w:r w:rsidR="008A116D">
        <w:rPr>
          <w:rFonts w:cs="Segoe UI"/>
          <w:szCs w:val="20"/>
        </w:rPr>
        <w:t>ých</w:t>
      </w:r>
      <w:r w:rsidRPr="006B1651">
        <w:rPr>
          <w:rFonts w:cs="Segoe UI"/>
          <w:szCs w:val="20"/>
        </w:rPr>
        <w:t xml:space="preserve"> v Environmentálnom fonde</w:t>
      </w:r>
      <w:r>
        <w:rPr>
          <w:rFonts w:cs="Segoe UI"/>
          <w:szCs w:val="20"/>
        </w:rPr>
        <w:t>)</w:t>
      </w:r>
      <w:r w:rsidRPr="006B1651">
        <w:rPr>
          <w:rFonts w:cs="Segoe UI"/>
          <w:szCs w:val="20"/>
        </w:rPr>
        <w:t xml:space="preserve"> určen</w:t>
      </w:r>
      <w:r>
        <w:rPr>
          <w:rFonts w:cs="Segoe UI"/>
          <w:szCs w:val="20"/>
        </w:rPr>
        <w:t>ých</w:t>
      </w:r>
      <w:r w:rsidRPr="006B1651">
        <w:rPr>
          <w:rFonts w:cs="Segoe UI"/>
          <w:szCs w:val="20"/>
        </w:rPr>
        <w:t xml:space="preserve"> na schému štátnej pomo</w:t>
      </w:r>
      <w:r>
        <w:rPr>
          <w:rFonts w:cs="Segoe UI"/>
          <w:szCs w:val="20"/>
        </w:rPr>
        <w:t xml:space="preserve">ci pre teplárenské spoločnosti. </w:t>
      </w:r>
      <w:r w:rsidRPr="00DC34B7">
        <w:rPr>
          <w:rFonts w:cs="Segoe UI"/>
          <w:szCs w:val="20"/>
        </w:rPr>
        <w:t>Štyri</w:t>
      </w:r>
      <w:r>
        <w:rPr>
          <w:rFonts w:cs="Segoe UI"/>
          <w:szCs w:val="20"/>
        </w:rPr>
        <w:t xml:space="preserve"> najväčšie </w:t>
      </w:r>
      <w:r w:rsidRPr="00DC34B7">
        <w:rPr>
          <w:rFonts w:cs="Segoe UI"/>
          <w:szCs w:val="20"/>
        </w:rPr>
        <w:t xml:space="preserve">programy spolu predstavujú 80 % celkových výdavkov kapitoly rozpočtovaných na rok 2022 (Tabuľka </w:t>
      </w:r>
      <w:r>
        <w:rPr>
          <w:rFonts w:cs="Segoe UI"/>
          <w:szCs w:val="20"/>
        </w:rPr>
        <w:t>12</w:t>
      </w:r>
      <w:r w:rsidR="00631C44">
        <w:rPr>
          <w:rFonts w:cs="Segoe UI"/>
          <w:szCs w:val="20"/>
        </w:rPr>
        <w:t>).</w:t>
      </w:r>
    </w:p>
    <w:p w14:paraId="7347B049" w14:textId="77777777" w:rsidR="008749D2" w:rsidRPr="002C16C4" w:rsidRDefault="008749D2" w:rsidP="008749D2">
      <w:pPr>
        <w:pStyle w:val="Bezriadkovania"/>
        <w:spacing w:line="240" w:lineRule="atLeast"/>
        <w:jc w:val="both"/>
        <w:rPr>
          <w:rFonts w:ascii="Segoe UI" w:eastAsia="Times New Roman" w:hAnsi="Segoe UI" w:cs="Segoe UI"/>
          <w:b/>
          <w:color w:val="314364"/>
          <w:sz w:val="20"/>
          <w:szCs w:val="24"/>
          <w:lang w:eastAsia="en-US"/>
        </w:rPr>
      </w:pPr>
      <w:r w:rsidRPr="002C16C4">
        <w:rPr>
          <w:rFonts w:ascii="Segoe UI" w:eastAsia="Times New Roman" w:hAnsi="Segoe UI" w:cs="Segoe UI"/>
          <w:b/>
          <w:color w:val="314364"/>
          <w:sz w:val="20"/>
          <w:szCs w:val="24"/>
          <w:lang w:eastAsia="en-US"/>
        </w:rPr>
        <w:t xml:space="preserve">Tabuľka 12: </w:t>
      </w:r>
      <w:r>
        <w:rPr>
          <w:rFonts w:ascii="Segoe UI" w:eastAsia="Times New Roman" w:hAnsi="Segoe UI" w:cs="Segoe UI"/>
          <w:b/>
          <w:color w:val="314364"/>
          <w:sz w:val="20"/>
          <w:szCs w:val="24"/>
          <w:lang w:eastAsia="en-US"/>
        </w:rPr>
        <w:t>A</w:t>
      </w:r>
      <w:r w:rsidRPr="002C16C4">
        <w:rPr>
          <w:rFonts w:ascii="Segoe UI" w:eastAsia="Times New Roman" w:hAnsi="Segoe UI" w:cs="Segoe UI"/>
          <w:b/>
          <w:color w:val="314364"/>
          <w:sz w:val="20"/>
          <w:szCs w:val="24"/>
          <w:lang w:eastAsia="en-US"/>
        </w:rPr>
        <w:t>lokácie finančných prostriedkov v</w:t>
      </w:r>
      <w:r>
        <w:rPr>
          <w:rFonts w:ascii="Segoe UI" w:eastAsia="Times New Roman" w:hAnsi="Segoe UI" w:cs="Segoe UI"/>
          <w:b/>
          <w:color w:val="314364"/>
          <w:sz w:val="20"/>
          <w:szCs w:val="24"/>
          <w:lang w:eastAsia="en-US"/>
        </w:rPr>
        <w:t> </w:t>
      </w:r>
      <w:r w:rsidRPr="002C16C4">
        <w:rPr>
          <w:rFonts w:ascii="Segoe UI" w:eastAsia="Times New Roman" w:hAnsi="Segoe UI" w:cs="Segoe UI"/>
          <w:b/>
          <w:color w:val="314364"/>
          <w:sz w:val="20"/>
          <w:szCs w:val="24"/>
          <w:lang w:eastAsia="en-US"/>
        </w:rPr>
        <w:t>jednotlivých</w:t>
      </w:r>
      <w:r>
        <w:rPr>
          <w:rFonts w:ascii="Segoe UI" w:eastAsia="Times New Roman" w:hAnsi="Segoe UI" w:cs="Segoe UI"/>
          <w:b/>
          <w:color w:val="314364"/>
          <w:sz w:val="20"/>
          <w:szCs w:val="24"/>
          <w:lang w:eastAsia="en-US"/>
        </w:rPr>
        <w:t xml:space="preserve"> oblastiach</w:t>
      </w:r>
      <w:r w:rsidRPr="002C16C4">
        <w:rPr>
          <w:rFonts w:ascii="Segoe UI" w:eastAsia="Times New Roman" w:hAnsi="Segoe UI" w:cs="Segoe UI"/>
          <w:b/>
          <w:color w:val="314364"/>
          <w:sz w:val="20"/>
          <w:szCs w:val="24"/>
          <w:lang w:eastAsia="en-US"/>
        </w:rPr>
        <w:t xml:space="preserve"> </w:t>
      </w:r>
      <w:r>
        <w:rPr>
          <w:rFonts w:ascii="Segoe UI" w:eastAsia="Times New Roman" w:hAnsi="Segoe UI" w:cs="Segoe UI"/>
          <w:b/>
          <w:color w:val="314364"/>
          <w:sz w:val="20"/>
          <w:szCs w:val="24"/>
          <w:lang w:eastAsia="en-US"/>
        </w:rPr>
        <w:t xml:space="preserve">v rokoch 2021 a </w:t>
      </w:r>
      <w:r w:rsidRPr="002C16C4">
        <w:rPr>
          <w:rFonts w:ascii="Segoe UI" w:eastAsia="Times New Roman" w:hAnsi="Segoe UI" w:cs="Segoe UI"/>
          <w:b/>
          <w:color w:val="314364"/>
          <w:sz w:val="20"/>
          <w:szCs w:val="24"/>
          <w:lang w:eastAsia="en-US"/>
        </w:rPr>
        <w:t xml:space="preserve">2022 </w:t>
      </w:r>
    </w:p>
    <w:tbl>
      <w:tblPr>
        <w:tblW w:w="5000" w:type="pct"/>
        <w:tblBorders>
          <w:bottom w:val="single" w:sz="4" w:space="0" w:color="314364" w:themeColor="text2"/>
        </w:tblBorders>
        <w:tblCellMar>
          <w:left w:w="70" w:type="dxa"/>
          <w:right w:w="70" w:type="dxa"/>
        </w:tblCellMar>
        <w:tblLook w:val="04A0" w:firstRow="1" w:lastRow="0" w:firstColumn="1" w:lastColumn="0" w:noHBand="0" w:noVBand="1"/>
      </w:tblPr>
      <w:tblGrid>
        <w:gridCol w:w="2613"/>
        <w:gridCol w:w="2449"/>
        <w:gridCol w:w="2248"/>
        <w:gridCol w:w="1760"/>
      </w:tblGrid>
      <w:tr w:rsidR="008749D2" w:rsidRPr="002C16C4" w14:paraId="00DF49BC" w14:textId="77777777" w:rsidTr="000634F6">
        <w:trPr>
          <w:trHeight w:val="170"/>
        </w:trPr>
        <w:tc>
          <w:tcPr>
            <w:tcW w:w="1441" w:type="pct"/>
            <w:vMerge w:val="restart"/>
            <w:shd w:val="clear" w:color="auto" w:fill="314364" w:themeFill="accent1"/>
            <w:vAlign w:val="center"/>
            <w:hideMark/>
          </w:tcPr>
          <w:p w14:paraId="2042C659" w14:textId="77777777" w:rsidR="008749D2" w:rsidRPr="002C16C4" w:rsidRDefault="008749D2" w:rsidP="000634F6">
            <w:pPr>
              <w:spacing w:after="0" w:line="240" w:lineRule="auto"/>
              <w:jc w:val="left"/>
              <w:rPr>
                <w:rFonts w:eastAsia="Times New Roman" w:cs="Segoe UI"/>
                <w:b/>
                <w:bCs/>
                <w:color w:val="FFFFFF"/>
                <w:sz w:val="18"/>
                <w:szCs w:val="18"/>
                <w:lang w:eastAsia="sk-SK"/>
              </w:rPr>
            </w:pPr>
            <w:r>
              <w:rPr>
                <w:rFonts w:eastAsia="Times New Roman" w:cs="Segoe UI"/>
                <w:b/>
                <w:bCs/>
                <w:color w:val="FFFFFF"/>
                <w:sz w:val="18"/>
                <w:szCs w:val="18"/>
                <w:lang w:eastAsia="sk-SK"/>
              </w:rPr>
              <w:t>Oblasť</w:t>
            </w:r>
          </w:p>
        </w:tc>
        <w:tc>
          <w:tcPr>
            <w:tcW w:w="2589" w:type="pct"/>
            <w:gridSpan w:val="2"/>
            <w:shd w:val="clear" w:color="auto" w:fill="314364" w:themeFill="accent1"/>
            <w:vAlign w:val="center"/>
            <w:hideMark/>
          </w:tcPr>
          <w:p w14:paraId="3CC0187A" w14:textId="77777777" w:rsidR="008749D2" w:rsidRPr="002C16C4" w:rsidRDefault="008749D2" w:rsidP="000634F6">
            <w:pPr>
              <w:spacing w:after="0" w:line="240" w:lineRule="auto"/>
              <w:rPr>
                <w:rFonts w:eastAsia="Times New Roman" w:cs="Segoe UI"/>
                <w:b/>
                <w:bCs/>
                <w:color w:val="FFFFFF"/>
                <w:sz w:val="18"/>
                <w:szCs w:val="18"/>
                <w:lang w:eastAsia="sk-SK"/>
              </w:rPr>
            </w:pPr>
            <w:r w:rsidRPr="002C16C4">
              <w:rPr>
                <w:rFonts w:eastAsia="Times New Roman" w:cs="Segoe UI"/>
                <w:b/>
                <w:bCs/>
                <w:color w:val="FFFFFF"/>
                <w:sz w:val="18"/>
                <w:szCs w:val="18"/>
                <w:lang w:eastAsia="sk-SK"/>
              </w:rPr>
              <w:t>Alokovaný objem finančných prostriedkov</w:t>
            </w:r>
            <w:r>
              <w:rPr>
                <w:rFonts w:eastAsia="Times New Roman" w:cs="Segoe UI"/>
                <w:b/>
                <w:bCs/>
                <w:color w:val="FFFFFF"/>
                <w:sz w:val="18"/>
                <w:szCs w:val="18"/>
                <w:lang w:eastAsia="sk-SK"/>
              </w:rPr>
              <w:t xml:space="preserve"> </w:t>
            </w:r>
            <w:r w:rsidRPr="002C16C4">
              <w:rPr>
                <w:rFonts w:eastAsia="Times New Roman" w:cs="Segoe UI"/>
                <w:b/>
                <w:bCs/>
                <w:color w:val="FFFFFF"/>
                <w:sz w:val="18"/>
                <w:szCs w:val="18"/>
                <w:lang w:eastAsia="sk-SK"/>
              </w:rPr>
              <w:t>(v tis. eur)</w:t>
            </w:r>
          </w:p>
        </w:tc>
        <w:tc>
          <w:tcPr>
            <w:tcW w:w="970" w:type="pct"/>
            <w:vMerge w:val="restart"/>
            <w:shd w:val="clear" w:color="auto" w:fill="314364" w:themeFill="accent1"/>
            <w:vAlign w:val="center"/>
          </w:tcPr>
          <w:p w14:paraId="3077D97C" w14:textId="77777777" w:rsidR="008749D2" w:rsidRPr="002C16C4" w:rsidRDefault="008749D2" w:rsidP="000634F6">
            <w:pPr>
              <w:spacing w:after="0" w:line="240" w:lineRule="auto"/>
              <w:jc w:val="center"/>
              <w:rPr>
                <w:rFonts w:eastAsia="Times New Roman" w:cs="Segoe UI"/>
                <w:b/>
                <w:bCs/>
                <w:color w:val="FFFFFF"/>
                <w:sz w:val="18"/>
                <w:szCs w:val="18"/>
                <w:lang w:eastAsia="sk-SK"/>
              </w:rPr>
            </w:pPr>
            <w:r>
              <w:rPr>
                <w:rFonts w:eastAsia="Times New Roman" w:cs="Segoe UI"/>
                <w:b/>
                <w:bCs/>
                <w:color w:val="FFFFFF"/>
                <w:sz w:val="18"/>
                <w:szCs w:val="18"/>
                <w:lang w:eastAsia="sk-SK"/>
              </w:rPr>
              <w:t xml:space="preserve">Medziročná zmena </w:t>
            </w:r>
            <w:r>
              <w:rPr>
                <w:rFonts w:eastAsia="Times New Roman" w:cs="Segoe UI"/>
                <w:b/>
                <w:bCs/>
                <w:color w:val="FFFFFF"/>
                <w:sz w:val="18"/>
                <w:szCs w:val="18"/>
                <w:lang w:eastAsia="sk-SK"/>
              </w:rPr>
              <w:br/>
              <w:t>(v %)</w:t>
            </w:r>
          </w:p>
        </w:tc>
      </w:tr>
      <w:tr w:rsidR="008749D2" w:rsidRPr="002C16C4" w14:paraId="1793631E" w14:textId="77777777" w:rsidTr="000634F6">
        <w:trPr>
          <w:trHeight w:val="283"/>
        </w:trPr>
        <w:tc>
          <w:tcPr>
            <w:tcW w:w="1441" w:type="pct"/>
            <w:vMerge/>
            <w:shd w:val="clear" w:color="auto" w:fill="314364" w:themeFill="accent1"/>
            <w:vAlign w:val="center"/>
          </w:tcPr>
          <w:p w14:paraId="111C630D" w14:textId="77777777" w:rsidR="008749D2" w:rsidRPr="002C16C4" w:rsidRDefault="008749D2" w:rsidP="000634F6">
            <w:pPr>
              <w:spacing w:after="0" w:line="240" w:lineRule="auto"/>
              <w:jc w:val="left"/>
              <w:rPr>
                <w:rFonts w:eastAsia="Times New Roman" w:cs="Segoe UI"/>
                <w:b/>
                <w:bCs/>
                <w:color w:val="FFFFFF"/>
                <w:sz w:val="18"/>
                <w:szCs w:val="18"/>
                <w:lang w:eastAsia="sk-SK"/>
              </w:rPr>
            </w:pPr>
          </w:p>
        </w:tc>
        <w:tc>
          <w:tcPr>
            <w:tcW w:w="1350" w:type="pct"/>
            <w:shd w:val="clear" w:color="auto" w:fill="314364" w:themeFill="accent1"/>
            <w:vAlign w:val="center"/>
          </w:tcPr>
          <w:p w14:paraId="0910B495" w14:textId="77777777" w:rsidR="008749D2" w:rsidRPr="002C16C4" w:rsidRDefault="008749D2" w:rsidP="000634F6">
            <w:pPr>
              <w:spacing w:after="0" w:line="240" w:lineRule="auto"/>
              <w:jc w:val="center"/>
              <w:rPr>
                <w:rFonts w:eastAsia="Times New Roman" w:cs="Segoe UI"/>
                <w:b/>
                <w:bCs/>
                <w:color w:val="FFFFFF"/>
                <w:sz w:val="18"/>
                <w:szCs w:val="18"/>
                <w:lang w:eastAsia="sk-SK"/>
              </w:rPr>
            </w:pPr>
            <w:r w:rsidRPr="002C16C4">
              <w:rPr>
                <w:rFonts w:eastAsia="Times New Roman" w:cs="Segoe UI"/>
                <w:b/>
                <w:bCs/>
                <w:color w:val="FFFFFF"/>
                <w:sz w:val="18"/>
                <w:szCs w:val="18"/>
                <w:lang w:eastAsia="sk-SK"/>
              </w:rPr>
              <w:t>2021</w:t>
            </w:r>
            <w:r>
              <w:rPr>
                <w:rFonts w:eastAsia="Times New Roman" w:cs="Segoe UI"/>
                <w:b/>
                <w:bCs/>
                <w:color w:val="FFFFFF"/>
                <w:sz w:val="18"/>
                <w:szCs w:val="18"/>
                <w:lang w:eastAsia="sk-SK"/>
              </w:rPr>
              <w:t xml:space="preserve"> OS</w:t>
            </w:r>
          </w:p>
        </w:tc>
        <w:tc>
          <w:tcPr>
            <w:tcW w:w="1238" w:type="pct"/>
            <w:shd w:val="clear" w:color="auto" w:fill="314364" w:themeFill="accent1"/>
            <w:vAlign w:val="center"/>
          </w:tcPr>
          <w:p w14:paraId="60EC6259" w14:textId="77777777" w:rsidR="008749D2" w:rsidRPr="002C16C4" w:rsidRDefault="008749D2" w:rsidP="000634F6">
            <w:pPr>
              <w:spacing w:after="0" w:line="240" w:lineRule="auto"/>
              <w:jc w:val="center"/>
              <w:rPr>
                <w:rFonts w:eastAsia="Times New Roman" w:cs="Segoe UI"/>
                <w:b/>
                <w:bCs/>
                <w:color w:val="FFFFFF"/>
                <w:sz w:val="18"/>
                <w:szCs w:val="18"/>
                <w:lang w:eastAsia="sk-SK"/>
              </w:rPr>
            </w:pPr>
            <w:r w:rsidRPr="002C16C4">
              <w:rPr>
                <w:rFonts w:eastAsia="Times New Roman" w:cs="Segoe UI"/>
                <w:b/>
                <w:bCs/>
                <w:color w:val="FFFFFF"/>
                <w:sz w:val="18"/>
                <w:szCs w:val="18"/>
                <w:lang w:eastAsia="sk-SK"/>
              </w:rPr>
              <w:t>2022</w:t>
            </w:r>
          </w:p>
        </w:tc>
        <w:tc>
          <w:tcPr>
            <w:tcW w:w="970" w:type="pct"/>
            <w:vMerge/>
            <w:shd w:val="clear" w:color="auto" w:fill="314364" w:themeFill="accent1"/>
          </w:tcPr>
          <w:p w14:paraId="6785EAF3" w14:textId="77777777" w:rsidR="008749D2" w:rsidRPr="002C16C4" w:rsidRDefault="008749D2" w:rsidP="000634F6">
            <w:pPr>
              <w:spacing w:after="0" w:line="240" w:lineRule="auto"/>
              <w:rPr>
                <w:rFonts w:eastAsia="Times New Roman" w:cs="Segoe UI"/>
                <w:b/>
                <w:bCs/>
                <w:color w:val="FFFFFF"/>
                <w:sz w:val="18"/>
                <w:szCs w:val="18"/>
                <w:lang w:eastAsia="sk-SK"/>
              </w:rPr>
            </w:pPr>
          </w:p>
        </w:tc>
      </w:tr>
      <w:tr w:rsidR="008749D2" w:rsidRPr="002C16C4" w14:paraId="112D0B93" w14:textId="77777777" w:rsidTr="000634F6">
        <w:trPr>
          <w:trHeight w:val="315"/>
        </w:trPr>
        <w:tc>
          <w:tcPr>
            <w:tcW w:w="1441" w:type="pct"/>
            <w:shd w:val="clear" w:color="auto" w:fill="auto"/>
            <w:vAlign w:val="center"/>
          </w:tcPr>
          <w:p w14:paraId="0C4E2C86" w14:textId="77777777" w:rsidR="008749D2" w:rsidRPr="002C16C4" w:rsidRDefault="008749D2" w:rsidP="000634F6">
            <w:pPr>
              <w:spacing w:after="0" w:line="240" w:lineRule="auto"/>
              <w:jc w:val="left"/>
              <w:rPr>
                <w:rFonts w:eastAsia="Times New Roman" w:cs="Segoe UI"/>
                <w:color w:val="000000"/>
                <w:sz w:val="18"/>
                <w:szCs w:val="18"/>
                <w:lang w:eastAsia="sk-SK"/>
              </w:rPr>
            </w:pPr>
            <w:r w:rsidRPr="002C16C4">
              <w:rPr>
                <w:rFonts w:eastAsia="Times New Roman" w:cs="Segoe UI"/>
                <w:color w:val="000000"/>
                <w:sz w:val="18"/>
                <w:szCs w:val="18"/>
                <w:lang w:eastAsia="sk-SK"/>
              </w:rPr>
              <w:t>1. Administratíva a iné</w:t>
            </w:r>
          </w:p>
        </w:tc>
        <w:tc>
          <w:tcPr>
            <w:tcW w:w="1350" w:type="pct"/>
            <w:shd w:val="clear" w:color="auto" w:fill="auto"/>
            <w:vAlign w:val="center"/>
          </w:tcPr>
          <w:p w14:paraId="2E0ED41E"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78 602</w:t>
            </w:r>
          </w:p>
        </w:tc>
        <w:tc>
          <w:tcPr>
            <w:tcW w:w="1238" w:type="pct"/>
            <w:shd w:val="clear" w:color="auto" w:fill="auto"/>
            <w:vAlign w:val="center"/>
          </w:tcPr>
          <w:p w14:paraId="09EC48A9"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233 625</w:t>
            </w:r>
          </w:p>
        </w:tc>
        <w:tc>
          <w:tcPr>
            <w:tcW w:w="970" w:type="pct"/>
            <w:vAlign w:val="center"/>
          </w:tcPr>
          <w:p w14:paraId="48AC32FE" w14:textId="77777777" w:rsidR="008749D2" w:rsidRPr="002C16C4" w:rsidRDefault="008749D2" w:rsidP="000634F6">
            <w:pPr>
              <w:pStyle w:val="Default"/>
              <w:jc w:val="center"/>
              <w:rPr>
                <w:rFonts w:ascii="Segoe UI" w:hAnsi="Segoe UI" w:cs="Segoe UI"/>
                <w:sz w:val="18"/>
                <w:szCs w:val="18"/>
              </w:rPr>
            </w:pPr>
            <w:r>
              <w:rPr>
                <w:rFonts w:ascii="Segoe UI" w:hAnsi="Segoe UI" w:cs="Segoe UI"/>
                <w:sz w:val="18"/>
                <w:szCs w:val="18"/>
              </w:rPr>
              <w:t>297,2</w:t>
            </w:r>
          </w:p>
        </w:tc>
      </w:tr>
      <w:tr w:rsidR="008749D2" w:rsidRPr="002C16C4" w14:paraId="2A091485" w14:textId="77777777" w:rsidTr="000634F6">
        <w:trPr>
          <w:trHeight w:val="315"/>
        </w:trPr>
        <w:tc>
          <w:tcPr>
            <w:tcW w:w="1441" w:type="pct"/>
            <w:shd w:val="clear" w:color="auto" w:fill="auto"/>
            <w:vAlign w:val="center"/>
          </w:tcPr>
          <w:p w14:paraId="0821BCF4" w14:textId="77777777" w:rsidR="008749D2" w:rsidRPr="002C16C4" w:rsidRDefault="008749D2" w:rsidP="000634F6">
            <w:pPr>
              <w:tabs>
                <w:tab w:val="left" w:pos="2280"/>
              </w:tabs>
              <w:spacing w:after="0" w:line="240" w:lineRule="auto"/>
              <w:jc w:val="left"/>
              <w:rPr>
                <w:rFonts w:eastAsia="Times New Roman" w:cs="Segoe UI"/>
                <w:color w:val="000000"/>
                <w:sz w:val="18"/>
                <w:szCs w:val="18"/>
                <w:lang w:eastAsia="sk-SK"/>
              </w:rPr>
            </w:pPr>
            <w:r w:rsidRPr="002C16C4">
              <w:rPr>
                <w:rFonts w:eastAsia="Times New Roman" w:cs="Segoe UI"/>
                <w:color w:val="000000"/>
                <w:sz w:val="18"/>
                <w:szCs w:val="18"/>
                <w:lang w:eastAsia="sk-SK"/>
              </w:rPr>
              <w:t>2. Vodné hospodárstvo</w:t>
            </w:r>
          </w:p>
        </w:tc>
        <w:tc>
          <w:tcPr>
            <w:tcW w:w="1350" w:type="pct"/>
            <w:shd w:val="clear" w:color="auto" w:fill="auto"/>
            <w:vAlign w:val="center"/>
          </w:tcPr>
          <w:p w14:paraId="115A991C"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291 679</w:t>
            </w:r>
          </w:p>
        </w:tc>
        <w:tc>
          <w:tcPr>
            <w:tcW w:w="1238" w:type="pct"/>
            <w:shd w:val="clear" w:color="auto" w:fill="auto"/>
            <w:vAlign w:val="center"/>
          </w:tcPr>
          <w:p w14:paraId="5BB0910D"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189</w:t>
            </w:r>
            <w:r>
              <w:rPr>
                <w:rFonts w:ascii="Segoe UI" w:hAnsi="Segoe UI" w:cs="Segoe UI"/>
                <w:sz w:val="18"/>
                <w:szCs w:val="18"/>
              </w:rPr>
              <w:t> </w:t>
            </w:r>
            <w:r w:rsidRPr="002C16C4">
              <w:rPr>
                <w:rFonts w:ascii="Segoe UI" w:hAnsi="Segoe UI" w:cs="Segoe UI"/>
                <w:sz w:val="18"/>
                <w:szCs w:val="18"/>
              </w:rPr>
              <w:t>354</w:t>
            </w:r>
          </w:p>
        </w:tc>
        <w:tc>
          <w:tcPr>
            <w:tcW w:w="970" w:type="pct"/>
            <w:vAlign w:val="center"/>
          </w:tcPr>
          <w:p w14:paraId="1FB97D4F" w14:textId="77777777" w:rsidR="008749D2" w:rsidRPr="002C16C4" w:rsidRDefault="008749D2" w:rsidP="000634F6">
            <w:pPr>
              <w:pStyle w:val="Default"/>
              <w:jc w:val="center"/>
              <w:rPr>
                <w:rFonts w:ascii="Segoe UI" w:hAnsi="Segoe UI" w:cs="Segoe UI"/>
                <w:sz w:val="18"/>
                <w:szCs w:val="18"/>
              </w:rPr>
            </w:pPr>
            <w:r>
              <w:rPr>
                <w:rFonts w:ascii="Segoe UI" w:hAnsi="Segoe UI" w:cs="Segoe UI"/>
                <w:sz w:val="18"/>
                <w:szCs w:val="18"/>
              </w:rPr>
              <w:t>64,9</w:t>
            </w:r>
          </w:p>
        </w:tc>
      </w:tr>
      <w:tr w:rsidR="008749D2" w:rsidRPr="002C16C4" w14:paraId="69954EF9" w14:textId="77777777" w:rsidTr="000634F6">
        <w:trPr>
          <w:trHeight w:val="312"/>
        </w:trPr>
        <w:tc>
          <w:tcPr>
            <w:tcW w:w="1441" w:type="pct"/>
            <w:shd w:val="clear" w:color="auto" w:fill="auto"/>
            <w:vAlign w:val="center"/>
          </w:tcPr>
          <w:p w14:paraId="3964FD78" w14:textId="77777777" w:rsidR="008749D2" w:rsidRPr="002C16C4" w:rsidRDefault="008749D2" w:rsidP="000634F6">
            <w:pPr>
              <w:spacing w:after="0" w:line="240" w:lineRule="auto"/>
              <w:jc w:val="left"/>
              <w:rPr>
                <w:rFonts w:eastAsia="Times New Roman" w:cs="Segoe UI"/>
                <w:color w:val="000000"/>
                <w:sz w:val="18"/>
                <w:szCs w:val="18"/>
                <w:lang w:eastAsia="sk-SK"/>
              </w:rPr>
            </w:pPr>
            <w:r w:rsidRPr="002C16C4">
              <w:rPr>
                <w:rFonts w:eastAsia="Times New Roman" w:cs="Segoe UI"/>
                <w:color w:val="000000"/>
                <w:sz w:val="18"/>
                <w:szCs w:val="18"/>
                <w:lang w:eastAsia="sk-SK"/>
              </w:rPr>
              <w:t>3. Ochrana ovzdušia</w:t>
            </w:r>
          </w:p>
        </w:tc>
        <w:tc>
          <w:tcPr>
            <w:tcW w:w="1350" w:type="pct"/>
            <w:shd w:val="clear" w:color="auto" w:fill="auto"/>
            <w:vAlign w:val="center"/>
          </w:tcPr>
          <w:p w14:paraId="725CC58C"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16 507</w:t>
            </w:r>
          </w:p>
        </w:tc>
        <w:tc>
          <w:tcPr>
            <w:tcW w:w="1238" w:type="pct"/>
            <w:shd w:val="clear" w:color="auto" w:fill="auto"/>
            <w:vAlign w:val="center"/>
          </w:tcPr>
          <w:p w14:paraId="6C138DB5"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128 781</w:t>
            </w:r>
          </w:p>
        </w:tc>
        <w:tc>
          <w:tcPr>
            <w:tcW w:w="970" w:type="pct"/>
            <w:vAlign w:val="center"/>
          </w:tcPr>
          <w:p w14:paraId="453050B7" w14:textId="77777777" w:rsidR="008749D2" w:rsidRPr="002C16C4" w:rsidRDefault="008749D2" w:rsidP="000634F6">
            <w:pPr>
              <w:pStyle w:val="Default"/>
              <w:jc w:val="center"/>
              <w:rPr>
                <w:rFonts w:ascii="Segoe UI" w:hAnsi="Segoe UI" w:cs="Segoe UI"/>
                <w:sz w:val="18"/>
                <w:szCs w:val="18"/>
              </w:rPr>
            </w:pPr>
            <w:r>
              <w:rPr>
                <w:rFonts w:ascii="Segoe UI" w:hAnsi="Segoe UI" w:cs="Segoe UI"/>
                <w:sz w:val="18"/>
                <w:szCs w:val="18"/>
              </w:rPr>
              <w:t>780,2</w:t>
            </w:r>
          </w:p>
        </w:tc>
      </w:tr>
      <w:tr w:rsidR="008749D2" w:rsidRPr="002C16C4" w14:paraId="0E977A17" w14:textId="77777777" w:rsidTr="000634F6">
        <w:trPr>
          <w:trHeight w:val="312"/>
        </w:trPr>
        <w:tc>
          <w:tcPr>
            <w:tcW w:w="1441" w:type="pct"/>
            <w:shd w:val="clear" w:color="auto" w:fill="auto"/>
            <w:vAlign w:val="center"/>
          </w:tcPr>
          <w:p w14:paraId="2003A623" w14:textId="77777777" w:rsidR="008749D2" w:rsidRPr="002C16C4" w:rsidRDefault="008749D2" w:rsidP="000634F6">
            <w:pPr>
              <w:spacing w:after="0" w:line="240" w:lineRule="auto"/>
              <w:jc w:val="left"/>
              <w:rPr>
                <w:rFonts w:eastAsia="Times New Roman" w:cs="Segoe UI"/>
                <w:color w:val="000000"/>
                <w:sz w:val="18"/>
                <w:szCs w:val="18"/>
                <w:lang w:eastAsia="sk-SK"/>
              </w:rPr>
            </w:pPr>
            <w:r w:rsidRPr="002C16C4">
              <w:rPr>
                <w:rFonts w:eastAsia="Times New Roman" w:cs="Segoe UI"/>
                <w:color w:val="000000"/>
                <w:sz w:val="18"/>
                <w:szCs w:val="18"/>
                <w:lang w:eastAsia="sk-SK"/>
              </w:rPr>
              <w:t xml:space="preserve">4. </w:t>
            </w:r>
            <w:proofErr w:type="spellStart"/>
            <w:r w:rsidRPr="002C16C4">
              <w:rPr>
                <w:rFonts w:eastAsia="Times New Roman" w:cs="Segoe UI"/>
                <w:color w:val="000000"/>
                <w:sz w:val="18"/>
                <w:szCs w:val="18"/>
                <w:lang w:eastAsia="sk-SK"/>
              </w:rPr>
              <w:t>Nízkouhlíkové</w:t>
            </w:r>
            <w:proofErr w:type="spellEnd"/>
            <w:r w:rsidRPr="002C16C4">
              <w:rPr>
                <w:rFonts w:eastAsia="Times New Roman" w:cs="Segoe UI"/>
                <w:color w:val="000000"/>
                <w:sz w:val="18"/>
                <w:szCs w:val="18"/>
                <w:lang w:eastAsia="sk-SK"/>
              </w:rPr>
              <w:t xml:space="preserve"> hospodárstvo</w:t>
            </w:r>
          </w:p>
        </w:tc>
        <w:tc>
          <w:tcPr>
            <w:tcW w:w="1350" w:type="pct"/>
            <w:shd w:val="clear" w:color="auto" w:fill="auto"/>
            <w:vAlign w:val="center"/>
          </w:tcPr>
          <w:p w14:paraId="470953F9"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67 582</w:t>
            </w:r>
          </w:p>
        </w:tc>
        <w:tc>
          <w:tcPr>
            <w:tcW w:w="1238" w:type="pct"/>
            <w:shd w:val="clear" w:color="auto" w:fill="auto"/>
            <w:vAlign w:val="center"/>
          </w:tcPr>
          <w:p w14:paraId="4BE74755"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96 105</w:t>
            </w:r>
          </w:p>
        </w:tc>
        <w:tc>
          <w:tcPr>
            <w:tcW w:w="970" w:type="pct"/>
            <w:vAlign w:val="center"/>
          </w:tcPr>
          <w:p w14:paraId="02A8537C" w14:textId="77777777" w:rsidR="008749D2" w:rsidRPr="002C16C4" w:rsidRDefault="008749D2" w:rsidP="000634F6">
            <w:pPr>
              <w:pStyle w:val="Default"/>
              <w:jc w:val="center"/>
              <w:rPr>
                <w:rFonts w:ascii="Segoe UI" w:hAnsi="Segoe UI" w:cs="Segoe UI"/>
                <w:sz w:val="18"/>
                <w:szCs w:val="18"/>
              </w:rPr>
            </w:pPr>
            <w:r>
              <w:rPr>
                <w:rFonts w:ascii="Segoe UI" w:hAnsi="Segoe UI" w:cs="Segoe UI"/>
                <w:sz w:val="18"/>
                <w:szCs w:val="18"/>
              </w:rPr>
              <w:t>142,2</w:t>
            </w:r>
          </w:p>
        </w:tc>
      </w:tr>
      <w:tr w:rsidR="008749D2" w:rsidRPr="002C16C4" w14:paraId="3D5FA431" w14:textId="77777777" w:rsidTr="000634F6">
        <w:trPr>
          <w:trHeight w:val="312"/>
        </w:trPr>
        <w:tc>
          <w:tcPr>
            <w:tcW w:w="1441" w:type="pct"/>
            <w:shd w:val="clear" w:color="auto" w:fill="auto"/>
            <w:vAlign w:val="center"/>
          </w:tcPr>
          <w:p w14:paraId="6433871E" w14:textId="77777777" w:rsidR="008749D2" w:rsidRPr="002C16C4" w:rsidRDefault="008749D2" w:rsidP="000634F6">
            <w:pPr>
              <w:spacing w:after="0" w:line="240" w:lineRule="auto"/>
              <w:jc w:val="left"/>
              <w:rPr>
                <w:rFonts w:eastAsia="Times New Roman" w:cs="Segoe UI"/>
                <w:color w:val="000000"/>
                <w:sz w:val="18"/>
                <w:szCs w:val="18"/>
                <w:lang w:eastAsia="sk-SK"/>
              </w:rPr>
            </w:pPr>
            <w:r w:rsidRPr="002C16C4">
              <w:rPr>
                <w:rFonts w:eastAsia="Times New Roman" w:cs="Segoe UI"/>
                <w:color w:val="000000"/>
                <w:sz w:val="18"/>
                <w:szCs w:val="18"/>
                <w:lang w:eastAsia="sk-SK"/>
              </w:rPr>
              <w:t>5. Ochrana prírody a krajiny</w:t>
            </w:r>
          </w:p>
        </w:tc>
        <w:tc>
          <w:tcPr>
            <w:tcW w:w="1350" w:type="pct"/>
            <w:shd w:val="clear" w:color="auto" w:fill="auto"/>
            <w:vAlign w:val="center"/>
          </w:tcPr>
          <w:p w14:paraId="27D374AC"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33 497</w:t>
            </w:r>
          </w:p>
        </w:tc>
        <w:tc>
          <w:tcPr>
            <w:tcW w:w="1238" w:type="pct"/>
            <w:shd w:val="clear" w:color="auto" w:fill="auto"/>
            <w:vAlign w:val="center"/>
          </w:tcPr>
          <w:p w14:paraId="762FBE1A"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52 748</w:t>
            </w:r>
          </w:p>
        </w:tc>
        <w:tc>
          <w:tcPr>
            <w:tcW w:w="970" w:type="pct"/>
            <w:vAlign w:val="center"/>
          </w:tcPr>
          <w:p w14:paraId="209CE08F" w14:textId="77777777" w:rsidR="008749D2" w:rsidRPr="002C16C4" w:rsidRDefault="008749D2" w:rsidP="000634F6">
            <w:pPr>
              <w:pStyle w:val="Default"/>
              <w:jc w:val="center"/>
              <w:rPr>
                <w:rFonts w:ascii="Segoe UI" w:hAnsi="Segoe UI" w:cs="Segoe UI"/>
                <w:sz w:val="18"/>
                <w:szCs w:val="18"/>
              </w:rPr>
            </w:pPr>
            <w:r>
              <w:rPr>
                <w:rFonts w:ascii="Segoe UI" w:hAnsi="Segoe UI" w:cs="Segoe UI"/>
                <w:sz w:val="18"/>
                <w:szCs w:val="18"/>
              </w:rPr>
              <w:t>157,5</w:t>
            </w:r>
          </w:p>
        </w:tc>
      </w:tr>
      <w:tr w:rsidR="008749D2" w:rsidRPr="002C16C4" w14:paraId="30421781" w14:textId="77777777" w:rsidTr="000634F6">
        <w:trPr>
          <w:trHeight w:val="312"/>
        </w:trPr>
        <w:tc>
          <w:tcPr>
            <w:tcW w:w="1441" w:type="pct"/>
            <w:shd w:val="clear" w:color="auto" w:fill="auto"/>
            <w:vAlign w:val="center"/>
          </w:tcPr>
          <w:p w14:paraId="192AC844" w14:textId="77777777" w:rsidR="008749D2" w:rsidRPr="002C16C4" w:rsidRDefault="008749D2" w:rsidP="000634F6">
            <w:pPr>
              <w:spacing w:after="0" w:line="240" w:lineRule="auto"/>
              <w:jc w:val="left"/>
              <w:rPr>
                <w:rFonts w:eastAsia="Times New Roman" w:cs="Segoe UI"/>
                <w:color w:val="000000"/>
                <w:sz w:val="18"/>
                <w:szCs w:val="18"/>
                <w:lang w:eastAsia="sk-SK"/>
              </w:rPr>
            </w:pPr>
            <w:r w:rsidRPr="002C16C4">
              <w:rPr>
                <w:rFonts w:eastAsia="Times New Roman" w:cs="Segoe UI"/>
                <w:color w:val="000000"/>
                <w:sz w:val="18"/>
                <w:szCs w:val="18"/>
                <w:lang w:eastAsia="sk-SK"/>
              </w:rPr>
              <w:t>6. Odpadové hospodárstvo</w:t>
            </w:r>
          </w:p>
        </w:tc>
        <w:tc>
          <w:tcPr>
            <w:tcW w:w="1350" w:type="pct"/>
            <w:shd w:val="clear" w:color="auto" w:fill="auto"/>
            <w:vAlign w:val="center"/>
          </w:tcPr>
          <w:p w14:paraId="195191BA"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32 915</w:t>
            </w:r>
          </w:p>
        </w:tc>
        <w:tc>
          <w:tcPr>
            <w:tcW w:w="1238" w:type="pct"/>
            <w:shd w:val="clear" w:color="auto" w:fill="auto"/>
            <w:vAlign w:val="center"/>
          </w:tcPr>
          <w:p w14:paraId="695048CF" w14:textId="77777777" w:rsidR="008749D2" w:rsidRPr="002C16C4" w:rsidRDefault="008749D2" w:rsidP="000634F6">
            <w:pPr>
              <w:pStyle w:val="Default"/>
              <w:jc w:val="center"/>
              <w:rPr>
                <w:rFonts w:ascii="Segoe UI" w:hAnsi="Segoe UI" w:cs="Segoe UI"/>
                <w:sz w:val="18"/>
                <w:szCs w:val="18"/>
              </w:rPr>
            </w:pPr>
            <w:r w:rsidRPr="002C16C4">
              <w:rPr>
                <w:rFonts w:ascii="Segoe UI" w:hAnsi="Segoe UI" w:cs="Segoe UI"/>
                <w:sz w:val="18"/>
                <w:szCs w:val="18"/>
              </w:rPr>
              <w:t>27 998</w:t>
            </w:r>
          </w:p>
        </w:tc>
        <w:tc>
          <w:tcPr>
            <w:tcW w:w="970" w:type="pct"/>
            <w:vAlign w:val="center"/>
          </w:tcPr>
          <w:p w14:paraId="48062EE6" w14:textId="77777777" w:rsidR="008749D2" w:rsidRPr="002C16C4" w:rsidRDefault="008749D2" w:rsidP="000634F6">
            <w:pPr>
              <w:pStyle w:val="Default"/>
              <w:jc w:val="center"/>
              <w:rPr>
                <w:rFonts w:ascii="Segoe UI" w:hAnsi="Segoe UI" w:cs="Segoe UI"/>
                <w:sz w:val="18"/>
                <w:szCs w:val="18"/>
              </w:rPr>
            </w:pPr>
            <w:r>
              <w:rPr>
                <w:rFonts w:ascii="Segoe UI" w:hAnsi="Segoe UI" w:cs="Segoe UI"/>
                <w:sz w:val="18"/>
                <w:szCs w:val="18"/>
              </w:rPr>
              <w:t>85,1</w:t>
            </w:r>
          </w:p>
        </w:tc>
      </w:tr>
    </w:tbl>
    <w:p w14:paraId="728C838E" w14:textId="28945B79" w:rsidR="008749D2" w:rsidRDefault="008749D2" w:rsidP="008749D2">
      <w:pPr>
        <w:pStyle w:val="Zdroj"/>
      </w:pPr>
      <w:r>
        <w:t>Zdroj:</w:t>
      </w:r>
      <w:r w:rsidRPr="0026414E">
        <w:t xml:space="preserve"> </w:t>
      </w:r>
      <w:r>
        <w:t xml:space="preserve">Návrh RVS na roky 2022 až 2024; </w:t>
      </w:r>
      <w:r w:rsidR="006F3C69">
        <w:t xml:space="preserve">OS – očakávaná </w:t>
      </w:r>
      <w:r>
        <w:t>skutočnosť</w:t>
      </w:r>
    </w:p>
    <w:p w14:paraId="64C66E49" w14:textId="7ACAE035" w:rsidR="002C16C4" w:rsidRDefault="002C16C4" w:rsidP="002C16C4">
      <w:pPr>
        <w:spacing w:before="120"/>
        <w:ind w:right="-113"/>
        <w:rPr>
          <w:rFonts w:cs="Segoe UI"/>
          <w:szCs w:val="20"/>
        </w:rPr>
      </w:pPr>
      <w:r w:rsidRPr="003E7068">
        <w:rPr>
          <w:rFonts w:cs="Segoe UI"/>
          <w:b/>
          <w:szCs w:val="20"/>
        </w:rPr>
        <w:t xml:space="preserve">Najväčší objem výdavkov je rozpočtovaný </w:t>
      </w:r>
      <w:r w:rsidR="00B16B2F">
        <w:rPr>
          <w:rFonts w:cs="Segoe UI"/>
          <w:b/>
          <w:szCs w:val="20"/>
        </w:rPr>
        <w:t>do oblasti</w:t>
      </w:r>
      <w:r w:rsidRPr="003E7068">
        <w:rPr>
          <w:rFonts w:cs="Segoe UI"/>
          <w:b/>
          <w:szCs w:val="20"/>
        </w:rPr>
        <w:t xml:space="preserve"> </w:t>
      </w:r>
      <w:r w:rsidRPr="003E7068">
        <w:rPr>
          <w:rFonts w:cs="Segoe UI"/>
          <w:b/>
          <w:i/>
          <w:szCs w:val="20"/>
        </w:rPr>
        <w:t>Administratíva a iné</w:t>
      </w:r>
      <w:r w:rsidRPr="006B1651">
        <w:rPr>
          <w:rFonts w:cs="Segoe UI"/>
          <w:szCs w:val="20"/>
        </w:rPr>
        <w:t>. Je to spôsobené navýšením výdavkov na inštitucionálnu podporu (financovani</w:t>
      </w:r>
      <w:r w:rsidR="008A116D">
        <w:rPr>
          <w:rFonts w:cs="Segoe UI"/>
          <w:szCs w:val="20"/>
        </w:rPr>
        <w:t>a</w:t>
      </w:r>
      <w:r w:rsidRPr="006B1651">
        <w:rPr>
          <w:rFonts w:cs="Segoe UI"/>
          <w:szCs w:val="20"/>
        </w:rPr>
        <w:t xml:space="preserve"> aktivít z Plánu obnovy </w:t>
      </w:r>
      <w:r w:rsidR="006F3C69">
        <w:rPr>
          <w:rFonts w:cs="Segoe UI"/>
          <w:szCs w:val="20"/>
        </w:rPr>
        <w:t xml:space="preserve">pre </w:t>
      </w:r>
      <w:r w:rsidRPr="006B1651">
        <w:rPr>
          <w:rFonts w:cs="Segoe UI"/>
          <w:szCs w:val="20"/>
        </w:rPr>
        <w:t xml:space="preserve">SAŽP </w:t>
      </w:r>
      <w:r w:rsidR="008A116D">
        <w:rPr>
          <w:rFonts w:cs="Segoe UI"/>
          <w:szCs w:val="20"/>
        </w:rPr>
        <w:t>(</w:t>
      </w:r>
      <w:r w:rsidRPr="006B1651">
        <w:rPr>
          <w:rFonts w:cs="Segoe UI"/>
          <w:szCs w:val="20"/>
        </w:rPr>
        <w:t>83,6 mil. eur</w:t>
      </w:r>
      <w:r w:rsidR="00744E13">
        <w:rPr>
          <w:rFonts w:cs="Segoe UI"/>
          <w:szCs w:val="20"/>
        </w:rPr>
        <w:t>)</w:t>
      </w:r>
      <w:r w:rsidRPr="006B1651">
        <w:rPr>
          <w:rFonts w:cs="Segoe UI"/>
          <w:szCs w:val="20"/>
        </w:rPr>
        <w:t>, ktor</w:t>
      </w:r>
      <w:r w:rsidR="006F3C69">
        <w:rPr>
          <w:rFonts w:cs="Segoe UI"/>
          <w:szCs w:val="20"/>
        </w:rPr>
        <w:t xml:space="preserve">é budú smerovať </w:t>
      </w:r>
      <w:r w:rsidRPr="006B1651">
        <w:rPr>
          <w:rFonts w:cs="Segoe UI"/>
          <w:szCs w:val="20"/>
        </w:rPr>
        <w:t>najmä na zlepšenie energetickej hospodárnosti rodinných domov a financiami z Environmentálneho fondu</w:t>
      </w:r>
      <w:r>
        <w:rPr>
          <w:rFonts w:cs="Segoe UI"/>
          <w:szCs w:val="20"/>
        </w:rPr>
        <w:t>.</w:t>
      </w:r>
    </w:p>
    <w:p w14:paraId="360FECBF" w14:textId="6834C223" w:rsidR="006F3C69" w:rsidRPr="00BC0460" w:rsidRDefault="006F3C69" w:rsidP="006F3C69">
      <w:pPr>
        <w:ind w:right="-113"/>
        <w:rPr>
          <w:rFonts w:cs="Segoe UI"/>
          <w:szCs w:val="20"/>
        </w:rPr>
      </w:pPr>
      <w:r>
        <w:rPr>
          <w:rFonts w:cs="Segoe UI"/>
          <w:szCs w:val="20"/>
        </w:rPr>
        <w:t xml:space="preserve">V oblasti </w:t>
      </w:r>
      <w:r w:rsidRPr="006B1651">
        <w:rPr>
          <w:rFonts w:cs="Segoe UI"/>
          <w:i/>
          <w:szCs w:val="20"/>
        </w:rPr>
        <w:t>Vodné hospodárstvo</w:t>
      </w:r>
      <w:r>
        <w:rPr>
          <w:rFonts w:cs="Segoe UI"/>
          <w:i/>
          <w:szCs w:val="20"/>
        </w:rPr>
        <w:t xml:space="preserve"> </w:t>
      </w:r>
      <w:r w:rsidRPr="00912E54">
        <w:rPr>
          <w:rFonts w:cs="Segoe UI"/>
          <w:szCs w:val="20"/>
        </w:rPr>
        <w:t xml:space="preserve">klesnú </w:t>
      </w:r>
      <w:r>
        <w:rPr>
          <w:rFonts w:cs="Segoe UI"/>
          <w:i/>
          <w:szCs w:val="20"/>
        </w:rPr>
        <w:t>v</w:t>
      </w:r>
      <w:r>
        <w:rPr>
          <w:rFonts w:cs="Segoe UI"/>
          <w:szCs w:val="20"/>
        </w:rPr>
        <w:t>ýdavky oproti roku 2021 o viac ako 35 %</w:t>
      </w:r>
      <w:r w:rsidRPr="006B1651">
        <w:rPr>
          <w:rFonts w:cs="Segoe UI"/>
          <w:szCs w:val="20"/>
        </w:rPr>
        <w:t xml:space="preserve">. </w:t>
      </w:r>
      <w:r w:rsidRPr="00DC34B7">
        <w:rPr>
          <w:rFonts w:cs="Segoe UI"/>
          <w:b/>
          <w:szCs w:val="20"/>
        </w:rPr>
        <w:t xml:space="preserve">Rizikom zostáva riadenie programu vzhľadom na to, že v praxi sa neuplatňuje </w:t>
      </w:r>
      <w:proofErr w:type="spellStart"/>
      <w:r w:rsidRPr="00DC34B7">
        <w:rPr>
          <w:rFonts w:cs="Segoe UI"/>
          <w:b/>
          <w:szCs w:val="20"/>
        </w:rPr>
        <w:t>priorizácia</w:t>
      </w:r>
      <w:proofErr w:type="spellEnd"/>
      <w:r w:rsidRPr="00DC34B7">
        <w:rPr>
          <w:rFonts w:cs="Segoe UI"/>
          <w:b/>
          <w:szCs w:val="20"/>
        </w:rPr>
        <w:t xml:space="preserve"> projektov protipovodňových opatrení tak, ako by to bolo potrebné.</w:t>
      </w:r>
      <w:r w:rsidRPr="006B1651">
        <w:rPr>
          <w:rFonts w:cs="Segoe UI"/>
          <w:szCs w:val="20"/>
        </w:rPr>
        <w:t xml:space="preserve"> Realizujú sa napr. menšie projekty s vysokou prioritou (len kvôli tomu, že sú v stave pripravenosti na realizáciu), avšak </w:t>
      </w:r>
      <w:r w:rsidR="00050F6E">
        <w:rPr>
          <w:rFonts w:cs="Segoe UI"/>
          <w:szCs w:val="20"/>
        </w:rPr>
        <w:t>mnoho</w:t>
      </w:r>
      <w:r w:rsidRPr="006B1651">
        <w:rPr>
          <w:rFonts w:cs="Segoe UI"/>
          <w:szCs w:val="20"/>
        </w:rPr>
        <w:t>krát s nedostatočným potenciálom predchádzať škodám v pomere k celkovým nákladom (náklady by mali byť minimá</w:t>
      </w:r>
      <w:r>
        <w:rPr>
          <w:rFonts w:cs="Segoe UI"/>
          <w:szCs w:val="20"/>
        </w:rPr>
        <w:t>lne vo výške zabránených škôd). Avšak p</w:t>
      </w:r>
      <w:r w:rsidRPr="006B1651">
        <w:rPr>
          <w:rFonts w:cs="Segoe UI"/>
          <w:szCs w:val="20"/>
        </w:rPr>
        <w:t>odľa Plánov manažmentu povodňového rizika</w:t>
      </w:r>
      <w:r>
        <w:rPr>
          <w:rFonts w:cs="Segoe UI"/>
          <w:szCs w:val="20"/>
        </w:rPr>
        <w:t xml:space="preserve"> </w:t>
      </w:r>
      <w:r w:rsidRPr="006B1651">
        <w:rPr>
          <w:rFonts w:cs="Segoe UI"/>
          <w:szCs w:val="20"/>
        </w:rPr>
        <w:t>na roky 2016 – 2021</w:t>
      </w:r>
      <w:r w:rsidRPr="00912E54">
        <w:rPr>
          <w:rStyle w:val="Odkaznapoznmkupodiarou"/>
          <w:rFonts w:cs="Segoe UI"/>
          <w:i/>
          <w:szCs w:val="20"/>
        </w:rPr>
        <w:footnoteReference w:id="45"/>
      </w:r>
      <w:r w:rsidRPr="00912E54">
        <w:rPr>
          <w:rFonts w:cs="Segoe UI"/>
          <w:i/>
          <w:szCs w:val="20"/>
          <w:vertAlign w:val="superscript"/>
        </w:rPr>
        <w:t>)</w:t>
      </w:r>
      <w:r w:rsidRPr="00912E54">
        <w:rPr>
          <w:rFonts w:cs="Segoe UI"/>
          <w:i/>
          <w:szCs w:val="20"/>
        </w:rPr>
        <w:t xml:space="preserve"> </w:t>
      </w:r>
      <w:r w:rsidRPr="006B1651">
        <w:rPr>
          <w:rFonts w:cs="Segoe UI"/>
          <w:szCs w:val="20"/>
        </w:rPr>
        <w:t xml:space="preserve"> sú len náklady na projekty v prvej prioritnej skupine vo výške 263 mil. e</w:t>
      </w:r>
      <w:r>
        <w:rPr>
          <w:rFonts w:cs="Segoe UI"/>
          <w:szCs w:val="20"/>
        </w:rPr>
        <w:t xml:space="preserve">ur. </w:t>
      </w:r>
      <w:r w:rsidRPr="00744E13">
        <w:rPr>
          <w:rFonts w:cs="Segoe UI"/>
          <w:szCs w:val="20"/>
        </w:rPr>
        <w:t xml:space="preserve">NKÚ SR </w:t>
      </w:r>
      <w:r>
        <w:rPr>
          <w:rFonts w:cs="Segoe UI"/>
          <w:szCs w:val="20"/>
        </w:rPr>
        <w:t>v</w:t>
      </w:r>
      <w:r w:rsidRPr="00F67F0E">
        <w:rPr>
          <w:rFonts w:cs="Segoe UI"/>
          <w:b/>
          <w:szCs w:val="20"/>
        </w:rPr>
        <w:t xml:space="preserve"> analýz</w:t>
      </w:r>
      <w:r>
        <w:rPr>
          <w:rFonts w:cs="Segoe UI"/>
          <w:b/>
          <w:szCs w:val="20"/>
        </w:rPr>
        <w:t>e</w:t>
      </w:r>
      <w:r w:rsidRPr="00F67F0E">
        <w:rPr>
          <w:rFonts w:cs="Segoe UI"/>
          <w:b/>
          <w:szCs w:val="20"/>
        </w:rPr>
        <w:t xml:space="preserve"> výdavkov použitých na realizáciu preventívnych opatrení na ochranu pred povodňami</w:t>
      </w:r>
      <w:r w:rsidRPr="008749D2">
        <w:rPr>
          <w:rStyle w:val="Odkaznapoznmkupodiarou"/>
          <w:rFonts w:cs="Segoe UI"/>
          <w:i/>
          <w:szCs w:val="20"/>
        </w:rPr>
        <w:footnoteReference w:id="46"/>
      </w:r>
      <w:r w:rsidRPr="008749D2">
        <w:rPr>
          <w:rFonts w:cs="Segoe UI"/>
          <w:i/>
          <w:szCs w:val="20"/>
          <w:vertAlign w:val="superscript"/>
        </w:rPr>
        <w:t>)</w:t>
      </w:r>
      <w:r w:rsidRPr="00744E13">
        <w:rPr>
          <w:rFonts w:cs="Segoe UI"/>
          <w:b/>
          <w:szCs w:val="20"/>
        </w:rPr>
        <w:t xml:space="preserve"> identifikoval rezervy v dosahovaní hospodárnosti pri využití verejných prostriedkov na tento účel</w:t>
      </w:r>
      <w:r w:rsidRPr="006B1651">
        <w:rPr>
          <w:rFonts w:cs="Segoe UI"/>
          <w:szCs w:val="20"/>
        </w:rPr>
        <w:t>. S</w:t>
      </w:r>
      <w:r w:rsidR="008A116D">
        <w:rPr>
          <w:rFonts w:cs="Segoe UI"/>
          <w:szCs w:val="20"/>
        </w:rPr>
        <w:t>VP</w:t>
      </w:r>
      <w:r>
        <w:rPr>
          <w:rFonts w:cs="Segoe UI"/>
          <w:szCs w:val="20"/>
        </w:rPr>
        <w:t>,</w:t>
      </w:r>
      <w:r w:rsidRPr="006B1651">
        <w:rPr>
          <w:rFonts w:cs="Segoe UI"/>
          <w:szCs w:val="20"/>
        </w:rPr>
        <w:t xml:space="preserve"> š.</w:t>
      </w:r>
      <w:r>
        <w:rPr>
          <w:rFonts w:cs="Segoe UI"/>
          <w:szCs w:val="20"/>
        </w:rPr>
        <w:t xml:space="preserve"> </w:t>
      </w:r>
      <w:r w:rsidRPr="006B1651">
        <w:rPr>
          <w:rFonts w:cs="Segoe UI"/>
          <w:szCs w:val="20"/>
        </w:rPr>
        <w:t xml:space="preserve">p. </w:t>
      </w:r>
      <w:r>
        <w:rPr>
          <w:rFonts w:cs="Segoe UI"/>
          <w:szCs w:val="20"/>
        </w:rPr>
        <w:t xml:space="preserve">ako správcovi vodných tokov </w:t>
      </w:r>
      <w:r w:rsidRPr="006B1651">
        <w:rPr>
          <w:rFonts w:cs="Segoe UI"/>
          <w:szCs w:val="20"/>
        </w:rPr>
        <w:t xml:space="preserve">sa </w:t>
      </w:r>
      <w:r>
        <w:rPr>
          <w:rFonts w:cs="Segoe UI"/>
          <w:szCs w:val="20"/>
        </w:rPr>
        <w:t xml:space="preserve">napr. </w:t>
      </w:r>
      <w:r w:rsidRPr="006B1651">
        <w:rPr>
          <w:rFonts w:cs="Segoe UI"/>
          <w:szCs w:val="20"/>
        </w:rPr>
        <w:t>dlhodobo nedarí realizovať úspory na základe výsledkov</w:t>
      </w:r>
      <w:r>
        <w:rPr>
          <w:rFonts w:cs="Segoe UI"/>
          <w:szCs w:val="20"/>
        </w:rPr>
        <w:t xml:space="preserve"> externého </w:t>
      </w:r>
      <w:r w:rsidRPr="006B1651">
        <w:rPr>
          <w:rFonts w:cs="Segoe UI"/>
          <w:szCs w:val="20"/>
        </w:rPr>
        <w:t>auditu</w:t>
      </w:r>
      <w:r w:rsidRPr="00EE17DE">
        <w:rPr>
          <w:rStyle w:val="Odkaznapoznmkupodiarou"/>
          <w:rFonts w:cs="Segoe UI"/>
          <w:i/>
          <w:szCs w:val="20"/>
        </w:rPr>
        <w:footnoteReference w:id="47"/>
      </w:r>
      <w:r w:rsidRPr="00EE17DE">
        <w:rPr>
          <w:rFonts w:cs="Segoe UI"/>
          <w:i/>
          <w:szCs w:val="20"/>
          <w:vertAlign w:val="superscript"/>
        </w:rPr>
        <w:t>)</w:t>
      </w:r>
      <w:r w:rsidRPr="006B1651">
        <w:rPr>
          <w:rFonts w:cs="Segoe UI"/>
          <w:szCs w:val="20"/>
        </w:rPr>
        <w:t xml:space="preserve"> (2017, plánované úspory vo výške približne 20 mil. eur)</w:t>
      </w:r>
      <w:r w:rsidRPr="00EE17DE">
        <w:rPr>
          <w:rStyle w:val="Odkaznapoznmkupodiarou"/>
          <w:rFonts w:cs="Segoe UI"/>
          <w:i/>
          <w:szCs w:val="20"/>
        </w:rPr>
        <w:footnoteReference w:id="48"/>
      </w:r>
      <w:r w:rsidRPr="00EE17DE">
        <w:rPr>
          <w:rFonts w:cs="Segoe UI"/>
          <w:i/>
          <w:szCs w:val="20"/>
          <w:vertAlign w:val="superscript"/>
        </w:rPr>
        <w:t>)</w:t>
      </w:r>
      <w:r w:rsidR="001C5FF2">
        <w:rPr>
          <w:rFonts w:cs="Segoe UI"/>
          <w:i/>
          <w:szCs w:val="20"/>
        </w:rPr>
        <w:t>.</w:t>
      </w:r>
      <w:r w:rsidRPr="006B1651">
        <w:rPr>
          <w:rFonts w:cs="Segoe UI"/>
          <w:szCs w:val="20"/>
        </w:rPr>
        <w:t xml:space="preserve"> Menšie úspory sa podarilo uskutočniť (zníženie počtu zamestnancov, nižšie náklady na prenájom pozemkov), zároveň však vzrástli náklady </w:t>
      </w:r>
      <w:r>
        <w:rPr>
          <w:rFonts w:cs="Segoe UI"/>
          <w:szCs w:val="20"/>
        </w:rPr>
        <w:t>na</w:t>
      </w:r>
      <w:r w:rsidRPr="006B1651">
        <w:rPr>
          <w:rFonts w:cs="Segoe UI"/>
          <w:szCs w:val="20"/>
        </w:rPr>
        <w:t xml:space="preserve"> mzdy ako aj náklad</w:t>
      </w:r>
      <w:r>
        <w:rPr>
          <w:rFonts w:cs="Segoe UI"/>
          <w:szCs w:val="20"/>
        </w:rPr>
        <w:t>y</w:t>
      </w:r>
      <w:r w:rsidRPr="006B1651">
        <w:rPr>
          <w:rFonts w:cs="Segoe UI"/>
          <w:szCs w:val="20"/>
        </w:rPr>
        <w:t xml:space="preserve"> na opravy a údržbu, ktor</w:t>
      </w:r>
      <w:r>
        <w:rPr>
          <w:rFonts w:cs="Segoe UI"/>
          <w:szCs w:val="20"/>
        </w:rPr>
        <w:t>é</w:t>
      </w:r>
      <w:r w:rsidRPr="006B1651">
        <w:rPr>
          <w:rFonts w:cs="Segoe UI"/>
          <w:szCs w:val="20"/>
        </w:rPr>
        <w:t xml:space="preserve"> odráža</w:t>
      </w:r>
      <w:r>
        <w:rPr>
          <w:rFonts w:cs="Segoe UI"/>
          <w:szCs w:val="20"/>
        </w:rPr>
        <w:t>jú</w:t>
      </w:r>
      <w:r w:rsidRPr="006B1651">
        <w:rPr>
          <w:rFonts w:cs="Segoe UI"/>
          <w:szCs w:val="20"/>
        </w:rPr>
        <w:t xml:space="preserve"> zastara</w:t>
      </w:r>
      <w:r>
        <w:rPr>
          <w:rFonts w:cs="Segoe UI"/>
          <w:szCs w:val="20"/>
        </w:rPr>
        <w:t>né technické vybavenie podniku</w:t>
      </w:r>
      <w:r w:rsidRPr="00EE17DE">
        <w:rPr>
          <w:rStyle w:val="Odkaznapoznmkupodiarou"/>
          <w:rFonts w:cs="Segoe UI"/>
          <w:i/>
          <w:szCs w:val="20"/>
        </w:rPr>
        <w:footnoteReference w:id="49"/>
      </w:r>
      <w:r w:rsidRPr="00EE17DE">
        <w:rPr>
          <w:rFonts w:cs="Segoe UI"/>
          <w:i/>
          <w:szCs w:val="20"/>
          <w:vertAlign w:val="superscript"/>
        </w:rPr>
        <w:t>)</w:t>
      </w:r>
      <w:r w:rsidR="001C5FF2">
        <w:rPr>
          <w:rFonts w:cs="Segoe UI"/>
          <w:i/>
          <w:szCs w:val="20"/>
        </w:rPr>
        <w:t>.</w:t>
      </w:r>
      <w:r>
        <w:rPr>
          <w:rFonts w:cs="Segoe UI"/>
          <w:szCs w:val="20"/>
        </w:rPr>
        <w:t xml:space="preserve"> </w:t>
      </w:r>
      <w:r w:rsidRPr="00BC0460">
        <w:rPr>
          <w:rFonts w:cs="Segoe UI"/>
          <w:szCs w:val="20"/>
        </w:rPr>
        <w:t xml:space="preserve">Značné investície budú nutné aj v prípade zanedbanej infraštruktúry vodných stavieb </w:t>
      </w:r>
      <w:r>
        <w:rPr>
          <w:rFonts w:cs="Segoe UI"/>
          <w:szCs w:val="20"/>
        </w:rPr>
        <w:t>(</w:t>
      </w:r>
      <w:r w:rsidRPr="00BC0460">
        <w:rPr>
          <w:rFonts w:cs="Segoe UI"/>
          <w:szCs w:val="20"/>
        </w:rPr>
        <w:t>približne 900 mil. eur</w:t>
      </w:r>
      <w:r>
        <w:rPr>
          <w:rFonts w:cs="Segoe UI"/>
          <w:szCs w:val="20"/>
        </w:rPr>
        <w:t>)</w:t>
      </w:r>
      <w:r w:rsidRPr="00BC0460">
        <w:rPr>
          <w:rFonts w:cs="Segoe UI"/>
          <w:szCs w:val="20"/>
        </w:rPr>
        <w:t>. Na revitalizáciu tokov by mali byť použité finančné prostriedky z Plánu obnovy a</w:t>
      </w:r>
      <w:r>
        <w:rPr>
          <w:rFonts w:cs="Segoe UI"/>
          <w:szCs w:val="20"/>
        </w:rPr>
        <w:t> </w:t>
      </w:r>
      <w:r w:rsidRPr="00BC0460">
        <w:rPr>
          <w:rFonts w:cs="Segoe UI"/>
          <w:szCs w:val="20"/>
        </w:rPr>
        <w:t>odolnosti</w:t>
      </w:r>
      <w:r>
        <w:rPr>
          <w:rFonts w:cs="Segoe UI"/>
          <w:szCs w:val="20"/>
        </w:rPr>
        <w:t xml:space="preserve"> (</w:t>
      </w:r>
      <w:r w:rsidRPr="00BC0460">
        <w:rPr>
          <w:rFonts w:cs="Segoe UI"/>
          <w:szCs w:val="20"/>
        </w:rPr>
        <w:t>približne 62,4 mil. eur</w:t>
      </w:r>
      <w:r>
        <w:rPr>
          <w:rFonts w:cs="Segoe UI"/>
          <w:szCs w:val="20"/>
        </w:rPr>
        <w:t>)</w:t>
      </w:r>
      <w:r w:rsidRPr="00BC0460">
        <w:rPr>
          <w:rFonts w:cs="Segoe UI"/>
          <w:szCs w:val="20"/>
        </w:rPr>
        <w:t>.</w:t>
      </w:r>
    </w:p>
    <w:p w14:paraId="6B01E304" w14:textId="0C59C382" w:rsidR="00AE75ED" w:rsidRPr="000B379D" w:rsidRDefault="00AE75ED" w:rsidP="00AE75ED">
      <w:pPr>
        <w:ind w:right="-113"/>
        <w:rPr>
          <w:rFonts w:cs="Segoe UI"/>
          <w:szCs w:val="20"/>
        </w:rPr>
      </w:pPr>
      <w:r w:rsidRPr="00F67F0E">
        <w:rPr>
          <w:rFonts w:cs="Segoe UI"/>
          <w:b/>
          <w:szCs w:val="20"/>
        </w:rPr>
        <w:lastRenderedPageBreak/>
        <w:t>SR dlhodobo zaostáva za priemerom krajín EÚ v oblasti napojenia na čistiarne odpadových vôd</w:t>
      </w:r>
      <w:r w:rsidRPr="00050F6E">
        <w:rPr>
          <w:rFonts w:cs="Segoe UI"/>
          <w:szCs w:val="20"/>
        </w:rPr>
        <w:t xml:space="preserve">. </w:t>
      </w:r>
      <w:r>
        <w:rPr>
          <w:rFonts w:cs="Segoe UI"/>
          <w:szCs w:val="20"/>
        </w:rPr>
        <w:t>Aj napriek zaviazaniu sa vlády v PVV k riešeniu situácie v</w:t>
      </w:r>
      <w:r w:rsidRPr="006B3740">
        <w:rPr>
          <w:rFonts w:cs="Segoe UI"/>
          <w:szCs w:val="20"/>
        </w:rPr>
        <w:t> ob</w:t>
      </w:r>
      <w:r w:rsidRPr="00BC0460">
        <w:rPr>
          <w:rFonts w:cs="Segoe UI"/>
          <w:szCs w:val="20"/>
        </w:rPr>
        <w:t xml:space="preserve">lasti investícií do </w:t>
      </w:r>
      <w:proofErr w:type="spellStart"/>
      <w:r w:rsidRPr="00BC0460">
        <w:rPr>
          <w:rFonts w:cs="Segoe UI"/>
          <w:szCs w:val="20"/>
        </w:rPr>
        <w:t>odkanalizovania</w:t>
      </w:r>
      <w:proofErr w:type="spellEnd"/>
      <w:r>
        <w:rPr>
          <w:rFonts w:cs="Segoe UI"/>
          <w:szCs w:val="20"/>
        </w:rPr>
        <w:t xml:space="preserve"> naďalej pretrvávajú </w:t>
      </w:r>
      <w:r w:rsidRPr="00BC0460">
        <w:rPr>
          <w:rFonts w:cs="Segoe UI"/>
          <w:szCs w:val="20"/>
        </w:rPr>
        <w:t>značné rezervy</w:t>
      </w:r>
      <w:r>
        <w:rPr>
          <w:rFonts w:cs="Segoe UI"/>
          <w:szCs w:val="20"/>
        </w:rPr>
        <w:t xml:space="preserve"> vzhľa</w:t>
      </w:r>
      <w:r w:rsidR="001C5FF2">
        <w:rPr>
          <w:rFonts w:cs="Segoe UI"/>
          <w:szCs w:val="20"/>
        </w:rPr>
        <w:t>dom na rozpočtované prostriedky</w:t>
      </w:r>
      <w:r w:rsidRPr="00EE17DE">
        <w:rPr>
          <w:rStyle w:val="Odkaznapoznmkupodiarou"/>
          <w:rFonts w:cs="Segoe UI"/>
          <w:i/>
          <w:szCs w:val="20"/>
        </w:rPr>
        <w:footnoteReference w:id="50"/>
      </w:r>
      <w:r w:rsidRPr="00912E54">
        <w:rPr>
          <w:rFonts w:cs="Segoe UI"/>
          <w:szCs w:val="20"/>
          <w:vertAlign w:val="superscript"/>
        </w:rPr>
        <w:t>)</w:t>
      </w:r>
      <w:r w:rsidR="001C5FF2">
        <w:rPr>
          <w:rFonts w:cs="Segoe UI"/>
          <w:szCs w:val="20"/>
        </w:rPr>
        <w:t>.</w:t>
      </w:r>
      <w:r w:rsidRPr="00EE17DE">
        <w:rPr>
          <w:rFonts w:cs="Segoe UI"/>
          <w:i/>
          <w:szCs w:val="20"/>
        </w:rPr>
        <w:t xml:space="preserve"> </w:t>
      </w:r>
      <w:r>
        <w:rPr>
          <w:rFonts w:cs="Segoe UI"/>
          <w:szCs w:val="20"/>
        </w:rPr>
        <w:t>Problémy pretrvávajú aj v miere napojenia obyvateľstva</w:t>
      </w:r>
      <w:r w:rsidRPr="00EE17DE">
        <w:rPr>
          <w:rStyle w:val="Odkaznapoznmkupodiarou"/>
          <w:rFonts w:cs="Segoe UI"/>
          <w:i/>
          <w:szCs w:val="20"/>
        </w:rPr>
        <w:footnoteReference w:id="51"/>
      </w:r>
      <w:r w:rsidRPr="00EE17DE">
        <w:rPr>
          <w:rFonts w:cs="Segoe UI"/>
          <w:i/>
          <w:szCs w:val="20"/>
          <w:vertAlign w:val="superscript"/>
        </w:rPr>
        <w:t>)</w:t>
      </w:r>
      <w:r>
        <w:rPr>
          <w:rFonts w:cs="Segoe UI"/>
          <w:szCs w:val="20"/>
        </w:rPr>
        <w:t xml:space="preserve"> na verejný vodovod, keďže </w:t>
      </w:r>
      <w:r w:rsidRPr="009F20DE">
        <w:rPr>
          <w:rFonts w:cs="Segoe UI"/>
          <w:b/>
          <w:szCs w:val="20"/>
        </w:rPr>
        <w:t>477 obcí</w:t>
      </w:r>
      <w:r>
        <w:rPr>
          <w:rFonts w:cs="Segoe UI"/>
          <w:b/>
          <w:szCs w:val="20"/>
        </w:rPr>
        <w:t xml:space="preserve"> je stále</w:t>
      </w:r>
      <w:r w:rsidRPr="009F20DE">
        <w:rPr>
          <w:rFonts w:cs="Segoe UI"/>
          <w:b/>
          <w:szCs w:val="20"/>
        </w:rPr>
        <w:t xml:space="preserve"> bez verejného vodovodu</w:t>
      </w:r>
      <w:r w:rsidRPr="00050F6E">
        <w:rPr>
          <w:rFonts w:cs="Segoe UI"/>
          <w:szCs w:val="20"/>
        </w:rPr>
        <w:t xml:space="preserve">. </w:t>
      </w:r>
      <w:r w:rsidRPr="000B379D">
        <w:rPr>
          <w:rFonts w:cs="Segoe UI"/>
          <w:szCs w:val="20"/>
        </w:rPr>
        <w:t>Samostatnú investičnú časť predstavujú rekonštrukcie vodovodov a kanalizácií</w:t>
      </w:r>
      <w:r w:rsidRPr="000B379D">
        <w:rPr>
          <w:rStyle w:val="Odkaznapoznmkupodiarou"/>
          <w:rFonts w:cs="Segoe UI"/>
          <w:i/>
          <w:szCs w:val="20"/>
        </w:rPr>
        <w:footnoteReference w:id="52"/>
      </w:r>
      <w:r w:rsidRPr="000B379D">
        <w:rPr>
          <w:rFonts w:cs="Segoe UI"/>
          <w:i/>
          <w:szCs w:val="20"/>
          <w:vertAlign w:val="superscript"/>
        </w:rPr>
        <w:t>)</w:t>
      </w:r>
      <w:r w:rsidR="001C5FF2">
        <w:rPr>
          <w:rFonts w:cs="Segoe UI"/>
          <w:i/>
          <w:szCs w:val="20"/>
        </w:rPr>
        <w:t>.</w:t>
      </w:r>
      <w:r w:rsidRPr="000B379D">
        <w:rPr>
          <w:rFonts w:cs="Segoe UI"/>
          <w:i/>
          <w:szCs w:val="20"/>
        </w:rPr>
        <w:t xml:space="preserve"> </w:t>
      </w:r>
      <w:r w:rsidRPr="000B379D">
        <w:rPr>
          <w:rFonts w:cs="Segoe UI"/>
          <w:szCs w:val="20"/>
        </w:rPr>
        <w:t>Z Plánov rozvoja</w:t>
      </w:r>
      <w:r w:rsidRPr="000B379D">
        <w:rPr>
          <w:rFonts w:cs="Segoe UI"/>
          <w:i/>
          <w:szCs w:val="20"/>
          <w:vertAlign w:val="superscript"/>
        </w:rPr>
        <w:footnoteReference w:id="53"/>
      </w:r>
      <w:r w:rsidRPr="000B379D">
        <w:rPr>
          <w:rFonts w:cs="Segoe UI"/>
          <w:i/>
          <w:szCs w:val="20"/>
          <w:vertAlign w:val="superscript"/>
        </w:rPr>
        <w:t>)</w:t>
      </w:r>
      <w:r w:rsidRPr="000B379D">
        <w:rPr>
          <w:rFonts w:cs="Segoe UI"/>
          <w:szCs w:val="20"/>
        </w:rPr>
        <w:t xml:space="preserve"> vyplýva, že predpokladané rozpočtovo nezabezpečené finančné prostriedky v rokoch 2021 – 2027</w:t>
      </w:r>
      <w:r w:rsidR="00050F6E">
        <w:rPr>
          <w:rFonts w:cs="Segoe UI"/>
          <w:szCs w:val="20"/>
        </w:rPr>
        <w:t>,</w:t>
      </w:r>
      <w:r w:rsidRPr="000B379D">
        <w:rPr>
          <w:rFonts w:cs="Segoe UI"/>
          <w:szCs w:val="20"/>
        </w:rPr>
        <w:t xml:space="preserve"> potrebné na rozvoj predstavujú približne 747,51 mil. eur na verejné kanalizácie a 369,20 mil. eur na verejné vodovody (na úrovni 91,5 % </w:t>
      </w:r>
      <w:proofErr w:type="spellStart"/>
      <w:r w:rsidRPr="000B379D">
        <w:rPr>
          <w:rFonts w:cs="Segoe UI"/>
          <w:szCs w:val="20"/>
        </w:rPr>
        <w:t>zásobovanosti</w:t>
      </w:r>
      <w:proofErr w:type="spellEnd"/>
      <w:r w:rsidRPr="000B379D">
        <w:rPr>
          <w:rFonts w:cs="Segoe UI"/>
          <w:szCs w:val="20"/>
        </w:rPr>
        <w:t xml:space="preserve">). </w:t>
      </w:r>
    </w:p>
    <w:p w14:paraId="2445D915" w14:textId="71B907BF" w:rsidR="00AE75ED" w:rsidRDefault="00AE75ED" w:rsidP="00AE75ED">
      <w:pPr>
        <w:ind w:right="-113"/>
        <w:rPr>
          <w:rFonts w:cs="Segoe UI"/>
          <w:szCs w:val="20"/>
        </w:rPr>
      </w:pPr>
      <w:r>
        <w:rPr>
          <w:rFonts w:cs="Segoe UI"/>
          <w:szCs w:val="20"/>
        </w:rPr>
        <w:t>Aj napriek zaostávaniu</w:t>
      </w:r>
      <w:r w:rsidRPr="006B3740">
        <w:rPr>
          <w:rFonts w:cs="Segoe UI"/>
          <w:szCs w:val="20"/>
        </w:rPr>
        <w:t xml:space="preserve"> S</w:t>
      </w:r>
      <w:r w:rsidR="008A116D">
        <w:rPr>
          <w:rFonts w:cs="Segoe UI"/>
          <w:szCs w:val="20"/>
        </w:rPr>
        <w:t>R</w:t>
      </w:r>
      <w:r w:rsidRPr="006B3740">
        <w:rPr>
          <w:rFonts w:cs="Segoe UI"/>
          <w:szCs w:val="20"/>
        </w:rPr>
        <w:t xml:space="preserve"> v medzinárodnom porovnaní v </w:t>
      </w:r>
      <w:r w:rsidR="008A116D" w:rsidRPr="008A116D">
        <w:rPr>
          <w:rFonts w:cs="Segoe UI"/>
          <w:i/>
          <w:szCs w:val="20"/>
        </w:rPr>
        <w:t>O</w:t>
      </w:r>
      <w:r w:rsidRPr="008A116D">
        <w:rPr>
          <w:rFonts w:cs="Segoe UI"/>
          <w:i/>
          <w:szCs w:val="20"/>
        </w:rPr>
        <w:t>chrane ovzdušia</w:t>
      </w:r>
      <w:r>
        <w:rPr>
          <w:rFonts w:cs="Segoe UI"/>
          <w:szCs w:val="20"/>
        </w:rPr>
        <w:t>, n</w:t>
      </w:r>
      <w:r w:rsidRPr="006B3740">
        <w:rPr>
          <w:rFonts w:cs="Segoe UI"/>
          <w:szCs w:val="20"/>
        </w:rPr>
        <w:t xml:space="preserve">áklady na </w:t>
      </w:r>
      <w:r>
        <w:rPr>
          <w:rFonts w:cs="Segoe UI"/>
          <w:szCs w:val="20"/>
        </w:rPr>
        <w:t xml:space="preserve">dosiahnutie stanovených cieľov v tejto </w:t>
      </w:r>
      <w:r w:rsidRPr="006B3740">
        <w:rPr>
          <w:rFonts w:cs="Segoe UI"/>
          <w:szCs w:val="20"/>
        </w:rPr>
        <w:t>oblas</w:t>
      </w:r>
      <w:r>
        <w:rPr>
          <w:rFonts w:cs="Segoe UI"/>
          <w:szCs w:val="20"/>
        </w:rPr>
        <w:t>ti</w:t>
      </w:r>
      <w:r w:rsidRPr="006B3740">
        <w:rPr>
          <w:rFonts w:cs="Segoe UI"/>
          <w:szCs w:val="20"/>
        </w:rPr>
        <w:t xml:space="preserve"> nie sú vyčíslené</w:t>
      </w:r>
      <w:r w:rsidRPr="00EE17DE">
        <w:rPr>
          <w:rStyle w:val="Odkaznapoznmkupodiarou"/>
          <w:rFonts w:cs="Segoe UI"/>
          <w:i/>
          <w:szCs w:val="20"/>
        </w:rPr>
        <w:footnoteReference w:id="54"/>
      </w:r>
      <w:r w:rsidRPr="00EE17DE">
        <w:rPr>
          <w:rFonts w:cs="Segoe UI"/>
          <w:i/>
          <w:szCs w:val="20"/>
          <w:vertAlign w:val="superscript"/>
        </w:rPr>
        <w:t>)</w:t>
      </w:r>
      <w:r w:rsidR="001C5FF2">
        <w:rPr>
          <w:rFonts w:cs="Segoe UI"/>
          <w:i/>
          <w:szCs w:val="20"/>
        </w:rPr>
        <w:t>.</w:t>
      </w:r>
      <w:r w:rsidRPr="00816513">
        <w:rPr>
          <w:rFonts w:cs="Segoe UI"/>
          <w:b/>
          <w:szCs w:val="20"/>
        </w:rPr>
        <w:t xml:space="preserve"> </w:t>
      </w:r>
      <w:r>
        <w:rPr>
          <w:rFonts w:cs="Segoe UI"/>
          <w:b/>
          <w:szCs w:val="20"/>
        </w:rPr>
        <w:t>R</w:t>
      </w:r>
      <w:r w:rsidRPr="00816513">
        <w:rPr>
          <w:rFonts w:cs="Segoe UI"/>
          <w:b/>
          <w:szCs w:val="20"/>
        </w:rPr>
        <w:t xml:space="preserve">ezort </w:t>
      </w:r>
      <w:r>
        <w:rPr>
          <w:rFonts w:cs="Segoe UI"/>
          <w:b/>
          <w:szCs w:val="20"/>
        </w:rPr>
        <w:t xml:space="preserve">situáciu dosiahnutia stanovených cieľov riešil aj </w:t>
      </w:r>
      <w:r w:rsidRPr="00816513">
        <w:rPr>
          <w:rFonts w:cs="Segoe UI"/>
          <w:b/>
          <w:szCs w:val="20"/>
        </w:rPr>
        <w:t>dot</w:t>
      </w:r>
      <w:r>
        <w:rPr>
          <w:rFonts w:cs="Segoe UI"/>
          <w:b/>
          <w:szCs w:val="20"/>
        </w:rPr>
        <w:t>ačným programom</w:t>
      </w:r>
      <w:r w:rsidRPr="00EE17DE">
        <w:rPr>
          <w:rStyle w:val="Odkaznapoznmkupodiarou"/>
          <w:rFonts w:cs="Segoe UI"/>
          <w:b/>
          <w:i/>
          <w:szCs w:val="20"/>
        </w:rPr>
        <w:footnoteReference w:id="55"/>
      </w:r>
      <w:r w:rsidRPr="00EE17DE">
        <w:rPr>
          <w:rFonts w:cs="Segoe UI"/>
          <w:b/>
          <w:i/>
          <w:szCs w:val="20"/>
          <w:vertAlign w:val="superscript"/>
        </w:rPr>
        <w:t>)</w:t>
      </w:r>
      <w:r>
        <w:rPr>
          <w:rFonts w:cs="Segoe UI"/>
          <w:b/>
          <w:szCs w:val="20"/>
        </w:rPr>
        <w:t>,</w:t>
      </w:r>
      <w:r w:rsidRPr="00816513">
        <w:rPr>
          <w:rFonts w:cs="Segoe UI"/>
          <w:b/>
          <w:szCs w:val="20"/>
        </w:rPr>
        <w:t xml:space="preserve"> avšak v priebehu roka 2020 nebola schválená ani jedna žiadosť</w:t>
      </w:r>
      <w:r>
        <w:rPr>
          <w:rFonts w:cs="Segoe UI"/>
          <w:b/>
          <w:szCs w:val="20"/>
        </w:rPr>
        <w:t>.</w:t>
      </w:r>
      <w:r w:rsidRPr="00816513">
        <w:rPr>
          <w:rFonts w:cs="Segoe UI"/>
          <w:b/>
          <w:szCs w:val="20"/>
        </w:rPr>
        <w:t xml:space="preserve"> </w:t>
      </w:r>
      <w:r w:rsidRPr="006B3740">
        <w:rPr>
          <w:rFonts w:cs="Segoe UI"/>
          <w:szCs w:val="20"/>
        </w:rPr>
        <w:t xml:space="preserve">K znižovaniu znečistenia ovzdušia má prispieť aj </w:t>
      </w:r>
      <w:r>
        <w:rPr>
          <w:rFonts w:cs="Segoe UI"/>
          <w:szCs w:val="20"/>
        </w:rPr>
        <w:t xml:space="preserve">finančná </w:t>
      </w:r>
      <w:r w:rsidRPr="006B3740">
        <w:rPr>
          <w:rFonts w:cs="Segoe UI"/>
          <w:szCs w:val="20"/>
        </w:rPr>
        <w:t xml:space="preserve">podpora z Plánu obnovy </w:t>
      </w:r>
      <w:r>
        <w:rPr>
          <w:rFonts w:cs="Segoe UI"/>
          <w:szCs w:val="20"/>
        </w:rPr>
        <w:t xml:space="preserve">a odolnosti </w:t>
      </w:r>
      <w:r w:rsidRPr="006B3740">
        <w:rPr>
          <w:rFonts w:cs="Segoe UI"/>
          <w:szCs w:val="20"/>
        </w:rPr>
        <w:t xml:space="preserve">zameraná na rekonštrukciu budov s cieľom zvýšenia ich energetickej efektívnosti. </w:t>
      </w:r>
    </w:p>
    <w:p w14:paraId="6098F6ED" w14:textId="74BC9CB0" w:rsidR="008749D2" w:rsidRDefault="008749D2" w:rsidP="008749D2">
      <w:pPr>
        <w:ind w:right="-113"/>
        <w:rPr>
          <w:rFonts w:cs="Segoe UI"/>
          <w:szCs w:val="20"/>
        </w:rPr>
      </w:pPr>
      <w:proofErr w:type="spellStart"/>
      <w:r w:rsidRPr="006B3740">
        <w:rPr>
          <w:rFonts w:cs="Segoe UI"/>
          <w:i/>
          <w:szCs w:val="20"/>
        </w:rPr>
        <w:t>Nízkouhlíkové</w:t>
      </w:r>
      <w:proofErr w:type="spellEnd"/>
      <w:r w:rsidRPr="006B3740">
        <w:rPr>
          <w:rFonts w:cs="Segoe UI"/>
          <w:i/>
          <w:szCs w:val="20"/>
        </w:rPr>
        <w:t xml:space="preserve"> hospodárstvo</w:t>
      </w:r>
      <w:r>
        <w:rPr>
          <w:rFonts w:cs="Segoe UI"/>
          <w:szCs w:val="20"/>
        </w:rPr>
        <w:t xml:space="preserve"> dosiahne v budúcom roku</w:t>
      </w:r>
      <w:r w:rsidRPr="006B3740">
        <w:rPr>
          <w:rFonts w:cs="Segoe UI"/>
          <w:szCs w:val="20"/>
        </w:rPr>
        <w:t xml:space="preserve"> úroveň </w:t>
      </w:r>
      <w:r>
        <w:rPr>
          <w:rFonts w:cs="Segoe UI"/>
          <w:szCs w:val="20"/>
        </w:rPr>
        <w:t xml:space="preserve">výdavkov </w:t>
      </w:r>
      <w:r w:rsidRPr="006B3740">
        <w:rPr>
          <w:rFonts w:cs="Segoe UI"/>
          <w:szCs w:val="20"/>
        </w:rPr>
        <w:t>roko</w:t>
      </w:r>
      <w:r>
        <w:rPr>
          <w:rFonts w:cs="Segoe UI"/>
          <w:szCs w:val="20"/>
        </w:rPr>
        <w:t>v</w:t>
      </w:r>
      <w:r w:rsidRPr="006B3740">
        <w:rPr>
          <w:rFonts w:cs="Segoe UI"/>
          <w:szCs w:val="20"/>
        </w:rPr>
        <w:t xml:space="preserve"> 2019</w:t>
      </w:r>
      <w:r>
        <w:rPr>
          <w:rFonts w:cs="Segoe UI"/>
          <w:szCs w:val="20"/>
        </w:rPr>
        <w:t xml:space="preserve"> a </w:t>
      </w:r>
      <w:r w:rsidRPr="006B3740">
        <w:rPr>
          <w:rFonts w:cs="Segoe UI"/>
          <w:szCs w:val="20"/>
        </w:rPr>
        <w:t>2020. Zrušenie oslobodenia v spotrebných daniach (uhlie, elektrina, plyn) sa na základe politického rozhodnutia v roku 2020 nezrealizovalo</w:t>
      </w:r>
      <w:r>
        <w:rPr>
          <w:rFonts w:cs="Segoe UI"/>
          <w:szCs w:val="20"/>
        </w:rPr>
        <w:t xml:space="preserve"> a</w:t>
      </w:r>
      <w:r w:rsidRPr="006B3740">
        <w:rPr>
          <w:rFonts w:cs="Segoe UI"/>
          <w:szCs w:val="20"/>
        </w:rPr>
        <w:t xml:space="preserve"> </w:t>
      </w:r>
      <w:r>
        <w:rPr>
          <w:rFonts w:cs="Segoe UI"/>
          <w:b/>
          <w:szCs w:val="20"/>
        </w:rPr>
        <w:t>p</w:t>
      </w:r>
      <w:r w:rsidRPr="007C4D18">
        <w:rPr>
          <w:rFonts w:cs="Segoe UI"/>
          <w:b/>
          <w:szCs w:val="20"/>
        </w:rPr>
        <w:t>lánovaná úspora 65 mil. eur ročne nebola dosiahnutá</w:t>
      </w:r>
      <w:r w:rsidRPr="006B3740">
        <w:rPr>
          <w:rFonts w:cs="Segoe UI"/>
          <w:szCs w:val="20"/>
        </w:rPr>
        <w:t>. Výroba elektriny z uhlia sa postupne zastavuje</w:t>
      </w:r>
      <w:r w:rsidRPr="00EE17DE">
        <w:rPr>
          <w:rStyle w:val="Odkaznapoznmkupodiarou"/>
          <w:rFonts w:cs="Segoe UI"/>
          <w:i/>
          <w:szCs w:val="20"/>
        </w:rPr>
        <w:footnoteReference w:id="56"/>
      </w:r>
      <w:r w:rsidRPr="00EE17DE">
        <w:rPr>
          <w:rFonts w:cs="Segoe UI"/>
          <w:i/>
          <w:szCs w:val="20"/>
          <w:vertAlign w:val="superscript"/>
        </w:rPr>
        <w:t>)</w:t>
      </w:r>
      <w:r w:rsidR="001C5FF2">
        <w:rPr>
          <w:rFonts w:cs="Segoe UI"/>
          <w:i/>
          <w:szCs w:val="20"/>
        </w:rPr>
        <w:t>.</w:t>
      </w:r>
      <w:r w:rsidRPr="006B3740">
        <w:rPr>
          <w:rFonts w:cs="Segoe UI"/>
          <w:szCs w:val="20"/>
        </w:rPr>
        <w:t xml:space="preserve"> Na zlepšenie energetickej hospodárnosti rodinných domov sa má použiť približne 528,2 mil. eur a na dekarbonizáci</w:t>
      </w:r>
      <w:r>
        <w:rPr>
          <w:rFonts w:cs="Segoe UI"/>
          <w:szCs w:val="20"/>
        </w:rPr>
        <w:t>u</w:t>
      </w:r>
      <w:r w:rsidRPr="006B3740">
        <w:rPr>
          <w:rFonts w:cs="Segoe UI"/>
          <w:szCs w:val="20"/>
        </w:rPr>
        <w:t xml:space="preserve"> priemyslu 363 mil. eur ako súčasť Plánu obnovy a odolnosti.</w:t>
      </w:r>
      <w:r>
        <w:rPr>
          <w:rFonts w:cs="Segoe UI"/>
          <w:szCs w:val="20"/>
        </w:rPr>
        <w:t xml:space="preserve"> </w:t>
      </w:r>
    </w:p>
    <w:p w14:paraId="33BC1E3B" w14:textId="4D1189DA" w:rsidR="002C16C4" w:rsidRPr="00FF325C" w:rsidRDefault="002C16C4" w:rsidP="002C16C4">
      <w:pPr>
        <w:rPr>
          <w:rFonts w:cs="Segoe UI"/>
          <w:b/>
          <w:szCs w:val="20"/>
        </w:rPr>
      </w:pPr>
      <w:r w:rsidRPr="00DA3E1C">
        <w:rPr>
          <w:rFonts w:cs="Segoe UI"/>
          <w:b/>
          <w:i/>
          <w:szCs w:val="20"/>
        </w:rPr>
        <w:t>Ochrana prírody a krajiny</w:t>
      </w:r>
      <w:r w:rsidRPr="00DA3E1C">
        <w:rPr>
          <w:rFonts w:cs="Segoe UI"/>
          <w:b/>
          <w:szCs w:val="20"/>
        </w:rPr>
        <w:t xml:space="preserve"> patrí medzi najmenej rozpočtovo pokryté</w:t>
      </w:r>
      <w:r w:rsidRPr="006B3740">
        <w:rPr>
          <w:rFonts w:cs="Segoe UI"/>
          <w:szCs w:val="20"/>
        </w:rPr>
        <w:t xml:space="preserve">, avšak len na vysoko prioritné environmentálne záťaže budú potrebné investície v sume 1 </w:t>
      </w:r>
      <w:r w:rsidR="00050F6E">
        <w:rPr>
          <w:rFonts w:cs="Segoe UI"/>
          <w:szCs w:val="20"/>
        </w:rPr>
        <w:t>až</w:t>
      </w:r>
      <w:r w:rsidRPr="006B3740">
        <w:rPr>
          <w:rFonts w:cs="Segoe UI"/>
          <w:szCs w:val="20"/>
        </w:rPr>
        <w:t xml:space="preserve"> 1,4 mld. eur a ich riešenie by trvalo vyše 30 rokov. Nová </w:t>
      </w:r>
      <w:proofErr w:type="spellStart"/>
      <w:r w:rsidRPr="006B3740">
        <w:rPr>
          <w:rFonts w:cs="Segoe UI"/>
          <w:szCs w:val="20"/>
        </w:rPr>
        <w:t>priorizácia</w:t>
      </w:r>
      <w:proofErr w:type="spellEnd"/>
      <w:r w:rsidRPr="006B3740">
        <w:rPr>
          <w:rFonts w:cs="Segoe UI"/>
          <w:szCs w:val="20"/>
        </w:rPr>
        <w:t>, ktorá bude súčasťou nového štátneho programu sanácií environmentálnych záťaž</w:t>
      </w:r>
      <w:r>
        <w:rPr>
          <w:rFonts w:cs="Segoe UI"/>
          <w:szCs w:val="20"/>
        </w:rPr>
        <w:t>í</w:t>
      </w:r>
      <w:r w:rsidRPr="006B3740">
        <w:rPr>
          <w:rFonts w:cs="Segoe UI"/>
          <w:szCs w:val="20"/>
        </w:rPr>
        <w:t xml:space="preserve"> by mala priniesť presnejšie odhady potrebných financií. Na ochranu prírody, najmä na majetkové vysporiadanie v 5. stupni ochrany bude potrebná jednorazová investícia vo výške približne 71 mil. eur a 4 mil. eur ročne na ďalšie udržiavacie aktivity (77,5 mil. eur je súčasťou Plánu obnovy a odolnosti). Odhadované náklady na výsadbu zelene len </w:t>
      </w:r>
      <w:r w:rsidR="00440A40">
        <w:rPr>
          <w:rFonts w:cs="Segoe UI"/>
          <w:szCs w:val="20"/>
        </w:rPr>
        <w:t xml:space="preserve">v </w:t>
      </w:r>
      <w:r w:rsidRPr="006B3740">
        <w:rPr>
          <w:rFonts w:cs="Segoe UI"/>
          <w:szCs w:val="20"/>
        </w:rPr>
        <w:t xml:space="preserve">krajských mestách sú na úrovni približne 90 mil. eur. </w:t>
      </w:r>
      <w:r w:rsidRPr="00FF325C">
        <w:rPr>
          <w:rFonts w:cs="Segoe UI"/>
          <w:b/>
          <w:szCs w:val="20"/>
        </w:rPr>
        <w:t>Nevyhnutné je preto zamerať sa pri prideľovaní prostriedkov pri správe chránených území na najvyššiu hodnotu za peniaze, implementovať do praxe inovatívne formy financovania štátnej ochrany prírody a dobudovať sústavu Natura 2000</w:t>
      </w:r>
      <w:r w:rsidR="008A116D">
        <w:rPr>
          <w:rFonts w:cs="Segoe UI"/>
          <w:b/>
          <w:szCs w:val="20"/>
        </w:rPr>
        <w:t>.</w:t>
      </w:r>
    </w:p>
    <w:p w14:paraId="11918170" w14:textId="416C25F1" w:rsidR="008700C7" w:rsidRPr="00154145" w:rsidRDefault="008700C7" w:rsidP="008700C7">
      <w:pPr>
        <w:rPr>
          <w:rFonts w:cs="Segoe UI"/>
          <w:szCs w:val="20"/>
        </w:rPr>
      </w:pPr>
      <w:r w:rsidRPr="006B3740">
        <w:rPr>
          <w:rFonts w:cs="Segoe UI"/>
          <w:szCs w:val="20"/>
        </w:rPr>
        <w:t xml:space="preserve">V oblasti </w:t>
      </w:r>
      <w:r>
        <w:rPr>
          <w:rFonts w:cs="Segoe UI"/>
          <w:i/>
          <w:szCs w:val="20"/>
        </w:rPr>
        <w:t>O</w:t>
      </w:r>
      <w:r w:rsidRPr="000D5710">
        <w:rPr>
          <w:rFonts w:cs="Segoe UI"/>
          <w:i/>
          <w:szCs w:val="20"/>
        </w:rPr>
        <w:t>dpadového hospodárstva</w:t>
      </w:r>
      <w:r w:rsidRPr="006B3740">
        <w:rPr>
          <w:rFonts w:cs="Segoe UI"/>
          <w:szCs w:val="20"/>
        </w:rPr>
        <w:t xml:space="preserve"> </w:t>
      </w:r>
      <w:r w:rsidR="008A116D">
        <w:rPr>
          <w:rFonts w:cs="Segoe UI"/>
          <w:szCs w:val="20"/>
        </w:rPr>
        <w:t>sa v r</w:t>
      </w:r>
      <w:r w:rsidRPr="006B3740">
        <w:rPr>
          <w:rFonts w:cs="Segoe UI"/>
          <w:szCs w:val="20"/>
        </w:rPr>
        <w:t>oku 2022 rozpočtujú výdavky v Environmentálnom fonde v objeme 28</w:t>
      </w:r>
      <w:r>
        <w:rPr>
          <w:rFonts w:cs="Segoe UI"/>
          <w:szCs w:val="20"/>
        </w:rPr>
        <w:t xml:space="preserve"> mil. eur</w:t>
      </w:r>
      <w:r w:rsidRPr="00107DD4">
        <w:rPr>
          <w:rStyle w:val="Odkaznapoznmkupodiarou"/>
          <w:rFonts w:cs="Segoe UI"/>
          <w:i/>
          <w:szCs w:val="20"/>
        </w:rPr>
        <w:footnoteReference w:id="57"/>
      </w:r>
      <w:r w:rsidRPr="00107DD4">
        <w:rPr>
          <w:rFonts w:cs="Segoe UI"/>
          <w:i/>
          <w:szCs w:val="20"/>
          <w:vertAlign w:val="superscript"/>
        </w:rPr>
        <w:t>)</w:t>
      </w:r>
      <w:r w:rsidR="001C5FF2">
        <w:rPr>
          <w:rFonts w:cs="Segoe UI"/>
          <w:i/>
          <w:szCs w:val="20"/>
        </w:rPr>
        <w:t>.</w:t>
      </w:r>
      <w:r w:rsidRPr="006B3740">
        <w:rPr>
          <w:rFonts w:cs="Segoe UI"/>
          <w:szCs w:val="20"/>
        </w:rPr>
        <w:t xml:space="preserve"> Príjem Environmentálneho fondu z poplatkov za skládkovanie v roku 2020 dosiahol 25,6 mil. eur (95 % odhadu podľa implementačného plánu</w:t>
      </w:r>
      <w:r w:rsidRPr="00107DD4">
        <w:rPr>
          <w:rStyle w:val="Odkaznapoznmkupodiarou"/>
          <w:rFonts w:cs="Segoe UI"/>
          <w:i/>
          <w:szCs w:val="20"/>
        </w:rPr>
        <w:footnoteReference w:id="58"/>
      </w:r>
      <w:r w:rsidRPr="00107DD4">
        <w:rPr>
          <w:rFonts w:cs="Segoe UI"/>
          <w:i/>
          <w:szCs w:val="20"/>
          <w:vertAlign w:val="superscript"/>
        </w:rPr>
        <w:t>)</w:t>
      </w:r>
      <w:r w:rsidRPr="006B3740">
        <w:rPr>
          <w:rFonts w:cs="Segoe UI"/>
          <w:szCs w:val="20"/>
        </w:rPr>
        <w:t xml:space="preserve">). </w:t>
      </w:r>
      <w:r w:rsidRPr="000A1266">
        <w:rPr>
          <w:rFonts w:cs="Segoe UI"/>
          <w:b/>
          <w:szCs w:val="20"/>
        </w:rPr>
        <w:t xml:space="preserve">Pre oblasť odpadového hospodárstva nie je k dispozícii výška alokovaných finančných prostriedkov, ktoré absentujú </w:t>
      </w:r>
      <w:r w:rsidR="00050F6E">
        <w:rPr>
          <w:rFonts w:cs="Segoe UI"/>
          <w:b/>
          <w:szCs w:val="20"/>
        </w:rPr>
        <w:t>pri realizácii</w:t>
      </w:r>
      <w:r w:rsidRPr="000A1266">
        <w:rPr>
          <w:rFonts w:cs="Segoe UI"/>
          <w:b/>
          <w:szCs w:val="20"/>
        </w:rPr>
        <w:t xml:space="preserve"> </w:t>
      </w:r>
      <w:r w:rsidRPr="000A1266">
        <w:rPr>
          <w:rFonts w:cs="Segoe UI"/>
          <w:b/>
          <w:szCs w:val="20"/>
        </w:rPr>
        <w:lastRenderedPageBreak/>
        <w:t>záväzkov vyplývajúcich z medzinárodných dohôd a zmlúv</w:t>
      </w:r>
      <w:r w:rsidRPr="006B3740">
        <w:rPr>
          <w:rFonts w:cs="Segoe UI"/>
          <w:szCs w:val="20"/>
        </w:rPr>
        <w:t>. Od januára 2022 sa zavádza zál</w:t>
      </w:r>
      <w:r>
        <w:rPr>
          <w:rFonts w:cs="Segoe UI"/>
          <w:szCs w:val="20"/>
        </w:rPr>
        <w:t>ohový systém pre nápojové obaly, čím sa p</w:t>
      </w:r>
      <w:r w:rsidRPr="006B3740">
        <w:rPr>
          <w:rFonts w:cs="Segoe UI"/>
          <w:szCs w:val="20"/>
        </w:rPr>
        <w:t>odporí záväzok S</w:t>
      </w:r>
      <w:r>
        <w:rPr>
          <w:rFonts w:cs="Segoe UI"/>
          <w:szCs w:val="20"/>
        </w:rPr>
        <w:t>R</w:t>
      </w:r>
      <w:r w:rsidRPr="006B3740">
        <w:rPr>
          <w:rFonts w:cs="Segoe UI"/>
          <w:szCs w:val="20"/>
        </w:rPr>
        <w:t xml:space="preserve"> zvýšiť aktuálne množstvo zberu tohto druhu odpadu zo 60 % na 90 % v roku 2025. Legislatíva o</w:t>
      </w:r>
      <w:r w:rsidR="00050F6E">
        <w:rPr>
          <w:rFonts w:cs="Segoe UI"/>
          <w:szCs w:val="20"/>
        </w:rPr>
        <w:t> </w:t>
      </w:r>
      <w:r w:rsidRPr="006B3740">
        <w:rPr>
          <w:rFonts w:cs="Segoe UI"/>
          <w:szCs w:val="20"/>
        </w:rPr>
        <w:t>odpadoch</w:t>
      </w:r>
      <w:r w:rsidR="00050F6E">
        <w:rPr>
          <w:rFonts w:cs="Segoe UI"/>
          <w:szCs w:val="20"/>
        </w:rPr>
        <w:t>,</w:t>
      </w:r>
      <w:r w:rsidRPr="006B3740">
        <w:rPr>
          <w:rFonts w:cs="Segoe UI"/>
          <w:szCs w:val="20"/>
        </w:rPr>
        <w:t xml:space="preserve"> schválená v septembri 2020</w:t>
      </w:r>
      <w:r w:rsidR="00050F6E">
        <w:rPr>
          <w:rFonts w:cs="Segoe UI"/>
          <w:szCs w:val="20"/>
        </w:rPr>
        <w:t>,</w:t>
      </w:r>
      <w:r w:rsidRPr="006B3740">
        <w:rPr>
          <w:rFonts w:cs="Segoe UI"/>
          <w:szCs w:val="20"/>
        </w:rPr>
        <w:t xml:space="preserve"> predpokladá vytvorenie informačného systému odpadového hospodárstva na zlepšenie kontroly nad tokmi odpadov. Postupné zvyšovanie poplatkov za skládkovanie a zavedenie povinného množstevného zberu sú možnosti</w:t>
      </w:r>
      <w:r>
        <w:rPr>
          <w:rFonts w:cs="Segoe UI"/>
          <w:szCs w:val="20"/>
        </w:rPr>
        <w:t>,</w:t>
      </w:r>
      <w:r w:rsidRPr="006B3740">
        <w:rPr>
          <w:rFonts w:cs="Segoe UI"/>
          <w:szCs w:val="20"/>
        </w:rPr>
        <w:t xml:space="preserve"> akým spôsobom dosiahnuť vyššie príjmy pre túto oblasť.</w:t>
      </w:r>
      <w:r>
        <w:rPr>
          <w:rFonts w:cs="Segoe UI"/>
          <w:szCs w:val="20"/>
        </w:rPr>
        <w:t xml:space="preserve"> </w:t>
      </w:r>
    </w:p>
    <w:p w14:paraId="15EF1728" w14:textId="70721F71" w:rsidR="00046FC0" w:rsidRDefault="0020314A" w:rsidP="00046FC0">
      <w:pPr>
        <w:rPr>
          <w:rFonts w:cs="Segoe UI"/>
        </w:rPr>
      </w:pPr>
      <w:r w:rsidRPr="56361638">
        <w:rPr>
          <w:rFonts w:cs="Segoe UI"/>
          <w:color w:val="000000"/>
          <w:bdr w:val="none" w:sz="0" w:space="0" w:color="auto" w:frame="1"/>
          <w:shd w:val="clear" w:color="auto" w:fill="FFFFFF"/>
        </w:rPr>
        <w:t>Hlav</w:t>
      </w:r>
      <w:r>
        <w:rPr>
          <w:rFonts w:cs="Segoe UI"/>
          <w:color w:val="000000"/>
          <w:bdr w:val="none" w:sz="0" w:space="0" w:color="auto" w:frame="1"/>
          <w:shd w:val="clear" w:color="auto" w:fill="FFFFFF"/>
        </w:rPr>
        <w:t>ným</w:t>
      </w:r>
      <w:r w:rsidRPr="56361638">
        <w:rPr>
          <w:rFonts w:cs="Segoe UI"/>
          <w:color w:val="000000"/>
          <w:bdr w:val="none" w:sz="0" w:space="0" w:color="auto" w:frame="1"/>
          <w:shd w:val="clear" w:color="auto" w:fill="FFFFFF"/>
        </w:rPr>
        <w:t xml:space="preserve"> </w:t>
      </w:r>
      <w:r>
        <w:rPr>
          <w:rFonts w:cs="Segoe UI"/>
          <w:color w:val="000000"/>
          <w:bdr w:val="none" w:sz="0" w:space="0" w:color="auto" w:frame="1"/>
          <w:shd w:val="clear" w:color="auto" w:fill="FFFFFF"/>
        </w:rPr>
        <w:t>poslaním</w:t>
      </w:r>
      <w:r w:rsidRPr="56361638">
        <w:rPr>
          <w:rFonts w:cs="Segoe UI"/>
          <w:color w:val="000000"/>
          <w:bdr w:val="none" w:sz="0" w:space="0" w:color="auto" w:frame="1"/>
          <w:shd w:val="clear" w:color="auto" w:fill="FFFFFF"/>
        </w:rPr>
        <w:t xml:space="preserve"> </w:t>
      </w:r>
      <w:r w:rsidRPr="00840EAC">
        <w:rPr>
          <w:rFonts w:cs="Segoe UI"/>
          <w:b/>
          <w:color w:val="000000"/>
          <w:bdr w:val="none" w:sz="0" w:space="0" w:color="auto" w:frame="1"/>
          <w:shd w:val="clear" w:color="auto" w:fill="FFFFFF"/>
        </w:rPr>
        <w:t xml:space="preserve">Environmentálneho fondu </w:t>
      </w:r>
      <w:r w:rsidRPr="56361638">
        <w:rPr>
          <w:rFonts w:cs="Segoe UI"/>
          <w:color w:val="000000"/>
          <w:bdr w:val="none" w:sz="0" w:space="0" w:color="auto" w:frame="1"/>
          <w:shd w:val="clear" w:color="auto" w:fill="FFFFFF"/>
        </w:rPr>
        <w:t xml:space="preserve">je </w:t>
      </w:r>
      <w:r>
        <w:rPr>
          <w:rFonts w:cs="Segoe UI"/>
          <w:color w:val="000000"/>
          <w:bdr w:val="none" w:sz="0" w:space="0" w:color="auto" w:frame="1"/>
          <w:shd w:val="clear" w:color="auto" w:fill="FFFFFF"/>
        </w:rPr>
        <w:t xml:space="preserve">uskutočňovanie </w:t>
      </w:r>
      <w:r w:rsidRPr="00F52D69">
        <w:rPr>
          <w:rFonts w:cs="Segoe UI"/>
          <w:color w:val="000000"/>
          <w:bdr w:val="none" w:sz="0" w:space="0" w:color="auto" w:frame="1"/>
          <w:shd w:val="clear" w:color="auto" w:fill="FFFFFF"/>
        </w:rPr>
        <w:t>podpor</w:t>
      </w:r>
      <w:r>
        <w:rPr>
          <w:rFonts w:cs="Segoe UI"/>
          <w:color w:val="000000"/>
          <w:bdr w:val="none" w:sz="0" w:space="0" w:color="auto" w:frame="1"/>
          <w:shd w:val="clear" w:color="auto" w:fill="FFFFFF"/>
        </w:rPr>
        <w:t>y</w:t>
      </w:r>
      <w:r w:rsidRPr="00F52D69">
        <w:rPr>
          <w:rFonts w:cs="Segoe UI"/>
          <w:color w:val="000000"/>
          <w:bdr w:val="none" w:sz="0" w:space="0" w:color="auto" w:frame="1"/>
          <w:shd w:val="clear" w:color="auto" w:fill="FFFFFF"/>
        </w:rPr>
        <w:t xml:space="preserve"> činností zameraných na dosiahnutie cieľov environmentálnej politiky</w:t>
      </w:r>
      <w:r>
        <w:rPr>
          <w:rFonts w:cs="Segoe UI"/>
          <w:color w:val="000000"/>
          <w:bdr w:val="none" w:sz="0" w:space="0" w:color="auto" w:frame="1"/>
          <w:shd w:val="clear" w:color="auto" w:fill="FFFFFF"/>
        </w:rPr>
        <w:t xml:space="preserve"> SR</w:t>
      </w:r>
      <w:r>
        <w:rPr>
          <w:rFonts w:cs="Segoe UI"/>
          <w:color w:val="000000"/>
          <w:shd w:val="clear" w:color="auto" w:fill="FFFFFF"/>
        </w:rPr>
        <w:t xml:space="preserve">. </w:t>
      </w:r>
      <w:r>
        <w:rPr>
          <w:rFonts w:cs="Segoe UI"/>
          <w:szCs w:val="20"/>
        </w:rPr>
        <w:t xml:space="preserve">Vláda sa v PVV zaviazala, že </w:t>
      </w:r>
      <w:r w:rsidRPr="00744E13">
        <w:rPr>
          <w:rFonts w:cs="Segoe UI"/>
          <w:szCs w:val="20"/>
        </w:rPr>
        <w:t xml:space="preserve">zrealizuje </w:t>
      </w:r>
      <w:r>
        <w:rPr>
          <w:rFonts w:cs="Segoe UI"/>
          <w:szCs w:val="20"/>
        </w:rPr>
        <w:t>„</w:t>
      </w:r>
      <w:r w:rsidRPr="00744E13">
        <w:rPr>
          <w:rFonts w:cs="Segoe UI"/>
          <w:i/>
          <w:szCs w:val="20"/>
        </w:rPr>
        <w:t xml:space="preserve">komplexnú reformu fungovania Environmentálneho fondu s </w:t>
      </w:r>
      <w:r w:rsidRPr="0013261D">
        <w:rPr>
          <w:rFonts w:cs="Segoe UI"/>
          <w:i/>
          <w:szCs w:val="20"/>
        </w:rPr>
        <w:t>dôrazom na transparentnosť, objektívne merateľné kritériá a pravidlo štyroch očí</w:t>
      </w:r>
      <w:r>
        <w:rPr>
          <w:rFonts w:cs="Segoe UI"/>
          <w:i/>
          <w:szCs w:val="20"/>
        </w:rPr>
        <w:t>“</w:t>
      </w:r>
      <w:r w:rsidRPr="0013261D">
        <w:rPr>
          <w:rFonts w:cs="Segoe UI"/>
          <w:i/>
          <w:szCs w:val="20"/>
        </w:rPr>
        <w:t xml:space="preserve">. </w:t>
      </w:r>
      <w:r>
        <w:rPr>
          <w:rFonts w:cs="Segoe UI"/>
          <w:szCs w:val="20"/>
        </w:rPr>
        <w:t>NKÚ SR identifikoval, že f</w:t>
      </w:r>
      <w:r w:rsidRPr="00C821D5">
        <w:rPr>
          <w:rFonts w:cs="Segoe UI"/>
        </w:rPr>
        <w:t xml:space="preserve">inančný potenciál </w:t>
      </w:r>
      <w:r>
        <w:rPr>
          <w:rFonts w:cs="Segoe UI"/>
        </w:rPr>
        <w:t xml:space="preserve">fondu sa </w:t>
      </w:r>
      <w:r w:rsidRPr="00C821D5">
        <w:rPr>
          <w:rFonts w:cs="Segoe UI"/>
        </w:rPr>
        <w:t>dostatočne nevyužíva</w:t>
      </w:r>
      <w:r>
        <w:rPr>
          <w:rFonts w:cs="Segoe UI"/>
        </w:rPr>
        <w:t>, no zároveň neustále rastú c</w:t>
      </w:r>
      <w:r>
        <w:rPr>
          <w:rFonts w:cs="Segoe UI"/>
          <w:szCs w:val="20"/>
        </w:rPr>
        <w:t>eny za emisie a príjmy z</w:t>
      </w:r>
      <w:r w:rsidR="00E02AC9">
        <w:rPr>
          <w:rFonts w:cs="Segoe UI"/>
          <w:szCs w:val="20"/>
        </w:rPr>
        <w:t xml:space="preserve"> ich </w:t>
      </w:r>
      <w:r>
        <w:rPr>
          <w:rFonts w:cs="Segoe UI"/>
          <w:szCs w:val="20"/>
        </w:rPr>
        <w:t xml:space="preserve">predaja. </w:t>
      </w:r>
      <w:r w:rsidR="00E02AC9" w:rsidRPr="00E02AC9">
        <w:rPr>
          <w:rFonts w:cs="Segoe UI"/>
          <w:b/>
          <w:szCs w:val="20"/>
        </w:rPr>
        <w:t>K</w:t>
      </w:r>
      <w:r w:rsidR="00046FC0">
        <w:rPr>
          <w:rFonts w:cs="Segoe UI"/>
          <w:b/>
          <w:szCs w:val="20"/>
        </w:rPr>
        <w:t xml:space="preserve">aždoročne </w:t>
      </w:r>
      <w:r w:rsidR="00E02AC9">
        <w:rPr>
          <w:rFonts w:cs="Segoe UI"/>
          <w:b/>
          <w:szCs w:val="20"/>
        </w:rPr>
        <w:t xml:space="preserve">tak </w:t>
      </w:r>
      <w:r w:rsidR="00046FC0" w:rsidRPr="00912E54">
        <w:rPr>
          <w:rFonts w:cs="Segoe UI"/>
          <w:b/>
          <w:szCs w:val="20"/>
        </w:rPr>
        <w:t xml:space="preserve">narastá </w:t>
      </w:r>
      <w:r w:rsidR="002604A2">
        <w:rPr>
          <w:rFonts w:cs="Segoe UI"/>
          <w:b/>
          <w:szCs w:val="20"/>
        </w:rPr>
        <w:t>zostatok hospodárenia z predchádzajúcich rokov, ktorý je tvorený</w:t>
      </w:r>
      <w:r w:rsidR="00046FC0">
        <w:rPr>
          <w:rFonts w:cs="Segoe UI"/>
          <w:b/>
          <w:szCs w:val="20"/>
        </w:rPr>
        <w:t xml:space="preserve"> predovšetkým príjmami z predaja emisných kvót</w:t>
      </w:r>
      <w:r w:rsidR="00046FC0" w:rsidRPr="00E80374">
        <w:rPr>
          <w:rFonts w:cs="Segoe UI"/>
        </w:rPr>
        <w:t xml:space="preserve"> </w:t>
      </w:r>
      <w:r w:rsidR="00046FC0">
        <w:rPr>
          <w:rFonts w:cs="Segoe UI"/>
        </w:rPr>
        <w:t>(Graf 14).</w:t>
      </w:r>
      <w:r w:rsidR="00046FC0" w:rsidRPr="00912E54">
        <w:rPr>
          <w:rFonts w:cs="Segoe UI"/>
          <w:b/>
          <w:szCs w:val="20"/>
        </w:rPr>
        <w:t xml:space="preserve"> </w:t>
      </w:r>
      <w:r w:rsidR="00046FC0">
        <w:rPr>
          <w:rFonts w:cs="Segoe UI"/>
          <w:b/>
          <w:szCs w:val="20"/>
        </w:rPr>
        <w:t xml:space="preserve">SR </w:t>
      </w:r>
      <w:r w:rsidR="00E02AC9">
        <w:rPr>
          <w:rFonts w:cs="Segoe UI"/>
          <w:b/>
          <w:szCs w:val="20"/>
        </w:rPr>
        <w:t xml:space="preserve">však </w:t>
      </w:r>
      <w:r w:rsidR="00046FC0">
        <w:rPr>
          <w:rFonts w:cs="Segoe UI"/>
          <w:b/>
          <w:szCs w:val="20"/>
        </w:rPr>
        <w:t>nemá vytvorený mechanizmus využitia</w:t>
      </w:r>
      <w:r w:rsidR="00046FC0">
        <w:rPr>
          <w:rFonts w:cs="Segoe UI"/>
          <w:szCs w:val="20"/>
        </w:rPr>
        <w:t xml:space="preserve"> </w:t>
      </w:r>
      <w:r w:rsidR="00046FC0" w:rsidRPr="00912E54">
        <w:rPr>
          <w:rFonts w:cs="Segoe UI"/>
          <w:b/>
          <w:szCs w:val="20"/>
        </w:rPr>
        <w:t>t</w:t>
      </w:r>
      <w:r w:rsidR="002604A2">
        <w:rPr>
          <w:rFonts w:cs="Segoe UI"/>
          <w:b/>
          <w:szCs w:val="20"/>
        </w:rPr>
        <w:t>ohto zostatku</w:t>
      </w:r>
      <w:r w:rsidR="00046FC0">
        <w:rPr>
          <w:rFonts w:cs="Segoe UI"/>
          <w:b/>
          <w:szCs w:val="20"/>
        </w:rPr>
        <w:t>.</w:t>
      </w:r>
      <w:r w:rsidR="00046FC0">
        <w:rPr>
          <w:rFonts w:cs="Segoe UI"/>
        </w:rPr>
        <w:t xml:space="preserve"> V nasledujúcich rozpočtových rokoch by sa </w:t>
      </w:r>
      <w:r w:rsidR="00E02AC9">
        <w:rPr>
          <w:rFonts w:cs="Segoe UI"/>
        </w:rPr>
        <w:t>tento zostatok</w:t>
      </w:r>
      <w:r w:rsidR="00046FC0">
        <w:rPr>
          <w:rFonts w:cs="Segoe UI"/>
        </w:rPr>
        <w:t xml:space="preserve"> moh</w:t>
      </w:r>
      <w:r w:rsidR="00E02AC9">
        <w:rPr>
          <w:rFonts w:cs="Segoe UI"/>
        </w:rPr>
        <w:t>o</w:t>
      </w:r>
      <w:r w:rsidR="00046FC0">
        <w:rPr>
          <w:rFonts w:cs="Segoe UI"/>
        </w:rPr>
        <w:t>l prejaviť v navýšení objemu finančných prostriedkov určených na príslušné dotačné mechanizmy na výdavkovej strane rozpočtu.</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66A89" w:rsidRPr="009D6E29" w14:paraId="62D4716C" w14:textId="77777777" w:rsidTr="00162997">
        <w:trPr>
          <w:trHeight w:val="113"/>
        </w:trPr>
        <w:tc>
          <w:tcPr>
            <w:tcW w:w="5000" w:type="pct"/>
            <w:tcBorders>
              <w:bottom w:val="single" w:sz="4" w:space="0" w:color="314364"/>
            </w:tcBorders>
            <w:shd w:val="clear" w:color="auto" w:fill="auto"/>
            <w:hideMark/>
          </w:tcPr>
          <w:p w14:paraId="2BB89262" w14:textId="5FFBCFA0" w:rsidR="00D66A89" w:rsidRPr="009D6E29" w:rsidRDefault="00D66A89" w:rsidP="00FB6475">
            <w:pPr>
              <w:pStyle w:val="Bezriadkovania"/>
              <w:spacing w:line="240" w:lineRule="atLeast"/>
              <w:jc w:val="both"/>
              <w:rPr>
                <w:rFonts w:ascii="Segoe UI" w:eastAsia="Times New Roman" w:hAnsi="Segoe UI" w:cs="Segoe UI"/>
                <w:b/>
                <w:color w:val="FFFFFF" w:themeColor="background1"/>
                <w:szCs w:val="24"/>
                <w:lang w:eastAsia="en-US"/>
              </w:rPr>
            </w:pPr>
            <w:r>
              <w:rPr>
                <w:rFonts w:ascii="Segoe UI" w:eastAsia="Times New Roman" w:hAnsi="Segoe UI" w:cs="Segoe UI"/>
                <w:b/>
                <w:color w:val="314364"/>
                <w:sz w:val="20"/>
                <w:szCs w:val="24"/>
                <w:lang w:eastAsia="en-US"/>
              </w:rPr>
              <w:t>Graf 1</w:t>
            </w:r>
            <w:r w:rsidR="00FB6475">
              <w:rPr>
                <w:rFonts w:ascii="Segoe UI" w:eastAsia="Times New Roman" w:hAnsi="Segoe UI" w:cs="Segoe UI"/>
                <w:b/>
                <w:color w:val="314364"/>
                <w:sz w:val="20"/>
                <w:szCs w:val="24"/>
                <w:lang w:eastAsia="en-US"/>
              </w:rPr>
              <w:t>4</w:t>
            </w:r>
            <w:r w:rsidRPr="009D6E29">
              <w:rPr>
                <w:rFonts w:ascii="Segoe UI" w:eastAsia="Times New Roman" w:hAnsi="Segoe UI" w:cs="Segoe UI"/>
                <w:b/>
                <w:color w:val="314364"/>
                <w:sz w:val="20"/>
                <w:szCs w:val="24"/>
                <w:lang w:eastAsia="en-US"/>
              </w:rPr>
              <w:t>:</w:t>
            </w:r>
            <w:r>
              <w:rPr>
                <w:rFonts w:ascii="Segoe UI" w:eastAsia="Times New Roman" w:hAnsi="Segoe UI" w:cs="Segoe UI"/>
                <w:b/>
                <w:color w:val="314364"/>
                <w:sz w:val="20"/>
                <w:szCs w:val="24"/>
                <w:lang w:eastAsia="en-US"/>
              </w:rPr>
              <w:t xml:space="preserve"> Príjmy*</w:t>
            </w:r>
            <w:r w:rsidRPr="009B3EE3">
              <w:rPr>
                <w:rFonts w:ascii="Segoe UI" w:eastAsia="Times New Roman" w:hAnsi="Segoe UI" w:cs="Segoe UI"/>
                <w:b/>
                <w:color w:val="314364"/>
                <w:sz w:val="20"/>
                <w:szCs w:val="24"/>
                <w:lang w:eastAsia="en-US"/>
              </w:rPr>
              <w:t xml:space="preserve"> </w:t>
            </w:r>
            <w:r w:rsidR="004848BF">
              <w:rPr>
                <w:rFonts w:ascii="Segoe UI" w:eastAsia="Times New Roman" w:hAnsi="Segoe UI" w:cs="Segoe UI"/>
                <w:b/>
                <w:color w:val="314364"/>
                <w:sz w:val="20"/>
                <w:szCs w:val="24"/>
                <w:lang w:eastAsia="en-US"/>
              </w:rPr>
              <w:t xml:space="preserve">a </w:t>
            </w:r>
            <w:r w:rsidRPr="009B3EE3">
              <w:rPr>
                <w:rFonts w:ascii="Segoe UI" w:eastAsia="Times New Roman" w:hAnsi="Segoe UI" w:cs="Segoe UI"/>
                <w:b/>
                <w:color w:val="314364"/>
                <w:sz w:val="20"/>
                <w:szCs w:val="24"/>
                <w:lang w:eastAsia="en-US"/>
              </w:rPr>
              <w:t>výdavky Environmentálneho fondu v období 2007 – 2024 (v tis. eur)</w:t>
            </w:r>
          </w:p>
        </w:tc>
      </w:tr>
      <w:tr w:rsidR="00D66A89" w:rsidRPr="00C75134" w14:paraId="0505F33D" w14:textId="77777777" w:rsidTr="00162997">
        <w:tblPrEx>
          <w:tblCellMar>
            <w:left w:w="70" w:type="dxa"/>
            <w:right w:w="70" w:type="dxa"/>
          </w:tblCellMar>
        </w:tblPrEx>
        <w:trPr>
          <w:trHeight w:val="3685"/>
        </w:trPr>
        <w:tc>
          <w:tcPr>
            <w:tcW w:w="5000" w:type="pct"/>
            <w:tcBorders>
              <w:top w:val="single" w:sz="4" w:space="0" w:color="314364"/>
              <w:bottom w:val="single" w:sz="4" w:space="0" w:color="314364"/>
            </w:tcBorders>
            <w:vAlign w:val="center"/>
          </w:tcPr>
          <w:p w14:paraId="0B102271" w14:textId="77777777" w:rsidR="00D66A89" w:rsidRPr="00C75134" w:rsidRDefault="00D66A89" w:rsidP="00162997">
            <w:pPr>
              <w:spacing w:after="0"/>
              <w:jc w:val="left"/>
              <w:rPr>
                <w:b/>
                <w:color w:val="576431"/>
              </w:rPr>
            </w:pPr>
            <w:r>
              <w:rPr>
                <w:noProof/>
                <w:lang w:eastAsia="sk-SK"/>
              </w:rPr>
              <w:drawing>
                <wp:inline distT="0" distB="0" distL="0" distR="0" wp14:anchorId="429379A9" wp14:editId="2EAF2E26">
                  <wp:extent cx="5759450" cy="2301240"/>
                  <wp:effectExtent l="0" t="0" r="0" b="381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D66A89" w:rsidRPr="00627D87" w14:paraId="7AE2C917" w14:textId="77777777" w:rsidTr="00162997">
        <w:trPr>
          <w:trHeight w:val="113"/>
        </w:trPr>
        <w:tc>
          <w:tcPr>
            <w:tcW w:w="5000" w:type="pct"/>
            <w:tcBorders>
              <w:top w:val="single" w:sz="4" w:space="0" w:color="314364"/>
            </w:tcBorders>
            <w:hideMark/>
          </w:tcPr>
          <w:p w14:paraId="505128C0" w14:textId="6070BCA2" w:rsidR="00D66A89" w:rsidRDefault="00D66A89" w:rsidP="00162997">
            <w:pPr>
              <w:keepNext/>
              <w:spacing w:after="0" w:line="240" w:lineRule="auto"/>
              <w:rPr>
                <w:rFonts w:cs="Times New Roman"/>
                <w:i/>
                <w:color w:val="314364" w:themeColor="text2"/>
                <w:sz w:val="16"/>
                <w:szCs w:val="24"/>
              </w:rPr>
            </w:pPr>
            <w:r>
              <w:rPr>
                <w:rFonts w:cs="Times New Roman"/>
                <w:i/>
                <w:color w:val="314364" w:themeColor="text2"/>
                <w:sz w:val="16"/>
                <w:szCs w:val="24"/>
              </w:rPr>
              <w:t xml:space="preserve">Zdroj: MF </w:t>
            </w:r>
            <w:r w:rsidR="00B22A82">
              <w:rPr>
                <w:rFonts w:cs="Times New Roman"/>
                <w:i/>
                <w:color w:val="314364" w:themeColor="text2"/>
                <w:sz w:val="16"/>
                <w:szCs w:val="24"/>
              </w:rPr>
              <w:t>SR, Štátna pokladnica, RIS, Environmentálny fond</w:t>
            </w:r>
          </w:p>
          <w:p w14:paraId="5495336D" w14:textId="0A39BBA8" w:rsidR="00D66A89" w:rsidRPr="00627D87" w:rsidRDefault="00D66A89" w:rsidP="002604A2">
            <w:pPr>
              <w:keepNext/>
              <w:spacing w:after="0" w:line="240" w:lineRule="auto"/>
              <w:rPr>
                <w:rFonts w:cs="Times New Roman"/>
                <w:i/>
                <w:color w:val="000000"/>
                <w:sz w:val="16"/>
                <w:szCs w:val="24"/>
              </w:rPr>
            </w:pPr>
            <w:r w:rsidRPr="000F5397">
              <w:rPr>
                <w:rFonts w:ascii="Symbol" w:eastAsia="Symbol" w:hAnsi="Symbol" w:cs="Symbol"/>
                <w:i/>
                <w:color w:val="314364" w:themeColor="text2"/>
                <w:sz w:val="16"/>
                <w:szCs w:val="24"/>
                <w:vertAlign w:val="superscript"/>
              </w:rPr>
              <w:t></w:t>
            </w:r>
            <w:r>
              <w:rPr>
                <w:rFonts w:cs="Times New Roman"/>
                <w:i/>
                <w:color w:val="314364" w:themeColor="text2"/>
                <w:sz w:val="16"/>
                <w:szCs w:val="24"/>
              </w:rPr>
              <w:t>skutočný príjem sa skladá z</w:t>
            </w:r>
            <w:r w:rsidR="002604A2">
              <w:rPr>
                <w:rFonts w:cs="Times New Roman"/>
                <w:i/>
                <w:color w:val="314364" w:themeColor="text2"/>
                <w:sz w:val="16"/>
                <w:szCs w:val="24"/>
              </w:rPr>
              <w:t>o zostatkov hospodárenia z predchádzajúcich rokov</w:t>
            </w:r>
            <w:r>
              <w:rPr>
                <w:rFonts w:cs="Times New Roman"/>
                <w:i/>
                <w:color w:val="314364" w:themeColor="text2"/>
                <w:sz w:val="16"/>
                <w:szCs w:val="24"/>
              </w:rPr>
              <w:t xml:space="preserve">, ktoré sa vo forme </w:t>
            </w:r>
            <w:r w:rsidR="002604A2">
              <w:rPr>
                <w:rFonts w:cs="Times New Roman"/>
                <w:i/>
                <w:color w:val="314364" w:themeColor="text2"/>
                <w:sz w:val="16"/>
                <w:szCs w:val="24"/>
              </w:rPr>
              <w:t>príjmových finančných operácií</w:t>
            </w:r>
            <w:r>
              <w:rPr>
                <w:rFonts w:cs="Times New Roman"/>
                <w:i/>
                <w:color w:val="314364" w:themeColor="text2"/>
                <w:sz w:val="16"/>
                <w:szCs w:val="24"/>
              </w:rPr>
              <w:t xml:space="preserve"> presúvajú do nasledujúcich rokov a aktuálnych ročných príjmov z poplatkov, pokút a emisií</w:t>
            </w:r>
            <w:r>
              <w:rPr>
                <w:rFonts w:cs="Times New Roman"/>
                <w:i/>
                <w:color w:val="314364" w:themeColor="text2"/>
                <w:sz w:val="16"/>
                <w:szCs w:val="24"/>
                <w:lang w:val="en-US"/>
              </w:rPr>
              <w:t xml:space="preserve">; </w:t>
            </w:r>
            <w:r w:rsidRPr="0011364F">
              <w:rPr>
                <w:rFonts w:cs="Times New Roman"/>
                <w:i/>
                <w:color w:val="314364" w:themeColor="text2"/>
                <w:sz w:val="16"/>
                <w:szCs w:val="24"/>
              </w:rPr>
              <w:t>spracovanie NKÚ SR</w:t>
            </w:r>
            <w:r>
              <w:rPr>
                <w:rFonts w:cs="Times New Roman"/>
                <w:i/>
                <w:color w:val="314364" w:themeColor="text2"/>
                <w:sz w:val="16"/>
                <w:szCs w:val="24"/>
              </w:rPr>
              <w:t xml:space="preserve">, </w:t>
            </w:r>
            <w:r w:rsidRPr="000F5397">
              <w:rPr>
                <w:rFonts w:ascii="Symbol" w:eastAsia="Symbol" w:hAnsi="Symbol" w:cs="Symbol"/>
                <w:i/>
                <w:color w:val="314364" w:themeColor="text2"/>
                <w:sz w:val="16"/>
                <w:szCs w:val="24"/>
                <w:vertAlign w:val="superscript"/>
              </w:rPr>
              <w:t></w:t>
            </w:r>
            <w:r w:rsidRPr="000F5397">
              <w:rPr>
                <w:rFonts w:ascii="Symbol" w:eastAsia="Symbol" w:hAnsi="Symbol" w:cs="Symbol"/>
                <w:i/>
                <w:color w:val="314364" w:themeColor="text2"/>
                <w:sz w:val="16"/>
                <w:szCs w:val="24"/>
                <w:vertAlign w:val="superscript"/>
              </w:rPr>
              <w:t></w:t>
            </w:r>
            <w:r>
              <w:rPr>
                <w:rFonts w:ascii="Symbol" w:eastAsia="Symbol" w:hAnsi="Symbol" w:cs="Symbol"/>
                <w:i/>
                <w:color w:val="314364" w:themeColor="text2"/>
                <w:sz w:val="16"/>
                <w:szCs w:val="24"/>
                <w:vertAlign w:val="superscript"/>
              </w:rPr>
              <w:t></w:t>
            </w:r>
            <w:r w:rsidRPr="00640436">
              <w:rPr>
                <w:rFonts w:eastAsia="Symbol" w:cs="Segoe UI"/>
                <w:i/>
                <w:color w:val="314364" w:themeColor="text2"/>
                <w:sz w:val="16"/>
                <w:szCs w:val="24"/>
              </w:rPr>
              <w:t>o</w:t>
            </w:r>
            <w:r>
              <w:rPr>
                <w:rFonts w:eastAsia="Symbol" w:cs="Segoe UI"/>
                <w:i/>
                <w:color w:val="314364" w:themeColor="text2"/>
                <w:sz w:val="16"/>
                <w:szCs w:val="24"/>
              </w:rPr>
              <w:t xml:space="preserve">čakávaná skutočnosť, </w:t>
            </w:r>
            <w:r w:rsidRPr="000F5397">
              <w:rPr>
                <w:rFonts w:ascii="Symbol" w:eastAsia="Symbol" w:hAnsi="Symbol" w:cs="Symbol"/>
                <w:i/>
                <w:color w:val="314364" w:themeColor="text2"/>
                <w:sz w:val="16"/>
                <w:szCs w:val="24"/>
                <w:vertAlign w:val="superscript"/>
              </w:rPr>
              <w:t></w:t>
            </w:r>
            <w:r>
              <w:rPr>
                <w:rFonts w:ascii="Symbol" w:eastAsia="Symbol" w:hAnsi="Symbol" w:cs="Symbol"/>
                <w:i/>
                <w:color w:val="314364" w:themeColor="text2"/>
                <w:sz w:val="16"/>
                <w:szCs w:val="24"/>
                <w:vertAlign w:val="superscript"/>
              </w:rPr>
              <w:t></w:t>
            </w:r>
            <w:r w:rsidRPr="000F5397">
              <w:rPr>
                <w:rFonts w:ascii="Symbol" w:eastAsia="Symbol" w:hAnsi="Symbol" w:cs="Symbol"/>
                <w:i/>
                <w:color w:val="314364" w:themeColor="text2"/>
                <w:sz w:val="16"/>
                <w:szCs w:val="24"/>
                <w:vertAlign w:val="superscript"/>
              </w:rPr>
              <w:t></w:t>
            </w:r>
            <w:r>
              <w:rPr>
                <w:rFonts w:ascii="Symbol" w:eastAsia="Symbol" w:hAnsi="Symbol" w:cs="Symbol"/>
                <w:i/>
                <w:color w:val="314364" w:themeColor="text2"/>
                <w:sz w:val="16"/>
                <w:szCs w:val="24"/>
                <w:vertAlign w:val="superscript"/>
              </w:rPr>
              <w:t></w:t>
            </w:r>
            <w:r w:rsidRPr="000F5397">
              <w:rPr>
                <w:rFonts w:ascii="Symbol" w:eastAsia="Symbol" w:hAnsi="Symbol" w:cs="Symbol"/>
                <w:i/>
                <w:color w:val="314364" w:themeColor="text2"/>
                <w:sz w:val="16"/>
                <w:szCs w:val="24"/>
                <w:vertAlign w:val="superscript"/>
              </w:rPr>
              <w:t></w:t>
            </w:r>
            <w:r>
              <w:rPr>
                <w:rFonts w:ascii="Symbol" w:eastAsia="Symbol" w:hAnsi="Symbol" w:cs="Symbol"/>
                <w:i/>
                <w:color w:val="314364" w:themeColor="text2"/>
                <w:sz w:val="16"/>
                <w:szCs w:val="24"/>
                <w:vertAlign w:val="superscript"/>
              </w:rPr>
              <w:t></w:t>
            </w:r>
            <w:r>
              <w:rPr>
                <w:rFonts w:eastAsia="Symbol" w:cs="Segoe UI"/>
                <w:i/>
                <w:color w:val="314364" w:themeColor="text2"/>
                <w:sz w:val="16"/>
                <w:szCs w:val="24"/>
              </w:rPr>
              <w:t>návrh</w:t>
            </w:r>
          </w:p>
        </w:tc>
      </w:tr>
    </w:tbl>
    <w:p w14:paraId="19837AA9" w14:textId="77777777" w:rsidR="00893E88" w:rsidRDefault="00893E88" w:rsidP="00893E88">
      <w:pPr>
        <w:spacing w:before="120"/>
      </w:pPr>
      <w:r>
        <w:rPr>
          <w:rFonts w:cs="Segoe UI"/>
          <w:b/>
          <w:szCs w:val="20"/>
        </w:rPr>
        <w:t>Medzi n</w:t>
      </w:r>
      <w:r w:rsidRPr="00074D0A">
        <w:rPr>
          <w:rFonts w:cs="Segoe UI"/>
          <w:b/>
          <w:szCs w:val="20"/>
        </w:rPr>
        <w:t>ajvýznamnejš</w:t>
      </w:r>
      <w:r>
        <w:rPr>
          <w:rFonts w:cs="Segoe UI"/>
          <w:b/>
          <w:szCs w:val="20"/>
        </w:rPr>
        <w:t xml:space="preserve">ie </w:t>
      </w:r>
      <w:r w:rsidRPr="00074D0A">
        <w:rPr>
          <w:rFonts w:cs="Segoe UI"/>
          <w:b/>
          <w:szCs w:val="20"/>
        </w:rPr>
        <w:t>rizik</w:t>
      </w:r>
      <w:r>
        <w:rPr>
          <w:rFonts w:cs="Segoe UI"/>
          <w:b/>
          <w:szCs w:val="20"/>
        </w:rPr>
        <w:t>á</w:t>
      </w:r>
      <w:r w:rsidRPr="00050F6E">
        <w:rPr>
          <w:rStyle w:val="Odkaznapoznmkupodiarou"/>
          <w:rFonts w:cs="Segoe UI"/>
          <w:i/>
          <w:szCs w:val="20"/>
        </w:rPr>
        <w:footnoteReference w:id="59"/>
      </w:r>
      <w:r w:rsidRPr="00050F6E">
        <w:rPr>
          <w:rFonts w:cs="Segoe UI"/>
          <w:i/>
          <w:szCs w:val="20"/>
          <w:vertAlign w:val="superscript"/>
        </w:rPr>
        <w:t>)</w:t>
      </w:r>
      <w:r w:rsidRPr="00050F6E">
        <w:rPr>
          <w:rFonts w:cs="Segoe UI"/>
          <w:i/>
          <w:szCs w:val="20"/>
        </w:rPr>
        <w:t xml:space="preserve"> </w:t>
      </w:r>
      <w:r>
        <w:rPr>
          <w:rFonts w:cs="Segoe UI"/>
          <w:b/>
          <w:szCs w:val="20"/>
        </w:rPr>
        <w:t>rozpočtu v oblasti environmentálnej udržateľnosti</w:t>
      </w:r>
      <w:r>
        <w:rPr>
          <w:rFonts w:cs="Segoe UI"/>
          <w:szCs w:val="20"/>
        </w:rPr>
        <w:t xml:space="preserve"> možno zaradiť absenciu metodiky</w:t>
      </w:r>
      <w:r w:rsidRPr="00516EC5">
        <w:rPr>
          <w:rFonts w:cs="Segoe UI"/>
          <w:szCs w:val="20"/>
        </w:rPr>
        <w:t xml:space="preserve"> r</w:t>
      </w:r>
      <w:r>
        <w:rPr>
          <w:rFonts w:cs="Segoe UI"/>
          <w:szCs w:val="20"/>
        </w:rPr>
        <w:t xml:space="preserve">ealizovania investičných plánov, ako aj nespracovanú revíziu investičného dlhu v rezorte. Ďalším významným rizikom je aj chýbajúci implementačný plán </w:t>
      </w:r>
      <w:proofErr w:type="spellStart"/>
      <w:r>
        <w:rPr>
          <w:rFonts w:cs="Segoe UI"/>
          <w:szCs w:val="20"/>
        </w:rPr>
        <w:t>Envirostratégie</w:t>
      </w:r>
      <w:proofErr w:type="spellEnd"/>
      <w:r>
        <w:rPr>
          <w:rFonts w:cs="Segoe UI"/>
          <w:szCs w:val="20"/>
        </w:rPr>
        <w:t xml:space="preserve"> spolu s chýbajúcim ročným odpočtom jednotlivých merateľných ukazovateľov jej plnenia. Tieto nedostatky sa prejavujú najmä v zúčtovateľnosti plánovaných a vynaložených finančných prostriedkov v rezorte. Dlhodobým rizikom sa javí aj </w:t>
      </w:r>
      <w:r w:rsidRPr="00FF32A0">
        <w:rPr>
          <w:rFonts w:cs="Segoe UI"/>
          <w:szCs w:val="20"/>
        </w:rPr>
        <w:t xml:space="preserve">dosiahnutie záväzkov SR v oblasti vôd (zásobovanie </w:t>
      </w:r>
      <w:r>
        <w:rPr>
          <w:rFonts w:cs="Segoe UI"/>
          <w:szCs w:val="20"/>
        </w:rPr>
        <w:t xml:space="preserve">pitnou </w:t>
      </w:r>
      <w:r w:rsidRPr="00FF32A0">
        <w:rPr>
          <w:rFonts w:cs="Segoe UI"/>
          <w:szCs w:val="20"/>
        </w:rPr>
        <w:t>vodou, odvádzanie a čistenie odpadových vôd, dosiahnutie dobrého stavu vôd</w:t>
      </w:r>
      <w:r>
        <w:rPr>
          <w:rFonts w:cs="Segoe UI"/>
          <w:szCs w:val="20"/>
        </w:rPr>
        <w:t>, ochrana kvality vôd, atď.)</w:t>
      </w:r>
      <w:r w:rsidRPr="00FF32A0">
        <w:rPr>
          <w:rFonts w:cs="Segoe UI"/>
          <w:szCs w:val="20"/>
        </w:rPr>
        <w:t>,</w:t>
      </w:r>
      <w:r>
        <w:rPr>
          <w:rFonts w:cs="Segoe UI"/>
          <w:szCs w:val="20"/>
        </w:rPr>
        <w:t xml:space="preserve"> ako aj </w:t>
      </w:r>
      <w:r>
        <w:t>plnenie reformných ambícií z PVV (najmä v oblasti zefektívňovania výkonu štátnej správy, reformy kľúčových podnikov a rezortných inštitúcií, reforma národných parkov atď.). Samostatnú skupinu rizík predstavuje Environmentálny fond, jeho strategické zameranie, riadenie v nadväznosti na systém prideľovania dotácií a schvaľovania úverov vrátane chýbajúceho mechanizmu využitia rastúcich zostatkov hospodárenia.</w:t>
      </w:r>
    </w:p>
    <w:p w14:paraId="682E7FF6" w14:textId="142C5360" w:rsidR="000D05F7" w:rsidRDefault="00C30CC5" w:rsidP="00393658">
      <w:pPr>
        <w:pStyle w:val="Nadpis1"/>
      </w:pPr>
      <w:bookmarkStart w:id="32" w:name="_Toc86396384"/>
      <w:bookmarkStart w:id="33" w:name="_Toc87345118"/>
      <w:r>
        <w:lastRenderedPageBreak/>
        <w:t>Rozpočt</w:t>
      </w:r>
      <w:r w:rsidR="00100936">
        <w:t>ové vzťahy</w:t>
      </w:r>
      <w:r w:rsidR="0013594B">
        <w:t xml:space="preserve"> samosprávy a štátu</w:t>
      </w:r>
      <w:bookmarkEnd w:id="32"/>
      <w:bookmarkEnd w:id="33"/>
    </w:p>
    <w:p w14:paraId="1D673AB9" w14:textId="339C30B9" w:rsidR="003D315C" w:rsidRPr="00FF3CAA" w:rsidRDefault="003D315C" w:rsidP="003D315C">
      <w:r>
        <w:t xml:space="preserve">Značný </w:t>
      </w:r>
      <w:r w:rsidR="0051510D">
        <w:t>počet</w:t>
      </w:r>
      <w:r w:rsidRPr="00FF3CAA">
        <w:t xml:space="preserve"> verejných politík sa realizuje cez samospráv</w:t>
      </w:r>
      <w:r>
        <w:t>u</w:t>
      </w:r>
      <w:r w:rsidR="00050F6E">
        <w:rPr>
          <w:lang w:val="en-US"/>
        </w:rPr>
        <w:t>;</w:t>
      </w:r>
      <w:r w:rsidRPr="00FF3CAA">
        <w:t xml:space="preserve"> vertikálna koherencia</w:t>
      </w:r>
      <w:r>
        <w:t xml:space="preserve"> medzi samosprávou a štátom je preto veľmi dôležitá. Významná časť sa realizuje prostredníctvom preneseného výkonu štátnej správy.</w:t>
      </w:r>
      <w:r w:rsidR="004848BF">
        <w:t xml:space="preserve"> Vláda SR sa </w:t>
      </w:r>
      <w:r>
        <w:t>v</w:t>
      </w:r>
      <w:r w:rsidR="003141CA">
        <w:t xml:space="preserve"> PVV</w:t>
      </w:r>
      <w:r>
        <w:t xml:space="preserve"> </w:t>
      </w:r>
      <w:r w:rsidR="004848BF">
        <w:t>z</w:t>
      </w:r>
      <w:r>
        <w:t>aviazala zvážiť zmenu modelu financovania samospráv tak, aby dostávali podiel z celkového daňového výberu a nie iba z</w:t>
      </w:r>
      <w:r w:rsidR="003141CA">
        <w:t xml:space="preserve"> DPFO</w:t>
      </w:r>
      <w:r>
        <w:t xml:space="preserve">. Taktiež by mali vykonať audit kompetencií samosprávy tak, aby bolo možné vyhodnotiť kvalitu vykonávaných kompetencií a či </w:t>
      </w:r>
      <w:r w:rsidRPr="00607ED0">
        <w:t xml:space="preserve">aktuálne nastavenie ich financovania zodpovedá ich kompetenciám. </w:t>
      </w:r>
      <w:r w:rsidRPr="00607ED0">
        <w:rPr>
          <w:b/>
        </w:rPr>
        <w:t>NKÚ SR poukazuje na to, že legislatívne návrhy, ktoré rozširovali úlohy a povinnosti pre samosprávy</w:t>
      </w:r>
      <w:r w:rsidR="00050F6E" w:rsidRPr="00607ED0">
        <w:rPr>
          <w:b/>
        </w:rPr>
        <w:t>,</w:t>
      </w:r>
      <w:r w:rsidRPr="00607ED0">
        <w:rPr>
          <w:b/>
        </w:rPr>
        <w:t xml:space="preserve"> nemali vyčíslen</w:t>
      </w:r>
      <w:r w:rsidR="004C00A0" w:rsidRPr="00607ED0">
        <w:rPr>
          <w:b/>
        </w:rPr>
        <w:t>ý</w:t>
      </w:r>
      <w:r w:rsidRPr="00607ED0">
        <w:rPr>
          <w:b/>
        </w:rPr>
        <w:t xml:space="preserve"> </w:t>
      </w:r>
      <w:r w:rsidR="004C00A0" w:rsidRPr="00607ED0">
        <w:rPr>
          <w:b/>
        </w:rPr>
        <w:t xml:space="preserve">negatívny </w:t>
      </w:r>
      <w:r w:rsidRPr="00607ED0">
        <w:rPr>
          <w:b/>
        </w:rPr>
        <w:t>vplyv</w:t>
      </w:r>
      <w:r w:rsidR="004C00A0" w:rsidRPr="00607ED0">
        <w:rPr>
          <w:b/>
        </w:rPr>
        <w:t xml:space="preserve"> na ich rozpočet</w:t>
      </w:r>
      <w:r w:rsidRPr="00607ED0">
        <w:rPr>
          <w:b/>
        </w:rPr>
        <w:t xml:space="preserve"> a</w:t>
      </w:r>
      <w:r w:rsidR="004C00A0" w:rsidRPr="00607ED0">
        <w:rPr>
          <w:b/>
        </w:rPr>
        <w:t> </w:t>
      </w:r>
      <w:r w:rsidRPr="00607ED0">
        <w:rPr>
          <w:b/>
        </w:rPr>
        <w:t>nebol</w:t>
      </w:r>
      <w:r w:rsidR="004C00A0" w:rsidRPr="00607ED0">
        <w:rPr>
          <w:b/>
        </w:rPr>
        <w:t>o im to ani</w:t>
      </w:r>
      <w:r w:rsidRPr="00607ED0">
        <w:rPr>
          <w:b/>
        </w:rPr>
        <w:t xml:space="preserve"> finančne kompenzované.</w:t>
      </w:r>
      <w:r w:rsidRPr="00607ED0">
        <w:t xml:space="preserve"> </w:t>
      </w:r>
      <w:r w:rsidRPr="00607ED0">
        <w:rPr>
          <w:b/>
        </w:rPr>
        <w:t>Súčasne</w:t>
      </w:r>
      <w:r w:rsidRPr="003914D9">
        <w:rPr>
          <w:b/>
        </w:rPr>
        <w:t xml:space="preserve"> poukazuje na to, že vláda sa zaviazala v PVV riešiť daňov</w:t>
      </w:r>
      <w:r w:rsidR="0055004D">
        <w:rPr>
          <w:b/>
        </w:rPr>
        <w:t>ý</w:t>
      </w:r>
      <w:r w:rsidRPr="003914D9">
        <w:rPr>
          <w:b/>
        </w:rPr>
        <w:t xml:space="preserve"> mix na financovanie originálnych kompetencií, ktorý sa však zatiaľ nepretavil do konkrétneho legislatívneho návrhu.</w:t>
      </w:r>
    </w:p>
    <w:p w14:paraId="1C448D85" w14:textId="77777777" w:rsidR="003D315C" w:rsidRDefault="003D315C" w:rsidP="003D315C">
      <w:r>
        <w:t xml:space="preserve">Na základe poznatkov NKÚ SR, štát prakticky na žiadnom z úsekov preneseného výkonu štátnej správy </w:t>
      </w:r>
      <w:r w:rsidRPr="00413AF0">
        <w:rPr>
          <w:b/>
        </w:rPr>
        <w:t>nemá vytvorené mechanizmy na to, aby vedel, aký objem finančných prostriedkov predstavujú náklady na zabezpečenie preneseného výkonu štátnej správy</w:t>
      </w:r>
      <w:r>
        <w:t xml:space="preserve">. Rovnako štát a obce nevedú </w:t>
      </w:r>
      <w:r w:rsidRPr="005B5E0B">
        <w:t xml:space="preserve">prehľad o tom, nakoľko sú náklady na </w:t>
      </w:r>
      <w:r>
        <w:t>jednotlivé</w:t>
      </w:r>
      <w:r w:rsidRPr="005B5E0B">
        <w:t xml:space="preserve"> služby</w:t>
      </w:r>
      <w:r>
        <w:t xml:space="preserve"> v rámci preneseného výkonu štátnej správy </w:t>
      </w:r>
      <w:r w:rsidRPr="005B5E0B">
        <w:t>kryté zo sprá</w:t>
      </w:r>
      <w:r>
        <w:t>vnych poplatkov. Na viacerých úsekoch sa objem finančných prostriedkov na krytie nákladov na prenesený výkon štátnej správy vôbec nemenil. Takto nastavený systém zaväzuje obce, aby na jednej strane napriek nedostatku financovania zo strany štátu zabezpečovali prenesený výkon štátnej správy, na druhej strane však náklady kryjú z vlastných prostriedkov, čo znamená nepretržité porušovanie zákona o rozpočtových pravidlách územnej samosprávy, v zmysle ktorého obec nemôže svoje prostriedky vynakladať na výkon činností, ktoré nie sú činnosťou samosprávy.</w:t>
      </w:r>
    </w:p>
    <w:p w14:paraId="4A598195" w14:textId="77777777" w:rsidR="004A5459" w:rsidRDefault="004A5459" w:rsidP="004A5459">
      <w:pPr>
        <w:pStyle w:val="Popis"/>
        <w:keepNext/>
      </w:pPr>
      <w:r>
        <w:t>Tabuľka 12: Dotácie na prenesený výkon štátnej správy na obce (v tis. eur)</w:t>
      </w:r>
    </w:p>
    <w:tbl>
      <w:tblPr>
        <w:tblW w:w="5000" w:type="pct"/>
        <w:tblLayout w:type="fixed"/>
        <w:tblCellMar>
          <w:left w:w="70" w:type="dxa"/>
          <w:right w:w="70" w:type="dxa"/>
        </w:tblCellMar>
        <w:tblLook w:val="04A0" w:firstRow="1" w:lastRow="0" w:firstColumn="1" w:lastColumn="0" w:noHBand="0" w:noVBand="1"/>
      </w:tblPr>
      <w:tblGrid>
        <w:gridCol w:w="4254"/>
        <w:gridCol w:w="1136"/>
        <w:gridCol w:w="1275"/>
        <w:gridCol w:w="1275"/>
        <w:gridCol w:w="1130"/>
      </w:tblGrid>
      <w:tr w:rsidR="004A5459" w:rsidRPr="00722E9F" w14:paraId="1CB4E5BB" w14:textId="77777777" w:rsidTr="00F50F0D">
        <w:trPr>
          <w:trHeight w:val="243"/>
        </w:trPr>
        <w:tc>
          <w:tcPr>
            <w:tcW w:w="2345" w:type="pct"/>
            <w:shd w:val="clear" w:color="auto" w:fill="314364" w:themeFill="accent1"/>
            <w:noWrap/>
            <w:vAlign w:val="center"/>
            <w:hideMark/>
          </w:tcPr>
          <w:p w14:paraId="66CCFE01" w14:textId="77777777" w:rsidR="004A5459" w:rsidRPr="00722E9F" w:rsidRDefault="004A5459" w:rsidP="00F50F0D">
            <w:pPr>
              <w:spacing w:after="0" w:line="240" w:lineRule="auto"/>
              <w:jc w:val="left"/>
              <w:rPr>
                <w:rFonts w:eastAsia="Times New Roman" w:cs="Segoe UI"/>
                <w:b/>
                <w:color w:val="FFFFFF" w:themeColor="background1"/>
                <w:sz w:val="18"/>
                <w:szCs w:val="18"/>
                <w:lang w:eastAsia="sk-SK"/>
              </w:rPr>
            </w:pPr>
            <w:r>
              <w:rPr>
                <w:rFonts w:eastAsia="Times New Roman" w:cs="Segoe UI"/>
                <w:b/>
                <w:color w:val="FFFFFF" w:themeColor="background1"/>
                <w:sz w:val="18"/>
                <w:szCs w:val="18"/>
                <w:lang w:eastAsia="sk-SK"/>
              </w:rPr>
              <w:t>Ukazovateľ</w:t>
            </w:r>
          </w:p>
        </w:tc>
        <w:tc>
          <w:tcPr>
            <w:tcW w:w="626" w:type="pct"/>
            <w:shd w:val="clear" w:color="auto" w:fill="314364" w:themeFill="accent1"/>
            <w:noWrap/>
            <w:vAlign w:val="center"/>
            <w:hideMark/>
          </w:tcPr>
          <w:p w14:paraId="61395423" w14:textId="77777777" w:rsidR="004A5459" w:rsidRPr="00722E9F" w:rsidRDefault="004A5459" w:rsidP="00F50F0D">
            <w:pPr>
              <w:spacing w:after="0" w:line="240" w:lineRule="auto"/>
              <w:jc w:val="center"/>
              <w:rPr>
                <w:rFonts w:eastAsia="Times New Roman" w:cs="Segoe UI"/>
                <w:b/>
                <w:color w:val="FFFFFF" w:themeColor="background1"/>
                <w:sz w:val="18"/>
                <w:szCs w:val="18"/>
                <w:lang w:eastAsia="sk-SK"/>
              </w:rPr>
            </w:pPr>
            <w:r w:rsidRPr="00722E9F">
              <w:rPr>
                <w:rFonts w:eastAsia="Times New Roman" w:cs="Segoe UI"/>
                <w:b/>
                <w:color w:val="FFFFFF" w:themeColor="background1"/>
                <w:sz w:val="18"/>
                <w:szCs w:val="18"/>
                <w:lang w:eastAsia="sk-SK"/>
              </w:rPr>
              <w:t>Skutočnosť 2020</w:t>
            </w:r>
          </w:p>
        </w:tc>
        <w:tc>
          <w:tcPr>
            <w:tcW w:w="703" w:type="pct"/>
            <w:shd w:val="clear" w:color="auto" w:fill="314364" w:themeFill="accent1"/>
            <w:noWrap/>
            <w:vAlign w:val="center"/>
            <w:hideMark/>
          </w:tcPr>
          <w:p w14:paraId="6F5DB281" w14:textId="77777777" w:rsidR="004A5459" w:rsidRPr="00722E9F" w:rsidRDefault="004A5459" w:rsidP="00F50F0D">
            <w:pPr>
              <w:spacing w:after="0" w:line="240" w:lineRule="auto"/>
              <w:jc w:val="center"/>
              <w:rPr>
                <w:rFonts w:eastAsia="Times New Roman" w:cs="Segoe UI"/>
                <w:b/>
                <w:color w:val="FFFFFF" w:themeColor="background1"/>
                <w:sz w:val="18"/>
                <w:szCs w:val="18"/>
                <w:lang w:eastAsia="sk-SK"/>
              </w:rPr>
            </w:pPr>
            <w:r w:rsidRPr="00722E9F">
              <w:rPr>
                <w:rFonts w:eastAsia="Times New Roman" w:cs="Segoe UI"/>
                <w:b/>
                <w:color w:val="FFFFFF" w:themeColor="background1"/>
                <w:sz w:val="18"/>
                <w:szCs w:val="18"/>
                <w:lang w:eastAsia="sk-SK"/>
              </w:rPr>
              <w:t>Rozpočet 2021</w:t>
            </w:r>
          </w:p>
        </w:tc>
        <w:tc>
          <w:tcPr>
            <w:tcW w:w="703" w:type="pct"/>
            <w:shd w:val="clear" w:color="auto" w:fill="314364" w:themeFill="accent1"/>
            <w:noWrap/>
            <w:vAlign w:val="center"/>
            <w:hideMark/>
          </w:tcPr>
          <w:p w14:paraId="7895FF5D" w14:textId="77777777" w:rsidR="004A5459" w:rsidRPr="00722E9F" w:rsidRDefault="004A5459" w:rsidP="00F50F0D">
            <w:pPr>
              <w:spacing w:after="0" w:line="240" w:lineRule="auto"/>
              <w:jc w:val="center"/>
              <w:rPr>
                <w:rFonts w:eastAsia="Times New Roman" w:cs="Segoe UI"/>
                <w:b/>
                <w:color w:val="FFFFFF" w:themeColor="background1"/>
                <w:sz w:val="18"/>
                <w:szCs w:val="18"/>
                <w:lang w:eastAsia="sk-SK"/>
              </w:rPr>
            </w:pPr>
            <w:r w:rsidRPr="00722E9F">
              <w:rPr>
                <w:rFonts w:eastAsia="Times New Roman" w:cs="Segoe UI"/>
                <w:b/>
                <w:color w:val="FFFFFF" w:themeColor="background1"/>
                <w:sz w:val="18"/>
                <w:szCs w:val="18"/>
                <w:lang w:eastAsia="sk-SK"/>
              </w:rPr>
              <w:t>Rozpočet 2022</w:t>
            </w:r>
          </w:p>
        </w:tc>
        <w:tc>
          <w:tcPr>
            <w:tcW w:w="624" w:type="pct"/>
            <w:shd w:val="clear" w:color="auto" w:fill="314364" w:themeFill="accent1"/>
            <w:noWrap/>
            <w:vAlign w:val="center"/>
            <w:hideMark/>
          </w:tcPr>
          <w:p w14:paraId="2D728068" w14:textId="77777777" w:rsidR="004A5459" w:rsidRPr="00722E9F" w:rsidRDefault="004A5459" w:rsidP="00F50F0D">
            <w:pPr>
              <w:spacing w:after="0" w:line="240" w:lineRule="auto"/>
              <w:jc w:val="center"/>
              <w:rPr>
                <w:rFonts w:eastAsia="Times New Roman" w:cs="Segoe UI"/>
                <w:b/>
                <w:color w:val="FFFFFF" w:themeColor="background1"/>
                <w:sz w:val="18"/>
                <w:szCs w:val="18"/>
                <w:lang w:eastAsia="sk-SK"/>
              </w:rPr>
            </w:pPr>
            <w:r w:rsidRPr="00722E9F">
              <w:rPr>
                <w:rFonts w:eastAsia="Times New Roman" w:cs="Segoe UI"/>
                <w:b/>
                <w:color w:val="FFFFFF" w:themeColor="background1"/>
                <w:sz w:val="18"/>
                <w:szCs w:val="18"/>
                <w:lang w:eastAsia="sk-SK"/>
              </w:rPr>
              <w:t xml:space="preserve">Rozdiel </w:t>
            </w:r>
            <w:r>
              <w:rPr>
                <w:rFonts w:eastAsia="Times New Roman" w:cs="Segoe UI"/>
                <w:b/>
                <w:color w:val="FFFFFF" w:themeColor="background1"/>
                <w:sz w:val="18"/>
                <w:szCs w:val="18"/>
                <w:lang w:eastAsia="sk-SK"/>
              </w:rPr>
              <w:br/>
            </w:r>
            <w:r w:rsidRPr="00722E9F">
              <w:rPr>
                <w:rFonts w:eastAsia="Times New Roman" w:cs="Segoe UI"/>
                <w:b/>
                <w:color w:val="FFFFFF" w:themeColor="background1"/>
                <w:sz w:val="18"/>
                <w:szCs w:val="18"/>
                <w:lang w:eastAsia="sk-SK"/>
              </w:rPr>
              <w:t>2022-2021</w:t>
            </w:r>
          </w:p>
        </w:tc>
      </w:tr>
      <w:tr w:rsidR="004A5459" w:rsidRPr="00722E9F" w14:paraId="371795E3" w14:textId="77777777" w:rsidTr="00F50F0D">
        <w:trPr>
          <w:trHeight w:val="243"/>
        </w:trPr>
        <w:tc>
          <w:tcPr>
            <w:tcW w:w="2345" w:type="pct"/>
            <w:tcBorders>
              <w:bottom w:val="single" w:sz="4" w:space="0" w:color="314364" w:themeColor="text2"/>
            </w:tcBorders>
            <w:shd w:val="clear" w:color="auto" w:fill="auto"/>
            <w:noWrap/>
            <w:vAlign w:val="center"/>
            <w:hideMark/>
          </w:tcPr>
          <w:p w14:paraId="62DE0981" w14:textId="77777777" w:rsidR="004A5459" w:rsidRPr="00BB3959" w:rsidRDefault="004A5459" w:rsidP="00F50F0D">
            <w:pPr>
              <w:spacing w:after="0" w:line="240" w:lineRule="auto"/>
              <w:jc w:val="left"/>
              <w:rPr>
                <w:rFonts w:eastAsia="Times New Roman" w:cs="Segoe UI"/>
                <w:color w:val="000000"/>
                <w:sz w:val="18"/>
                <w:szCs w:val="18"/>
                <w:lang w:eastAsia="sk-SK"/>
              </w:rPr>
            </w:pPr>
            <w:r w:rsidRPr="00BB3959">
              <w:rPr>
                <w:rFonts w:eastAsia="Times New Roman" w:cs="Segoe UI"/>
                <w:color w:val="000000"/>
                <w:sz w:val="18"/>
                <w:szCs w:val="18"/>
                <w:lang w:eastAsia="sk-SK"/>
              </w:rPr>
              <w:t>Dotácia na prenesený výkon pôsobnosti štátnej správy na obce</w:t>
            </w:r>
          </w:p>
        </w:tc>
        <w:tc>
          <w:tcPr>
            <w:tcW w:w="626" w:type="pct"/>
            <w:tcBorders>
              <w:bottom w:val="single" w:sz="4" w:space="0" w:color="314364" w:themeColor="text2"/>
            </w:tcBorders>
            <w:shd w:val="clear" w:color="auto" w:fill="auto"/>
            <w:noWrap/>
            <w:vAlign w:val="center"/>
            <w:hideMark/>
          </w:tcPr>
          <w:p w14:paraId="7B1F7A25"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1 132</w:t>
            </w:r>
            <w:r>
              <w:rPr>
                <w:rFonts w:eastAsia="Times New Roman" w:cs="Segoe UI"/>
                <w:color w:val="000000"/>
                <w:sz w:val="18"/>
                <w:szCs w:val="18"/>
                <w:lang w:eastAsia="sk-SK"/>
              </w:rPr>
              <w:t> </w:t>
            </w:r>
            <w:r w:rsidRPr="00722E9F">
              <w:rPr>
                <w:rFonts w:eastAsia="Times New Roman" w:cs="Segoe UI"/>
                <w:color w:val="000000"/>
                <w:sz w:val="18"/>
                <w:szCs w:val="18"/>
                <w:lang w:eastAsia="sk-SK"/>
              </w:rPr>
              <w:t>332</w:t>
            </w:r>
            <w:r>
              <w:rPr>
                <w:rFonts w:eastAsia="Times New Roman" w:cs="Segoe UI"/>
                <w:color w:val="000000"/>
                <w:sz w:val="18"/>
                <w:szCs w:val="18"/>
                <w:lang w:eastAsia="sk-SK"/>
              </w:rPr>
              <w:t>,0</w:t>
            </w:r>
          </w:p>
        </w:tc>
        <w:tc>
          <w:tcPr>
            <w:tcW w:w="703" w:type="pct"/>
            <w:tcBorders>
              <w:bottom w:val="single" w:sz="4" w:space="0" w:color="314364" w:themeColor="text2"/>
            </w:tcBorders>
            <w:shd w:val="clear" w:color="auto" w:fill="auto"/>
            <w:noWrap/>
            <w:vAlign w:val="center"/>
            <w:hideMark/>
          </w:tcPr>
          <w:p w14:paraId="019DC6F2"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1 039</w:t>
            </w:r>
            <w:r>
              <w:rPr>
                <w:rFonts w:eastAsia="Times New Roman" w:cs="Segoe UI"/>
                <w:color w:val="000000"/>
                <w:sz w:val="18"/>
                <w:szCs w:val="18"/>
                <w:lang w:eastAsia="sk-SK"/>
              </w:rPr>
              <w:t> </w:t>
            </w:r>
            <w:r w:rsidRPr="00722E9F">
              <w:rPr>
                <w:rFonts w:eastAsia="Times New Roman" w:cs="Segoe UI"/>
                <w:color w:val="000000"/>
                <w:sz w:val="18"/>
                <w:szCs w:val="18"/>
                <w:lang w:eastAsia="sk-SK"/>
              </w:rPr>
              <w:t>884</w:t>
            </w:r>
            <w:r>
              <w:rPr>
                <w:rFonts w:eastAsia="Times New Roman" w:cs="Segoe UI"/>
                <w:color w:val="000000"/>
                <w:sz w:val="18"/>
                <w:szCs w:val="18"/>
                <w:lang w:eastAsia="sk-SK"/>
              </w:rPr>
              <w:t>,3</w:t>
            </w:r>
          </w:p>
        </w:tc>
        <w:tc>
          <w:tcPr>
            <w:tcW w:w="703" w:type="pct"/>
            <w:tcBorders>
              <w:bottom w:val="single" w:sz="4" w:space="0" w:color="314364" w:themeColor="text2"/>
            </w:tcBorders>
            <w:shd w:val="clear" w:color="auto" w:fill="auto"/>
            <w:noWrap/>
            <w:vAlign w:val="center"/>
            <w:hideMark/>
          </w:tcPr>
          <w:p w14:paraId="1CE5DBCD"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1 137</w:t>
            </w:r>
            <w:r>
              <w:rPr>
                <w:rFonts w:eastAsia="Times New Roman" w:cs="Segoe UI"/>
                <w:color w:val="000000"/>
                <w:sz w:val="18"/>
                <w:szCs w:val="18"/>
                <w:lang w:eastAsia="sk-SK"/>
              </w:rPr>
              <w:t> </w:t>
            </w:r>
            <w:r w:rsidRPr="00722E9F">
              <w:rPr>
                <w:rFonts w:eastAsia="Times New Roman" w:cs="Segoe UI"/>
                <w:color w:val="000000"/>
                <w:sz w:val="18"/>
                <w:szCs w:val="18"/>
                <w:lang w:eastAsia="sk-SK"/>
              </w:rPr>
              <w:t>586</w:t>
            </w:r>
            <w:r>
              <w:rPr>
                <w:rFonts w:eastAsia="Times New Roman" w:cs="Segoe UI"/>
                <w:color w:val="000000"/>
                <w:sz w:val="18"/>
                <w:szCs w:val="18"/>
                <w:lang w:eastAsia="sk-SK"/>
              </w:rPr>
              <w:t>,1</w:t>
            </w:r>
          </w:p>
        </w:tc>
        <w:tc>
          <w:tcPr>
            <w:tcW w:w="624" w:type="pct"/>
            <w:tcBorders>
              <w:bottom w:val="single" w:sz="4" w:space="0" w:color="314364" w:themeColor="text2"/>
            </w:tcBorders>
            <w:shd w:val="clear" w:color="auto" w:fill="auto"/>
            <w:noWrap/>
            <w:vAlign w:val="center"/>
            <w:hideMark/>
          </w:tcPr>
          <w:p w14:paraId="392E0F8E"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97</w:t>
            </w:r>
            <w:r>
              <w:rPr>
                <w:rFonts w:eastAsia="Times New Roman" w:cs="Segoe UI"/>
                <w:color w:val="000000"/>
                <w:sz w:val="18"/>
                <w:szCs w:val="18"/>
                <w:lang w:eastAsia="sk-SK"/>
              </w:rPr>
              <w:t> </w:t>
            </w:r>
            <w:r w:rsidRPr="00722E9F">
              <w:rPr>
                <w:rFonts w:eastAsia="Times New Roman" w:cs="Segoe UI"/>
                <w:color w:val="000000"/>
                <w:sz w:val="18"/>
                <w:szCs w:val="18"/>
                <w:lang w:eastAsia="sk-SK"/>
              </w:rPr>
              <w:t>701</w:t>
            </w:r>
            <w:r>
              <w:rPr>
                <w:rFonts w:eastAsia="Times New Roman" w:cs="Segoe UI"/>
                <w:color w:val="000000"/>
                <w:sz w:val="18"/>
                <w:szCs w:val="18"/>
                <w:lang w:eastAsia="sk-SK"/>
              </w:rPr>
              <w:t>,</w:t>
            </w:r>
            <w:r w:rsidRPr="00722E9F">
              <w:rPr>
                <w:rFonts w:eastAsia="Times New Roman" w:cs="Segoe UI"/>
                <w:color w:val="000000"/>
                <w:sz w:val="18"/>
                <w:szCs w:val="18"/>
                <w:lang w:eastAsia="sk-SK"/>
              </w:rPr>
              <w:t>7</w:t>
            </w:r>
          </w:p>
        </w:tc>
      </w:tr>
      <w:tr w:rsidR="004A5459" w:rsidRPr="00722E9F" w14:paraId="32A4BB3A" w14:textId="77777777" w:rsidTr="00F50F0D">
        <w:trPr>
          <w:trHeight w:val="243"/>
        </w:trPr>
        <w:tc>
          <w:tcPr>
            <w:tcW w:w="2345" w:type="pct"/>
            <w:tcBorders>
              <w:top w:val="single" w:sz="4" w:space="0" w:color="314364" w:themeColor="text2"/>
            </w:tcBorders>
            <w:shd w:val="clear" w:color="auto" w:fill="auto"/>
            <w:noWrap/>
            <w:vAlign w:val="center"/>
            <w:hideMark/>
          </w:tcPr>
          <w:p w14:paraId="1EDDF8CA" w14:textId="77777777" w:rsidR="004A5459" w:rsidRPr="00BB3959" w:rsidRDefault="004A5459" w:rsidP="00F50F0D">
            <w:pPr>
              <w:spacing w:after="0" w:line="240" w:lineRule="auto"/>
              <w:jc w:val="left"/>
              <w:rPr>
                <w:rFonts w:eastAsia="Times New Roman" w:cs="Segoe UI"/>
                <w:color w:val="000000"/>
                <w:sz w:val="18"/>
                <w:szCs w:val="18"/>
                <w:lang w:eastAsia="sk-SK"/>
              </w:rPr>
            </w:pPr>
            <w:r w:rsidRPr="00BB3959">
              <w:rPr>
                <w:rFonts w:eastAsia="Times New Roman" w:cs="Segoe UI"/>
                <w:color w:val="000000"/>
                <w:sz w:val="18"/>
                <w:szCs w:val="18"/>
                <w:lang w:eastAsia="sk-SK"/>
              </w:rPr>
              <w:t>Ministerstvo vnútra SR</w:t>
            </w:r>
          </w:p>
        </w:tc>
        <w:tc>
          <w:tcPr>
            <w:tcW w:w="626" w:type="pct"/>
            <w:tcBorders>
              <w:top w:val="single" w:sz="4" w:space="0" w:color="314364" w:themeColor="text2"/>
            </w:tcBorders>
            <w:shd w:val="clear" w:color="auto" w:fill="auto"/>
            <w:noWrap/>
            <w:vAlign w:val="center"/>
            <w:hideMark/>
          </w:tcPr>
          <w:p w14:paraId="449E1042"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1 122</w:t>
            </w:r>
            <w:r>
              <w:rPr>
                <w:rFonts w:eastAsia="Times New Roman" w:cs="Segoe UI"/>
                <w:color w:val="000000"/>
                <w:sz w:val="18"/>
                <w:szCs w:val="18"/>
                <w:lang w:eastAsia="sk-SK"/>
              </w:rPr>
              <w:t> </w:t>
            </w:r>
            <w:r w:rsidRPr="00722E9F">
              <w:rPr>
                <w:rFonts w:eastAsia="Times New Roman" w:cs="Segoe UI"/>
                <w:color w:val="000000"/>
                <w:sz w:val="18"/>
                <w:szCs w:val="18"/>
                <w:lang w:eastAsia="sk-SK"/>
              </w:rPr>
              <w:t>974</w:t>
            </w:r>
            <w:r>
              <w:rPr>
                <w:rFonts w:eastAsia="Times New Roman" w:cs="Segoe UI"/>
                <w:color w:val="000000"/>
                <w:sz w:val="18"/>
                <w:szCs w:val="18"/>
                <w:lang w:eastAsia="sk-SK"/>
              </w:rPr>
              <w:t>,0</w:t>
            </w:r>
          </w:p>
        </w:tc>
        <w:tc>
          <w:tcPr>
            <w:tcW w:w="703" w:type="pct"/>
            <w:tcBorders>
              <w:top w:val="single" w:sz="4" w:space="0" w:color="314364" w:themeColor="text2"/>
            </w:tcBorders>
            <w:shd w:val="clear" w:color="auto" w:fill="auto"/>
            <w:noWrap/>
            <w:vAlign w:val="center"/>
            <w:hideMark/>
          </w:tcPr>
          <w:p w14:paraId="7EE29AA0"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1 017</w:t>
            </w:r>
            <w:r>
              <w:rPr>
                <w:rFonts w:eastAsia="Times New Roman" w:cs="Segoe UI"/>
                <w:color w:val="000000"/>
                <w:sz w:val="18"/>
                <w:szCs w:val="18"/>
                <w:lang w:eastAsia="sk-SK"/>
              </w:rPr>
              <w:t> </w:t>
            </w:r>
            <w:r w:rsidRPr="00722E9F">
              <w:rPr>
                <w:rFonts w:eastAsia="Times New Roman" w:cs="Segoe UI"/>
                <w:color w:val="000000"/>
                <w:sz w:val="18"/>
                <w:szCs w:val="18"/>
                <w:lang w:eastAsia="sk-SK"/>
              </w:rPr>
              <w:t>494</w:t>
            </w:r>
            <w:r>
              <w:rPr>
                <w:rFonts w:eastAsia="Times New Roman" w:cs="Segoe UI"/>
                <w:color w:val="000000"/>
                <w:sz w:val="18"/>
                <w:szCs w:val="18"/>
                <w:lang w:eastAsia="sk-SK"/>
              </w:rPr>
              <w:t>,4</w:t>
            </w:r>
          </w:p>
        </w:tc>
        <w:tc>
          <w:tcPr>
            <w:tcW w:w="703" w:type="pct"/>
            <w:tcBorders>
              <w:top w:val="single" w:sz="4" w:space="0" w:color="314364" w:themeColor="text2"/>
            </w:tcBorders>
            <w:shd w:val="clear" w:color="auto" w:fill="auto"/>
            <w:noWrap/>
            <w:vAlign w:val="center"/>
            <w:hideMark/>
          </w:tcPr>
          <w:p w14:paraId="5652E67B"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21</w:t>
            </w:r>
            <w:r>
              <w:rPr>
                <w:rFonts w:eastAsia="Times New Roman" w:cs="Segoe UI"/>
                <w:color w:val="000000"/>
                <w:sz w:val="18"/>
                <w:szCs w:val="18"/>
                <w:lang w:eastAsia="sk-SK"/>
              </w:rPr>
              <w:t> </w:t>
            </w:r>
            <w:r w:rsidRPr="00722E9F">
              <w:rPr>
                <w:rFonts w:eastAsia="Times New Roman" w:cs="Segoe UI"/>
                <w:color w:val="000000"/>
                <w:sz w:val="18"/>
                <w:szCs w:val="18"/>
                <w:lang w:eastAsia="sk-SK"/>
              </w:rPr>
              <w:t>957</w:t>
            </w:r>
            <w:r>
              <w:rPr>
                <w:rFonts w:eastAsia="Times New Roman" w:cs="Segoe UI"/>
                <w:color w:val="000000"/>
                <w:sz w:val="18"/>
                <w:szCs w:val="18"/>
                <w:lang w:eastAsia="sk-SK"/>
              </w:rPr>
              <w:t>,4</w:t>
            </w:r>
          </w:p>
        </w:tc>
        <w:tc>
          <w:tcPr>
            <w:tcW w:w="624" w:type="pct"/>
            <w:tcBorders>
              <w:top w:val="single" w:sz="4" w:space="0" w:color="314364" w:themeColor="text2"/>
            </w:tcBorders>
            <w:shd w:val="clear" w:color="auto" w:fill="auto"/>
            <w:noWrap/>
            <w:vAlign w:val="center"/>
            <w:hideMark/>
          </w:tcPr>
          <w:p w14:paraId="4560EE5A"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r>
      <w:tr w:rsidR="004A5459" w:rsidRPr="00722E9F" w14:paraId="6A268E6C" w14:textId="77777777" w:rsidTr="00F50F0D">
        <w:trPr>
          <w:trHeight w:val="243"/>
        </w:trPr>
        <w:tc>
          <w:tcPr>
            <w:tcW w:w="2345" w:type="pct"/>
            <w:shd w:val="clear" w:color="auto" w:fill="auto"/>
            <w:noWrap/>
            <w:vAlign w:val="center"/>
            <w:hideMark/>
          </w:tcPr>
          <w:p w14:paraId="74AF7350"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Matričná </w:t>
            </w:r>
            <w:r w:rsidRPr="00BB3959">
              <w:rPr>
                <w:rFonts w:eastAsia="Times New Roman" w:cs="Segoe UI"/>
                <w:color w:val="000000"/>
                <w:sz w:val="18"/>
                <w:szCs w:val="18"/>
                <w:lang w:eastAsia="sk-SK"/>
              </w:rPr>
              <w:t>činnosť</w:t>
            </w:r>
          </w:p>
        </w:tc>
        <w:tc>
          <w:tcPr>
            <w:tcW w:w="626" w:type="pct"/>
            <w:shd w:val="clear" w:color="auto" w:fill="auto"/>
            <w:noWrap/>
            <w:vAlign w:val="center"/>
            <w:hideMark/>
          </w:tcPr>
          <w:p w14:paraId="09E7BCB3"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9</w:t>
            </w:r>
            <w:r>
              <w:rPr>
                <w:rFonts w:eastAsia="Times New Roman" w:cs="Segoe UI"/>
                <w:color w:val="000000"/>
                <w:sz w:val="18"/>
                <w:szCs w:val="18"/>
                <w:lang w:eastAsia="sk-SK"/>
              </w:rPr>
              <w:t> </w:t>
            </w:r>
            <w:r w:rsidRPr="00722E9F">
              <w:rPr>
                <w:rFonts w:eastAsia="Times New Roman" w:cs="Segoe UI"/>
                <w:color w:val="000000"/>
                <w:sz w:val="18"/>
                <w:szCs w:val="18"/>
                <w:lang w:eastAsia="sk-SK"/>
              </w:rPr>
              <w:t>075</w:t>
            </w:r>
            <w:r>
              <w:rPr>
                <w:rFonts w:eastAsia="Times New Roman" w:cs="Segoe UI"/>
                <w:color w:val="000000"/>
                <w:sz w:val="18"/>
                <w:szCs w:val="18"/>
                <w:lang w:eastAsia="sk-SK"/>
              </w:rPr>
              <w:t>,0</w:t>
            </w:r>
          </w:p>
        </w:tc>
        <w:tc>
          <w:tcPr>
            <w:tcW w:w="703" w:type="pct"/>
            <w:shd w:val="clear" w:color="auto" w:fill="auto"/>
            <w:noWrap/>
            <w:vAlign w:val="center"/>
            <w:hideMark/>
          </w:tcPr>
          <w:p w14:paraId="1A3EE397"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7</w:t>
            </w:r>
            <w:r>
              <w:rPr>
                <w:rFonts w:eastAsia="Times New Roman" w:cs="Segoe UI"/>
                <w:color w:val="000000"/>
                <w:sz w:val="18"/>
                <w:szCs w:val="18"/>
                <w:lang w:eastAsia="sk-SK"/>
              </w:rPr>
              <w:t> </w:t>
            </w:r>
            <w:r w:rsidRPr="00722E9F">
              <w:rPr>
                <w:rFonts w:eastAsia="Times New Roman" w:cs="Segoe UI"/>
                <w:color w:val="000000"/>
                <w:sz w:val="18"/>
                <w:szCs w:val="18"/>
                <w:lang w:eastAsia="sk-SK"/>
              </w:rPr>
              <w:t>088</w:t>
            </w:r>
            <w:r>
              <w:rPr>
                <w:rFonts w:eastAsia="Times New Roman" w:cs="Segoe UI"/>
                <w:color w:val="000000"/>
                <w:sz w:val="18"/>
                <w:szCs w:val="18"/>
                <w:lang w:eastAsia="sk-SK"/>
              </w:rPr>
              <w:t>,</w:t>
            </w:r>
            <w:r w:rsidRPr="00722E9F">
              <w:rPr>
                <w:rFonts w:eastAsia="Times New Roman" w:cs="Segoe UI"/>
                <w:color w:val="000000"/>
                <w:sz w:val="18"/>
                <w:szCs w:val="18"/>
                <w:lang w:eastAsia="sk-SK"/>
              </w:rPr>
              <w:t>4</w:t>
            </w:r>
          </w:p>
        </w:tc>
        <w:tc>
          <w:tcPr>
            <w:tcW w:w="703" w:type="pct"/>
            <w:shd w:val="clear" w:color="auto" w:fill="auto"/>
            <w:noWrap/>
            <w:vAlign w:val="center"/>
            <w:hideMark/>
          </w:tcPr>
          <w:p w14:paraId="79ADD30C"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8</w:t>
            </w:r>
            <w:r>
              <w:rPr>
                <w:rFonts w:eastAsia="Times New Roman" w:cs="Segoe UI"/>
                <w:color w:val="000000"/>
                <w:sz w:val="18"/>
                <w:szCs w:val="18"/>
                <w:lang w:eastAsia="sk-SK"/>
              </w:rPr>
              <w:t> </w:t>
            </w:r>
            <w:r w:rsidRPr="00722E9F">
              <w:rPr>
                <w:rFonts w:eastAsia="Times New Roman" w:cs="Segoe UI"/>
                <w:color w:val="000000"/>
                <w:sz w:val="18"/>
                <w:szCs w:val="18"/>
                <w:lang w:eastAsia="sk-SK"/>
              </w:rPr>
              <w:t>901</w:t>
            </w:r>
            <w:r>
              <w:rPr>
                <w:rFonts w:eastAsia="Times New Roman" w:cs="Segoe UI"/>
                <w:color w:val="000000"/>
                <w:sz w:val="18"/>
                <w:szCs w:val="18"/>
                <w:lang w:eastAsia="sk-SK"/>
              </w:rPr>
              <w:t>,</w:t>
            </w:r>
            <w:r w:rsidRPr="00722E9F">
              <w:rPr>
                <w:rFonts w:eastAsia="Times New Roman" w:cs="Segoe UI"/>
                <w:color w:val="000000"/>
                <w:sz w:val="18"/>
                <w:szCs w:val="18"/>
                <w:lang w:eastAsia="sk-SK"/>
              </w:rPr>
              <w:t>3</w:t>
            </w:r>
          </w:p>
        </w:tc>
        <w:tc>
          <w:tcPr>
            <w:tcW w:w="624" w:type="pct"/>
            <w:shd w:val="clear" w:color="auto" w:fill="auto"/>
            <w:noWrap/>
            <w:vAlign w:val="center"/>
            <w:hideMark/>
          </w:tcPr>
          <w:p w14:paraId="1C86603C"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w:t>
            </w:r>
            <w:r>
              <w:rPr>
                <w:rFonts w:eastAsia="Times New Roman" w:cs="Segoe UI"/>
                <w:color w:val="000000"/>
                <w:sz w:val="18"/>
                <w:szCs w:val="18"/>
                <w:lang w:eastAsia="sk-SK"/>
              </w:rPr>
              <w:t> </w:t>
            </w:r>
            <w:r w:rsidRPr="00722E9F">
              <w:rPr>
                <w:rFonts w:eastAsia="Times New Roman" w:cs="Segoe UI"/>
                <w:color w:val="000000"/>
                <w:sz w:val="18"/>
                <w:szCs w:val="18"/>
                <w:lang w:eastAsia="sk-SK"/>
              </w:rPr>
              <w:t>812</w:t>
            </w:r>
            <w:r>
              <w:rPr>
                <w:rFonts w:eastAsia="Times New Roman" w:cs="Segoe UI"/>
                <w:color w:val="000000"/>
                <w:sz w:val="18"/>
                <w:szCs w:val="18"/>
                <w:lang w:eastAsia="sk-SK"/>
              </w:rPr>
              <w:t>,9</w:t>
            </w:r>
          </w:p>
        </w:tc>
      </w:tr>
      <w:tr w:rsidR="004A5459" w:rsidRPr="00722E9F" w14:paraId="5BE99236" w14:textId="77777777" w:rsidTr="00F50F0D">
        <w:trPr>
          <w:trHeight w:val="243"/>
        </w:trPr>
        <w:tc>
          <w:tcPr>
            <w:tcW w:w="2345" w:type="pct"/>
            <w:shd w:val="clear" w:color="auto" w:fill="auto"/>
            <w:noWrap/>
            <w:vAlign w:val="center"/>
            <w:hideMark/>
          </w:tcPr>
          <w:p w14:paraId="6432C104"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Hlásenie </w:t>
            </w:r>
            <w:r w:rsidRPr="00BB3959">
              <w:rPr>
                <w:rFonts w:eastAsia="Times New Roman" w:cs="Segoe UI"/>
                <w:color w:val="000000"/>
                <w:sz w:val="18"/>
                <w:szCs w:val="18"/>
                <w:lang w:eastAsia="sk-SK"/>
              </w:rPr>
              <w:t>pobytu občanov a register obyvateľov</w:t>
            </w:r>
          </w:p>
        </w:tc>
        <w:tc>
          <w:tcPr>
            <w:tcW w:w="626" w:type="pct"/>
            <w:shd w:val="clear" w:color="auto" w:fill="auto"/>
            <w:noWrap/>
            <w:vAlign w:val="center"/>
            <w:hideMark/>
          </w:tcPr>
          <w:p w14:paraId="0A2392FE"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1 799</w:t>
            </w:r>
            <w:r>
              <w:rPr>
                <w:rFonts w:eastAsia="Times New Roman" w:cs="Segoe UI"/>
                <w:color w:val="000000"/>
                <w:sz w:val="18"/>
                <w:szCs w:val="18"/>
                <w:lang w:eastAsia="sk-SK"/>
              </w:rPr>
              <w:t>,0</w:t>
            </w:r>
          </w:p>
        </w:tc>
        <w:tc>
          <w:tcPr>
            <w:tcW w:w="703" w:type="pct"/>
            <w:shd w:val="clear" w:color="auto" w:fill="auto"/>
            <w:noWrap/>
            <w:vAlign w:val="center"/>
            <w:hideMark/>
          </w:tcPr>
          <w:p w14:paraId="11CADA44"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w:t>
            </w:r>
            <w:r>
              <w:rPr>
                <w:rFonts w:eastAsia="Times New Roman" w:cs="Segoe UI"/>
                <w:color w:val="000000"/>
                <w:sz w:val="18"/>
                <w:szCs w:val="18"/>
                <w:lang w:eastAsia="sk-SK"/>
              </w:rPr>
              <w:t> </w:t>
            </w:r>
            <w:r w:rsidRPr="00722E9F">
              <w:rPr>
                <w:rFonts w:eastAsia="Times New Roman" w:cs="Segoe UI"/>
                <w:color w:val="000000"/>
                <w:sz w:val="18"/>
                <w:szCs w:val="18"/>
                <w:lang w:eastAsia="sk-SK"/>
              </w:rPr>
              <w:t>802</w:t>
            </w:r>
            <w:r>
              <w:rPr>
                <w:rFonts w:eastAsia="Times New Roman" w:cs="Segoe UI"/>
                <w:color w:val="000000"/>
                <w:sz w:val="18"/>
                <w:szCs w:val="18"/>
                <w:lang w:eastAsia="sk-SK"/>
              </w:rPr>
              <w:t>,</w:t>
            </w:r>
            <w:r w:rsidRPr="00722E9F">
              <w:rPr>
                <w:rFonts w:eastAsia="Times New Roman" w:cs="Segoe UI"/>
                <w:color w:val="000000"/>
                <w:sz w:val="18"/>
                <w:szCs w:val="18"/>
                <w:lang w:eastAsia="sk-SK"/>
              </w:rPr>
              <w:t>0</w:t>
            </w:r>
          </w:p>
        </w:tc>
        <w:tc>
          <w:tcPr>
            <w:tcW w:w="703" w:type="pct"/>
            <w:shd w:val="clear" w:color="auto" w:fill="auto"/>
            <w:noWrap/>
            <w:vAlign w:val="center"/>
            <w:hideMark/>
          </w:tcPr>
          <w:p w14:paraId="2E241AD3"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w:t>
            </w:r>
            <w:r>
              <w:rPr>
                <w:rFonts w:eastAsia="Times New Roman" w:cs="Segoe UI"/>
                <w:color w:val="000000"/>
                <w:sz w:val="18"/>
                <w:szCs w:val="18"/>
                <w:lang w:eastAsia="sk-SK"/>
              </w:rPr>
              <w:t> </w:t>
            </w:r>
            <w:r w:rsidRPr="00722E9F">
              <w:rPr>
                <w:rFonts w:eastAsia="Times New Roman" w:cs="Segoe UI"/>
                <w:color w:val="000000"/>
                <w:sz w:val="18"/>
                <w:szCs w:val="18"/>
                <w:lang w:eastAsia="sk-SK"/>
              </w:rPr>
              <w:t>802</w:t>
            </w:r>
            <w:r>
              <w:rPr>
                <w:rFonts w:eastAsia="Times New Roman" w:cs="Segoe UI"/>
                <w:color w:val="000000"/>
                <w:sz w:val="18"/>
                <w:szCs w:val="18"/>
                <w:lang w:eastAsia="sk-SK"/>
              </w:rPr>
              <w:t>,</w:t>
            </w:r>
            <w:r w:rsidRPr="00722E9F">
              <w:rPr>
                <w:rFonts w:eastAsia="Times New Roman" w:cs="Segoe UI"/>
                <w:color w:val="000000"/>
                <w:sz w:val="18"/>
                <w:szCs w:val="18"/>
                <w:lang w:eastAsia="sk-SK"/>
              </w:rPr>
              <w:t>0</w:t>
            </w:r>
          </w:p>
        </w:tc>
        <w:tc>
          <w:tcPr>
            <w:tcW w:w="624" w:type="pct"/>
            <w:shd w:val="clear" w:color="auto" w:fill="auto"/>
            <w:noWrap/>
            <w:vAlign w:val="center"/>
            <w:hideMark/>
          </w:tcPr>
          <w:p w14:paraId="3A25EC5E"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0</w:t>
            </w:r>
          </w:p>
        </w:tc>
      </w:tr>
      <w:tr w:rsidR="004A5459" w:rsidRPr="00722E9F" w14:paraId="13F12EF9" w14:textId="77777777" w:rsidTr="00F50F0D">
        <w:trPr>
          <w:trHeight w:val="243"/>
        </w:trPr>
        <w:tc>
          <w:tcPr>
            <w:tcW w:w="2345" w:type="pct"/>
            <w:shd w:val="clear" w:color="auto" w:fill="auto"/>
            <w:noWrap/>
            <w:vAlign w:val="center"/>
            <w:hideMark/>
          </w:tcPr>
          <w:p w14:paraId="2A9B0712"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Register </w:t>
            </w:r>
            <w:r w:rsidRPr="00BB3959">
              <w:rPr>
                <w:rFonts w:eastAsia="Times New Roman" w:cs="Segoe UI"/>
                <w:color w:val="000000"/>
                <w:sz w:val="18"/>
                <w:szCs w:val="18"/>
                <w:lang w:eastAsia="sk-SK"/>
              </w:rPr>
              <w:t>adries</w:t>
            </w:r>
          </w:p>
        </w:tc>
        <w:tc>
          <w:tcPr>
            <w:tcW w:w="626" w:type="pct"/>
            <w:shd w:val="clear" w:color="auto" w:fill="auto"/>
            <w:noWrap/>
            <w:vAlign w:val="center"/>
            <w:hideMark/>
          </w:tcPr>
          <w:p w14:paraId="186B1522"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140</w:t>
            </w:r>
            <w:r>
              <w:rPr>
                <w:rFonts w:eastAsia="Times New Roman" w:cs="Segoe UI"/>
                <w:color w:val="000000"/>
                <w:sz w:val="18"/>
                <w:szCs w:val="18"/>
                <w:lang w:eastAsia="sk-SK"/>
              </w:rPr>
              <w:t>,0</w:t>
            </w:r>
          </w:p>
        </w:tc>
        <w:tc>
          <w:tcPr>
            <w:tcW w:w="703" w:type="pct"/>
            <w:shd w:val="clear" w:color="auto" w:fill="auto"/>
            <w:noWrap/>
            <w:vAlign w:val="center"/>
            <w:hideMark/>
          </w:tcPr>
          <w:p w14:paraId="5F1679CA"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196</w:t>
            </w:r>
            <w:r>
              <w:rPr>
                <w:rFonts w:eastAsia="Times New Roman" w:cs="Segoe UI"/>
                <w:color w:val="000000"/>
                <w:sz w:val="18"/>
                <w:szCs w:val="18"/>
                <w:lang w:eastAsia="sk-SK"/>
              </w:rPr>
              <w:t>,6</w:t>
            </w:r>
          </w:p>
        </w:tc>
        <w:tc>
          <w:tcPr>
            <w:tcW w:w="703" w:type="pct"/>
            <w:shd w:val="clear" w:color="auto" w:fill="auto"/>
            <w:noWrap/>
            <w:vAlign w:val="center"/>
            <w:hideMark/>
          </w:tcPr>
          <w:p w14:paraId="7C4B1C50"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196</w:t>
            </w:r>
            <w:r>
              <w:rPr>
                <w:rFonts w:eastAsia="Times New Roman" w:cs="Segoe UI"/>
                <w:color w:val="000000"/>
                <w:sz w:val="18"/>
                <w:szCs w:val="18"/>
                <w:lang w:eastAsia="sk-SK"/>
              </w:rPr>
              <w:t>,6</w:t>
            </w:r>
          </w:p>
        </w:tc>
        <w:tc>
          <w:tcPr>
            <w:tcW w:w="624" w:type="pct"/>
            <w:shd w:val="clear" w:color="auto" w:fill="auto"/>
            <w:noWrap/>
            <w:vAlign w:val="center"/>
            <w:hideMark/>
          </w:tcPr>
          <w:p w14:paraId="688A1269"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0</w:t>
            </w:r>
          </w:p>
        </w:tc>
      </w:tr>
      <w:tr w:rsidR="004A5459" w:rsidRPr="00722E9F" w14:paraId="1E7E06C0" w14:textId="77777777" w:rsidTr="00F50F0D">
        <w:trPr>
          <w:trHeight w:val="243"/>
        </w:trPr>
        <w:tc>
          <w:tcPr>
            <w:tcW w:w="2345" w:type="pct"/>
            <w:shd w:val="clear" w:color="auto" w:fill="auto"/>
            <w:noWrap/>
            <w:vAlign w:val="center"/>
            <w:hideMark/>
          </w:tcPr>
          <w:p w14:paraId="26A3BE5B"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w:t>
            </w:r>
            <w:r w:rsidRPr="00BB3959">
              <w:rPr>
                <w:rFonts w:eastAsia="Times New Roman" w:cs="Segoe UI"/>
                <w:color w:val="000000"/>
                <w:sz w:val="18"/>
                <w:szCs w:val="18"/>
                <w:lang w:eastAsia="sk-SK"/>
              </w:rPr>
              <w:t>Regionálne školstvo</w:t>
            </w:r>
          </w:p>
        </w:tc>
        <w:tc>
          <w:tcPr>
            <w:tcW w:w="626" w:type="pct"/>
            <w:shd w:val="clear" w:color="auto" w:fill="auto"/>
            <w:noWrap/>
            <w:vAlign w:val="center"/>
            <w:hideMark/>
          </w:tcPr>
          <w:p w14:paraId="72CA6FDD"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1 105 549</w:t>
            </w:r>
            <w:r>
              <w:rPr>
                <w:rFonts w:eastAsia="Times New Roman" w:cs="Segoe UI"/>
                <w:color w:val="000000"/>
                <w:sz w:val="18"/>
                <w:szCs w:val="18"/>
                <w:lang w:eastAsia="sk-SK"/>
              </w:rPr>
              <w:t>,0</w:t>
            </w:r>
          </w:p>
        </w:tc>
        <w:tc>
          <w:tcPr>
            <w:tcW w:w="703" w:type="pct"/>
            <w:shd w:val="clear" w:color="auto" w:fill="auto"/>
            <w:noWrap/>
            <w:vAlign w:val="center"/>
            <w:hideMark/>
          </w:tcPr>
          <w:p w14:paraId="5B326413"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1 007</w:t>
            </w:r>
            <w:r>
              <w:rPr>
                <w:rFonts w:eastAsia="Times New Roman" w:cs="Segoe UI"/>
                <w:color w:val="000000"/>
                <w:sz w:val="18"/>
                <w:szCs w:val="18"/>
                <w:lang w:eastAsia="sk-SK"/>
              </w:rPr>
              <w:t> </w:t>
            </w:r>
            <w:r w:rsidRPr="00722E9F">
              <w:rPr>
                <w:rFonts w:eastAsia="Times New Roman" w:cs="Segoe UI"/>
                <w:color w:val="000000"/>
                <w:sz w:val="18"/>
                <w:szCs w:val="18"/>
                <w:lang w:eastAsia="sk-SK"/>
              </w:rPr>
              <w:t>561</w:t>
            </w:r>
            <w:r>
              <w:rPr>
                <w:rFonts w:eastAsia="Times New Roman" w:cs="Segoe UI"/>
                <w:color w:val="000000"/>
                <w:sz w:val="18"/>
                <w:szCs w:val="18"/>
                <w:lang w:eastAsia="sk-SK"/>
              </w:rPr>
              <w:t>,8</w:t>
            </w:r>
          </w:p>
        </w:tc>
        <w:tc>
          <w:tcPr>
            <w:tcW w:w="703" w:type="pct"/>
            <w:shd w:val="clear" w:color="auto" w:fill="auto"/>
            <w:noWrap/>
            <w:vAlign w:val="center"/>
            <w:hideMark/>
          </w:tcPr>
          <w:p w14:paraId="3736113B"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c>
          <w:tcPr>
            <w:tcW w:w="624" w:type="pct"/>
            <w:shd w:val="clear" w:color="auto" w:fill="auto"/>
            <w:noWrap/>
            <w:vAlign w:val="center"/>
            <w:hideMark/>
          </w:tcPr>
          <w:p w14:paraId="303FE697"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r>
      <w:tr w:rsidR="004A5459" w:rsidRPr="00722E9F" w14:paraId="6990FD9C" w14:textId="77777777" w:rsidTr="00F50F0D">
        <w:trPr>
          <w:trHeight w:val="243"/>
        </w:trPr>
        <w:tc>
          <w:tcPr>
            <w:tcW w:w="2345" w:type="pct"/>
            <w:shd w:val="clear" w:color="auto" w:fill="auto"/>
            <w:noWrap/>
            <w:vAlign w:val="center"/>
            <w:hideMark/>
          </w:tcPr>
          <w:p w14:paraId="63D5A9B2"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w:t>
            </w:r>
            <w:r w:rsidRPr="00BB3959">
              <w:rPr>
                <w:rFonts w:eastAsia="Times New Roman" w:cs="Segoe UI"/>
                <w:color w:val="000000"/>
                <w:sz w:val="18"/>
                <w:szCs w:val="18"/>
                <w:lang w:eastAsia="sk-SK"/>
              </w:rPr>
              <w:t>Starostlivosť o životné prostredie</w:t>
            </w:r>
          </w:p>
        </w:tc>
        <w:tc>
          <w:tcPr>
            <w:tcW w:w="626" w:type="pct"/>
            <w:shd w:val="clear" w:color="auto" w:fill="auto"/>
            <w:noWrap/>
            <w:vAlign w:val="center"/>
            <w:hideMark/>
          </w:tcPr>
          <w:p w14:paraId="16DC097A"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513</w:t>
            </w:r>
            <w:r>
              <w:rPr>
                <w:rFonts w:eastAsia="Times New Roman" w:cs="Segoe UI"/>
                <w:color w:val="000000"/>
                <w:sz w:val="18"/>
                <w:szCs w:val="18"/>
                <w:lang w:eastAsia="sk-SK"/>
              </w:rPr>
              <w:t>,0</w:t>
            </w:r>
          </w:p>
        </w:tc>
        <w:tc>
          <w:tcPr>
            <w:tcW w:w="703" w:type="pct"/>
            <w:shd w:val="clear" w:color="auto" w:fill="auto"/>
            <w:noWrap/>
            <w:vAlign w:val="center"/>
            <w:hideMark/>
          </w:tcPr>
          <w:p w14:paraId="126451CF"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534</w:t>
            </w:r>
            <w:r>
              <w:rPr>
                <w:rFonts w:eastAsia="Times New Roman" w:cs="Segoe UI"/>
                <w:color w:val="000000"/>
                <w:sz w:val="18"/>
                <w:szCs w:val="18"/>
                <w:lang w:eastAsia="sk-SK"/>
              </w:rPr>
              <w:t>,9</w:t>
            </w:r>
          </w:p>
        </w:tc>
        <w:tc>
          <w:tcPr>
            <w:tcW w:w="703" w:type="pct"/>
            <w:shd w:val="clear" w:color="auto" w:fill="auto"/>
            <w:noWrap/>
            <w:vAlign w:val="center"/>
            <w:hideMark/>
          </w:tcPr>
          <w:p w14:paraId="2DA3266D"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546</w:t>
            </w:r>
            <w:r>
              <w:rPr>
                <w:rFonts w:eastAsia="Times New Roman" w:cs="Segoe UI"/>
                <w:color w:val="000000"/>
                <w:sz w:val="18"/>
                <w:szCs w:val="18"/>
                <w:lang w:eastAsia="sk-SK"/>
              </w:rPr>
              <w:t>,8</w:t>
            </w:r>
          </w:p>
        </w:tc>
        <w:tc>
          <w:tcPr>
            <w:tcW w:w="624" w:type="pct"/>
            <w:shd w:val="clear" w:color="auto" w:fill="auto"/>
            <w:noWrap/>
            <w:vAlign w:val="center"/>
            <w:hideMark/>
          </w:tcPr>
          <w:p w14:paraId="6705EE39"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11</w:t>
            </w:r>
            <w:r>
              <w:rPr>
                <w:rFonts w:eastAsia="Times New Roman" w:cs="Segoe UI"/>
                <w:color w:val="000000"/>
                <w:sz w:val="18"/>
                <w:szCs w:val="18"/>
                <w:lang w:eastAsia="sk-SK"/>
              </w:rPr>
              <w:t>,</w:t>
            </w:r>
            <w:r w:rsidRPr="00722E9F">
              <w:rPr>
                <w:rFonts w:eastAsia="Times New Roman" w:cs="Segoe UI"/>
                <w:color w:val="000000"/>
                <w:sz w:val="18"/>
                <w:szCs w:val="18"/>
                <w:lang w:eastAsia="sk-SK"/>
              </w:rPr>
              <w:t>9</w:t>
            </w:r>
          </w:p>
        </w:tc>
      </w:tr>
      <w:tr w:rsidR="004A5459" w:rsidRPr="00722E9F" w14:paraId="4C81B87B" w14:textId="77777777" w:rsidTr="00F50F0D">
        <w:trPr>
          <w:trHeight w:val="243"/>
        </w:trPr>
        <w:tc>
          <w:tcPr>
            <w:tcW w:w="2345" w:type="pct"/>
            <w:tcBorders>
              <w:bottom w:val="single" w:sz="4" w:space="0" w:color="314364" w:themeColor="text2"/>
            </w:tcBorders>
            <w:shd w:val="clear" w:color="auto" w:fill="auto"/>
            <w:noWrap/>
            <w:vAlign w:val="center"/>
            <w:hideMark/>
          </w:tcPr>
          <w:p w14:paraId="7A5E4201"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w:t>
            </w:r>
            <w:r w:rsidRPr="00BB3959">
              <w:rPr>
                <w:rFonts w:eastAsia="Times New Roman" w:cs="Segoe UI"/>
                <w:color w:val="000000"/>
                <w:sz w:val="18"/>
                <w:szCs w:val="18"/>
                <w:lang w:eastAsia="sk-SK"/>
              </w:rPr>
              <w:t>Voľby</w:t>
            </w:r>
            <w:r>
              <w:rPr>
                <w:rFonts w:eastAsia="Times New Roman" w:cs="Segoe UI"/>
                <w:color w:val="000000"/>
                <w:sz w:val="18"/>
                <w:szCs w:val="18"/>
                <w:lang w:eastAsia="sk-SK"/>
              </w:rPr>
              <w:t xml:space="preserve"> </w:t>
            </w:r>
          </w:p>
        </w:tc>
        <w:tc>
          <w:tcPr>
            <w:tcW w:w="626" w:type="pct"/>
            <w:tcBorders>
              <w:bottom w:val="single" w:sz="4" w:space="0" w:color="314364" w:themeColor="text2"/>
            </w:tcBorders>
            <w:shd w:val="clear" w:color="auto" w:fill="auto"/>
            <w:noWrap/>
            <w:vAlign w:val="center"/>
            <w:hideMark/>
          </w:tcPr>
          <w:p w14:paraId="0D1715A1"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5 898</w:t>
            </w:r>
            <w:r>
              <w:rPr>
                <w:rFonts w:eastAsia="Times New Roman" w:cs="Segoe UI"/>
                <w:color w:val="000000"/>
                <w:sz w:val="18"/>
                <w:szCs w:val="18"/>
                <w:lang w:eastAsia="sk-SK"/>
              </w:rPr>
              <w:t>,0</w:t>
            </w:r>
          </w:p>
        </w:tc>
        <w:tc>
          <w:tcPr>
            <w:tcW w:w="703" w:type="pct"/>
            <w:tcBorders>
              <w:bottom w:val="single" w:sz="4" w:space="0" w:color="314364" w:themeColor="text2"/>
            </w:tcBorders>
            <w:shd w:val="clear" w:color="auto" w:fill="auto"/>
            <w:noWrap/>
            <w:vAlign w:val="center"/>
            <w:hideMark/>
          </w:tcPr>
          <w:p w14:paraId="49A57F4E"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310</w:t>
            </w:r>
            <w:r>
              <w:rPr>
                <w:rFonts w:eastAsia="Times New Roman" w:cs="Segoe UI"/>
                <w:color w:val="000000"/>
                <w:sz w:val="18"/>
                <w:szCs w:val="18"/>
                <w:lang w:eastAsia="sk-SK"/>
              </w:rPr>
              <w:t>,</w:t>
            </w:r>
            <w:r w:rsidRPr="00722E9F">
              <w:rPr>
                <w:rFonts w:eastAsia="Times New Roman" w:cs="Segoe UI"/>
                <w:color w:val="000000"/>
                <w:sz w:val="18"/>
                <w:szCs w:val="18"/>
                <w:lang w:eastAsia="sk-SK"/>
              </w:rPr>
              <w:t>7</w:t>
            </w:r>
          </w:p>
        </w:tc>
        <w:tc>
          <w:tcPr>
            <w:tcW w:w="703" w:type="pct"/>
            <w:tcBorders>
              <w:bottom w:val="single" w:sz="4" w:space="0" w:color="314364" w:themeColor="text2"/>
            </w:tcBorders>
            <w:shd w:val="clear" w:color="auto" w:fill="auto"/>
            <w:noWrap/>
            <w:vAlign w:val="center"/>
            <w:hideMark/>
          </w:tcPr>
          <w:p w14:paraId="6D11A78E"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10</w:t>
            </w:r>
            <w:r>
              <w:rPr>
                <w:rFonts w:eastAsia="Times New Roman" w:cs="Segoe UI"/>
                <w:color w:val="000000"/>
                <w:sz w:val="18"/>
                <w:szCs w:val="18"/>
                <w:lang w:eastAsia="sk-SK"/>
              </w:rPr>
              <w:t> </w:t>
            </w:r>
            <w:r w:rsidRPr="00722E9F">
              <w:rPr>
                <w:rFonts w:eastAsia="Times New Roman" w:cs="Segoe UI"/>
                <w:color w:val="000000"/>
                <w:sz w:val="18"/>
                <w:szCs w:val="18"/>
                <w:lang w:eastAsia="sk-SK"/>
              </w:rPr>
              <w:t>510</w:t>
            </w:r>
            <w:r>
              <w:rPr>
                <w:rFonts w:eastAsia="Times New Roman" w:cs="Segoe UI"/>
                <w:color w:val="000000"/>
                <w:sz w:val="18"/>
                <w:szCs w:val="18"/>
                <w:lang w:eastAsia="sk-SK"/>
              </w:rPr>
              <w:t>,</w:t>
            </w:r>
            <w:r w:rsidRPr="00722E9F">
              <w:rPr>
                <w:rFonts w:eastAsia="Times New Roman" w:cs="Segoe UI"/>
                <w:color w:val="000000"/>
                <w:sz w:val="18"/>
                <w:szCs w:val="18"/>
                <w:lang w:eastAsia="sk-SK"/>
              </w:rPr>
              <w:t>7</w:t>
            </w:r>
          </w:p>
        </w:tc>
        <w:tc>
          <w:tcPr>
            <w:tcW w:w="624" w:type="pct"/>
            <w:tcBorders>
              <w:bottom w:val="single" w:sz="4" w:space="0" w:color="314364" w:themeColor="text2"/>
            </w:tcBorders>
            <w:shd w:val="clear" w:color="auto" w:fill="auto"/>
            <w:noWrap/>
            <w:vAlign w:val="center"/>
            <w:hideMark/>
          </w:tcPr>
          <w:p w14:paraId="5955D2B8"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r>
      <w:tr w:rsidR="004A5459" w:rsidRPr="00722E9F" w14:paraId="6FC91331" w14:textId="77777777" w:rsidTr="00F50F0D">
        <w:trPr>
          <w:trHeight w:val="243"/>
        </w:trPr>
        <w:tc>
          <w:tcPr>
            <w:tcW w:w="2345" w:type="pct"/>
            <w:tcBorders>
              <w:top w:val="single" w:sz="4" w:space="0" w:color="314364" w:themeColor="text2"/>
            </w:tcBorders>
            <w:shd w:val="clear" w:color="auto" w:fill="auto"/>
            <w:noWrap/>
            <w:vAlign w:val="center"/>
            <w:hideMark/>
          </w:tcPr>
          <w:p w14:paraId="278F2625" w14:textId="77777777" w:rsidR="004A5459" w:rsidRPr="00BB3959" w:rsidRDefault="004A5459" w:rsidP="00F50F0D">
            <w:pPr>
              <w:spacing w:after="0" w:line="240" w:lineRule="auto"/>
              <w:jc w:val="left"/>
              <w:rPr>
                <w:rFonts w:eastAsia="Times New Roman" w:cs="Segoe UI"/>
                <w:color w:val="000000"/>
                <w:sz w:val="18"/>
                <w:szCs w:val="18"/>
                <w:lang w:eastAsia="sk-SK"/>
              </w:rPr>
            </w:pPr>
            <w:r w:rsidRPr="00BB3959">
              <w:rPr>
                <w:rFonts w:eastAsia="Times New Roman" w:cs="Segoe UI"/>
                <w:color w:val="000000"/>
                <w:sz w:val="18"/>
                <w:szCs w:val="18"/>
                <w:lang w:eastAsia="sk-SK"/>
              </w:rPr>
              <w:t>Ministerstvo dopravy a výstavby SR spolu:</w:t>
            </w:r>
          </w:p>
        </w:tc>
        <w:tc>
          <w:tcPr>
            <w:tcW w:w="626" w:type="pct"/>
            <w:tcBorders>
              <w:top w:val="single" w:sz="4" w:space="0" w:color="314364" w:themeColor="text2"/>
            </w:tcBorders>
            <w:shd w:val="clear" w:color="auto" w:fill="auto"/>
            <w:noWrap/>
            <w:vAlign w:val="center"/>
            <w:hideMark/>
          </w:tcPr>
          <w:p w14:paraId="39B71CA7"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9 358</w:t>
            </w:r>
            <w:r>
              <w:rPr>
                <w:rFonts w:eastAsia="Times New Roman" w:cs="Segoe UI"/>
                <w:color w:val="000000"/>
                <w:sz w:val="18"/>
                <w:szCs w:val="18"/>
                <w:lang w:eastAsia="sk-SK"/>
              </w:rPr>
              <w:t>,0</w:t>
            </w:r>
          </w:p>
        </w:tc>
        <w:tc>
          <w:tcPr>
            <w:tcW w:w="703" w:type="pct"/>
            <w:tcBorders>
              <w:top w:val="single" w:sz="4" w:space="0" w:color="314364" w:themeColor="text2"/>
            </w:tcBorders>
            <w:shd w:val="clear" w:color="auto" w:fill="auto"/>
            <w:noWrap/>
            <w:vAlign w:val="center"/>
            <w:hideMark/>
          </w:tcPr>
          <w:p w14:paraId="40D309E3"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8</w:t>
            </w:r>
            <w:r>
              <w:rPr>
                <w:rFonts w:eastAsia="Times New Roman" w:cs="Segoe UI"/>
                <w:color w:val="000000"/>
                <w:sz w:val="18"/>
                <w:szCs w:val="18"/>
                <w:lang w:eastAsia="sk-SK"/>
              </w:rPr>
              <w:t> </w:t>
            </w:r>
            <w:r w:rsidRPr="00722E9F">
              <w:rPr>
                <w:rFonts w:eastAsia="Times New Roman" w:cs="Segoe UI"/>
                <w:color w:val="000000"/>
                <w:sz w:val="18"/>
                <w:szCs w:val="18"/>
                <w:lang w:eastAsia="sk-SK"/>
              </w:rPr>
              <w:t>47</w:t>
            </w:r>
            <w:r>
              <w:rPr>
                <w:rFonts w:eastAsia="Times New Roman" w:cs="Segoe UI"/>
                <w:color w:val="000000"/>
                <w:sz w:val="18"/>
                <w:szCs w:val="18"/>
                <w:lang w:eastAsia="sk-SK"/>
              </w:rPr>
              <w:t>6,0</w:t>
            </w:r>
          </w:p>
        </w:tc>
        <w:tc>
          <w:tcPr>
            <w:tcW w:w="703" w:type="pct"/>
            <w:tcBorders>
              <w:top w:val="single" w:sz="4" w:space="0" w:color="314364" w:themeColor="text2"/>
            </w:tcBorders>
            <w:shd w:val="clear" w:color="auto" w:fill="auto"/>
            <w:noWrap/>
            <w:vAlign w:val="center"/>
            <w:hideMark/>
          </w:tcPr>
          <w:p w14:paraId="7B2F0D6C"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8</w:t>
            </w:r>
            <w:r>
              <w:rPr>
                <w:rFonts w:eastAsia="Times New Roman" w:cs="Segoe UI"/>
                <w:color w:val="000000"/>
                <w:sz w:val="18"/>
                <w:szCs w:val="18"/>
                <w:lang w:eastAsia="sk-SK"/>
              </w:rPr>
              <w:t> 476,0</w:t>
            </w:r>
          </w:p>
        </w:tc>
        <w:tc>
          <w:tcPr>
            <w:tcW w:w="624" w:type="pct"/>
            <w:tcBorders>
              <w:top w:val="single" w:sz="4" w:space="0" w:color="314364" w:themeColor="text2"/>
            </w:tcBorders>
            <w:shd w:val="clear" w:color="auto" w:fill="auto"/>
            <w:noWrap/>
            <w:vAlign w:val="center"/>
            <w:hideMark/>
          </w:tcPr>
          <w:p w14:paraId="5722DEC5"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0</w:t>
            </w:r>
          </w:p>
        </w:tc>
      </w:tr>
      <w:tr w:rsidR="004A5459" w:rsidRPr="00722E9F" w14:paraId="1E0CDA90" w14:textId="77777777" w:rsidTr="00F50F0D">
        <w:trPr>
          <w:trHeight w:val="243"/>
        </w:trPr>
        <w:tc>
          <w:tcPr>
            <w:tcW w:w="2345" w:type="pct"/>
            <w:shd w:val="clear" w:color="auto" w:fill="auto"/>
            <w:noWrap/>
            <w:vAlign w:val="center"/>
            <w:hideMark/>
          </w:tcPr>
          <w:p w14:paraId="0FF220A9"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w:t>
            </w:r>
            <w:r w:rsidRPr="00BB3959">
              <w:rPr>
                <w:rFonts w:eastAsia="Times New Roman" w:cs="Segoe UI"/>
                <w:color w:val="000000"/>
                <w:sz w:val="18"/>
                <w:szCs w:val="18"/>
                <w:lang w:eastAsia="sk-SK"/>
              </w:rPr>
              <w:t>Doprava</w:t>
            </w:r>
          </w:p>
        </w:tc>
        <w:tc>
          <w:tcPr>
            <w:tcW w:w="626" w:type="pct"/>
            <w:shd w:val="clear" w:color="auto" w:fill="auto"/>
            <w:noWrap/>
            <w:vAlign w:val="center"/>
            <w:hideMark/>
          </w:tcPr>
          <w:p w14:paraId="56DBAF90"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235</w:t>
            </w:r>
            <w:r>
              <w:rPr>
                <w:rFonts w:eastAsia="Times New Roman" w:cs="Segoe UI"/>
                <w:color w:val="000000"/>
                <w:sz w:val="18"/>
                <w:szCs w:val="18"/>
                <w:lang w:eastAsia="sk-SK"/>
              </w:rPr>
              <w:t>,0</w:t>
            </w:r>
          </w:p>
        </w:tc>
        <w:tc>
          <w:tcPr>
            <w:tcW w:w="703" w:type="pct"/>
            <w:shd w:val="clear" w:color="auto" w:fill="auto"/>
            <w:noWrap/>
            <w:vAlign w:val="center"/>
            <w:hideMark/>
          </w:tcPr>
          <w:p w14:paraId="44EAFBAF"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235</w:t>
            </w:r>
            <w:r>
              <w:rPr>
                <w:rFonts w:eastAsia="Times New Roman" w:cs="Segoe UI"/>
                <w:color w:val="000000"/>
                <w:sz w:val="18"/>
                <w:szCs w:val="18"/>
                <w:lang w:eastAsia="sk-SK"/>
              </w:rPr>
              <w:t>,</w:t>
            </w:r>
            <w:r w:rsidRPr="00722E9F">
              <w:rPr>
                <w:rFonts w:eastAsia="Times New Roman" w:cs="Segoe UI"/>
                <w:color w:val="000000"/>
                <w:sz w:val="18"/>
                <w:szCs w:val="18"/>
                <w:lang w:eastAsia="sk-SK"/>
              </w:rPr>
              <w:t>8</w:t>
            </w:r>
          </w:p>
        </w:tc>
        <w:tc>
          <w:tcPr>
            <w:tcW w:w="703" w:type="pct"/>
            <w:shd w:val="clear" w:color="auto" w:fill="auto"/>
            <w:noWrap/>
            <w:vAlign w:val="center"/>
            <w:hideMark/>
          </w:tcPr>
          <w:p w14:paraId="05C63049"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235</w:t>
            </w:r>
            <w:r>
              <w:rPr>
                <w:rFonts w:eastAsia="Times New Roman" w:cs="Segoe UI"/>
                <w:color w:val="000000"/>
                <w:sz w:val="18"/>
                <w:szCs w:val="18"/>
                <w:lang w:eastAsia="sk-SK"/>
              </w:rPr>
              <w:t>,</w:t>
            </w:r>
            <w:r w:rsidRPr="00722E9F">
              <w:rPr>
                <w:rFonts w:eastAsia="Times New Roman" w:cs="Segoe UI"/>
                <w:color w:val="000000"/>
                <w:sz w:val="18"/>
                <w:szCs w:val="18"/>
                <w:lang w:eastAsia="sk-SK"/>
              </w:rPr>
              <w:t>9</w:t>
            </w:r>
          </w:p>
        </w:tc>
        <w:tc>
          <w:tcPr>
            <w:tcW w:w="624" w:type="pct"/>
            <w:shd w:val="clear" w:color="auto" w:fill="auto"/>
            <w:noWrap/>
            <w:vAlign w:val="center"/>
            <w:hideMark/>
          </w:tcPr>
          <w:p w14:paraId="1F370D7B" w14:textId="77777777" w:rsidR="004A5459" w:rsidRPr="00722E9F" w:rsidRDefault="004A5459" w:rsidP="00F50F0D">
            <w:pPr>
              <w:spacing w:after="0" w:line="240" w:lineRule="auto"/>
              <w:jc w:val="right"/>
              <w:rPr>
                <w:rFonts w:eastAsia="Times New Roman" w:cs="Segoe UI"/>
                <w:color w:val="000000"/>
                <w:sz w:val="18"/>
                <w:szCs w:val="18"/>
                <w:lang w:eastAsia="sk-SK"/>
              </w:rPr>
            </w:pPr>
            <w:r>
              <w:rPr>
                <w:rFonts w:eastAsia="Times New Roman" w:cs="Segoe UI"/>
                <w:color w:val="000000"/>
                <w:sz w:val="18"/>
                <w:szCs w:val="18"/>
                <w:lang w:eastAsia="sk-SK"/>
              </w:rPr>
              <w:t>0,</w:t>
            </w:r>
            <w:r w:rsidRPr="00722E9F">
              <w:rPr>
                <w:rFonts w:eastAsia="Times New Roman" w:cs="Segoe UI"/>
                <w:color w:val="000000"/>
                <w:sz w:val="18"/>
                <w:szCs w:val="18"/>
                <w:lang w:eastAsia="sk-SK"/>
              </w:rPr>
              <w:t>1</w:t>
            </w:r>
          </w:p>
        </w:tc>
      </w:tr>
      <w:tr w:rsidR="004A5459" w:rsidRPr="00722E9F" w14:paraId="40190E4B" w14:textId="77777777" w:rsidTr="00F50F0D">
        <w:trPr>
          <w:trHeight w:val="243"/>
        </w:trPr>
        <w:tc>
          <w:tcPr>
            <w:tcW w:w="2345" w:type="pct"/>
            <w:tcBorders>
              <w:bottom w:val="single" w:sz="4" w:space="0" w:color="314364" w:themeColor="text2"/>
            </w:tcBorders>
            <w:shd w:val="clear" w:color="auto" w:fill="auto"/>
            <w:noWrap/>
            <w:vAlign w:val="center"/>
            <w:hideMark/>
          </w:tcPr>
          <w:p w14:paraId="6E298699"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Pôsobnosti </w:t>
            </w:r>
            <w:r w:rsidRPr="00BB3959">
              <w:rPr>
                <w:rFonts w:eastAsia="Times New Roman" w:cs="Segoe UI"/>
                <w:color w:val="000000"/>
                <w:sz w:val="18"/>
                <w:szCs w:val="18"/>
                <w:lang w:eastAsia="sk-SK"/>
              </w:rPr>
              <w:t>na úseku stavebného poriadku</w:t>
            </w:r>
          </w:p>
        </w:tc>
        <w:tc>
          <w:tcPr>
            <w:tcW w:w="626" w:type="pct"/>
            <w:tcBorders>
              <w:bottom w:val="single" w:sz="4" w:space="0" w:color="314364" w:themeColor="text2"/>
            </w:tcBorders>
            <w:shd w:val="clear" w:color="auto" w:fill="auto"/>
            <w:noWrap/>
            <w:vAlign w:val="center"/>
            <w:hideMark/>
          </w:tcPr>
          <w:p w14:paraId="4A1D95F1"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9 123</w:t>
            </w:r>
            <w:r>
              <w:rPr>
                <w:rFonts w:eastAsia="Times New Roman" w:cs="Segoe UI"/>
                <w:color w:val="000000"/>
                <w:sz w:val="18"/>
                <w:szCs w:val="18"/>
                <w:lang w:eastAsia="sk-SK"/>
              </w:rPr>
              <w:t>,0</w:t>
            </w:r>
          </w:p>
        </w:tc>
        <w:tc>
          <w:tcPr>
            <w:tcW w:w="703" w:type="pct"/>
            <w:tcBorders>
              <w:bottom w:val="single" w:sz="4" w:space="0" w:color="314364" w:themeColor="text2"/>
            </w:tcBorders>
            <w:shd w:val="clear" w:color="auto" w:fill="auto"/>
            <w:noWrap/>
            <w:vAlign w:val="center"/>
            <w:hideMark/>
          </w:tcPr>
          <w:p w14:paraId="6C0E09DA"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8</w:t>
            </w:r>
            <w:r>
              <w:rPr>
                <w:rFonts w:eastAsia="Times New Roman" w:cs="Segoe UI"/>
                <w:color w:val="000000"/>
                <w:sz w:val="18"/>
                <w:szCs w:val="18"/>
                <w:lang w:eastAsia="sk-SK"/>
              </w:rPr>
              <w:t> </w:t>
            </w:r>
            <w:r w:rsidRPr="00722E9F">
              <w:rPr>
                <w:rFonts w:eastAsia="Times New Roman" w:cs="Segoe UI"/>
                <w:color w:val="000000"/>
                <w:sz w:val="18"/>
                <w:szCs w:val="18"/>
                <w:lang w:eastAsia="sk-SK"/>
              </w:rPr>
              <w:t>240</w:t>
            </w:r>
            <w:r>
              <w:rPr>
                <w:rFonts w:eastAsia="Times New Roman" w:cs="Segoe UI"/>
                <w:color w:val="000000"/>
                <w:sz w:val="18"/>
                <w:szCs w:val="18"/>
                <w:lang w:eastAsia="sk-SK"/>
              </w:rPr>
              <w:t>,2</w:t>
            </w:r>
          </w:p>
        </w:tc>
        <w:tc>
          <w:tcPr>
            <w:tcW w:w="703" w:type="pct"/>
            <w:tcBorders>
              <w:bottom w:val="single" w:sz="4" w:space="0" w:color="314364" w:themeColor="text2"/>
            </w:tcBorders>
            <w:shd w:val="clear" w:color="auto" w:fill="auto"/>
            <w:noWrap/>
            <w:vAlign w:val="center"/>
            <w:hideMark/>
          </w:tcPr>
          <w:p w14:paraId="719CDF16"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8</w:t>
            </w:r>
            <w:r>
              <w:rPr>
                <w:rFonts w:eastAsia="Times New Roman" w:cs="Segoe UI"/>
                <w:color w:val="000000"/>
                <w:sz w:val="18"/>
                <w:szCs w:val="18"/>
                <w:lang w:eastAsia="sk-SK"/>
              </w:rPr>
              <w:t> </w:t>
            </w:r>
            <w:r w:rsidRPr="00722E9F">
              <w:rPr>
                <w:rFonts w:eastAsia="Times New Roman" w:cs="Segoe UI"/>
                <w:color w:val="000000"/>
                <w:sz w:val="18"/>
                <w:szCs w:val="18"/>
                <w:lang w:eastAsia="sk-SK"/>
              </w:rPr>
              <w:t>240</w:t>
            </w:r>
            <w:r>
              <w:rPr>
                <w:rFonts w:eastAsia="Times New Roman" w:cs="Segoe UI"/>
                <w:color w:val="000000"/>
                <w:sz w:val="18"/>
                <w:szCs w:val="18"/>
                <w:lang w:eastAsia="sk-SK"/>
              </w:rPr>
              <w:t>,1</w:t>
            </w:r>
          </w:p>
        </w:tc>
        <w:tc>
          <w:tcPr>
            <w:tcW w:w="624" w:type="pct"/>
            <w:tcBorders>
              <w:bottom w:val="single" w:sz="4" w:space="0" w:color="314364" w:themeColor="text2"/>
            </w:tcBorders>
            <w:shd w:val="clear" w:color="auto" w:fill="auto"/>
            <w:noWrap/>
            <w:vAlign w:val="center"/>
            <w:hideMark/>
          </w:tcPr>
          <w:p w14:paraId="2A27489A"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r>
              <w:rPr>
                <w:rFonts w:eastAsia="Times New Roman" w:cs="Segoe UI"/>
                <w:color w:val="000000"/>
                <w:sz w:val="18"/>
                <w:szCs w:val="18"/>
                <w:lang w:eastAsia="sk-SK"/>
              </w:rPr>
              <w:t>0,</w:t>
            </w:r>
            <w:r w:rsidRPr="00722E9F">
              <w:rPr>
                <w:rFonts w:eastAsia="Times New Roman" w:cs="Segoe UI"/>
                <w:color w:val="000000"/>
                <w:sz w:val="18"/>
                <w:szCs w:val="18"/>
                <w:lang w:eastAsia="sk-SK"/>
              </w:rPr>
              <w:t>1</w:t>
            </w:r>
          </w:p>
        </w:tc>
      </w:tr>
      <w:tr w:rsidR="004A5459" w:rsidRPr="00722E9F" w14:paraId="394B6994" w14:textId="77777777" w:rsidTr="00F50F0D">
        <w:trPr>
          <w:trHeight w:val="243"/>
        </w:trPr>
        <w:tc>
          <w:tcPr>
            <w:tcW w:w="2345" w:type="pct"/>
            <w:tcBorders>
              <w:top w:val="single" w:sz="4" w:space="0" w:color="314364" w:themeColor="text2"/>
            </w:tcBorders>
            <w:shd w:val="clear" w:color="auto" w:fill="auto"/>
            <w:noWrap/>
            <w:vAlign w:val="center"/>
            <w:hideMark/>
          </w:tcPr>
          <w:p w14:paraId="1C461EA0"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Štatistický úrad SR</w:t>
            </w:r>
          </w:p>
        </w:tc>
        <w:tc>
          <w:tcPr>
            <w:tcW w:w="626" w:type="pct"/>
            <w:tcBorders>
              <w:top w:val="single" w:sz="4" w:space="0" w:color="314364" w:themeColor="text2"/>
            </w:tcBorders>
            <w:shd w:val="clear" w:color="auto" w:fill="auto"/>
            <w:noWrap/>
            <w:vAlign w:val="center"/>
            <w:hideMark/>
          </w:tcPr>
          <w:p w14:paraId="4911AFA0"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c>
          <w:tcPr>
            <w:tcW w:w="703" w:type="pct"/>
            <w:tcBorders>
              <w:top w:val="single" w:sz="4" w:space="0" w:color="314364" w:themeColor="text2"/>
            </w:tcBorders>
            <w:shd w:val="clear" w:color="auto" w:fill="auto"/>
            <w:noWrap/>
            <w:vAlign w:val="center"/>
            <w:hideMark/>
          </w:tcPr>
          <w:p w14:paraId="468B5C40"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13</w:t>
            </w:r>
            <w:r>
              <w:rPr>
                <w:rFonts w:eastAsia="Times New Roman" w:cs="Segoe UI"/>
                <w:color w:val="000000"/>
                <w:sz w:val="18"/>
                <w:szCs w:val="18"/>
                <w:lang w:eastAsia="sk-SK"/>
              </w:rPr>
              <w:t> </w:t>
            </w:r>
            <w:r w:rsidRPr="00722E9F">
              <w:rPr>
                <w:rFonts w:eastAsia="Times New Roman" w:cs="Segoe UI"/>
                <w:color w:val="000000"/>
                <w:sz w:val="18"/>
                <w:szCs w:val="18"/>
                <w:lang w:eastAsia="sk-SK"/>
              </w:rPr>
              <w:t>914</w:t>
            </w:r>
            <w:r>
              <w:rPr>
                <w:rFonts w:eastAsia="Times New Roman" w:cs="Segoe UI"/>
                <w:color w:val="000000"/>
                <w:sz w:val="18"/>
                <w:szCs w:val="18"/>
                <w:lang w:eastAsia="sk-SK"/>
              </w:rPr>
              <w:t>,</w:t>
            </w:r>
            <w:r w:rsidRPr="00722E9F">
              <w:rPr>
                <w:rFonts w:eastAsia="Times New Roman" w:cs="Segoe UI"/>
                <w:color w:val="000000"/>
                <w:sz w:val="18"/>
                <w:szCs w:val="18"/>
                <w:lang w:eastAsia="sk-SK"/>
              </w:rPr>
              <w:t>0</w:t>
            </w:r>
          </w:p>
        </w:tc>
        <w:tc>
          <w:tcPr>
            <w:tcW w:w="703" w:type="pct"/>
            <w:tcBorders>
              <w:top w:val="single" w:sz="4" w:space="0" w:color="314364" w:themeColor="text2"/>
            </w:tcBorders>
            <w:shd w:val="clear" w:color="auto" w:fill="auto"/>
            <w:noWrap/>
            <w:vAlign w:val="center"/>
            <w:hideMark/>
          </w:tcPr>
          <w:p w14:paraId="6B5ED5E5"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c>
          <w:tcPr>
            <w:tcW w:w="624" w:type="pct"/>
            <w:tcBorders>
              <w:top w:val="single" w:sz="4" w:space="0" w:color="314364" w:themeColor="text2"/>
            </w:tcBorders>
            <w:shd w:val="clear" w:color="auto" w:fill="auto"/>
            <w:noWrap/>
            <w:vAlign w:val="center"/>
            <w:hideMark/>
          </w:tcPr>
          <w:p w14:paraId="30409972"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r>
      <w:tr w:rsidR="004A5459" w:rsidRPr="00722E9F" w14:paraId="78946B79" w14:textId="77777777" w:rsidTr="00F50F0D">
        <w:trPr>
          <w:trHeight w:val="243"/>
        </w:trPr>
        <w:tc>
          <w:tcPr>
            <w:tcW w:w="2345" w:type="pct"/>
            <w:tcBorders>
              <w:bottom w:val="single" w:sz="4" w:space="0" w:color="314364" w:themeColor="text2"/>
            </w:tcBorders>
            <w:shd w:val="clear" w:color="auto" w:fill="auto"/>
            <w:noWrap/>
            <w:vAlign w:val="center"/>
            <w:hideMark/>
          </w:tcPr>
          <w:p w14:paraId="1D1E3154"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Sčítanie </w:t>
            </w:r>
            <w:r w:rsidRPr="00BB3959">
              <w:rPr>
                <w:rFonts w:eastAsia="Times New Roman" w:cs="Segoe UI"/>
                <w:color w:val="000000"/>
                <w:sz w:val="18"/>
                <w:szCs w:val="18"/>
                <w:lang w:eastAsia="sk-SK"/>
              </w:rPr>
              <w:t>obyvateľov, domov a bytov v roku 2021</w:t>
            </w:r>
          </w:p>
        </w:tc>
        <w:tc>
          <w:tcPr>
            <w:tcW w:w="626" w:type="pct"/>
            <w:tcBorders>
              <w:bottom w:val="single" w:sz="4" w:space="0" w:color="314364" w:themeColor="text2"/>
            </w:tcBorders>
            <w:shd w:val="clear" w:color="auto" w:fill="auto"/>
            <w:noWrap/>
            <w:vAlign w:val="center"/>
            <w:hideMark/>
          </w:tcPr>
          <w:p w14:paraId="2A571FD6"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c>
          <w:tcPr>
            <w:tcW w:w="703" w:type="pct"/>
            <w:tcBorders>
              <w:bottom w:val="single" w:sz="4" w:space="0" w:color="314364" w:themeColor="text2"/>
            </w:tcBorders>
            <w:shd w:val="clear" w:color="auto" w:fill="auto"/>
            <w:noWrap/>
            <w:vAlign w:val="center"/>
            <w:hideMark/>
          </w:tcPr>
          <w:p w14:paraId="6B6D10AF"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13</w:t>
            </w:r>
            <w:r>
              <w:rPr>
                <w:rFonts w:eastAsia="Times New Roman" w:cs="Segoe UI"/>
                <w:color w:val="000000"/>
                <w:sz w:val="18"/>
                <w:szCs w:val="18"/>
                <w:lang w:eastAsia="sk-SK"/>
              </w:rPr>
              <w:t> </w:t>
            </w:r>
            <w:r w:rsidRPr="00722E9F">
              <w:rPr>
                <w:rFonts w:eastAsia="Times New Roman" w:cs="Segoe UI"/>
                <w:color w:val="000000"/>
                <w:sz w:val="18"/>
                <w:szCs w:val="18"/>
                <w:lang w:eastAsia="sk-SK"/>
              </w:rPr>
              <w:t>914</w:t>
            </w:r>
            <w:r>
              <w:rPr>
                <w:rFonts w:eastAsia="Times New Roman" w:cs="Segoe UI"/>
                <w:color w:val="000000"/>
                <w:sz w:val="18"/>
                <w:szCs w:val="18"/>
                <w:lang w:eastAsia="sk-SK"/>
              </w:rPr>
              <w:t>,</w:t>
            </w:r>
            <w:r w:rsidRPr="00722E9F">
              <w:rPr>
                <w:rFonts w:eastAsia="Times New Roman" w:cs="Segoe UI"/>
                <w:color w:val="000000"/>
                <w:sz w:val="18"/>
                <w:szCs w:val="18"/>
                <w:lang w:eastAsia="sk-SK"/>
              </w:rPr>
              <w:t>0</w:t>
            </w:r>
          </w:p>
        </w:tc>
        <w:tc>
          <w:tcPr>
            <w:tcW w:w="703" w:type="pct"/>
            <w:tcBorders>
              <w:bottom w:val="single" w:sz="4" w:space="0" w:color="314364" w:themeColor="text2"/>
            </w:tcBorders>
            <w:shd w:val="clear" w:color="auto" w:fill="auto"/>
            <w:noWrap/>
            <w:vAlign w:val="center"/>
            <w:hideMark/>
          </w:tcPr>
          <w:p w14:paraId="5225EF67"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c>
          <w:tcPr>
            <w:tcW w:w="624" w:type="pct"/>
            <w:tcBorders>
              <w:bottom w:val="single" w:sz="4" w:space="0" w:color="314364" w:themeColor="text2"/>
            </w:tcBorders>
            <w:shd w:val="clear" w:color="auto" w:fill="auto"/>
            <w:noWrap/>
            <w:vAlign w:val="center"/>
            <w:hideMark/>
          </w:tcPr>
          <w:p w14:paraId="145E1691"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r>
      <w:tr w:rsidR="004A5459" w:rsidRPr="00BB3959" w14:paraId="04A6BBE0" w14:textId="77777777" w:rsidTr="00F50F0D">
        <w:trPr>
          <w:trHeight w:val="243"/>
        </w:trPr>
        <w:tc>
          <w:tcPr>
            <w:tcW w:w="2345" w:type="pct"/>
            <w:tcBorders>
              <w:top w:val="single" w:sz="4" w:space="0" w:color="314364" w:themeColor="text2"/>
            </w:tcBorders>
            <w:shd w:val="clear" w:color="auto" w:fill="auto"/>
            <w:noWrap/>
            <w:vAlign w:val="center"/>
            <w:hideMark/>
          </w:tcPr>
          <w:p w14:paraId="70EC0700" w14:textId="77777777" w:rsidR="004A5459" w:rsidRPr="00BB3959" w:rsidRDefault="004A5459" w:rsidP="00F50F0D">
            <w:pPr>
              <w:spacing w:after="0" w:line="240" w:lineRule="auto"/>
              <w:jc w:val="left"/>
              <w:rPr>
                <w:rFonts w:eastAsia="Times New Roman" w:cs="Segoe UI"/>
                <w:color w:val="000000"/>
                <w:sz w:val="18"/>
                <w:szCs w:val="18"/>
                <w:lang w:eastAsia="sk-SK"/>
              </w:rPr>
            </w:pPr>
            <w:r w:rsidRPr="00BB3959">
              <w:rPr>
                <w:rFonts w:eastAsia="Times New Roman" w:cs="Segoe UI"/>
                <w:color w:val="000000"/>
                <w:sz w:val="18"/>
                <w:szCs w:val="18"/>
                <w:lang w:eastAsia="sk-SK"/>
              </w:rPr>
              <w:t>Ministerstvo školstva, vedy, výskumu a športu SR</w:t>
            </w:r>
          </w:p>
        </w:tc>
        <w:tc>
          <w:tcPr>
            <w:tcW w:w="626" w:type="pct"/>
            <w:tcBorders>
              <w:top w:val="single" w:sz="4" w:space="0" w:color="314364" w:themeColor="text2"/>
            </w:tcBorders>
            <w:shd w:val="clear" w:color="auto" w:fill="auto"/>
            <w:noWrap/>
            <w:vAlign w:val="center"/>
            <w:hideMark/>
          </w:tcPr>
          <w:p w14:paraId="29D5898E" w14:textId="77777777" w:rsidR="004A5459" w:rsidRPr="00BB3959" w:rsidRDefault="004A5459" w:rsidP="00F50F0D">
            <w:pPr>
              <w:spacing w:after="0" w:line="240" w:lineRule="auto"/>
              <w:jc w:val="right"/>
              <w:rPr>
                <w:rFonts w:eastAsia="Times New Roman" w:cs="Segoe UI"/>
                <w:color w:val="000000"/>
                <w:sz w:val="18"/>
                <w:szCs w:val="18"/>
                <w:lang w:eastAsia="sk-SK"/>
              </w:rPr>
            </w:pPr>
            <w:r w:rsidRPr="00BB3959">
              <w:rPr>
                <w:rFonts w:eastAsia="Times New Roman" w:cs="Segoe UI"/>
                <w:color w:val="000000"/>
                <w:sz w:val="18"/>
                <w:szCs w:val="18"/>
                <w:lang w:eastAsia="sk-SK"/>
              </w:rPr>
              <w:t>-</w:t>
            </w:r>
          </w:p>
        </w:tc>
        <w:tc>
          <w:tcPr>
            <w:tcW w:w="703" w:type="pct"/>
            <w:tcBorders>
              <w:top w:val="single" w:sz="4" w:space="0" w:color="314364" w:themeColor="text2"/>
            </w:tcBorders>
            <w:shd w:val="clear" w:color="auto" w:fill="auto"/>
            <w:noWrap/>
            <w:vAlign w:val="center"/>
            <w:hideMark/>
          </w:tcPr>
          <w:p w14:paraId="000ADE7D" w14:textId="77777777" w:rsidR="004A5459" w:rsidRPr="00BB3959" w:rsidRDefault="004A5459" w:rsidP="00F50F0D">
            <w:pPr>
              <w:spacing w:after="0" w:line="240" w:lineRule="auto"/>
              <w:jc w:val="right"/>
              <w:rPr>
                <w:rFonts w:eastAsia="Times New Roman" w:cs="Segoe UI"/>
                <w:color w:val="000000"/>
                <w:sz w:val="18"/>
                <w:szCs w:val="18"/>
                <w:lang w:eastAsia="sk-SK"/>
              </w:rPr>
            </w:pPr>
            <w:r w:rsidRPr="00BB3959">
              <w:rPr>
                <w:rFonts w:eastAsia="Times New Roman" w:cs="Segoe UI"/>
                <w:color w:val="000000"/>
                <w:sz w:val="18"/>
                <w:szCs w:val="18"/>
                <w:lang w:eastAsia="sk-SK"/>
              </w:rPr>
              <w:t>-</w:t>
            </w:r>
          </w:p>
        </w:tc>
        <w:tc>
          <w:tcPr>
            <w:tcW w:w="703" w:type="pct"/>
            <w:tcBorders>
              <w:top w:val="single" w:sz="4" w:space="0" w:color="314364" w:themeColor="text2"/>
            </w:tcBorders>
            <w:shd w:val="clear" w:color="auto" w:fill="auto"/>
            <w:noWrap/>
            <w:vAlign w:val="center"/>
            <w:hideMark/>
          </w:tcPr>
          <w:p w14:paraId="3C0602FB" w14:textId="77777777" w:rsidR="004A5459" w:rsidRPr="00BB3959" w:rsidRDefault="004A5459" w:rsidP="00F50F0D">
            <w:pPr>
              <w:spacing w:after="0" w:line="240" w:lineRule="auto"/>
              <w:jc w:val="right"/>
              <w:rPr>
                <w:rFonts w:eastAsia="Times New Roman" w:cs="Segoe UI"/>
                <w:color w:val="000000"/>
                <w:sz w:val="18"/>
                <w:szCs w:val="18"/>
                <w:lang w:eastAsia="sk-SK"/>
              </w:rPr>
            </w:pPr>
            <w:r w:rsidRPr="00BB3959">
              <w:rPr>
                <w:rFonts w:eastAsia="Times New Roman" w:cs="Segoe UI"/>
                <w:color w:val="000000"/>
                <w:sz w:val="18"/>
                <w:szCs w:val="18"/>
                <w:lang w:eastAsia="sk-SK"/>
              </w:rPr>
              <w:t>1 107</w:t>
            </w:r>
            <w:r>
              <w:rPr>
                <w:rFonts w:eastAsia="Times New Roman" w:cs="Segoe UI"/>
                <w:color w:val="000000"/>
                <w:sz w:val="18"/>
                <w:szCs w:val="18"/>
                <w:lang w:eastAsia="sk-SK"/>
              </w:rPr>
              <w:t> </w:t>
            </w:r>
            <w:r w:rsidRPr="00BB3959">
              <w:rPr>
                <w:rFonts w:eastAsia="Times New Roman" w:cs="Segoe UI"/>
                <w:color w:val="000000"/>
                <w:sz w:val="18"/>
                <w:szCs w:val="18"/>
                <w:lang w:eastAsia="sk-SK"/>
              </w:rPr>
              <w:t>152</w:t>
            </w:r>
            <w:r>
              <w:rPr>
                <w:rFonts w:eastAsia="Times New Roman" w:cs="Segoe UI"/>
                <w:color w:val="000000"/>
                <w:sz w:val="18"/>
                <w:szCs w:val="18"/>
                <w:lang w:eastAsia="sk-SK"/>
              </w:rPr>
              <w:t>,</w:t>
            </w:r>
            <w:r w:rsidRPr="00BB3959">
              <w:rPr>
                <w:rFonts w:eastAsia="Times New Roman" w:cs="Segoe UI"/>
                <w:color w:val="000000"/>
                <w:sz w:val="18"/>
                <w:szCs w:val="18"/>
                <w:lang w:eastAsia="sk-SK"/>
              </w:rPr>
              <w:t>7</w:t>
            </w:r>
          </w:p>
        </w:tc>
        <w:tc>
          <w:tcPr>
            <w:tcW w:w="624" w:type="pct"/>
            <w:tcBorders>
              <w:top w:val="single" w:sz="4" w:space="0" w:color="314364" w:themeColor="text2"/>
            </w:tcBorders>
            <w:shd w:val="clear" w:color="auto" w:fill="auto"/>
            <w:noWrap/>
            <w:vAlign w:val="center"/>
            <w:hideMark/>
          </w:tcPr>
          <w:p w14:paraId="4DAD190C" w14:textId="77777777" w:rsidR="004A5459" w:rsidRPr="00BB3959" w:rsidRDefault="004A5459" w:rsidP="00F50F0D">
            <w:pPr>
              <w:spacing w:after="0" w:line="240" w:lineRule="auto"/>
              <w:jc w:val="right"/>
              <w:rPr>
                <w:rFonts w:eastAsia="Times New Roman" w:cs="Segoe UI"/>
                <w:color w:val="000000"/>
                <w:sz w:val="18"/>
                <w:szCs w:val="18"/>
                <w:lang w:eastAsia="sk-SK"/>
              </w:rPr>
            </w:pPr>
            <w:r w:rsidRPr="00BB3959">
              <w:rPr>
                <w:rFonts w:eastAsia="Times New Roman" w:cs="Segoe UI"/>
                <w:color w:val="000000"/>
                <w:sz w:val="18"/>
                <w:szCs w:val="18"/>
                <w:lang w:eastAsia="sk-SK"/>
              </w:rPr>
              <w:t>9</w:t>
            </w:r>
            <w:r>
              <w:rPr>
                <w:rFonts w:eastAsia="Times New Roman" w:cs="Segoe UI"/>
                <w:color w:val="000000"/>
                <w:sz w:val="18"/>
                <w:szCs w:val="18"/>
                <w:lang w:eastAsia="sk-SK"/>
              </w:rPr>
              <w:t>9 591,0</w:t>
            </w:r>
          </w:p>
        </w:tc>
      </w:tr>
      <w:tr w:rsidR="004A5459" w:rsidRPr="00722E9F" w14:paraId="516E819E" w14:textId="77777777" w:rsidTr="00F50F0D">
        <w:trPr>
          <w:trHeight w:val="243"/>
        </w:trPr>
        <w:tc>
          <w:tcPr>
            <w:tcW w:w="2345" w:type="pct"/>
            <w:tcBorders>
              <w:bottom w:val="single" w:sz="4" w:space="0" w:color="314364" w:themeColor="text2"/>
            </w:tcBorders>
            <w:shd w:val="clear" w:color="auto" w:fill="auto"/>
            <w:noWrap/>
            <w:vAlign w:val="center"/>
            <w:hideMark/>
          </w:tcPr>
          <w:p w14:paraId="0B82440A" w14:textId="77777777" w:rsidR="004A5459" w:rsidRPr="00BB3959" w:rsidRDefault="004A5459" w:rsidP="00F50F0D">
            <w:pPr>
              <w:spacing w:after="0" w:line="240" w:lineRule="auto"/>
              <w:jc w:val="left"/>
              <w:rPr>
                <w:rFonts w:eastAsia="Times New Roman" w:cs="Segoe UI"/>
                <w:color w:val="000000"/>
                <w:sz w:val="18"/>
                <w:szCs w:val="18"/>
                <w:lang w:eastAsia="sk-SK"/>
              </w:rPr>
            </w:pPr>
            <w:r>
              <w:rPr>
                <w:rFonts w:eastAsia="Times New Roman" w:cs="Segoe UI"/>
                <w:color w:val="000000"/>
                <w:sz w:val="18"/>
                <w:szCs w:val="18"/>
                <w:lang w:eastAsia="sk-SK"/>
              </w:rPr>
              <w:t xml:space="preserve">      Regionálne </w:t>
            </w:r>
            <w:r w:rsidRPr="00BB3959">
              <w:rPr>
                <w:rFonts w:eastAsia="Times New Roman" w:cs="Segoe UI"/>
                <w:color w:val="000000"/>
                <w:sz w:val="18"/>
                <w:szCs w:val="18"/>
                <w:lang w:eastAsia="sk-SK"/>
              </w:rPr>
              <w:t>školstvo</w:t>
            </w:r>
          </w:p>
        </w:tc>
        <w:tc>
          <w:tcPr>
            <w:tcW w:w="626" w:type="pct"/>
            <w:tcBorders>
              <w:bottom w:val="single" w:sz="4" w:space="0" w:color="314364" w:themeColor="text2"/>
            </w:tcBorders>
            <w:shd w:val="clear" w:color="auto" w:fill="auto"/>
            <w:noWrap/>
            <w:vAlign w:val="center"/>
            <w:hideMark/>
          </w:tcPr>
          <w:p w14:paraId="1F78E7EF"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c>
          <w:tcPr>
            <w:tcW w:w="703" w:type="pct"/>
            <w:tcBorders>
              <w:bottom w:val="single" w:sz="4" w:space="0" w:color="314364" w:themeColor="text2"/>
            </w:tcBorders>
            <w:shd w:val="clear" w:color="auto" w:fill="auto"/>
            <w:noWrap/>
            <w:vAlign w:val="center"/>
            <w:hideMark/>
          </w:tcPr>
          <w:p w14:paraId="7C668D6B"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w:t>
            </w:r>
          </w:p>
        </w:tc>
        <w:tc>
          <w:tcPr>
            <w:tcW w:w="703" w:type="pct"/>
            <w:tcBorders>
              <w:bottom w:val="single" w:sz="4" w:space="0" w:color="314364" w:themeColor="text2"/>
            </w:tcBorders>
            <w:shd w:val="clear" w:color="auto" w:fill="auto"/>
            <w:noWrap/>
            <w:vAlign w:val="center"/>
            <w:hideMark/>
          </w:tcPr>
          <w:p w14:paraId="054C3AA9"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1 107</w:t>
            </w:r>
            <w:r>
              <w:rPr>
                <w:rFonts w:eastAsia="Times New Roman" w:cs="Segoe UI"/>
                <w:color w:val="000000"/>
                <w:sz w:val="18"/>
                <w:szCs w:val="18"/>
                <w:lang w:eastAsia="sk-SK"/>
              </w:rPr>
              <w:t> </w:t>
            </w:r>
            <w:r w:rsidRPr="00722E9F">
              <w:rPr>
                <w:rFonts w:eastAsia="Times New Roman" w:cs="Segoe UI"/>
                <w:color w:val="000000"/>
                <w:sz w:val="18"/>
                <w:szCs w:val="18"/>
                <w:lang w:eastAsia="sk-SK"/>
              </w:rPr>
              <w:t>152</w:t>
            </w:r>
            <w:r>
              <w:rPr>
                <w:rFonts w:eastAsia="Times New Roman" w:cs="Segoe UI"/>
                <w:color w:val="000000"/>
                <w:sz w:val="18"/>
                <w:szCs w:val="18"/>
                <w:lang w:eastAsia="sk-SK"/>
              </w:rPr>
              <w:t>,</w:t>
            </w:r>
            <w:r w:rsidRPr="00722E9F">
              <w:rPr>
                <w:rFonts w:eastAsia="Times New Roman" w:cs="Segoe UI"/>
                <w:color w:val="000000"/>
                <w:sz w:val="18"/>
                <w:szCs w:val="18"/>
                <w:lang w:eastAsia="sk-SK"/>
              </w:rPr>
              <w:t>7</w:t>
            </w:r>
          </w:p>
        </w:tc>
        <w:tc>
          <w:tcPr>
            <w:tcW w:w="624" w:type="pct"/>
            <w:tcBorders>
              <w:bottom w:val="single" w:sz="4" w:space="0" w:color="314364" w:themeColor="text2"/>
            </w:tcBorders>
            <w:shd w:val="clear" w:color="auto" w:fill="auto"/>
            <w:noWrap/>
            <w:vAlign w:val="center"/>
            <w:hideMark/>
          </w:tcPr>
          <w:p w14:paraId="58731160" w14:textId="77777777" w:rsidR="004A5459" w:rsidRPr="00722E9F" w:rsidRDefault="004A5459" w:rsidP="00F50F0D">
            <w:pPr>
              <w:spacing w:after="0" w:line="240" w:lineRule="auto"/>
              <w:jc w:val="right"/>
              <w:rPr>
                <w:rFonts w:eastAsia="Times New Roman" w:cs="Segoe UI"/>
                <w:color w:val="000000"/>
                <w:sz w:val="18"/>
                <w:szCs w:val="18"/>
                <w:lang w:eastAsia="sk-SK"/>
              </w:rPr>
            </w:pPr>
            <w:r w:rsidRPr="00722E9F">
              <w:rPr>
                <w:rFonts w:eastAsia="Times New Roman" w:cs="Segoe UI"/>
                <w:color w:val="000000"/>
                <w:sz w:val="18"/>
                <w:szCs w:val="18"/>
                <w:lang w:eastAsia="sk-SK"/>
              </w:rPr>
              <w:t>9</w:t>
            </w:r>
            <w:r>
              <w:rPr>
                <w:rFonts w:eastAsia="Times New Roman" w:cs="Segoe UI"/>
                <w:color w:val="000000"/>
                <w:sz w:val="18"/>
                <w:szCs w:val="18"/>
                <w:lang w:eastAsia="sk-SK"/>
              </w:rPr>
              <w:t>9 591,0</w:t>
            </w:r>
          </w:p>
        </w:tc>
      </w:tr>
    </w:tbl>
    <w:p w14:paraId="176F59E6" w14:textId="77777777" w:rsidR="004A5459" w:rsidRDefault="004A5459" w:rsidP="004A5459">
      <w:pPr>
        <w:pStyle w:val="Zdroj"/>
      </w:pPr>
      <w:r>
        <w:t>Zdroj: ŠZÚ za rok 2020, RVS na roky 2021 až 2023, Návrh RVS na roky 2022 až 2024</w:t>
      </w:r>
      <w:r>
        <w:br/>
      </w:r>
      <w:r w:rsidRPr="00AC62DA">
        <w:rPr>
          <w:i w:val="0"/>
        </w:rPr>
        <w:t>*</w:t>
      </w:r>
      <w:r>
        <w:t>Prenesený výkon štátnej správy na úseku regionálneho školstva je v Návrhu RVS na roky 2022 až 2024 rozpočtovaný pod Ministerstvom školstva, vedy, výskumu a športu SR.</w:t>
      </w:r>
    </w:p>
    <w:p w14:paraId="0CF5F7A5" w14:textId="3F8D34BD" w:rsidR="003D315C" w:rsidRDefault="003D315C" w:rsidP="003D315C">
      <w:r>
        <w:t>V prípade hlásenia pobytu občanov a registra obyvateľov či registra adries je výška dotácie naviazaná na počet obyvateľov, ktorý je násobený koeficientom. Predmetné koeficienty sú od zákonného prenesenia výkonu na rovnakej úrovni. Rovnaké platí aj na jednotlivé položky v rámci dotácie na prenesený výkon štátnej správy</w:t>
      </w:r>
      <w:r w:rsidR="002D14C1">
        <w:t xml:space="preserve"> (Tabuľka 12)</w:t>
      </w:r>
      <w:r>
        <w:t xml:space="preserve">, napr. </w:t>
      </w:r>
      <w:proofErr w:type="spellStart"/>
      <w:r>
        <w:t>ošatné</w:t>
      </w:r>
      <w:proofErr w:type="spellEnd"/>
      <w:r>
        <w:t xml:space="preserve"> a tovary a služby v rámci dotácie na prenesený výkon štátnej správy v matričnej činnosti, ktoré nebolo valorizované od roku 2007. Absenciou pravidelnej indexácie </w:t>
      </w:r>
      <w:r>
        <w:lastRenderedPageBreak/>
        <w:t>dotácií na prenesený výkon štátnej správy, vzhľadom na infláciu a rast priemernej mzdy v národnom hospodárstve, stráca samospráva zdroje na zabezpečenie udržateľného hospodárenia prenesených kompetencií.</w:t>
      </w:r>
    </w:p>
    <w:p w14:paraId="532A1DA0" w14:textId="5AA75D46" w:rsidR="003D315C" w:rsidRDefault="003D315C" w:rsidP="003D315C">
      <w:r w:rsidRPr="004A5459">
        <w:rPr>
          <w:b/>
        </w:rPr>
        <w:t>V ŠR na 2021 došlo k nesystémovému 10</w:t>
      </w:r>
      <w:r w:rsidR="00050F6E">
        <w:rPr>
          <w:b/>
        </w:rPr>
        <w:t>-percentnému</w:t>
      </w:r>
      <w:r w:rsidRPr="004A5459">
        <w:rPr>
          <w:b/>
        </w:rPr>
        <w:t xml:space="preserve"> zníženiu výdavkov na prenesený výkon štátnej správy na úseku stavebného poriadku, ktoré pretrváva aj v ŠR na rok 2022.</w:t>
      </w:r>
      <w:r>
        <w:t xml:space="preserve"> </w:t>
      </w:r>
      <w:r w:rsidR="00050F6E">
        <w:t>Pri n</w:t>
      </w:r>
      <w:r>
        <w:t>edostatočný</w:t>
      </w:r>
      <w:r w:rsidR="00050F6E">
        <w:t>ch</w:t>
      </w:r>
      <w:r>
        <w:t xml:space="preserve"> finančný</w:t>
      </w:r>
      <w:r w:rsidR="00050F6E">
        <w:t>ch</w:t>
      </w:r>
      <w:r>
        <w:t xml:space="preserve"> zdroj</w:t>
      </w:r>
      <w:r w:rsidR="00050F6E">
        <w:t>och</w:t>
      </w:r>
      <w:r>
        <w:t xml:space="preserve"> na zabezpečenie prenesenej kompetencie nie je možné očakávať ani zrýchlenie, ani skvalitnenie jednotlivých činností v rámci prenesenej pôsobnosti (napr. stavebné konania).</w:t>
      </w:r>
    </w:p>
    <w:p w14:paraId="0FFDE695" w14:textId="21C47BB8" w:rsidR="002D14C1" w:rsidRDefault="002D14C1" w:rsidP="003D315C">
      <w:r w:rsidRPr="002D14C1">
        <w:rPr>
          <w:i/>
        </w:rPr>
        <w:t>V kapitole</w:t>
      </w:r>
      <w:r w:rsidRPr="00912E54">
        <w:rPr>
          <w:i/>
        </w:rPr>
        <w:t xml:space="preserve"> 5.1.1 Prenesený výkon štátnej správy na úseku regionálneho školstva</w:t>
      </w:r>
      <w:r>
        <w:rPr>
          <w:i/>
        </w:rPr>
        <w:t xml:space="preserve"> </w:t>
      </w:r>
      <w:r>
        <w:t>sa bližšie venujeme oblasti, ktorá tvorí najväčší objem finančných prostriedkov na prenesený výkon štátnej správy</w:t>
      </w:r>
      <w:r w:rsidRPr="006A2432">
        <w:t>.</w:t>
      </w:r>
    </w:p>
    <w:p w14:paraId="7163BDA3" w14:textId="45320DE8" w:rsidR="00427568" w:rsidRDefault="005C1FD3" w:rsidP="00427568">
      <w:pPr>
        <w:pStyle w:val="vodZverZhrnutie"/>
        <w:spacing w:after="0"/>
        <w:rPr>
          <w:rFonts w:eastAsia="Calibri" w:cs="Times New Roman"/>
          <w:iCs/>
        </w:rPr>
      </w:pPr>
      <w:bookmarkStart w:id="34" w:name="_Toc86396386"/>
      <w:bookmarkStart w:id="35" w:name="_Toc87345119"/>
      <w:r>
        <w:lastRenderedPageBreak/>
        <w:t>P</w:t>
      </w:r>
      <w:r w:rsidR="00885BA3">
        <w:t>ríloha</w:t>
      </w:r>
      <w:bookmarkEnd w:id="34"/>
      <w:r w:rsidR="00427568">
        <w:t xml:space="preserve">: </w:t>
      </w:r>
      <w:r w:rsidR="00427568">
        <w:rPr>
          <w:rFonts w:eastAsia="Calibri" w:cs="Times New Roman"/>
        </w:rPr>
        <w:t>Vybrané výdavky ŠR na realizáciu programov vlády</w:t>
      </w:r>
      <w:bookmarkEnd w:id="35"/>
    </w:p>
    <w:tbl>
      <w:tblPr>
        <w:tblStyle w:val="Mriekatabuky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3405"/>
        <w:gridCol w:w="1279"/>
        <w:gridCol w:w="992"/>
        <w:gridCol w:w="1128"/>
      </w:tblGrid>
      <w:tr w:rsidR="00427568" w:rsidRPr="00AF2AE6" w14:paraId="0482192F" w14:textId="77777777" w:rsidTr="00AF2AE6">
        <w:trPr>
          <w:trHeight w:val="283"/>
          <w:tblHeader/>
        </w:trPr>
        <w:tc>
          <w:tcPr>
            <w:tcW w:w="1249" w:type="pct"/>
            <w:shd w:val="clear" w:color="auto" w:fill="314364"/>
            <w:vAlign w:val="center"/>
          </w:tcPr>
          <w:p w14:paraId="1A6F064F" w14:textId="77777777" w:rsidR="00427568" w:rsidRPr="00AF2AE6" w:rsidRDefault="00427568" w:rsidP="00381348">
            <w:pPr>
              <w:spacing w:after="0" w:line="240" w:lineRule="auto"/>
              <w:jc w:val="left"/>
              <w:rPr>
                <w:rFonts w:eastAsia="Calibri" w:cs="Segoe UI"/>
                <w:b/>
                <w:bCs/>
                <w:color w:val="FFFFFF"/>
                <w:sz w:val="18"/>
                <w:szCs w:val="16"/>
              </w:rPr>
            </w:pPr>
            <w:r w:rsidRPr="00AF2AE6">
              <w:rPr>
                <w:rFonts w:eastAsia="Calibri" w:cs="Segoe UI"/>
                <w:b/>
                <w:bCs/>
                <w:color w:val="FFFFFF"/>
                <w:sz w:val="18"/>
                <w:szCs w:val="16"/>
              </w:rPr>
              <w:t>Ukazovateľ (v tis. eur)</w:t>
            </w:r>
          </w:p>
        </w:tc>
        <w:tc>
          <w:tcPr>
            <w:tcW w:w="1877" w:type="pct"/>
            <w:shd w:val="clear" w:color="auto" w:fill="314364"/>
            <w:vAlign w:val="center"/>
          </w:tcPr>
          <w:p w14:paraId="3051D459" w14:textId="77777777" w:rsidR="00427568" w:rsidRPr="00AF2AE6" w:rsidRDefault="00427568" w:rsidP="00381348">
            <w:pPr>
              <w:spacing w:after="0" w:line="240" w:lineRule="auto"/>
              <w:jc w:val="center"/>
              <w:rPr>
                <w:rFonts w:eastAsia="Calibri" w:cs="Segoe UI"/>
                <w:b/>
                <w:bCs/>
                <w:color w:val="FFFFFF"/>
                <w:sz w:val="18"/>
                <w:szCs w:val="16"/>
              </w:rPr>
            </w:pPr>
            <w:r w:rsidRPr="00AF2AE6">
              <w:rPr>
                <w:rFonts w:eastAsia="Calibri" w:cs="Segoe UI"/>
                <w:b/>
                <w:bCs/>
                <w:color w:val="FFFFFF"/>
                <w:sz w:val="18"/>
                <w:szCs w:val="16"/>
              </w:rPr>
              <w:t>Program</w:t>
            </w:r>
          </w:p>
        </w:tc>
        <w:tc>
          <w:tcPr>
            <w:tcW w:w="705" w:type="pct"/>
            <w:shd w:val="clear" w:color="auto" w:fill="314364"/>
            <w:vAlign w:val="center"/>
          </w:tcPr>
          <w:p w14:paraId="4E4C3764" w14:textId="77777777" w:rsidR="00427568" w:rsidRPr="00AF2AE6" w:rsidRDefault="00427568" w:rsidP="00381348">
            <w:pPr>
              <w:spacing w:after="0" w:line="240" w:lineRule="auto"/>
              <w:jc w:val="right"/>
              <w:rPr>
                <w:rFonts w:eastAsia="Calibri" w:cs="Segoe UI"/>
                <w:b/>
                <w:bCs/>
                <w:color w:val="FFFFFF"/>
                <w:sz w:val="18"/>
                <w:szCs w:val="16"/>
              </w:rPr>
            </w:pPr>
            <w:r w:rsidRPr="00AF2AE6">
              <w:rPr>
                <w:rFonts w:eastAsia="Calibri" w:cs="Segoe UI"/>
                <w:b/>
                <w:bCs/>
                <w:color w:val="FFFFFF"/>
                <w:sz w:val="18"/>
                <w:szCs w:val="16"/>
              </w:rPr>
              <w:t>2020 S</w:t>
            </w:r>
          </w:p>
        </w:tc>
        <w:tc>
          <w:tcPr>
            <w:tcW w:w="547" w:type="pct"/>
            <w:shd w:val="clear" w:color="auto" w:fill="314364"/>
            <w:vAlign w:val="center"/>
          </w:tcPr>
          <w:p w14:paraId="5CF5E818" w14:textId="77777777" w:rsidR="00427568" w:rsidRPr="00AF2AE6" w:rsidRDefault="00427568" w:rsidP="00381348">
            <w:pPr>
              <w:spacing w:after="0" w:line="240" w:lineRule="auto"/>
              <w:jc w:val="right"/>
              <w:rPr>
                <w:rFonts w:eastAsia="Calibri" w:cs="Segoe UI"/>
                <w:b/>
                <w:bCs/>
                <w:color w:val="FFFFFF"/>
                <w:sz w:val="18"/>
                <w:szCs w:val="16"/>
              </w:rPr>
            </w:pPr>
            <w:r w:rsidRPr="00AF2AE6">
              <w:rPr>
                <w:rFonts w:eastAsia="Calibri" w:cs="Segoe UI"/>
                <w:b/>
                <w:bCs/>
                <w:color w:val="FFFFFF"/>
                <w:sz w:val="18"/>
                <w:szCs w:val="16"/>
              </w:rPr>
              <w:t>2021 R</w:t>
            </w:r>
          </w:p>
        </w:tc>
        <w:tc>
          <w:tcPr>
            <w:tcW w:w="622" w:type="pct"/>
            <w:shd w:val="clear" w:color="auto" w:fill="314364"/>
            <w:vAlign w:val="center"/>
          </w:tcPr>
          <w:p w14:paraId="60D5C8B8" w14:textId="72789DD7" w:rsidR="00427568" w:rsidRPr="00AF2AE6" w:rsidRDefault="00427568" w:rsidP="00607ED0">
            <w:pPr>
              <w:spacing w:after="0" w:line="240" w:lineRule="auto"/>
              <w:jc w:val="right"/>
              <w:rPr>
                <w:rFonts w:eastAsia="Calibri" w:cs="Segoe UI"/>
                <w:b/>
                <w:bCs/>
                <w:color w:val="FFFFFF"/>
                <w:sz w:val="18"/>
                <w:szCs w:val="16"/>
              </w:rPr>
            </w:pPr>
            <w:r w:rsidRPr="00AF2AE6">
              <w:rPr>
                <w:rFonts w:eastAsia="Calibri" w:cs="Segoe UI"/>
                <w:b/>
                <w:bCs/>
                <w:color w:val="FFFFFF"/>
                <w:sz w:val="18"/>
                <w:szCs w:val="16"/>
              </w:rPr>
              <w:t>202</w:t>
            </w:r>
            <w:r w:rsidR="00607ED0">
              <w:rPr>
                <w:rFonts w:eastAsia="Calibri" w:cs="Segoe UI"/>
                <w:b/>
                <w:bCs/>
                <w:color w:val="FFFFFF"/>
                <w:sz w:val="18"/>
                <w:szCs w:val="16"/>
              </w:rPr>
              <w:t>2</w:t>
            </w:r>
            <w:r w:rsidRPr="00AF2AE6">
              <w:rPr>
                <w:rFonts w:eastAsia="Calibri" w:cs="Segoe UI"/>
                <w:b/>
                <w:bCs/>
                <w:color w:val="FFFFFF"/>
                <w:sz w:val="18"/>
                <w:szCs w:val="16"/>
              </w:rPr>
              <w:t xml:space="preserve"> N</w:t>
            </w:r>
          </w:p>
        </w:tc>
      </w:tr>
      <w:tr w:rsidR="00427568" w:rsidRPr="00AF2AE6" w14:paraId="591D469A" w14:textId="77777777" w:rsidTr="00AF2AE6">
        <w:trPr>
          <w:trHeight w:val="20"/>
        </w:trPr>
        <w:tc>
          <w:tcPr>
            <w:tcW w:w="1249" w:type="pct"/>
            <w:vMerge w:val="restart"/>
            <w:shd w:val="clear" w:color="auto" w:fill="auto"/>
            <w:vAlign w:val="center"/>
          </w:tcPr>
          <w:p w14:paraId="0E0CC77D"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Ministerstvo investícií, regionálneho rozvoja a informatizácie SR</w:t>
            </w:r>
          </w:p>
        </w:tc>
        <w:tc>
          <w:tcPr>
            <w:tcW w:w="1877" w:type="pct"/>
            <w:shd w:val="clear" w:color="auto" w:fill="auto"/>
          </w:tcPr>
          <w:p w14:paraId="1B4DCEB8"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0DV Fondy EÚ - MIRRI</w:t>
            </w:r>
          </w:p>
        </w:tc>
        <w:tc>
          <w:tcPr>
            <w:tcW w:w="705" w:type="pct"/>
            <w:shd w:val="clear" w:color="auto" w:fill="auto"/>
          </w:tcPr>
          <w:p w14:paraId="13002730"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104 160</w:t>
            </w:r>
          </w:p>
        </w:tc>
        <w:tc>
          <w:tcPr>
            <w:tcW w:w="547" w:type="pct"/>
            <w:shd w:val="clear" w:color="auto" w:fill="auto"/>
          </w:tcPr>
          <w:p w14:paraId="07EC14B6"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0</w:t>
            </w:r>
          </w:p>
        </w:tc>
        <w:tc>
          <w:tcPr>
            <w:tcW w:w="622" w:type="pct"/>
            <w:shd w:val="clear" w:color="auto" w:fill="auto"/>
          </w:tcPr>
          <w:p w14:paraId="06E34D68"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465 619</w:t>
            </w:r>
          </w:p>
        </w:tc>
      </w:tr>
      <w:tr w:rsidR="00427568" w:rsidRPr="00AF2AE6" w14:paraId="0C81A9A7" w14:textId="77777777" w:rsidTr="00AF2AE6">
        <w:trPr>
          <w:trHeight w:val="20"/>
        </w:trPr>
        <w:tc>
          <w:tcPr>
            <w:tcW w:w="1249" w:type="pct"/>
            <w:vMerge/>
            <w:shd w:val="clear" w:color="auto" w:fill="auto"/>
            <w:vAlign w:val="center"/>
          </w:tcPr>
          <w:p w14:paraId="532A6826"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auto"/>
          </w:tcPr>
          <w:p w14:paraId="1CEA4A5B"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0EK Informačné technológie financované zo štátneho rozpočtu</w:t>
            </w:r>
          </w:p>
        </w:tc>
        <w:tc>
          <w:tcPr>
            <w:tcW w:w="705" w:type="pct"/>
            <w:shd w:val="clear" w:color="auto" w:fill="auto"/>
          </w:tcPr>
          <w:p w14:paraId="633342A6"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39 094</w:t>
            </w:r>
          </w:p>
        </w:tc>
        <w:tc>
          <w:tcPr>
            <w:tcW w:w="547" w:type="pct"/>
            <w:shd w:val="clear" w:color="auto" w:fill="auto"/>
          </w:tcPr>
          <w:p w14:paraId="4090BFFC"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13 631</w:t>
            </w:r>
          </w:p>
        </w:tc>
        <w:tc>
          <w:tcPr>
            <w:tcW w:w="622" w:type="pct"/>
            <w:shd w:val="clear" w:color="auto" w:fill="auto"/>
          </w:tcPr>
          <w:p w14:paraId="0C21ECAF"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28 814</w:t>
            </w:r>
          </w:p>
        </w:tc>
      </w:tr>
      <w:tr w:rsidR="00427568" w:rsidRPr="00AF2AE6" w14:paraId="4640FB9F" w14:textId="77777777" w:rsidTr="00AF2AE6">
        <w:trPr>
          <w:trHeight w:val="20"/>
        </w:trPr>
        <w:tc>
          <w:tcPr>
            <w:tcW w:w="1249" w:type="pct"/>
            <w:vMerge/>
            <w:shd w:val="clear" w:color="auto" w:fill="auto"/>
            <w:vAlign w:val="center"/>
          </w:tcPr>
          <w:p w14:paraId="6556285C"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auto"/>
          </w:tcPr>
          <w:p w14:paraId="35573035"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shd w:val="clear" w:color="auto" w:fill="auto"/>
          </w:tcPr>
          <w:p w14:paraId="6CE13279"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88 570</w:t>
            </w:r>
          </w:p>
        </w:tc>
        <w:tc>
          <w:tcPr>
            <w:tcW w:w="547" w:type="pct"/>
            <w:shd w:val="clear" w:color="auto" w:fill="auto"/>
          </w:tcPr>
          <w:p w14:paraId="165A4844"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21 911</w:t>
            </w:r>
          </w:p>
        </w:tc>
        <w:tc>
          <w:tcPr>
            <w:tcW w:w="622" w:type="pct"/>
            <w:shd w:val="clear" w:color="auto" w:fill="auto"/>
          </w:tcPr>
          <w:p w14:paraId="2093195E" w14:textId="77777777" w:rsidR="00427568" w:rsidRPr="00AF2AE6" w:rsidRDefault="00427568" w:rsidP="00381348">
            <w:pPr>
              <w:spacing w:after="0" w:line="240" w:lineRule="auto"/>
              <w:jc w:val="right"/>
              <w:rPr>
                <w:rFonts w:eastAsia="Times New Roman" w:cs="Segoe UI"/>
                <w:bCs/>
                <w:color w:val="000000"/>
                <w:sz w:val="16"/>
                <w:szCs w:val="16"/>
                <w:lang w:eastAsia="sk-SK"/>
              </w:rPr>
            </w:pPr>
            <w:r w:rsidRPr="00AF2AE6">
              <w:rPr>
                <w:rFonts w:eastAsia="Times New Roman" w:cs="Segoe UI"/>
                <w:bCs/>
                <w:color w:val="000000"/>
                <w:sz w:val="16"/>
                <w:szCs w:val="16"/>
                <w:lang w:eastAsia="sk-SK"/>
              </w:rPr>
              <w:t>297 137</w:t>
            </w:r>
          </w:p>
        </w:tc>
      </w:tr>
      <w:tr w:rsidR="00427568" w:rsidRPr="00AF2AE6" w14:paraId="768941A4" w14:textId="77777777" w:rsidTr="00AF2AE6">
        <w:trPr>
          <w:trHeight w:val="20"/>
        </w:trPr>
        <w:tc>
          <w:tcPr>
            <w:tcW w:w="1249" w:type="pct"/>
            <w:vMerge w:val="restart"/>
            <w:shd w:val="clear" w:color="auto" w:fill="DEEAF6"/>
            <w:vAlign w:val="center"/>
          </w:tcPr>
          <w:p w14:paraId="4601DFBF"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Ministerstvo obrany SR</w:t>
            </w:r>
          </w:p>
        </w:tc>
        <w:tc>
          <w:tcPr>
            <w:tcW w:w="1877" w:type="pct"/>
            <w:shd w:val="clear" w:color="auto" w:fill="DEEAF6"/>
            <w:hideMark/>
          </w:tcPr>
          <w:p w14:paraId="50F18C2F"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095 Rozvoj obrany</w:t>
            </w:r>
          </w:p>
        </w:tc>
        <w:tc>
          <w:tcPr>
            <w:tcW w:w="705" w:type="pct"/>
            <w:shd w:val="clear" w:color="auto" w:fill="DEEAF6"/>
            <w:vAlign w:val="center"/>
          </w:tcPr>
          <w:p w14:paraId="5D9BD332"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702 031</w:t>
            </w:r>
          </w:p>
        </w:tc>
        <w:tc>
          <w:tcPr>
            <w:tcW w:w="547" w:type="pct"/>
            <w:shd w:val="clear" w:color="auto" w:fill="DEEAF6"/>
            <w:vAlign w:val="center"/>
          </w:tcPr>
          <w:p w14:paraId="3E020320"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115 581</w:t>
            </w:r>
          </w:p>
        </w:tc>
        <w:tc>
          <w:tcPr>
            <w:tcW w:w="622" w:type="pct"/>
            <w:shd w:val="clear" w:color="auto" w:fill="DEEAF6"/>
            <w:vAlign w:val="center"/>
          </w:tcPr>
          <w:p w14:paraId="6E3EB3E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149 193</w:t>
            </w:r>
          </w:p>
        </w:tc>
      </w:tr>
      <w:tr w:rsidR="00427568" w:rsidRPr="00AF2AE6" w14:paraId="01F10617" w14:textId="77777777" w:rsidTr="00AF2AE6">
        <w:trPr>
          <w:trHeight w:val="20"/>
        </w:trPr>
        <w:tc>
          <w:tcPr>
            <w:tcW w:w="1249" w:type="pct"/>
            <w:vMerge/>
            <w:shd w:val="clear" w:color="auto" w:fill="DEEAF6"/>
            <w:vAlign w:val="center"/>
          </w:tcPr>
          <w:p w14:paraId="0AA839C7"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72BD2AE2"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096 Obrana</w:t>
            </w:r>
          </w:p>
        </w:tc>
        <w:tc>
          <w:tcPr>
            <w:tcW w:w="705" w:type="pct"/>
            <w:shd w:val="clear" w:color="auto" w:fill="DEEAF6"/>
            <w:vAlign w:val="center"/>
          </w:tcPr>
          <w:p w14:paraId="5E2304A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916 210</w:t>
            </w:r>
          </w:p>
        </w:tc>
        <w:tc>
          <w:tcPr>
            <w:tcW w:w="547" w:type="pct"/>
            <w:shd w:val="clear" w:color="auto" w:fill="DEEAF6"/>
            <w:vAlign w:val="center"/>
          </w:tcPr>
          <w:p w14:paraId="007671E2"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1 104 896</w:t>
            </w:r>
          </w:p>
        </w:tc>
        <w:tc>
          <w:tcPr>
            <w:tcW w:w="622" w:type="pct"/>
            <w:shd w:val="clear" w:color="auto" w:fill="DEEAF6"/>
            <w:vAlign w:val="center"/>
          </w:tcPr>
          <w:p w14:paraId="5AFB9E3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1 176 172</w:t>
            </w:r>
          </w:p>
        </w:tc>
      </w:tr>
      <w:tr w:rsidR="00427568" w:rsidRPr="00AF2AE6" w14:paraId="36D7A5DE" w14:textId="77777777" w:rsidTr="00AF2AE6">
        <w:trPr>
          <w:trHeight w:val="20"/>
        </w:trPr>
        <w:tc>
          <w:tcPr>
            <w:tcW w:w="1249" w:type="pct"/>
            <w:vMerge/>
            <w:shd w:val="clear" w:color="auto" w:fill="DEEAF6"/>
            <w:vAlign w:val="center"/>
          </w:tcPr>
          <w:p w14:paraId="16834D17"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46312FB1"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shd w:val="clear" w:color="auto" w:fill="DEEAF6"/>
            <w:vAlign w:val="center"/>
          </w:tcPr>
          <w:p w14:paraId="67FF7CF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1 985</w:t>
            </w:r>
          </w:p>
        </w:tc>
        <w:tc>
          <w:tcPr>
            <w:tcW w:w="547" w:type="pct"/>
            <w:shd w:val="clear" w:color="auto" w:fill="DEEAF6"/>
            <w:vAlign w:val="center"/>
          </w:tcPr>
          <w:p w14:paraId="4F698CC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6 237</w:t>
            </w:r>
          </w:p>
        </w:tc>
        <w:tc>
          <w:tcPr>
            <w:tcW w:w="622" w:type="pct"/>
            <w:shd w:val="clear" w:color="auto" w:fill="DEEAF6"/>
            <w:vAlign w:val="center"/>
          </w:tcPr>
          <w:p w14:paraId="1F4BB7D2"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7 820</w:t>
            </w:r>
          </w:p>
        </w:tc>
      </w:tr>
      <w:tr w:rsidR="00427568" w:rsidRPr="00AF2AE6" w14:paraId="4D3C8FAF" w14:textId="77777777" w:rsidTr="00AF2AE6">
        <w:trPr>
          <w:trHeight w:val="20"/>
        </w:trPr>
        <w:tc>
          <w:tcPr>
            <w:tcW w:w="1249" w:type="pct"/>
            <w:vMerge w:val="restart"/>
            <w:vAlign w:val="center"/>
          </w:tcPr>
          <w:p w14:paraId="0A03006E"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Ministerstvo vnútra SR</w:t>
            </w:r>
          </w:p>
        </w:tc>
        <w:tc>
          <w:tcPr>
            <w:tcW w:w="1877" w:type="pct"/>
            <w:hideMark/>
          </w:tcPr>
          <w:p w14:paraId="30343A14"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0D6 Efektívna a spoľahlivá štátna správa</w:t>
            </w:r>
          </w:p>
        </w:tc>
        <w:tc>
          <w:tcPr>
            <w:tcW w:w="705" w:type="pct"/>
            <w:vAlign w:val="center"/>
          </w:tcPr>
          <w:p w14:paraId="5EA4DAF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1 421 273</w:t>
            </w:r>
          </w:p>
        </w:tc>
        <w:tc>
          <w:tcPr>
            <w:tcW w:w="547" w:type="pct"/>
            <w:vAlign w:val="center"/>
          </w:tcPr>
          <w:p w14:paraId="75723848"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1 340 689</w:t>
            </w:r>
          </w:p>
        </w:tc>
        <w:tc>
          <w:tcPr>
            <w:tcW w:w="622" w:type="pct"/>
            <w:vAlign w:val="center"/>
          </w:tcPr>
          <w:p w14:paraId="39E62595"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1 448 052</w:t>
            </w:r>
          </w:p>
        </w:tc>
      </w:tr>
      <w:tr w:rsidR="00427568" w:rsidRPr="00AF2AE6" w14:paraId="1A36EEF5" w14:textId="77777777" w:rsidTr="00AF2AE6">
        <w:trPr>
          <w:trHeight w:val="20"/>
        </w:trPr>
        <w:tc>
          <w:tcPr>
            <w:tcW w:w="1249" w:type="pct"/>
            <w:vMerge/>
            <w:vAlign w:val="center"/>
          </w:tcPr>
          <w:p w14:paraId="2760FC26"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4EB613E6"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0D5 Výchova a vzdelávanie mládeže</w:t>
            </w:r>
          </w:p>
        </w:tc>
        <w:tc>
          <w:tcPr>
            <w:tcW w:w="705" w:type="pct"/>
            <w:vAlign w:val="center"/>
          </w:tcPr>
          <w:p w14:paraId="3A262D15"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1 560 848</w:t>
            </w:r>
          </w:p>
        </w:tc>
        <w:tc>
          <w:tcPr>
            <w:tcW w:w="547" w:type="pct"/>
            <w:vAlign w:val="center"/>
          </w:tcPr>
          <w:p w14:paraId="659C3FE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1 441 603</w:t>
            </w:r>
          </w:p>
        </w:tc>
        <w:tc>
          <w:tcPr>
            <w:tcW w:w="622" w:type="pct"/>
            <w:vAlign w:val="center"/>
          </w:tcPr>
          <w:p w14:paraId="364BEFA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0</w:t>
            </w:r>
          </w:p>
        </w:tc>
      </w:tr>
      <w:tr w:rsidR="00427568" w:rsidRPr="00AF2AE6" w14:paraId="52B53A34" w14:textId="77777777" w:rsidTr="00AF2AE6">
        <w:trPr>
          <w:trHeight w:val="20"/>
        </w:trPr>
        <w:tc>
          <w:tcPr>
            <w:tcW w:w="1249" w:type="pct"/>
            <w:vMerge/>
            <w:vAlign w:val="center"/>
          </w:tcPr>
          <w:p w14:paraId="4879F370"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097CDFA4"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vAlign w:val="center"/>
          </w:tcPr>
          <w:p w14:paraId="169C42CA"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208 347</w:t>
            </w:r>
          </w:p>
        </w:tc>
        <w:tc>
          <w:tcPr>
            <w:tcW w:w="547" w:type="pct"/>
            <w:vAlign w:val="center"/>
          </w:tcPr>
          <w:p w14:paraId="03BAF94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223 239</w:t>
            </w:r>
          </w:p>
        </w:tc>
        <w:tc>
          <w:tcPr>
            <w:tcW w:w="622" w:type="pct"/>
            <w:vAlign w:val="center"/>
          </w:tcPr>
          <w:p w14:paraId="36FAE87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187 824</w:t>
            </w:r>
          </w:p>
        </w:tc>
      </w:tr>
      <w:tr w:rsidR="00427568" w:rsidRPr="00AF2AE6" w14:paraId="1CE43AFC" w14:textId="77777777" w:rsidTr="00AF2AE6">
        <w:trPr>
          <w:trHeight w:val="20"/>
        </w:trPr>
        <w:tc>
          <w:tcPr>
            <w:tcW w:w="1249" w:type="pct"/>
            <w:vMerge w:val="restart"/>
            <w:shd w:val="clear" w:color="auto" w:fill="DEEAF6"/>
            <w:vAlign w:val="center"/>
          </w:tcPr>
          <w:p w14:paraId="0D86CB57"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 xml:space="preserve">Ministerstvo </w:t>
            </w:r>
          </w:p>
          <w:p w14:paraId="0733720B"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spravodlivosti SR</w:t>
            </w:r>
          </w:p>
        </w:tc>
        <w:tc>
          <w:tcPr>
            <w:tcW w:w="1877" w:type="pct"/>
            <w:shd w:val="clear" w:color="auto" w:fill="DEEAF6"/>
            <w:hideMark/>
          </w:tcPr>
          <w:p w14:paraId="5BAAD4A1"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08P Financovanie systému súdnictva</w:t>
            </w:r>
          </w:p>
        </w:tc>
        <w:tc>
          <w:tcPr>
            <w:tcW w:w="705" w:type="pct"/>
            <w:shd w:val="clear" w:color="auto" w:fill="DEEAF6"/>
            <w:vAlign w:val="center"/>
          </w:tcPr>
          <w:p w14:paraId="43AC0D03"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230 881</w:t>
            </w:r>
          </w:p>
        </w:tc>
        <w:tc>
          <w:tcPr>
            <w:tcW w:w="547" w:type="pct"/>
            <w:shd w:val="clear" w:color="auto" w:fill="DEEAF6"/>
            <w:vAlign w:val="center"/>
          </w:tcPr>
          <w:p w14:paraId="3A7C14D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218 584</w:t>
            </w:r>
          </w:p>
        </w:tc>
        <w:tc>
          <w:tcPr>
            <w:tcW w:w="622" w:type="pct"/>
            <w:shd w:val="clear" w:color="auto" w:fill="DEEAF6"/>
            <w:vAlign w:val="center"/>
          </w:tcPr>
          <w:p w14:paraId="45385366"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292 399</w:t>
            </w:r>
          </w:p>
        </w:tc>
      </w:tr>
      <w:tr w:rsidR="00427568" w:rsidRPr="00AF2AE6" w14:paraId="21DEFB2C" w14:textId="77777777" w:rsidTr="00AF2AE6">
        <w:trPr>
          <w:trHeight w:val="20"/>
        </w:trPr>
        <w:tc>
          <w:tcPr>
            <w:tcW w:w="1249" w:type="pct"/>
            <w:vMerge/>
            <w:shd w:val="clear" w:color="auto" w:fill="DEEAF6"/>
            <w:vAlign w:val="center"/>
          </w:tcPr>
          <w:p w14:paraId="7AB7A199"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71BF526E"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070 Väzenstvo</w:t>
            </w:r>
          </w:p>
        </w:tc>
        <w:tc>
          <w:tcPr>
            <w:tcW w:w="705" w:type="pct"/>
            <w:shd w:val="clear" w:color="auto" w:fill="DEEAF6"/>
            <w:vAlign w:val="center"/>
          </w:tcPr>
          <w:p w14:paraId="53CA3CD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208 660</w:t>
            </w:r>
          </w:p>
        </w:tc>
        <w:tc>
          <w:tcPr>
            <w:tcW w:w="547" w:type="pct"/>
            <w:shd w:val="clear" w:color="auto" w:fill="DEEAF6"/>
            <w:vAlign w:val="center"/>
          </w:tcPr>
          <w:p w14:paraId="108E1B0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211 208</w:t>
            </w:r>
          </w:p>
        </w:tc>
        <w:tc>
          <w:tcPr>
            <w:tcW w:w="622" w:type="pct"/>
            <w:shd w:val="clear" w:color="auto" w:fill="DEEAF6"/>
            <w:vAlign w:val="center"/>
          </w:tcPr>
          <w:p w14:paraId="36B03B48"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228 050</w:t>
            </w:r>
          </w:p>
        </w:tc>
      </w:tr>
      <w:tr w:rsidR="00427568" w:rsidRPr="00AF2AE6" w14:paraId="27305E77" w14:textId="77777777" w:rsidTr="00AF2AE6">
        <w:trPr>
          <w:trHeight w:val="20"/>
        </w:trPr>
        <w:tc>
          <w:tcPr>
            <w:tcW w:w="1249" w:type="pct"/>
            <w:vMerge/>
            <w:shd w:val="clear" w:color="auto" w:fill="DEEAF6"/>
            <w:vAlign w:val="center"/>
          </w:tcPr>
          <w:p w14:paraId="02567B70"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4ACA30DC"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shd w:val="clear" w:color="auto" w:fill="DEEAF6"/>
            <w:vAlign w:val="center"/>
          </w:tcPr>
          <w:p w14:paraId="49C1321A"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48 222</w:t>
            </w:r>
          </w:p>
        </w:tc>
        <w:tc>
          <w:tcPr>
            <w:tcW w:w="547" w:type="pct"/>
            <w:shd w:val="clear" w:color="auto" w:fill="DEEAF6"/>
            <w:vAlign w:val="center"/>
          </w:tcPr>
          <w:p w14:paraId="13ABF98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46 106</w:t>
            </w:r>
          </w:p>
        </w:tc>
        <w:tc>
          <w:tcPr>
            <w:tcW w:w="622" w:type="pct"/>
            <w:shd w:val="clear" w:color="auto" w:fill="DEEAF6"/>
            <w:vAlign w:val="center"/>
          </w:tcPr>
          <w:p w14:paraId="47912B21"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52 402</w:t>
            </w:r>
          </w:p>
        </w:tc>
      </w:tr>
      <w:tr w:rsidR="00427568" w:rsidRPr="00AF2AE6" w14:paraId="721DDD89" w14:textId="77777777" w:rsidTr="00AF2AE6">
        <w:trPr>
          <w:trHeight w:val="20"/>
        </w:trPr>
        <w:tc>
          <w:tcPr>
            <w:tcW w:w="1249" w:type="pct"/>
            <w:vMerge w:val="restart"/>
            <w:vAlign w:val="center"/>
          </w:tcPr>
          <w:p w14:paraId="05A4CE08"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Ministerstvo financií SR</w:t>
            </w:r>
          </w:p>
        </w:tc>
        <w:tc>
          <w:tcPr>
            <w:tcW w:w="1877" w:type="pct"/>
            <w:hideMark/>
          </w:tcPr>
          <w:p w14:paraId="1E80B15F"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072 Výber daní a cla</w:t>
            </w:r>
          </w:p>
        </w:tc>
        <w:tc>
          <w:tcPr>
            <w:tcW w:w="705" w:type="pct"/>
            <w:vAlign w:val="center"/>
          </w:tcPr>
          <w:p w14:paraId="4A21404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293 630</w:t>
            </w:r>
          </w:p>
        </w:tc>
        <w:tc>
          <w:tcPr>
            <w:tcW w:w="547" w:type="pct"/>
            <w:vAlign w:val="center"/>
          </w:tcPr>
          <w:p w14:paraId="78AC01E3"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335 735</w:t>
            </w:r>
          </w:p>
        </w:tc>
        <w:tc>
          <w:tcPr>
            <w:tcW w:w="622" w:type="pct"/>
            <w:vAlign w:val="center"/>
          </w:tcPr>
          <w:p w14:paraId="79D16BB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338 338</w:t>
            </w:r>
          </w:p>
        </w:tc>
      </w:tr>
      <w:tr w:rsidR="00427568" w:rsidRPr="00AF2AE6" w14:paraId="33A40DA7" w14:textId="77777777" w:rsidTr="00AF2AE6">
        <w:trPr>
          <w:trHeight w:val="20"/>
        </w:trPr>
        <w:tc>
          <w:tcPr>
            <w:tcW w:w="1249" w:type="pct"/>
            <w:vMerge/>
            <w:vAlign w:val="center"/>
          </w:tcPr>
          <w:p w14:paraId="7EC8C86D"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77BE00F2"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0EK Informačné technológie financované zo štátneho rozpočtu</w:t>
            </w:r>
          </w:p>
        </w:tc>
        <w:tc>
          <w:tcPr>
            <w:tcW w:w="705" w:type="pct"/>
            <w:vAlign w:val="center"/>
          </w:tcPr>
          <w:p w14:paraId="4F372DCA"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128 940</w:t>
            </w:r>
          </w:p>
        </w:tc>
        <w:tc>
          <w:tcPr>
            <w:tcW w:w="547" w:type="pct"/>
            <w:vAlign w:val="center"/>
          </w:tcPr>
          <w:p w14:paraId="12E46B30"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120 163</w:t>
            </w:r>
          </w:p>
        </w:tc>
        <w:tc>
          <w:tcPr>
            <w:tcW w:w="622" w:type="pct"/>
            <w:vAlign w:val="center"/>
          </w:tcPr>
          <w:p w14:paraId="5FF0CAE1"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124 194</w:t>
            </w:r>
          </w:p>
        </w:tc>
      </w:tr>
      <w:tr w:rsidR="00427568" w:rsidRPr="00AF2AE6" w14:paraId="38D74773" w14:textId="77777777" w:rsidTr="00AF2AE6">
        <w:trPr>
          <w:trHeight w:val="20"/>
        </w:trPr>
        <w:tc>
          <w:tcPr>
            <w:tcW w:w="1249" w:type="pct"/>
            <w:vMerge/>
            <w:vAlign w:val="center"/>
          </w:tcPr>
          <w:p w14:paraId="37AC996F"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73870206"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074 Tvorba metodiky, riadenie, kontrola, vládny audit a vnútorný audit verejných financií</w:t>
            </w:r>
          </w:p>
        </w:tc>
        <w:tc>
          <w:tcPr>
            <w:tcW w:w="705" w:type="pct"/>
            <w:vAlign w:val="center"/>
          </w:tcPr>
          <w:p w14:paraId="1D65A40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84 293</w:t>
            </w:r>
          </w:p>
        </w:tc>
        <w:tc>
          <w:tcPr>
            <w:tcW w:w="547" w:type="pct"/>
            <w:vAlign w:val="center"/>
          </w:tcPr>
          <w:p w14:paraId="5F537AE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79 854</w:t>
            </w:r>
          </w:p>
        </w:tc>
        <w:tc>
          <w:tcPr>
            <w:tcW w:w="622" w:type="pct"/>
            <w:vAlign w:val="center"/>
          </w:tcPr>
          <w:p w14:paraId="20A0187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78 786</w:t>
            </w:r>
          </w:p>
        </w:tc>
      </w:tr>
      <w:tr w:rsidR="00427568" w:rsidRPr="00AF2AE6" w14:paraId="194CCB9B" w14:textId="77777777" w:rsidTr="00AF2AE6">
        <w:trPr>
          <w:trHeight w:val="20"/>
        </w:trPr>
        <w:tc>
          <w:tcPr>
            <w:tcW w:w="1249" w:type="pct"/>
            <w:vMerge/>
            <w:vAlign w:val="center"/>
          </w:tcPr>
          <w:p w14:paraId="35DCE5CA"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76683625"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vAlign w:val="center"/>
          </w:tcPr>
          <w:p w14:paraId="16F21963"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27 944</w:t>
            </w:r>
          </w:p>
        </w:tc>
        <w:tc>
          <w:tcPr>
            <w:tcW w:w="547" w:type="pct"/>
            <w:vAlign w:val="center"/>
          </w:tcPr>
          <w:p w14:paraId="60C4ACD3"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112 086</w:t>
            </w:r>
          </w:p>
        </w:tc>
        <w:tc>
          <w:tcPr>
            <w:tcW w:w="622" w:type="pct"/>
            <w:vAlign w:val="center"/>
          </w:tcPr>
          <w:p w14:paraId="74270DE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8 431</w:t>
            </w:r>
          </w:p>
        </w:tc>
      </w:tr>
      <w:tr w:rsidR="00427568" w:rsidRPr="00AF2AE6" w14:paraId="01C31D53" w14:textId="77777777" w:rsidTr="00AF2AE6">
        <w:trPr>
          <w:trHeight w:val="20"/>
        </w:trPr>
        <w:tc>
          <w:tcPr>
            <w:tcW w:w="1249" w:type="pct"/>
            <w:shd w:val="clear" w:color="auto" w:fill="DEEAF6"/>
            <w:vAlign w:val="center"/>
          </w:tcPr>
          <w:p w14:paraId="322BC2D0"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 xml:space="preserve">Ministerstvo životného </w:t>
            </w:r>
          </w:p>
        </w:tc>
        <w:tc>
          <w:tcPr>
            <w:tcW w:w="1877" w:type="pct"/>
            <w:shd w:val="clear" w:color="auto" w:fill="DEEAF6"/>
            <w:hideMark/>
          </w:tcPr>
          <w:p w14:paraId="53DD86AB"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075 Starostlivosť o životné prostredie</w:t>
            </w:r>
          </w:p>
        </w:tc>
        <w:tc>
          <w:tcPr>
            <w:tcW w:w="705" w:type="pct"/>
            <w:shd w:val="clear" w:color="auto" w:fill="DEEAF6"/>
            <w:vAlign w:val="center"/>
          </w:tcPr>
          <w:p w14:paraId="7484378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364 722</w:t>
            </w:r>
          </w:p>
        </w:tc>
        <w:tc>
          <w:tcPr>
            <w:tcW w:w="547" w:type="pct"/>
            <w:shd w:val="clear" w:color="auto" w:fill="DEEAF6"/>
            <w:vAlign w:val="center"/>
          </w:tcPr>
          <w:p w14:paraId="0F53BF2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450 446</w:t>
            </w:r>
          </w:p>
        </w:tc>
        <w:tc>
          <w:tcPr>
            <w:tcW w:w="622" w:type="pct"/>
            <w:shd w:val="clear" w:color="auto" w:fill="DEEAF6"/>
            <w:vAlign w:val="center"/>
          </w:tcPr>
          <w:p w14:paraId="1AD8946F" w14:textId="77777777" w:rsidR="00427568" w:rsidRPr="00AF2AE6" w:rsidRDefault="00427568" w:rsidP="00381348">
            <w:pPr>
              <w:spacing w:after="0" w:line="240" w:lineRule="auto"/>
              <w:jc w:val="right"/>
              <w:rPr>
                <w:rFonts w:cs="Segoe UI"/>
                <w:sz w:val="16"/>
                <w:szCs w:val="16"/>
              </w:rPr>
            </w:pPr>
            <w:r w:rsidRPr="00AF2AE6">
              <w:rPr>
                <w:rFonts w:cs="Segoe UI"/>
                <w:sz w:val="16"/>
                <w:szCs w:val="16"/>
              </w:rPr>
              <w:t>439 975</w:t>
            </w:r>
          </w:p>
        </w:tc>
      </w:tr>
      <w:tr w:rsidR="00427568" w:rsidRPr="00AF2AE6" w14:paraId="2DAB92C6" w14:textId="77777777" w:rsidTr="00AF2AE6">
        <w:trPr>
          <w:trHeight w:val="20"/>
        </w:trPr>
        <w:tc>
          <w:tcPr>
            <w:tcW w:w="1249" w:type="pct"/>
            <w:shd w:val="clear" w:color="auto" w:fill="DEEAF6"/>
            <w:vAlign w:val="center"/>
          </w:tcPr>
          <w:p w14:paraId="3548B911"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prostredia SR</w:t>
            </w:r>
          </w:p>
        </w:tc>
        <w:tc>
          <w:tcPr>
            <w:tcW w:w="1877" w:type="pct"/>
            <w:shd w:val="clear" w:color="auto" w:fill="DEEAF6"/>
            <w:hideMark/>
          </w:tcPr>
          <w:p w14:paraId="41F098B2"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shd w:val="clear" w:color="auto" w:fill="DEEAF6"/>
            <w:vAlign w:val="center"/>
          </w:tcPr>
          <w:p w14:paraId="461EB523"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45 621</w:t>
            </w:r>
          </w:p>
        </w:tc>
        <w:tc>
          <w:tcPr>
            <w:tcW w:w="547" w:type="pct"/>
            <w:shd w:val="clear" w:color="auto" w:fill="DEEAF6"/>
            <w:vAlign w:val="center"/>
          </w:tcPr>
          <w:p w14:paraId="2317DCB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43 640</w:t>
            </w:r>
          </w:p>
        </w:tc>
        <w:tc>
          <w:tcPr>
            <w:tcW w:w="622" w:type="pct"/>
            <w:shd w:val="clear" w:color="auto" w:fill="DEEAF6"/>
            <w:vAlign w:val="center"/>
          </w:tcPr>
          <w:p w14:paraId="657AA8D3" w14:textId="77777777" w:rsidR="00427568" w:rsidRPr="00AF2AE6" w:rsidRDefault="00427568" w:rsidP="00381348">
            <w:pPr>
              <w:spacing w:after="0" w:line="240" w:lineRule="auto"/>
              <w:jc w:val="right"/>
              <w:rPr>
                <w:rFonts w:cs="Segoe UI"/>
                <w:sz w:val="16"/>
                <w:szCs w:val="16"/>
              </w:rPr>
            </w:pPr>
            <w:r w:rsidRPr="00AF2AE6">
              <w:rPr>
                <w:rFonts w:cs="Segoe UI"/>
                <w:sz w:val="16"/>
                <w:szCs w:val="16"/>
              </w:rPr>
              <w:t>125 744</w:t>
            </w:r>
          </w:p>
        </w:tc>
      </w:tr>
      <w:tr w:rsidR="00427568" w:rsidRPr="00AF2AE6" w14:paraId="7D996B0D" w14:textId="77777777" w:rsidTr="00AF2AE6">
        <w:trPr>
          <w:trHeight w:val="20"/>
        </w:trPr>
        <w:tc>
          <w:tcPr>
            <w:tcW w:w="1249" w:type="pct"/>
            <w:vMerge w:val="restart"/>
            <w:vAlign w:val="center"/>
          </w:tcPr>
          <w:p w14:paraId="2A2A93E4"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 xml:space="preserve">Ministerstvo </w:t>
            </w:r>
          </w:p>
          <w:p w14:paraId="3E786320"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školstva SR</w:t>
            </w:r>
          </w:p>
        </w:tc>
        <w:tc>
          <w:tcPr>
            <w:tcW w:w="1877" w:type="pct"/>
            <w:hideMark/>
          </w:tcPr>
          <w:p w14:paraId="2B7F9F8A"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078 Národný program výchovy, vzdelávania a mládeže</w:t>
            </w:r>
          </w:p>
        </w:tc>
        <w:tc>
          <w:tcPr>
            <w:tcW w:w="705" w:type="pct"/>
            <w:vAlign w:val="center"/>
          </w:tcPr>
          <w:p w14:paraId="5A182D9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554 080</w:t>
            </w:r>
          </w:p>
        </w:tc>
        <w:tc>
          <w:tcPr>
            <w:tcW w:w="547" w:type="pct"/>
            <w:vAlign w:val="center"/>
          </w:tcPr>
          <w:p w14:paraId="6C9A36D2"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773 115</w:t>
            </w:r>
          </w:p>
        </w:tc>
        <w:tc>
          <w:tcPr>
            <w:tcW w:w="622" w:type="pct"/>
            <w:vAlign w:val="center"/>
          </w:tcPr>
          <w:p w14:paraId="73361A3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2 479 299</w:t>
            </w:r>
          </w:p>
        </w:tc>
      </w:tr>
      <w:tr w:rsidR="00427568" w:rsidRPr="00AF2AE6" w14:paraId="1CED84C3" w14:textId="77777777" w:rsidTr="00AF2AE6">
        <w:trPr>
          <w:trHeight w:val="20"/>
        </w:trPr>
        <w:tc>
          <w:tcPr>
            <w:tcW w:w="1249" w:type="pct"/>
            <w:vMerge/>
            <w:vAlign w:val="center"/>
          </w:tcPr>
          <w:p w14:paraId="01ACCA49"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5CD91009"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077 Vysokoškolské vzdelávanie a veda, sociálna podpora študentov vysokých škôl</w:t>
            </w:r>
          </w:p>
        </w:tc>
        <w:tc>
          <w:tcPr>
            <w:tcW w:w="705" w:type="pct"/>
            <w:vAlign w:val="center"/>
          </w:tcPr>
          <w:p w14:paraId="0E4907F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637 995</w:t>
            </w:r>
          </w:p>
        </w:tc>
        <w:tc>
          <w:tcPr>
            <w:tcW w:w="547" w:type="pct"/>
            <w:vAlign w:val="center"/>
          </w:tcPr>
          <w:p w14:paraId="22C40971"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588 567</w:t>
            </w:r>
          </w:p>
        </w:tc>
        <w:tc>
          <w:tcPr>
            <w:tcW w:w="622" w:type="pct"/>
            <w:vAlign w:val="center"/>
          </w:tcPr>
          <w:p w14:paraId="55AB050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600 118</w:t>
            </w:r>
          </w:p>
        </w:tc>
      </w:tr>
      <w:tr w:rsidR="00427568" w:rsidRPr="00AF2AE6" w14:paraId="0707F830" w14:textId="77777777" w:rsidTr="00AF2AE6">
        <w:trPr>
          <w:trHeight w:val="20"/>
        </w:trPr>
        <w:tc>
          <w:tcPr>
            <w:tcW w:w="1249" w:type="pct"/>
            <w:vMerge/>
            <w:vAlign w:val="center"/>
          </w:tcPr>
          <w:p w14:paraId="5F0AF9CA"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431DA921"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026 Národný program rozvoja športu v SR</w:t>
            </w:r>
          </w:p>
        </w:tc>
        <w:tc>
          <w:tcPr>
            <w:tcW w:w="705" w:type="pct"/>
            <w:vAlign w:val="center"/>
          </w:tcPr>
          <w:p w14:paraId="63EE1C4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78 861</w:t>
            </w:r>
          </w:p>
        </w:tc>
        <w:tc>
          <w:tcPr>
            <w:tcW w:w="547" w:type="pct"/>
            <w:vAlign w:val="center"/>
          </w:tcPr>
          <w:p w14:paraId="40C06A1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78 916</w:t>
            </w:r>
          </w:p>
        </w:tc>
        <w:tc>
          <w:tcPr>
            <w:tcW w:w="622" w:type="pct"/>
            <w:vAlign w:val="center"/>
          </w:tcPr>
          <w:p w14:paraId="30B4114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78 873</w:t>
            </w:r>
          </w:p>
        </w:tc>
      </w:tr>
      <w:tr w:rsidR="00427568" w:rsidRPr="00AF2AE6" w14:paraId="714531ED" w14:textId="77777777" w:rsidTr="00AF2AE6">
        <w:trPr>
          <w:trHeight w:val="20"/>
        </w:trPr>
        <w:tc>
          <w:tcPr>
            <w:tcW w:w="1249" w:type="pct"/>
            <w:vMerge/>
            <w:vAlign w:val="center"/>
          </w:tcPr>
          <w:p w14:paraId="57C8F4AC"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535F3CE8"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06K Národný program rozvoja vedy a techniky</w:t>
            </w:r>
          </w:p>
        </w:tc>
        <w:tc>
          <w:tcPr>
            <w:tcW w:w="705" w:type="pct"/>
            <w:vAlign w:val="center"/>
          </w:tcPr>
          <w:p w14:paraId="07B062A2"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57 797</w:t>
            </w:r>
          </w:p>
        </w:tc>
        <w:tc>
          <w:tcPr>
            <w:tcW w:w="547" w:type="pct"/>
            <w:vAlign w:val="center"/>
          </w:tcPr>
          <w:p w14:paraId="14C485D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53 455</w:t>
            </w:r>
          </w:p>
        </w:tc>
        <w:tc>
          <w:tcPr>
            <w:tcW w:w="622" w:type="pct"/>
            <w:vAlign w:val="center"/>
          </w:tcPr>
          <w:p w14:paraId="52506526"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57 236</w:t>
            </w:r>
          </w:p>
        </w:tc>
      </w:tr>
      <w:tr w:rsidR="00427568" w:rsidRPr="00AF2AE6" w14:paraId="409E85A4" w14:textId="77777777" w:rsidTr="00AF2AE6">
        <w:trPr>
          <w:trHeight w:val="20"/>
        </w:trPr>
        <w:tc>
          <w:tcPr>
            <w:tcW w:w="1249" w:type="pct"/>
            <w:vMerge/>
            <w:vAlign w:val="center"/>
          </w:tcPr>
          <w:p w14:paraId="06994A1C"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41BCD523"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vAlign w:val="center"/>
          </w:tcPr>
          <w:p w14:paraId="044965B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247 001</w:t>
            </w:r>
          </w:p>
        </w:tc>
        <w:tc>
          <w:tcPr>
            <w:tcW w:w="547" w:type="pct"/>
            <w:vAlign w:val="center"/>
          </w:tcPr>
          <w:p w14:paraId="0ECF5088"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257 290</w:t>
            </w:r>
          </w:p>
        </w:tc>
        <w:tc>
          <w:tcPr>
            <w:tcW w:w="622" w:type="pct"/>
            <w:vAlign w:val="center"/>
          </w:tcPr>
          <w:p w14:paraId="4251365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428 159</w:t>
            </w:r>
          </w:p>
        </w:tc>
      </w:tr>
      <w:tr w:rsidR="00427568" w:rsidRPr="00AF2AE6" w14:paraId="7750CD73" w14:textId="77777777" w:rsidTr="00AF2AE6">
        <w:trPr>
          <w:trHeight w:val="20"/>
        </w:trPr>
        <w:tc>
          <w:tcPr>
            <w:tcW w:w="1249" w:type="pct"/>
            <w:vMerge w:val="restart"/>
            <w:shd w:val="clear" w:color="auto" w:fill="DEEAF6"/>
            <w:vAlign w:val="center"/>
          </w:tcPr>
          <w:p w14:paraId="1C79BCD9"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 xml:space="preserve">Ministerstvo </w:t>
            </w:r>
          </w:p>
          <w:p w14:paraId="054E8343"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zdravotníctva SR</w:t>
            </w:r>
          </w:p>
        </w:tc>
        <w:tc>
          <w:tcPr>
            <w:tcW w:w="1877" w:type="pct"/>
            <w:shd w:val="clear" w:color="auto" w:fill="DEEAF6"/>
            <w:hideMark/>
          </w:tcPr>
          <w:p w14:paraId="300E5E2F"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07A Zdravotná starostlivosť</w:t>
            </w:r>
          </w:p>
        </w:tc>
        <w:tc>
          <w:tcPr>
            <w:tcW w:w="705" w:type="pct"/>
            <w:shd w:val="clear" w:color="auto" w:fill="DEEAF6"/>
            <w:vAlign w:val="center"/>
          </w:tcPr>
          <w:p w14:paraId="323FF76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1 259 500</w:t>
            </w:r>
          </w:p>
        </w:tc>
        <w:tc>
          <w:tcPr>
            <w:tcW w:w="547" w:type="pct"/>
            <w:shd w:val="clear" w:color="auto" w:fill="DEEAF6"/>
            <w:vAlign w:val="center"/>
          </w:tcPr>
          <w:p w14:paraId="5B04264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1 452 857</w:t>
            </w:r>
          </w:p>
        </w:tc>
        <w:tc>
          <w:tcPr>
            <w:tcW w:w="622" w:type="pct"/>
            <w:shd w:val="clear" w:color="auto" w:fill="DEEAF6"/>
            <w:vAlign w:val="center"/>
          </w:tcPr>
          <w:p w14:paraId="493E550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1 346 056</w:t>
            </w:r>
          </w:p>
        </w:tc>
      </w:tr>
      <w:tr w:rsidR="00427568" w:rsidRPr="00AF2AE6" w14:paraId="1E1E14E7" w14:textId="77777777" w:rsidTr="00AF2AE6">
        <w:trPr>
          <w:trHeight w:val="20"/>
        </w:trPr>
        <w:tc>
          <w:tcPr>
            <w:tcW w:w="1249" w:type="pct"/>
            <w:vMerge/>
            <w:shd w:val="clear" w:color="auto" w:fill="DEEAF6"/>
            <w:vAlign w:val="center"/>
          </w:tcPr>
          <w:p w14:paraId="71E6A1CC"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37D9F40A"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07B Tvorba a implementácia politík</w:t>
            </w:r>
          </w:p>
        </w:tc>
        <w:tc>
          <w:tcPr>
            <w:tcW w:w="705" w:type="pct"/>
            <w:shd w:val="clear" w:color="auto" w:fill="DEEAF6"/>
            <w:vAlign w:val="center"/>
          </w:tcPr>
          <w:p w14:paraId="3F73F0E2"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139 998</w:t>
            </w:r>
          </w:p>
        </w:tc>
        <w:tc>
          <w:tcPr>
            <w:tcW w:w="547" w:type="pct"/>
            <w:shd w:val="clear" w:color="auto" w:fill="DEEAF6"/>
            <w:vAlign w:val="center"/>
          </w:tcPr>
          <w:p w14:paraId="5DECF25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183 923</w:t>
            </w:r>
          </w:p>
        </w:tc>
        <w:tc>
          <w:tcPr>
            <w:tcW w:w="622" w:type="pct"/>
            <w:shd w:val="clear" w:color="auto" w:fill="DEEAF6"/>
            <w:vAlign w:val="center"/>
          </w:tcPr>
          <w:p w14:paraId="661A683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188 365</w:t>
            </w:r>
          </w:p>
        </w:tc>
      </w:tr>
      <w:tr w:rsidR="00427568" w:rsidRPr="00AF2AE6" w14:paraId="2E699D32" w14:textId="77777777" w:rsidTr="00AF2AE6">
        <w:trPr>
          <w:trHeight w:val="20"/>
        </w:trPr>
        <w:tc>
          <w:tcPr>
            <w:tcW w:w="1249" w:type="pct"/>
            <w:vMerge/>
            <w:shd w:val="clear" w:color="auto" w:fill="DEEAF6"/>
            <w:vAlign w:val="center"/>
          </w:tcPr>
          <w:p w14:paraId="0314977F"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480491BE"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079 Prevencia a ochrana zdravia</w:t>
            </w:r>
          </w:p>
        </w:tc>
        <w:tc>
          <w:tcPr>
            <w:tcW w:w="705" w:type="pct"/>
            <w:shd w:val="clear" w:color="auto" w:fill="DEEAF6"/>
            <w:vAlign w:val="center"/>
          </w:tcPr>
          <w:p w14:paraId="7257FF1D"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49 052</w:t>
            </w:r>
          </w:p>
        </w:tc>
        <w:tc>
          <w:tcPr>
            <w:tcW w:w="547" w:type="pct"/>
            <w:shd w:val="clear" w:color="auto" w:fill="DEEAF6"/>
            <w:vAlign w:val="center"/>
          </w:tcPr>
          <w:p w14:paraId="34E2EB41"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65 562</w:t>
            </w:r>
          </w:p>
        </w:tc>
        <w:tc>
          <w:tcPr>
            <w:tcW w:w="622" w:type="pct"/>
            <w:shd w:val="clear" w:color="auto" w:fill="DEEAF6"/>
            <w:vAlign w:val="center"/>
          </w:tcPr>
          <w:p w14:paraId="0067EFDD"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65 645</w:t>
            </w:r>
          </w:p>
        </w:tc>
      </w:tr>
      <w:tr w:rsidR="00427568" w:rsidRPr="00AF2AE6" w14:paraId="72EB2DB4" w14:textId="77777777" w:rsidTr="00AF2AE6">
        <w:trPr>
          <w:trHeight w:val="20"/>
        </w:trPr>
        <w:tc>
          <w:tcPr>
            <w:tcW w:w="1249" w:type="pct"/>
            <w:vMerge/>
            <w:shd w:val="clear" w:color="auto" w:fill="DEEAF6"/>
            <w:vAlign w:val="center"/>
          </w:tcPr>
          <w:p w14:paraId="24C04B94"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0020286A"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shd w:val="clear" w:color="auto" w:fill="DEEAF6"/>
            <w:vAlign w:val="center"/>
          </w:tcPr>
          <w:p w14:paraId="6CBB0E1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35 576</w:t>
            </w:r>
          </w:p>
        </w:tc>
        <w:tc>
          <w:tcPr>
            <w:tcW w:w="547" w:type="pct"/>
            <w:shd w:val="clear" w:color="auto" w:fill="DEEAF6"/>
            <w:vAlign w:val="center"/>
          </w:tcPr>
          <w:p w14:paraId="5F18B9A3"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4 520</w:t>
            </w:r>
          </w:p>
        </w:tc>
        <w:tc>
          <w:tcPr>
            <w:tcW w:w="622" w:type="pct"/>
            <w:shd w:val="clear" w:color="auto" w:fill="DEEAF6"/>
            <w:vAlign w:val="center"/>
          </w:tcPr>
          <w:p w14:paraId="5296814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6 399</w:t>
            </w:r>
          </w:p>
        </w:tc>
      </w:tr>
      <w:tr w:rsidR="00427568" w:rsidRPr="00AF2AE6" w14:paraId="2189E0F2" w14:textId="77777777" w:rsidTr="00AF2AE6">
        <w:trPr>
          <w:trHeight w:val="20"/>
        </w:trPr>
        <w:tc>
          <w:tcPr>
            <w:tcW w:w="1249" w:type="pct"/>
            <w:vMerge w:val="restart"/>
            <w:vAlign w:val="center"/>
          </w:tcPr>
          <w:p w14:paraId="43453E36"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 xml:space="preserve">Ministerstvo práce, </w:t>
            </w:r>
          </w:p>
          <w:p w14:paraId="52708624"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sociálnych vecí</w:t>
            </w:r>
          </w:p>
          <w:p w14:paraId="41D6FBD4"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a rodiny SR</w:t>
            </w:r>
          </w:p>
        </w:tc>
        <w:tc>
          <w:tcPr>
            <w:tcW w:w="1877" w:type="pct"/>
            <w:hideMark/>
          </w:tcPr>
          <w:p w14:paraId="6F87CB4E"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07C Sociálna inklúzia</w:t>
            </w:r>
          </w:p>
        </w:tc>
        <w:tc>
          <w:tcPr>
            <w:tcW w:w="705" w:type="pct"/>
            <w:vAlign w:val="center"/>
          </w:tcPr>
          <w:p w14:paraId="478F60A1"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2 766 272</w:t>
            </w:r>
          </w:p>
        </w:tc>
        <w:tc>
          <w:tcPr>
            <w:tcW w:w="547" w:type="pct"/>
            <w:vAlign w:val="center"/>
          </w:tcPr>
          <w:p w14:paraId="627ACC8A"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2 789 772</w:t>
            </w:r>
          </w:p>
        </w:tc>
        <w:tc>
          <w:tcPr>
            <w:tcW w:w="622" w:type="pct"/>
            <w:vAlign w:val="center"/>
          </w:tcPr>
          <w:p w14:paraId="1C05B1F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2 966 367</w:t>
            </w:r>
          </w:p>
        </w:tc>
      </w:tr>
      <w:tr w:rsidR="00427568" w:rsidRPr="00AF2AE6" w14:paraId="15F6A854" w14:textId="77777777" w:rsidTr="00AF2AE6">
        <w:trPr>
          <w:trHeight w:val="20"/>
        </w:trPr>
        <w:tc>
          <w:tcPr>
            <w:tcW w:w="1249" w:type="pct"/>
            <w:vMerge/>
            <w:vAlign w:val="center"/>
          </w:tcPr>
          <w:p w14:paraId="418779EF"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055D8D62"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07E Tvorba a implementácia politík</w:t>
            </w:r>
          </w:p>
        </w:tc>
        <w:tc>
          <w:tcPr>
            <w:tcW w:w="705" w:type="pct"/>
            <w:vAlign w:val="center"/>
          </w:tcPr>
          <w:p w14:paraId="7105ADF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201 453</w:t>
            </w:r>
          </w:p>
        </w:tc>
        <w:tc>
          <w:tcPr>
            <w:tcW w:w="547" w:type="pct"/>
            <w:vAlign w:val="center"/>
          </w:tcPr>
          <w:p w14:paraId="01F07E08"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182 004</w:t>
            </w:r>
          </w:p>
        </w:tc>
        <w:tc>
          <w:tcPr>
            <w:tcW w:w="622" w:type="pct"/>
            <w:vAlign w:val="center"/>
          </w:tcPr>
          <w:p w14:paraId="021FB886"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184 342</w:t>
            </w:r>
          </w:p>
        </w:tc>
      </w:tr>
      <w:tr w:rsidR="00427568" w:rsidRPr="00AF2AE6" w14:paraId="3D59CE7E" w14:textId="77777777" w:rsidTr="00AF2AE6">
        <w:trPr>
          <w:trHeight w:val="20"/>
        </w:trPr>
        <w:tc>
          <w:tcPr>
            <w:tcW w:w="1249" w:type="pct"/>
            <w:vMerge/>
            <w:vAlign w:val="center"/>
          </w:tcPr>
          <w:p w14:paraId="32A4591B"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65FB34AC"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06G Ľudské zdroje</w:t>
            </w:r>
          </w:p>
        </w:tc>
        <w:tc>
          <w:tcPr>
            <w:tcW w:w="705" w:type="pct"/>
            <w:vAlign w:val="center"/>
          </w:tcPr>
          <w:p w14:paraId="71208645"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1 170 741</w:t>
            </w:r>
          </w:p>
        </w:tc>
        <w:tc>
          <w:tcPr>
            <w:tcW w:w="547" w:type="pct"/>
            <w:vAlign w:val="center"/>
          </w:tcPr>
          <w:p w14:paraId="07CBF27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287 727</w:t>
            </w:r>
          </w:p>
        </w:tc>
        <w:tc>
          <w:tcPr>
            <w:tcW w:w="622" w:type="pct"/>
            <w:vAlign w:val="center"/>
          </w:tcPr>
          <w:p w14:paraId="36217A33"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278 053</w:t>
            </w:r>
          </w:p>
        </w:tc>
      </w:tr>
      <w:tr w:rsidR="00427568" w:rsidRPr="00AF2AE6" w14:paraId="46B3FD90" w14:textId="77777777" w:rsidTr="00AF2AE6">
        <w:trPr>
          <w:trHeight w:val="20"/>
        </w:trPr>
        <w:tc>
          <w:tcPr>
            <w:tcW w:w="1249" w:type="pct"/>
            <w:vMerge/>
          </w:tcPr>
          <w:p w14:paraId="39539B0E"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57703569"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vAlign w:val="center"/>
          </w:tcPr>
          <w:p w14:paraId="06BDE85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38 710</w:t>
            </w:r>
          </w:p>
        </w:tc>
        <w:tc>
          <w:tcPr>
            <w:tcW w:w="547" w:type="pct"/>
            <w:vAlign w:val="center"/>
          </w:tcPr>
          <w:p w14:paraId="3E88353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22 717</w:t>
            </w:r>
          </w:p>
        </w:tc>
        <w:tc>
          <w:tcPr>
            <w:tcW w:w="622" w:type="pct"/>
            <w:vAlign w:val="center"/>
          </w:tcPr>
          <w:p w14:paraId="0A6E5B5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24 041</w:t>
            </w:r>
          </w:p>
        </w:tc>
      </w:tr>
      <w:tr w:rsidR="00427568" w:rsidRPr="00AF2AE6" w14:paraId="183E83DF" w14:textId="77777777" w:rsidTr="00AF2AE6">
        <w:trPr>
          <w:trHeight w:val="20"/>
        </w:trPr>
        <w:tc>
          <w:tcPr>
            <w:tcW w:w="1249" w:type="pct"/>
            <w:vMerge w:val="restart"/>
            <w:shd w:val="clear" w:color="auto" w:fill="DEEAF6"/>
            <w:vAlign w:val="center"/>
          </w:tcPr>
          <w:p w14:paraId="0213640B"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Ministerstvo</w:t>
            </w:r>
          </w:p>
          <w:p w14:paraId="3CF1AE99"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hospodárstva SR</w:t>
            </w:r>
          </w:p>
        </w:tc>
        <w:tc>
          <w:tcPr>
            <w:tcW w:w="1877" w:type="pct"/>
            <w:shd w:val="clear" w:color="auto" w:fill="DEEAF6"/>
            <w:hideMark/>
          </w:tcPr>
          <w:p w14:paraId="1EC3EAB2"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0EA Operačný program Integrovaná infraštruktúra (v gescii MŠVVaŠ SR)</w:t>
            </w:r>
          </w:p>
        </w:tc>
        <w:tc>
          <w:tcPr>
            <w:tcW w:w="705" w:type="pct"/>
            <w:shd w:val="clear" w:color="auto" w:fill="DEEAF6"/>
            <w:vAlign w:val="center"/>
          </w:tcPr>
          <w:p w14:paraId="5D0F613D"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219 638</w:t>
            </w:r>
          </w:p>
        </w:tc>
        <w:tc>
          <w:tcPr>
            <w:tcW w:w="547" w:type="pct"/>
            <w:shd w:val="clear" w:color="auto" w:fill="DEEAF6"/>
            <w:vAlign w:val="center"/>
          </w:tcPr>
          <w:p w14:paraId="3212524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318 324</w:t>
            </w:r>
          </w:p>
        </w:tc>
        <w:tc>
          <w:tcPr>
            <w:tcW w:w="622" w:type="pct"/>
            <w:shd w:val="clear" w:color="auto" w:fill="DEEAF6"/>
            <w:vAlign w:val="center"/>
          </w:tcPr>
          <w:p w14:paraId="03EC3875"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216 240</w:t>
            </w:r>
          </w:p>
        </w:tc>
      </w:tr>
      <w:tr w:rsidR="00427568" w:rsidRPr="00AF2AE6" w14:paraId="69250A8C" w14:textId="77777777" w:rsidTr="00AF2AE6">
        <w:trPr>
          <w:trHeight w:val="20"/>
        </w:trPr>
        <w:tc>
          <w:tcPr>
            <w:tcW w:w="1249" w:type="pct"/>
            <w:vMerge/>
            <w:shd w:val="clear" w:color="auto" w:fill="DEEAF6"/>
          </w:tcPr>
          <w:p w14:paraId="3155D1A9"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44591D75"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07K Rozvoj priemyslu a podpora podnikania</w:t>
            </w:r>
          </w:p>
        </w:tc>
        <w:tc>
          <w:tcPr>
            <w:tcW w:w="705" w:type="pct"/>
            <w:shd w:val="clear" w:color="auto" w:fill="DEEAF6"/>
            <w:vAlign w:val="center"/>
          </w:tcPr>
          <w:p w14:paraId="29CBDBE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366 693</w:t>
            </w:r>
          </w:p>
        </w:tc>
        <w:tc>
          <w:tcPr>
            <w:tcW w:w="547" w:type="pct"/>
            <w:shd w:val="clear" w:color="auto" w:fill="DEEAF6"/>
            <w:vAlign w:val="center"/>
          </w:tcPr>
          <w:p w14:paraId="0CC03B4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138 846</w:t>
            </w:r>
          </w:p>
        </w:tc>
        <w:tc>
          <w:tcPr>
            <w:tcW w:w="622" w:type="pct"/>
            <w:shd w:val="clear" w:color="auto" w:fill="DEEAF6"/>
            <w:vAlign w:val="center"/>
          </w:tcPr>
          <w:p w14:paraId="45AF177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264 440</w:t>
            </w:r>
          </w:p>
        </w:tc>
      </w:tr>
      <w:tr w:rsidR="00427568" w:rsidRPr="00AF2AE6" w14:paraId="0655F4B7" w14:textId="77777777" w:rsidTr="00AF2AE6">
        <w:trPr>
          <w:trHeight w:val="20"/>
        </w:trPr>
        <w:tc>
          <w:tcPr>
            <w:tcW w:w="1249" w:type="pct"/>
            <w:vMerge/>
            <w:shd w:val="clear" w:color="auto" w:fill="DEEAF6"/>
          </w:tcPr>
          <w:p w14:paraId="4D128B87"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5B7F9EBF"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shd w:val="clear" w:color="auto" w:fill="DEEAF6"/>
            <w:vAlign w:val="center"/>
          </w:tcPr>
          <w:p w14:paraId="49F9E405"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45 892</w:t>
            </w:r>
          </w:p>
        </w:tc>
        <w:tc>
          <w:tcPr>
            <w:tcW w:w="547" w:type="pct"/>
            <w:shd w:val="clear" w:color="auto" w:fill="DEEAF6"/>
            <w:vAlign w:val="center"/>
          </w:tcPr>
          <w:p w14:paraId="12AD7D78"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35 904</w:t>
            </w:r>
          </w:p>
        </w:tc>
        <w:tc>
          <w:tcPr>
            <w:tcW w:w="622" w:type="pct"/>
            <w:shd w:val="clear" w:color="auto" w:fill="DEEAF6"/>
            <w:vAlign w:val="center"/>
          </w:tcPr>
          <w:p w14:paraId="24B31C6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35 825</w:t>
            </w:r>
          </w:p>
        </w:tc>
      </w:tr>
      <w:tr w:rsidR="00427568" w:rsidRPr="00AF2AE6" w14:paraId="304A2805" w14:textId="77777777" w:rsidTr="00AF2AE6">
        <w:trPr>
          <w:trHeight w:val="20"/>
        </w:trPr>
        <w:tc>
          <w:tcPr>
            <w:tcW w:w="1249" w:type="pct"/>
            <w:vMerge w:val="restart"/>
            <w:vAlign w:val="center"/>
          </w:tcPr>
          <w:p w14:paraId="2A99BAAB"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Ministerstvo pôdohospodárstva</w:t>
            </w:r>
          </w:p>
          <w:p w14:paraId="669AEFB6"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a rozvoja vidieka SR</w:t>
            </w:r>
          </w:p>
        </w:tc>
        <w:tc>
          <w:tcPr>
            <w:tcW w:w="1877" w:type="pct"/>
            <w:hideMark/>
          </w:tcPr>
          <w:p w14:paraId="60EAFECB"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0CC Stabilizácia poľnohospodárstva trhov s poľnohospodárskymi komoditami</w:t>
            </w:r>
          </w:p>
        </w:tc>
        <w:tc>
          <w:tcPr>
            <w:tcW w:w="705" w:type="pct"/>
            <w:vAlign w:val="center"/>
          </w:tcPr>
          <w:p w14:paraId="323D9E3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461 339</w:t>
            </w:r>
          </w:p>
        </w:tc>
        <w:tc>
          <w:tcPr>
            <w:tcW w:w="547" w:type="pct"/>
            <w:vAlign w:val="center"/>
          </w:tcPr>
          <w:p w14:paraId="00EC8AF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453 916</w:t>
            </w:r>
          </w:p>
        </w:tc>
        <w:tc>
          <w:tcPr>
            <w:tcW w:w="622" w:type="pct"/>
            <w:vAlign w:val="center"/>
          </w:tcPr>
          <w:p w14:paraId="0D9BE26D"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457 387</w:t>
            </w:r>
          </w:p>
        </w:tc>
      </w:tr>
      <w:tr w:rsidR="00427568" w:rsidRPr="00AF2AE6" w14:paraId="583FA240" w14:textId="77777777" w:rsidTr="00AF2AE6">
        <w:trPr>
          <w:trHeight w:val="20"/>
        </w:trPr>
        <w:tc>
          <w:tcPr>
            <w:tcW w:w="1249" w:type="pct"/>
            <w:vMerge/>
          </w:tcPr>
          <w:p w14:paraId="27EE248B"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75FCA6B9"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0CD Rozvoj vidieka SR 2014 - 2020</w:t>
            </w:r>
          </w:p>
        </w:tc>
        <w:tc>
          <w:tcPr>
            <w:tcW w:w="705" w:type="pct"/>
            <w:vAlign w:val="center"/>
          </w:tcPr>
          <w:p w14:paraId="7894EE91"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266 613</w:t>
            </w:r>
          </w:p>
        </w:tc>
        <w:tc>
          <w:tcPr>
            <w:tcW w:w="547" w:type="pct"/>
            <w:vAlign w:val="center"/>
          </w:tcPr>
          <w:p w14:paraId="049133B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593 407</w:t>
            </w:r>
          </w:p>
        </w:tc>
        <w:tc>
          <w:tcPr>
            <w:tcW w:w="622" w:type="pct"/>
            <w:vAlign w:val="center"/>
          </w:tcPr>
          <w:p w14:paraId="517A3492"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575 915</w:t>
            </w:r>
          </w:p>
        </w:tc>
      </w:tr>
      <w:tr w:rsidR="00427568" w:rsidRPr="00AF2AE6" w14:paraId="74AB232A" w14:textId="77777777" w:rsidTr="00AF2AE6">
        <w:trPr>
          <w:trHeight w:val="20"/>
        </w:trPr>
        <w:tc>
          <w:tcPr>
            <w:tcW w:w="1249" w:type="pct"/>
            <w:vMerge/>
          </w:tcPr>
          <w:p w14:paraId="1C404998"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6954059D"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0DV Fondy EÚ - MIRRI</w:t>
            </w:r>
          </w:p>
        </w:tc>
        <w:tc>
          <w:tcPr>
            <w:tcW w:w="705" w:type="pct"/>
            <w:vAlign w:val="center"/>
          </w:tcPr>
          <w:p w14:paraId="5768371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130 973</w:t>
            </w:r>
          </w:p>
        </w:tc>
        <w:tc>
          <w:tcPr>
            <w:tcW w:w="547" w:type="pct"/>
            <w:vAlign w:val="center"/>
          </w:tcPr>
          <w:p w14:paraId="541766F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260 327</w:t>
            </w:r>
          </w:p>
        </w:tc>
        <w:tc>
          <w:tcPr>
            <w:tcW w:w="622" w:type="pct"/>
            <w:vAlign w:val="center"/>
          </w:tcPr>
          <w:p w14:paraId="20D70A1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0</w:t>
            </w:r>
          </w:p>
        </w:tc>
      </w:tr>
      <w:tr w:rsidR="00427568" w:rsidRPr="00AF2AE6" w14:paraId="7AF94FA4" w14:textId="77777777" w:rsidTr="00AF2AE6">
        <w:trPr>
          <w:trHeight w:val="20"/>
        </w:trPr>
        <w:tc>
          <w:tcPr>
            <w:tcW w:w="1249" w:type="pct"/>
            <w:vMerge/>
          </w:tcPr>
          <w:p w14:paraId="64710A67"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5FA8ECE7"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090 Tvorba, regulácia a implementácia politík</w:t>
            </w:r>
          </w:p>
        </w:tc>
        <w:tc>
          <w:tcPr>
            <w:tcW w:w="705" w:type="pct"/>
            <w:vAlign w:val="center"/>
          </w:tcPr>
          <w:p w14:paraId="6E9551CD"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131 137</w:t>
            </w:r>
          </w:p>
        </w:tc>
        <w:tc>
          <w:tcPr>
            <w:tcW w:w="547" w:type="pct"/>
            <w:vAlign w:val="center"/>
          </w:tcPr>
          <w:p w14:paraId="7170174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151 957</w:t>
            </w:r>
          </w:p>
        </w:tc>
        <w:tc>
          <w:tcPr>
            <w:tcW w:w="622" w:type="pct"/>
            <w:vAlign w:val="center"/>
          </w:tcPr>
          <w:p w14:paraId="743A486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153 715</w:t>
            </w:r>
          </w:p>
        </w:tc>
      </w:tr>
      <w:tr w:rsidR="00427568" w:rsidRPr="00AF2AE6" w14:paraId="41037C44" w14:textId="77777777" w:rsidTr="00AF2AE6">
        <w:trPr>
          <w:trHeight w:val="20"/>
        </w:trPr>
        <w:tc>
          <w:tcPr>
            <w:tcW w:w="1249" w:type="pct"/>
            <w:vMerge/>
          </w:tcPr>
          <w:p w14:paraId="497142E2"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191FBF21"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vAlign w:val="center"/>
          </w:tcPr>
          <w:p w14:paraId="71F42575"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49 935</w:t>
            </w:r>
          </w:p>
        </w:tc>
        <w:tc>
          <w:tcPr>
            <w:tcW w:w="547" w:type="pct"/>
            <w:vAlign w:val="center"/>
          </w:tcPr>
          <w:p w14:paraId="3E4DFCD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28 709</w:t>
            </w:r>
          </w:p>
        </w:tc>
        <w:tc>
          <w:tcPr>
            <w:tcW w:w="622" w:type="pct"/>
            <w:vAlign w:val="center"/>
          </w:tcPr>
          <w:p w14:paraId="50EA2111"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26 599</w:t>
            </w:r>
          </w:p>
        </w:tc>
      </w:tr>
      <w:tr w:rsidR="00427568" w:rsidRPr="00AF2AE6" w14:paraId="653796D3" w14:textId="77777777" w:rsidTr="00AF2AE6">
        <w:trPr>
          <w:trHeight w:val="20"/>
        </w:trPr>
        <w:tc>
          <w:tcPr>
            <w:tcW w:w="1249" w:type="pct"/>
            <w:vMerge w:val="restart"/>
            <w:shd w:val="clear" w:color="auto" w:fill="DEEAF6"/>
            <w:vAlign w:val="center"/>
          </w:tcPr>
          <w:p w14:paraId="3DC3168B"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Ministerstvo dopravy</w:t>
            </w:r>
          </w:p>
          <w:p w14:paraId="0044A42C"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a výstavby SR</w:t>
            </w:r>
          </w:p>
        </w:tc>
        <w:tc>
          <w:tcPr>
            <w:tcW w:w="1877" w:type="pct"/>
            <w:shd w:val="clear" w:color="auto" w:fill="DEEAF6"/>
            <w:hideMark/>
          </w:tcPr>
          <w:p w14:paraId="645ADF02"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053 Cestná infraštruktúra</w:t>
            </w:r>
          </w:p>
        </w:tc>
        <w:tc>
          <w:tcPr>
            <w:tcW w:w="705" w:type="pct"/>
            <w:shd w:val="clear" w:color="auto" w:fill="DEEAF6"/>
            <w:vAlign w:val="center"/>
          </w:tcPr>
          <w:p w14:paraId="0D2A4452"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679 163</w:t>
            </w:r>
          </w:p>
        </w:tc>
        <w:tc>
          <w:tcPr>
            <w:tcW w:w="547" w:type="pct"/>
            <w:shd w:val="clear" w:color="auto" w:fill="DEEAF6"/>
            <w:vAlign w:val="center"/>
          </w:tcPr>
          <w:p w14:paraId="298BB191"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473 082</w:t>
            </w:r>
          </w:p>
        </w:tc>
        <w:tc>
          <w:tcPr>
            <w:tcW w:w="622" w:type="pct"/>
            <w:shd w:val="clear" w:color="auto" w:fill="DEEAF6"/>
            <w:vAlign w:val="center"/>
          </w:tcPr>
          <w:p w14:paraId="6F27CED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332 558</w:t>
            </w:r>
          </w:p>
        </w:tc>
      </w:tr>
      <w:tr w:rsidR="00427568" w:rsidRPr="00AF2AE6" w14:paraId="72F47A5C" w14:textId="77777777" w:rsidTr="00AF2AE6">
        <w:trPr>
          <w:trHeight w:val="20"/>
        </w:trPr>
        <w:tc>
          <w:tcPr>
            <w:tcW w:w="1249" w:type="pct"/>
            <w:vMerge/>
            <w:shd w:val="clear" w:color="auto" w:fill="DEEAF6"/>
          </w:tcPr>
          <w:p w14:paraId="20A212D1"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04B8A090"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07S Železničná doprava</w:t>
            </w:r>
          </w:p>
        </w:tc>
        <w:tc>
          <w:tcPr>
            <w:tcW w:w="705" w:type="pct"/>
            <w:shd w:val="clear" w:color="auto" w:fill="DEEAF6"/>
            <w:vAlign w:val="center"/>
          </w:tcPr>
          <w:p w14:paraId="39F4767A"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686 404</w:t>
            </w:r>
          </w:p>
        </w:tc>
        <w:tc>
          <w:tcPr>
            <w:tcW w:w="547" w:type="pct"/>
            <w:shd w:val="clear" w:color="auto" w:fill="DEEAF6"/>
            <w:vAlign w:val="center"/>
          </w:tcPr>
          <w:p w14:paraId="7271E8B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506 293</w:t>
            </w:r>
          </w:p>
        </w:tc>
        <w:tc>
          <w:tcPr>
            <w:tcW w:w="622" w:type="pct"/>
            <w:shd w:val="clear" w:color="auto" w:fill="DEEAF6"/>
            <w:vAlign w:val="center"/>
          </w:tcPr>
          <w:p w14:paraId="16F93F0C"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595 000</w:t>
            </w:r>
          </w:p>
        </w:tc>
      </w:tr>
      <w:tr w:rsidR="00427568" w:rsidRPr="00AF2AE6" w14:paraId="4EA03FA5" w14:textId="77777777" w:rsidTr="00AF2AE6">
        <w:trPr>
          <w:trHeight w:val="20"/>
        </w:trPr>
        <w:tc>
          <w:tcPr>
            <w:tcW w:w="1249" w:type="pct"/>
            <w:vMerge/>
            <w:shd w:val="clear" w:color="auto" w:fill="DEEAF6"/>
          </w:tcPr>
          <w:p w14:paraId="280714CF"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32B60691"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0EB Operačný program Integrovaná infraštruktúra</w:t>
            </w:r>
          </w:p>
        </w:tc>
        <w:tc>
          <w:tcPr>
            <w:tcW w:w="705" w:type="pct"/>
            <w:shd w:val="clear" w:color="auto" w:fill="DEEAF6"/>
            <w:vAlign w:val="center"/>
          </w:tcPr>
          <w:p w14:paraId="0C26B974"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283 480</w:t>
            </w:r>
          </w:p>
        </w:tc>
        <w:tc>
          <w:tcPr>
            <w:tcW w:w="547" w:type="pct"/>
            <w:shd w:val="clear" w:color="auto" w:fill="DEEAF6"/>
            <w:vAlign w:val="center"/>
          </w:tcPr>
          <w:p w14:paraId="44A54346"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353 885</w:t>
            </w:r>
          </w:p>
        </w:tc>
        <w:tc>
          <w:tcPr>
            <w:tcW w:w="622" w:type="pct"/>
            <w:shd w:val="clear" w:color="auto" w:fill="DEEAF6"/>
            <w:vAlign w:val="center"/>
          </w:tcPr>
          <w:p w14:paraId="1312ADBF"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817 228</w:t>
            </w:r>
          </w:p>
        </w:tc>
      </w:tr>
      <w:tr w:rsidR="00427568" w:rsidRPr="00AF2AE6" w14:paraId="539E59CE" w14:textId="77777777" w:rsidTr="00AF2AE6">
        <w:trPr>
          <w:trHeight w:val="20"/>
        </w:trPr>
        <w:tc>
          <w:tcPr>
            <w:tcW w:w="1249" w:type="pct"/>
            <w:vMerge/>
            <w:shd w:val="clear" w:color="auto" w:fill="DEEAF6"/>
          </w:tcPr>
          <w:p w14:paraId="74B66CD0"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15795988"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017 Podpora rozvoja bývania</w:t>
            </w:r>
          </w:p>
        </w:tc>
        <w:tc>
          <w:tcPr>
            <w:tcW w:w="705" w:type="pct"/>
            <w:shd w:val="clear" w:color="auto" w:fill="DEEAF6"/>
            <w:vAlign w:val="center"/>
          </w:tcPr>
          <w:p w14:paraId="6B6C7485"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57 855</w:t>
            </w:r>
          </w:p>
        </w:tc>
        <w:tc>
          <w:tcPr>
            <w:tcW w:w="547" w:type="pct"/>
            <w:shd w:val="clear" w:color="auto" w:fill="DEEAF6"/>
            <w:vAlign w:val="center"/>
          </w:tcPr>
          <w:p w14:paraId="3ABF026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66 000</w:t>
            </w:r>
          </w:p>
        </w:tc>
        <w:tc>
          <w:tcPr>
            <w:tcW w:w="622" w:type="pct"/>
            <w:shd w:val="clear" w:color="auto" w:fill="DEEAF6"/>
            <w:vAlign w:val="center"/>
          </w:tcPr>
          <w:p w14:paraId="4CCC45C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58 000</w:t>
            </w:r>
          </w:p>
        </w:tc>
      </w:tr>
      <w:tr w:rsidR="00427568" w:rsidRPr="00AF2AE6" w14:paraId="1B540D6E" w14:textId="77777777" w:rsidTr="00AF2AE6">
        <w:trPr>
          <w:trHeight w:val="20"/>
        </w:trPr>
        <w:tc>
          <w:tcPr>
            <w:tcW w:w="1249" w:type="pct"/>
            <w:vMerge/>
            <w:shd w:val="clear" w:color="auto" w:fill="DEEAF6"/>
          </w:tcPr>
          <w:p w14:paraId="7CE8249A"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shd w:val="clear" w:color="auto" w:fill="DEEAF6"/>
            <w:hideMark/>
          </w:tcPr>
          <w:p w14:paraId="70D10FF1"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shd w:val="clear" w:color="auto" w:fill="DEEAF6"/>
            <w:vAlign w:val="center"/>
          </w:tcPr>
          <w:p w14:paraId="1F5D9540"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143 727</w:t>
            </w:r>
          </w:p>
        </w:tc>
        <w:tc>
          <w:tcPr>
            <w:tcW w:w="547" w:type="pct"/>
            <w:shd w:val="clear" w:color="auto" w:fill="DEEAF6"/>
            <w:vAlign w:val="center"/>
          </w:tcPr>
          <w:p w14:paraId="6433861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90 358</w:t>
            </w:r>
          </w:p>
        </w:tc>
        <w:tc>
          <w:tcPr>
            <w:tcW w:w="622" w:type="pct"/>
            <w:shd w:val="clear" w:color="auto" w:fill="DEEAF6"/>
            <w:vAlign w:val="center"/>
          </w:tcPr>
          <w:p w14:paraId="27AC62B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410 189</w:t>
            </w:r>
          </w:p>
        </w:tc>
      </w:tr>
      <w:tr w:rsidR="00427568" w:rsidRPr="00AF2AE6" w14:paraId="556E70C8" w14:textId="77777777" w:rsidTr="00AF2AE6">
        <w:trPr>
          <w:trHeight w:val="20"/>
        </w:trPr>
        <w:tc>
          <w:tcPr>
            <w:tcW w:w="1249" w:type="pct"/>
            <w:vMerge w:val="restart"/>
            <w:vAlign w:val="center"/>
          </w:tcPr>
          <w:p w14:paraId="0293ED9C"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Všeobecná pokladničná</w:t>
            </w:r>
          </w:p>
          <w:p w14:paraId="000F3971"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správa</w:t>
            </w:r>
          </w:p>
        </w:tc>
        <w:tc>
          <w:tcPr>
            <w:tcW w:w="1877" w:type="pct"/>
            <w:hideMark/>
          </w:tcPr>
          <w:p w14:paraId="631B4745"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08H Dlhová služba</w:t>
            </w:r>
          </w:p>
        </w:tc>
        <w:tc>
          <w:tcPr>
            <w:tcW w:w="705" w:type="pct"/>
            <w:vAlign w:val="center"/>
          </w:tcPr>
          <w:p w14:paraId="2889FAC7"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796 973</w:t>
            </w:r>
          </w:p>
        </w:tc>
        <w:tc>
          <w:tcPr>
            <w:tcW w:w="547" w:type="pct"/>
            <w:vAlign w:val="center"/>
          </w:tcPr>
          <w:p w14:paraId="50666F98"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1 112 350</w:t>
            </w:r>
          </w:p>
        </w:tc>
        <w:tc>
          <w:tcPr>
            <w:tcW w:w="622" w:type="pct"/>
            <w:vAlign w:val="center"/>
          </w:tcPr>
          <w:p w14:paraId="04D4091E"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1 089 976</w:t>
            </w:r>
          </w:p>
        </w:tc>
      </w:tr>
      <w:tr w:rsidR="00427568" w:rsidRPr="00AF2AE6" w14:paraId="7C7FD23F" w14:textId="77777777" w:rsidTr="00AF2AE6">
        <w:trPr>
          <w:trHeight w:val="20"/>
        </w:trPr>
        <w:tc>
          <w:tcPr>
            <w:tcW w:w="1249" w:type="pct"/>
            <w:vMerge/>
          </w:tcPr>
          <w:p w14:paraId="08E97AEE"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hideMark/>
          </w:tcPr>
          <w:p w14:paraId="001DC0E0"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Programovo nealokované</w:t>
            </w:r>
          </w:p>
        </w:tc>
        <w:tc>
          <w:tcPr>
            <w:tcW w:w="705" w:type="pct"/>
            <w:vAlign w:val="center"/>
          </w:tcPr>
          <w:p w14:paraId="107CFEA3"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3 876 627</w:t>
            </w:r>
          </w:p>
        </w:tc>
        <w:tc>
          <w:tcPr>
            <w:tcW w:w="547" w:type="pct"/>
            <w:vAlign w:val="center"/>
          </w:tcPr>
          <w:p w14:paraId="26415B9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5 630 700</w:t>
            </w:r>
          </w:p>
        </w:tc>
        <w:tc>
          <w:tcPr>
            <w:tcW w:w="622" w:type="pct"/>
            <w:vAlign w:val="center"/>
          </w:tcPr>
          <w:p w14:paraId="3464077B"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5 160 555</w:t>
            </w:r>
          </w:p>
        </w:tc>
      </w:tr>
      <w:tr w:rsidR="00427568" w:rsidRPr="00AF2AE6" w14:paraId="3709A53A" w14:textId="77777777" w:rsidTr="00AF2AE6">
        <w:trPr>
          <w:trHeight w:val="20"/>
        </w:trPr>
        <w:tc>
          <w:tcPr>
            <w:tcW w:w="1249" w:type="pct"/>
            <w:vMerge/>
            <w:tcBorders>
              <w:bottom w:val="single" w:sz="4" w:space="0" w:color="314364" w:themeColor="text2"/>
            </w:tcBorders>
          </w:tcPr>
          <w:p w14:paraId="4EB1AF8D" w14:textId="77777777" w:rsidR="00427568" w:rsidRPr="00AF2AE6" w:rsidRDefault="00427568" w:rsidP="00381348">
            <w:pPr>
              <w:spacing w:after="0" w:line="240" w:lineRule="auto"/>
              <w:jc w:val="left"/>
              <w:rPr>
                <w:rFonts w:eastAsia="Times New Roman" w:cs="Segoe UI"/>
                <w:color w:val="000000"/>
                <w:sz w:val="16"/>
                <w:szCs w:val="16"/>
                <w:lang w:eastAsia="sk-SK"/>
              </w:rPr>
            </w:pPr>
          </w:p>
        </w:tc>
        <w:tc>
          <w:tcPr>
            <w:tcW w:w="1877" w:type="pct"/>
            <w:tcBorders>
              <w:bottom w:val="single" w:sz="4" w:space="0" w:color="314364" w:themeColor="text2"/>
            </w:tcBorders>
            <w:hideMark/>
          </w:tcPr>
          <w:p w14:paraId="11A88706" w14:textId="77777777" w:rsidR="00427568" w:rsidRPr="00AF2AE6" w:rsidRDefault="00427568" w:rsidP="00381348">
            <w:pPr>
              <w:spacing w:after="0" w:line="240" w:lineRule="auto"/>
              <w:jc w:val="left"/>
              <w:rPr>
                <w:rFonts w:eastAsia="Times New Roman" w:cs="Segoe UI"/>
                <w:color w:val="000000"/>
                <w:sz w:val="16"/>
                <w:szCs w:val="16"/>
                <w:lang w:eastAsia="sk-SK"/>
              </w:rPr>
            </w:pPr>
            <w:r w:rsidRPr="00AF2AE6">
              <w:rPr>
                <w:rFonts w:eastAsia="Times New Roman" w:cs="Segoe UI"/>
                <w:color w:val="000000"/>
                <w:sz w:val="16"/>
                <w:szCs w:val="16"/>
                <w:lang w:eastAsia="sk-SK"/>
              </w:rPr>
              <w:t>Ostatné</w:t>
            </w:r>
          </w:p>
        </w:tc>
        <w:tc>
          <w:tcPr>
            <w:tcW w:w="705" w:type="pct"/>
            <w:tcBorders>
              <w:bottom w:val="single" w:sz="4" w:space="0" w:color="314364" w:themeColor="text2"/>
            </w:tcBorders>
            <w:vAlign w:val="center"/>
          </w:tcPr>
          <w:p w14:paraId="095099A5"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3 534</w:t>
            </w:r>
          </w:p>
        </w:tc>
        <w:tc>
          <w:tcPr>
            <w:tcW w:w="547" w:type="pct"/>
            <w:tcBorders>
              <w:bottom w:val="single" w:sz="4" w:space="0" w:color="314364" w:themeColor="text2"/>
            </w:tcBorders>
            <w:vAlign w:val="center"/>
          </w:tcPr>
          <w:p w14:paraId="742305B6"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3 456</w:t>
            </w:r>
          </w:p>
        </w:tc>
        <w:tc>
          <w:tcPr>
            <w:tcW w:w="622" w:type="pct"/>
            <w:tcBorders>
              <w:bottom w:val="single" w:sz="4" w:space="0" w:color="314364" w:themeColor="text2"/>
            </w:tcBorders>
            <w:vAlign w:val="center"/>
          </w:tcPr>
          <w:p w14:paraId="7E9F0ED9" w14:textId="77777777" w:rsidR="00427568" w:rsidRPr="00AF2AE6" w:rsidRDefault="00427568" w:rsidP="00381348">
            <w:pPr>
              <w:spacing w:after="0" w:line="240" w:lineRule="auto"/>
              <w:jc w:val="right"/>
              <w:rPr>
                <w:rFonts w:eastAsia="Times New Roman" w:cs="Segoe UI"/>
                <w:color w:val="000000"/>
                <w:sz w:val="16"/>
                <w:szCs w:val="16"/>
                <w:lang w:eastAsia="sk-SK"/>
              </w:rPr>
            </w:pPr>
            <w:r w:rsidRPr="00AF2AE6">
              <w:rPr>
                <w:rFonts w:eastAsia="Times New Roman" w:cs="Segoe UI"/>
                <w:color w:val="000000"/>
                <w:sz w:val="16"/>
                <w:szCs w:val="16"/>
                <w:lang w:eastAsia="sk-SK"/>
              </w:rPr>
              <w:t>4 390</w:t>
            </w:r>
          </w:p>
        </w:tc>
      </w:tr>
    </w:tbl>
    <w:p w14:paraId="2F9ED256" w14:textId="46DE3E0F" w:rsidR="001A1C0E" w:rsidRPr="00427568" w:rsidRDefault="00427568" w:rsidP="00AF2AE6">
      <w:pPr>
        <w:pStyle w:val="Zdroj"/>
        <w:rPr>
          <w:b/>
        </w:rPr>
      </w:pPr>
      <w:r w:rsidRPr="00FD1A3B">
        <w:t>Zdroj: RIS</w:t>
      </w:r>
      <w:r w:rsidR="00D7052E">
        <w:rPr>
          <w:lang w:val="en-US"/>
        </w:rPr>
        <w:t>;</w:t>
      </w:r>
      <w:r w:rsidR="00607ED0">
        <w:t xml:space="preserve"> S – skutočnosť, R – rozpočet, N - návrh</w:t>
      </w:r>
    </w:p>
    <w:sectPr w:rsidR="001A1C0E" w:rsidRPr="00427568" w:rsidSect="00962F36">
      <w:headerReference w:type="default" r:id="rId27"/>
      <w:footerReference w:type="default" r:id="rId28"/>
      <w:pgSz w:w="11906" w:h="16838"/>
      <w:pgMar w:top="1418"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FB11" w14:textId="77777777" w:rsidR="00165F25" w:rsidRDefault="00165F25" w:rsidP="004F10D0">
      <w:pPr>
        <w:spacing w:after="0" w:line="240" w:lineRule="auto"/>
      </w:pPr>
      <w:r>
        <w:separator/>
      </w:r>
    </w:p>
  </w:endnote>
  <w:endnote w:type="continuationSeparator" w:id="0">
    <w:p w14:paraId="0C87B38E" w14:textId="77777777" w:rsidR="00165F25" w:rsidRDefault="00165F25" w:rsidP="004F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Montserrat">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F6B56" w14:textId="77777777" w:rsidR="00D7052E" w:rsidRPr="005C61DD" w:rsidRDefault="00D7052E" w:rsidP="005C61DD">
    <w:pPr>
      <w:tabs>
        <w:tab w:val="left" w:pos="709"/>
      </w:tabs>
      <w:jc w:val="center"/>
      <w:rPr>
        <w:rFonts w:eastAsia="Calibri" w:cs="Segoe UI"/>
        <w:i/>
        <w:sz w:val="18"/>
        <w:szCs w:val="20"/>
      </w:rPr>
    </w:pPr>
    <w:r w:rsidRPr="005C61DD">
      <w:rPr>
        <w:rFonts w:eastAsia="Calibri" w:cs="Segoe UI"/>
        <w:i/>
        <w:sz w:val="18"/>
        <w:szCs w:val="20"/>
      </w:rPr>
      <w:t xml:space="preserve">Stanovisko NKÚ SR k návrhu </w:t>
    </w:r>
    <w:r>
      <w:rPr>
        <w:rFonts w:eastAsia="Calibri" w:cs="Segoe UI"/>
        <w:i/>
        <w:sz w:val="18"/>
        <w:szCs w:val="20"/>
      </w:rPr>
      <w:t>štátneho rozpočtu</w:t>
    </w:r>
    <w:r w:rsidRPr="005C61DD">
      <w:rPr>
        <w:rFonts w:eastAsia="Calibri" w:cs="Segoe UI"/>
        <w:i/>
        <w:sz w:val="18"/>
        <w:szCs w:val="20"/>
      </w:rPr>
      <w:t xml:space="preserve"> na rok 202</w:t>
    </w:r>
    <w:r>
      <w:rPr>
        <w:rFonts w:eastAsia="Calibri" w:cs="Segoe UI"/>
        <w:i/>
        <w:sz w:val="18"/>
        <w:szCs w:val="20"/>
      </w:rPr>
      <w:t>2</w:t>
    </w:r>
    <w:r w:rsidRPr="005C61DD">
      <w:rPr>
        <w:rFonts w:eastAsia="Calibri" w:cs="Segoe UI"/>
        <w:i/>
        <w:sz w:val="18"/>
        <w:szCs w:val="20"/>
      </w:rPr>
      <w:t xml:space="preserve"> bolo vypracované v súlade s § 5 ods. 1 zákona o NKÚ SR na základe kontroly vykonanej na M</w:t>
    </w:r>
    <w:r>
      <w:rPr>
        <w:rFonts w:eastAsia="Calibri" w:cs="Segoe UI"/>
        <w:i/>
        <w:sz w:val="18"/>
        <w:szCs w:val="20"/>
      </w:rPr>
      <w:t>inisterstve financií</w:t>
    </w:r>
    <w:r w:rsidRPr="005C61DD">
      <w:rPr>
        <w:rFonts w:eastAsia="Calibri" w:cs="Segoe UI"/>
        <w:i/>
        <w:sz w:val="18"/>
        <w:szCs w:val="20"/>
      </w:rPr>
      <w:t xml:space="preserve"> SR, ktoré podľa zákona o rozpočtových pravidlách VS zostavuje návrh </w:t>
    </w:r>
    <w:r>
      <w:rPr>
        <w:rFonts w:eastAsia="Calibri" w:cs="Segoe UI"/>
        <w:i/>
        <w:sz w:val="18"/>
        <w:szCs w:val="20"/>
      </w:rPr>
      <w:t>rozpočtu verejnej správy</w:t>
    </w:r>
    <w:r w:rsidRPr="005C61DD">
      <w:rPr>
        <w:rFonts w:eastAsia="Calibri" w:cs="Segoe UI"/>
        <w:i/>
        <w:sz w:val="18"/>
        <w:szCs w:val="20"/>
      </w:rPr>
      <w:t xml:space="preserve"> za </w:t>
    </w:r>
    <w:r>
      <w:rPr>
        <w:rFonts w:eastAsia="Calibri" w:cs="Segoe UI"/>
        <w:i/>
        <w:sz w:val="18"/>
        <w:szCs w:val="20"/>
      </w:rPr>
      <w:t>štátny rozpočet</w:t>
    </w:r>
    <w:r w:rsidRPr="005C61DD">
      <w:rPr>
        <w:rFonts w:eastAsia="Calibri" w:cs="Segoe UI"/>
        <w:i/>
        <w:sz w:val="18"/>
        <w:szCs w:val="20"/>
      </w:rPr>
      <w:t xml:space="preserve"> a súhrnné rozpočty ostatných subjektov VS.</w:t>
    </w:r>
  </w:p>
  <w:p w14:paraId="58356A1A" w14:textId="77777777" w:rsidR="00D7052E" w:rsidRPr="00FF5DA3" w:rsidRDefault="00D7052E" w:rsidP="008F0A84">
    <w:pPr>
      <w:pStyle w:val="Pta"/>
      <w:tabs>
        <w:tab w:val="clear" w:pos="4536"/>
        <w:tab w:val="clear" w:pos="9072"/>
        <w:tab w:val="center" w:pos="9070"/>
      </w:tabs>
      <w:jc w:val="center"/>
      <w:rPr>
        <w:b/>
        <w:color w:val="314364"/>
        <w:sz w:val="3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59340"/>
      <w:docPartObj>
        <w:docPartGallery w:val="Page Numbers (Bottom of Page)"/>
        <w:docPartUnique/>
      </w:docPartObj>
    </w:sdtPr>
    <w:sdtEndPr/>
    <w:sdtContent>
      <w:p w14:paraId="1CF29EB5" w14:textId="5D3A3971" w:rsidR="00D7052E" w:rsidRDefault="00D7052E" w:rsidP="00733BFD">
        <w:pPr>
          <w:pStyle w:val="Pta"/>
          <w:jc w:val="right"/>
        </w:pPr>
        <w:r>
          <w:fldChar w:fldCharType="begin"/>
        </w:r>
        <w:r>
          <w:instrText>PAGE   \* MERGEFORMAT</w:instrText>
        </w:r>
        <w:r>
          <w:fldChar w:fldCharType="separate"/>
        </w:r>
        <w:r w:rsidR="00B61C21">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6A9F5" w14:textId="77777777" w:rsidR="00165F25" w:rsidRDefault="00165F25" w:rsidP="004F10D0">
      <w:pPr>
        <w:spacing w:after="0" w:line="240" w:lineRule="auto"/>
      </w:pPr>
      <w:r>
        <w:separator/>
      </w:r>
    </w:p>
  </w:footnote>
  <w:footnote w:type="continuationSeparator" w:id="0">
    <w:p w14:paraId="5EC0E580" w14:textId="77777777" w:rsidR="00165F25" w:rsidRDefault="00165F25" w:rsidP="004F10D0">
      <w:pPr>
        <w:spacing w:after="0" w:line="240" w:lineRule="auto"/>
      </w:pPr>
      <w:r>
        <w:continuationSeparator/>
      </w:r>
    </w:p>
  </w:footnote>
  <w:footnote w:id="1">
    <w:p w14:paraId="3E6671FD" w14:textId="68064100" w:rsidR="00D7052E" w:rsidRPr="00626D05" w:rsidRDefault="00D7052E">
      <w:pPr>
        <w:pStyle w:val="Textpoznmkypodiarou"/>
        <w:rPr>
          <w:i/>
        </w:rPr>
      </w:pPr>
      <w:r w:rsidRPr="00626D05">
        <w:rPr>
          <w:rStyle w:val="Odkaznapoznmkupodiarou"/>
          <w:i/>
        </w:rPr>
        <w:footnoteRef/>
      </w:r>
      <w:r>
        <w:rPr>
          <w:i/>
          <w:vertAlign w:val="superscript"/>
        </w:rPr>
        <w:t>)</w:t>
      </w:r>
      <w:r>
        <w:rPr>
          <w:i/>
        </w:rPr>
        <w:t xml:space="preserve"> V súlade s cieľom z PVV, kde si vláda SR</w:t>
      </w:r>
      <w:r w:rsidRPr="00626D05">
        <w:rPr>
          <w:i/>
        </w:rPr>
        <w:t xml:space="preserve"> vytýčila úlohu posil</w:t>
      </w:r>
      <w:r>
        <w:rPr>
          <w:i/>
        </w:rPr>
        <w:t>ni</w:t>
      </w:r>
      <w:r w:rsidRPr="00626D05">
        <w:rPr>
          <w:i/>
        </w:rPr>
        <w:t>ť oddelenie politického rozhodovania od expertnej práce na rozpočte.</w:t>
      </w:r>
    </w:p>
  </w:footnote>
  <w:footnote w:id="2">
    <w:p w14:paraId="7FBC386F" w14:textId="77777777" w:rsidR="00D7052E" w:rsidRPr="00A036D5" w:rsidRDefault="00D7052E" w:rsidP="004117E6">
      <w:pPr>
        <w:pStyle w:val="Textpoznmkypodiarou"/>
        <w:rPr>
          <w:i/>
        </w:rPr>
      </w:pPr>
      <w:r w:rsidRPr="00A036D5">
        <w:rPr>
          <w:rStyle w:val="Odkaznapoznmkupodiarou"/>
          <w:i/>
        </w:rPr>
        <w:footnoteRef/>
      </w:r>
      <w:r w:rsidRPr="00A036D5">
        <w:rPr>
          <w:i/>
          <w:vertAlign w:val="superscript"/>
        </w:rPr>
        <w:t>)</w:t>
      </w:r>
      <w:r w:rsidRPr="00A036D5">
        <w:rPr>
          <w:i/>
        </w:rPr>
        <w:t xml:space="preserve"> NKÚ SR. Strednodobé rozpočtové rámce. 2020. [</w:t>
      </w:r>
      <w:hyperlink r:id="rId1" w:history="1">
        <w:r w:rsidRPr="00A036D5">
          <w:rPr>
            <w:rStyle w:val="Hypertextovprepojenie"/>
            <w:i/>
            <w:sz w:val="16"/>
          </w:rPr>
          <w:t>online</w:t>
        </w:r>
      </w:hyperlink>
      <w:r w:rsidRPr="00A036D5">
        <w:rPr>
          <w:i/>
        </w:rPr>
        <w:t>].</w:t>
      </w:r>
    </w:p>
  </w:footnote>
  <w:footnote w:id="3">
    <w:p w14:paraId="72CDE8D7" w14:textId="77777777" w:rsidR="00D7052E" w:rsidRPr="00A036D5" w:rsidRDefault="00D7052E" w:rsidP="004117E6">
      <w:pPr>
        <w:pStyle w:val="Textpoznmkypodiarou"/>
        <w:rPr>
          <w:i/>
        </w:rPr>
      </w:pPr>
      <w:r w:rsidRPr="00A036D5">
        <w:rPr>
          <w:rStyle w:val="Odkaznapoznmkupodiarou"/>
          <w:i/>
        </w:rPr>
        <w:footnoteRef/>
      </w:r>
      <w:r w:rsidRPr="00A036D5">
        <w:rPr>
          <w:i/>
          <w:vertAlign w:val="superscript"/>
        </w:rPr>
        <w:t>)</w:t>
      </w:r>
      <w:r w:rsidRPr="00A036D5">
        <w:rPr>
          <w:i/>
        </w:rPr>
        <w:t xml:space="preserve"> NKÚ SE. </w:t>
      </w:r>
      <w:proofErr w:type="spellStart"/>
      <w:r w:rsidRPr="00A036D5">
        <w:rPr>
          <w:i/>
        </w:rPr>
        <w:t>The</w:t>
      </w:r>
      <w:proofErr w:type="spellEnd"/>
      <w:r w:rsidRPr="00A036D5">
        <w:rPr>
          <w:i/>
        </w:rPr>
        <w:t xml:space="preserve"> </w:t>
      </w:r>
      <w:proofErr w:type="spellStart"/>
      <w:r w:rsidRPr="00A036D5">
        <w:rPr>
          <w:i/>
        </w:rPr>
        <w:t>fiscal</w:t>
      </w:r>
      <w:proofErr w:type="spellEnd"/>
      <w:r w:rsidRPr="00A036D5">
        <w:rPr>
          <w:i/>
        </w:rPr>
        <w:t xml:space="preserve"> </w:t>
      </w:r>
      <w:proofErr w:type="spellStart"/>
      <w:r w:rsidRPr="00A036D5">
        <w:rPr>
          <w:i/>
        </w:rPr>
        <w:t>policy</w:t>
      </w:r>
      <w:proofErr w:type="spellEnd"/>
      <w:r w:rsidRPr="00A036D5">
        <w:rPr>
          <w:i/>
        </w:rPr>
        <w:t xml:space="preserve"> </w:t>
      </w:r>
      <w:proofErr w:type="spellStart"/>
      <w:r w:rsidRPr="00A036D5">
        <w:rPr>
          <w:i/>
        </w:rPr>
        <w:t>framework</w:t>
      </w:r>
      <w:proofErr w:type="spellEnd"/>
      <w:r w:rsidRPr="00A036D5">
        <w:rPr>
          <w:i/>
        </w:rPr>
        <w:t>. 2020. [</w:t>
      </w:r>
      <w:hyperlink r:id="rId2" w:history="1">
        <w:r w:rsidRPr="00A036D5">
          <w:rPr>
            <w:rStyle w:val="Hypertextovprepojenie"/>
            <w:i/>
            <w:sz w:val="16"/>
          </w:rPr>
          <w:t>online</w:t>
        </w:r>
      </w:hyperlink>
      <w:r w:rsidRPr="00A036D5">
        <w:rPr>
          <w:i/>
        </w:rPr>
        <w:t>].</w:t>
      </w:r>
    </w:p>
  </w:footnote>
  <w:footnote w:id="4">
    <w:p w14:paraId="606A7D4F" w14:textId="77777777" w:rsidR="00D7052E" w:rsidRPr="007B003F" w:rsidRDefault="00D7052E" w:rsidP="004117E6">
      <w:pPr>
        <w:pStyle w:val="Textpoznmkypodiarou"/>
        <w:rPr>
          <w:i/>
        </w:rPr>
      </w:pPr>
      <w:r w:rsidRPr="007B003F">
        <w:rPr>
          <w:rStyle w:val="Odkaznapoznmkupodiarou"/>
          <w:i/>
        </w:rPr>
        <w:footnoteRef/>
      </w:r>
      <w:r w:rsidRPr="007B003F">
        <w:rPr>
          <w:i/>
          <w:vertAlign w:val="superscript"/>
        </w:rPr>
        <w:t>)</w:t>
      </w:r>
      <w:r w:rsidRPr="007B003F">
        <w:rPr>
          <w:i/>
        </w:rPr>
        <w:t xml:space="preserve"> NKÚ FI. </w:t>
      </w:r>
      <w:proofErr w:type="spellStart"/>
      <w:r w:rsidRPr="007B003F">
        <w:rPr>
          <w:i/>
        </w:rPr>
        <w:t>Fiscal</w:t>
      </w:r>
      <w:proofErr w:type="spellEnd"/>
      <w:r w:rsidRPr="007B003F">
        <w:rPr>
          <w:i/>
        </w:rPr>
        <w:t xml:space="preserve"> </w:t>
      </w:r>
      <w:proofErr w:type="spellStart"/>
      <w:r w:rsidRPr="007B003F">
        <w:rPr>
          <w:i/>
        </w:rPr>
        <w:t>policy</w:t>
      </w:r>
      <w:proofErr w:type="spellEnd"/>
      <w:r w:rsidRPr="007B003F">
        <w:rPr>
          <w:i/>
        </w:rPr>
        <w:t xml:space="preserve"> monitoring </w:t>
      </w:r>
      <w:proofErr w:type="spellStart"/>
      <w:r w:rsidRPr="007B003F">
        <w:rPr>
          <w:i/>
        </w:rPr>
        <w:t>assessment</w:t>
      </w:r>
      <w:proofErr w:type="spellEnd"/>
      <w:r w:rsidRPr="007B003F">
        <w:rPr>
          <w:i/>
        </w:rPr>
        <w:t xml:space="preserve"> on </w:t>
      </w:r>
      <w:proofErr w:type="spellStart"/>
      <w:r w:rsidRPr="007B003F">
        <w:rPr>
          <w:i/>
        </w:rPr>
        <w:t>the</w:t>
      </w:r>
      <w:proofErr w:type="spellEnd"/>
      <w:r w:rsidRPr="007B003F">
        <w:rPr>
          <w:i/>
        </w:rPr>
        <w:t xml:space="preserve"> management of </w:t>
      </w:r>
      <w:proofErr w:type="spellStart"/>
      <w:r w:rsidRPr="007B003F">
        <w:rPr>
          <w:i/>
        </w:rPr>
        <w:t>general</w:t>
      </w:r>
      <w:proofErr w:type="spellEnd"/>
      <w:r w:rsidRPr="007B003F">
        <w:rPr>
          <w:i/>
        </w:rPr>
        <w:t xml:space="preserve"> </w:t>
      </w:r>
      <w:proofErr w:type="spellStart"/>
      <w:r w:rsidRPr="007B003F">
        <w:rPr>
          <w:i/>
        </w:rPr>
        <w:t>government</w:t>
      </w:r>
      <w:proofErr w:type="spellEnd"/>
      <w:r w:rsidRPr="007B003F">
        <w:rPr>
          <w:i/>
        </w:rPr>
        <w:t xml:space="preserve"> </w:t>
      </w:r>
      <w:proofErr w:type="spellStart"/>
      <w:r w:rsidRPr="007B003F">
        <w:rPr>
          <w:i/>
        </w:rPr>
        <w:t>finances</w:t>
      </w:r>
      <w:proofErr w:type="spellEnd"/>
      <w:r w:rsidRPr="007B003F">
        <w:rPr>
          <w:i/>
        </w:rPr>
        <w:t>. 2021. [</w:t>
      </w:r>
      <w:hyperlink r:id="rId3" w:history="1">
        <w:r w:rsidRPr="007B003F">
          <w:rPr>
            <w:rStyle w:val="Hypertextovprepojenie"/>
            <w:i/>
            <w:sz w:val="16"/>
          </w:rPr>
          <w:t>online</w:t>
        </w:r>
      </w:hyperlink>
      <w:r w:rsidRPr="007B003F">
        <w:rPr>
          <w:i/>
        </w:rPr>
        <w:t>].</w:t>
      </w:r>
    </w:p>
  </w:footnote>
  <w:footnote w:id="5">
    <w:p w14:paraId="0CA86EF0" w14:textId="3F0DCC73" w:rsidR="00D7052E" w:rsidRPr="002A3A7F" w:rsidRDefault="00D7052E" w:rsidP="00B772C9">
      <w:pPr>
        <w:pStyle w:val="Textpoznmkypodiarou"/>
        <w:rPr>
          <w:i/>
        </w:rPr>
      </w:pPr>
      <w:r w:rsidRPr="002A3A7F">
        <w:rPr>
          <w:rStyle w:val="Odkaznapoznmkupodiarou"/>
          <w:i/>
        </w:rPr>
        <w:footnoteRef/>
      </w:r>
      <w:r>
        <w:rPr>
          <w:i/>
          <w:vertAlign w:val="superscript"/>
        </w:rPr>
        <w:t>)</w:t>
      </w:r>
      <w:r w:rsidRPr="002A3A7F">
        <w:rPr>
          <w:i/>
        </w:rPr>
        <w:t xml:space="preserve"> Čistá finančná pozícia SR vo vzťahu k európske</w:t>
      </w:r>
      <w:r>
        <w:rPr>
          <w:i/>
        </w:rPr>
        <w:t>mu</w:t>
      </w:r>
      <w:r w:rsidRPr="002A3A7F">
        <w:rPr>
          <w:i/>
        </w:rPr>
        <w:t xml:space="preserve"> rozpočtu je dlhodobo priaznivá, dostáva z neho viac prostriedkov ako doňho odvádza.</w:t>
      </w:r>
    </w:p>
  </w:footnote>
  <w:footnote w:id="6">
    <w:p w14:paraId="5C042B33" w14:textId="20F63887" w:rsidR="00D7052E" w:rsidRDefault="00D7052E" w:rsidP="00DA6F5B">
      <w:pPr>
        <w:pStyle w:val="Textpoznmkypodiarou"/>
      </w:pPr>
      <w:r w:rsidRPr="0037525E">
        <w:rPr>
          <w:rStyle w:val="Odkaznapoznmkupodiarou"/>
          <w:i/>
        </w:rPr>
        <w:footnoteRef/>
      </w:r>
      <w:r w:rsidRPr="0037525E">
        <w:rPr>
          <w:i/>
          <w:vertAlign w:val="superscript"/>
        </w:rPr>
        <w:t>)</w:t>
      </w:r>
      <w:r w:rsidRPr="0037525E">
        <w:rPr>
          <w:i/>
        </w:rPr>
        <w:t xml:space="preserve"> Čerpanie EŠIF bez PRV je uvádzané z dôvodu, že patrí pod Spoločnú poľnohospodársku politiku a v porovnaní s ostatnými fondmi</w:t>
      </w:r>
      <w:r w:rsidRPr="0053790A">
        <w:rPr>
          <w:i/>
        </w:rPr>
        <w:t xml:space="preserve"> EŠIF funguje v odlišnej štruktúre riadenia na základe rozhodnutia vlády.</w:t>
      </w:r>
    </w:p>
  </w:footnote>
  <w:footnote w:id="7">
    <w:p w14:paraId="524B7DA3" w14:textId="77777777" w:rsidR="00D7052E" w:rsidRDefault="00D7052E" w:rsidP="00EC6F47">
      <w:pPr>
        <w:pStyle w:val="Textpoznmkypodiarou"/>
      </w:pPr>
      <w:r w:rsidRPr="0037525E">
        <w:rPr>
          <w:rStyle w:val="Odkaznapoznmkupodiarou"/>
          <w:i/>
        </w:rPr>
        <w:footnoteRef/>
      </w:r>
      <w:r w:rsidRPr="0037525E">
        <w:rPr>
          <w:i/>
          <w:vertAlign w:val="superscript"/>
        </w:rPr>
        <w:t>)</w:t>
      </w:r>
      <w:r w:rsidRPr="0037525E">
        <w:rPr>
          <w:i/>
        </w:rPr>
        <w:t xml:space="preserve"> Pod pojmom "nezrovnalosť“ sa rozumie akékoľvek porušenie práva EÚ alebo vnútroštátneho práva týkajúceho sa jeho uplatňovania,</w:t>
      </w:r>
      <w:r w:rsidRPr="00FC3317">
        <w:rPr>
          <w:i/>
        </w:rPr>
        <w:t xml:space="preserve"> vyplývajúce z konania alebo opomenutia hospodárskeho subjektu, ktorý sa zúčastňuje na vykonávaní </w:t>
      </w:r>
      <w:r>
        <w:rPr>
          <w:i/>
        </w:rPr>
        <w:t>EŠIF</w:t>
      </w:r>
      <w:r w:rsidRPr="00FC3317">
        <w:rPr>
          <w:i/>
        </w:rPr>
        <w:t xml:space="preserve">, dôsledkom čoho je alebo by bol negatívny dopad na rozpočet </w:t>
      </w:r>
      <w:r>
        <w:rPr>
          <w:i/>
        </w:rPr>
        <w:t>E</w:t>
      </w:r>
      <w:r w:rsidRPr="00FC3317">
        <w:rPr>
          <w:i/>
        </w:rPr>
        <w:t>Ú zaťažením všeobecného rozpočtu neoprávneným výdavkom.</w:t>
      </w:r>
    </w:p>
  </w:footnote>
  <w:footnote w:id="8">
    <w:p w14:paraId="67DA8A8D" w14:textId="5498C6B5" w:rsidR="00D7052E" w:rsidRPr="007C165D" w:rsidRDefault="00D7052E">
      <w:pPr>
        <w:pStyle w:val="Textpoznmkypodiarou"/>
        <w:rPr>
          <w:i/>
        </w:rPr>
      </w:pPr>
      <w:r w:rsidRPr="007C165D">
        <w:rPr>
          <w:rStyle w:val="Odkaznapoznmkupodiarou"/>
          <w:i/>
        </w:rPr>
        <w:footnoteRef/>
      </w:r>
      <w:r w:rsidRPr="007C165D">
        <w:rPr>
          <w:i/>
          <w:vertAlign w:val="superscript"/>
        </w:rPr>
        <w:t>)</w:t>
      </w:r>
      <w:r w:rsidRPr="007C165D">
        <w:rPr>
          <w:i/>
        </w:rPr>
        <w:t xml:space="preserve"> Pomoc pri obnove v rámci politiky súdržnosti a pri obnove území v Európe.</w:t>
      </w:r>
    </w:p>
  </w:footnote>
  <w:footnote w:id="9">
    <w:p w14:paraId="1383F467" w14:textId="39F7F4CA" w:rsidR="00D7052E" w:rsidRPr="00EB7629" w:rsidRDefault="00D7052E" w:rsidP="00B772C9">
      <w:pPr>
        <w:pStyle w:val="Textpoznmkypodiarou"/>
        <w:rPr>
          <w:i/>
        </w:rPr>
      </w:pPr>
      <w:r w:rsidRPr="00EB7629">
        <w:rPr>
          <w:rStyle w:val="Odkaznapoznmkupodiarou"/>
          <w:i/>
        </w:rPr>
        <w:footnoteRef/>
      </w:r>
      <w:r w:rsidRPr="00EB7629">
        <w:rPr>
          <w:i/>
          <w:vertAlign w:val="superscript"/>
        </w:rPr>
        <w:t>)</w:t>
      </w:r>
      <w:r w:rsidRPr="00EB7629">
        <w:rPr>
          <w:i/>
        </w:rPr>
        <w:t xml:space="preserve"> Nej</w:t>
      </w:r>
      <w:r>
        <w:rPr>
          <w:i/>
        </w:rPr>
        <w:t>d</w:t>
      </w:r>
      <w:r w:rsidRPr="00EB7629">
        <w:rPr>
          <w:i/>
        </w:rPr>
        <w:t>e sa o finálnu alokáciu, 30 % z celkovej sumy bude revidovaných do 30. 6. 2022 podľa skutočných a agregovaných výsledkov zmeny HDP za roky 2020 – 2021.</w:t>
      </w:r>
    </w:p>
  </w:footnote>
  <w:footnote w:id="10">
    <w:p w14:paraId="56F2CA29" w14:textId="79A7168C" w:rsidR="00D7052E" w:rsidRPr="0014156E" w:rsidRDefault="00D7052E">
      <w:pPr>
        <w:pStyle w:val="Textpoznmkypodiarou"/>
        <w:rPr>
          <w:i/>
          <w:lang w:val="en-US"/>
        </w:rPr>
      </w:pPr>
      <w:r w:rsidRPr="0014156E">
        <w:rPr>
          <w:rStyle w:val="Odkaznapoznmkupodiarou"/>
          <w:i/>
        </w:rPr>
        <w:footnoteRef/>
      </w:r>
      <w:r>
        <w:rPr>
          <w:i/>
          <w:vertAlign w:val="superscript"/>
        </w:rPr>
        <w:t>)</w:t>
      </w:r>
      <w:r w:rsidRPr="0014156E">
        <w:rPr>
          <w:i/>
        </w:rPr>
        <w:t xml:space="preserve"> Webový portál Plánu obnovy. </w:t>
      </w:r>
      <w:r w:rsidRPr="0014156E">
        <w:rPr>
          <w:i/>
          <w:lang w:val="en-US"/>
        </w:rPr>
        <w:t>[</w:t>
      </w:r>
      <w:hyperlink r:id="rId4" w:history="1">
        <w:r w:rsidRPr="0014156E">
          <w:rPr>
            <w:rStyle w:val="Hypertextovprepojenie"/>
            <w:i/>
            <w:sz w:val="16"/>
            <w:lang w:val="en-US"/>
          </w:rPr>
          <w:t>online</w:t>
        </w:r>
      </w:hyperlink>
      <w:r w:rsidRPr="0014156E">
        <w:rPr>
          <w:i/>
          <w:lang w:val="en-US"/>
        </w:rPr>
        <w:t>].</w:t>
      </w:r>
    </w:p>
  </w:footnote>
  <w:footnote w:id="11">
    <w:p w14:paraId="4843E14E" w14:textId="77777777" w:rsidR="00D7052E" w:rsidRPr="00EB7629" w:rsidRDefault="00D7052E" w:rsidP="00B772C9">
      <w:pPr>
        <w:pStyle w:val="Textpoznmkypodiarou"/>
        <w:rPr>
          <w:i/>
        </w:rPr>
      </w:pPr>
      <w:r w:rsidRPr="00EB7629">
        <w:rPr>
          <w:rStyle w:val="Odkaznapoznmkupodiarou"/>
          <w:i/>
        </w:rPr>
        <w:footnoteRef/>
      </w:r>
      <w:r>
        <w:rPr>
          <w:i/>
          <w:vertAlign w:val="superscript"/>
        </w:rPr>
        <w:t>)</w:t>
      </w:r>
      <w:r w:rsidRPr="00EB7629">
        <w:rPr>
          <w:i/>
        </w:rPr>
        <w:t xml:space="preserve"> V PO 2021 – 2027 platí pre posledný rok čerpania pravidlo n+2, a teda bude možné čerpať iba do konca roku 2029.</w:t>
      </w:r>
    </w:p>
  </w:footnote>
  <w:footnote w:id="12">
    <w:p w14:paraId="051A6674" w14:textId="606CE289" w:rsidR="00D7052E" w:rsidRPr="00091866" w:rsidRDefault="00D7052E" w:rsidP="00391D7C">
      <w:pPr>
        <w:pStyle w:val="Textpoznmkypodiarou"/>
        <w:rPr>
          <w:i/>
          <w:szCs w:val="16"/>
        </w:rPr>
      </w:pPr>
      <w:r w:rsidRPr="00091866">
        <w:rPr>
          <w:rStyle w:val="Odkaznapoznmkupodiarou"/>
          <w:i/>
          <w:szCs w:val="16"/>
        </w:rPr>
        <w:footnoteRef/>
      </w:r>
      <w:r>
        <w:rPr>
          <w:i/>
          <w:szCs w:val="16"/>
          <w:vertAlign w:val="superscript"/>
        </w:rPr>
        <w:t>)</w:t>
      </w:r>
      <w:r w:rsidRPr="00091866">
        <w:rPr>
          <w:i/>
          <w:szCs w:val="16"/>
        </w:rPr>
        <w:t xml:space="preserve"> Útvar hodnoty za peniaze, MF SR, Programovanie pre pokročilých, návrh reformy programového rozpočtovania, november 2020</w:t>
      </w:r>
      <w:r>
        <w:rPr>
          <w:i/>
          <w:szCs w:val="16"/>
        </w:rPr>
        <w:t>.</w:t>
      </w:r>
      <w:r w:rsidRPr="00091866">
        <w:rPr>
          <w:i/>
          <w:szCs w:val="16"/>
        </w:rPr>
        <w:t xml:space="preserve"> </w:t>
      </w:r>
      <w:hyperlink r:id="rId5" w:history="1">
        <w:r w:rsidRPr="00091866">
          <w:rPr>
            <w:rStyle w:val="Hypertextovprepojenie"/>
            <w:i/>
            <w:sz w:val="16"/>
            <w:szCs w:val="16"/>
          </w:rPr>
          <w:t>[online]</w:t>
        </w:r>
      </w:hyperlink>
      <w:r>
        <w:rPr>
          <w:rStyle w:val="Hypertextovprepojenie"/>
          <w:i/>
          <w:sz w:val="16"/>
          <w:szCs w:val="16"/>
        </w:rPr>
        <w:t>.</w:t>
      </w:r>
    </w:p>
  </w:footnote>
  <w:footnote w:id="13">
    <w:p w14:paraId="6276165B" w14:textId="53DA1D66" w:rsidR="00D7052E" w:rsidRPr="007F5B8E" w:rsidRDefault="00D7052E" w:rsidP="00677008">
      <w:pPr>
        <w:pStyle w:val="Textpoznmkypodiarou"/>
        <w:rPr>
          <w:i/>
        </w:rPr>
      </w:pPr>
      <w:r w:rsidRPr="007F5B8E">
        <w:rPr>
          <w:rStyle w:val="Odkaznapoznmkupodiarou"/>
          <w:i/>
        </w:rPr>
        <w:footnoteRef/>
      </w:r>
      <w:r>
        <w:rPr>
          <w:i/>
          <w:vertAlign w:val="superscript"/>
        </w:rPr>
        <w:t>)</w:t>
      </w:r>
      <w:r w:rsidRPr="007F5B8E">
        <w:rPr>
          <w:i/>
        </w:rPr>
        <w:t xml:space="preserve"> Konkrétne na podprograme 07T0A – Implementácia rezortných politík.</w:t>
      </w:r>
    </w:p>
  </w:footnote>
  <w:footnote w:id="14">
    <w:p w14:paraId="67447DF8" w14:textId="752AA72C" w:rsidR="00D7052E" w:rsidRPr="007F5B8E" w:rsidRDefault="00D7052E" w:rsidP="00677008">
      <w:pPr>
        <w:pStyle w:val="Textpoznmkypodiarou"/>
        <w:rPr>
          <w:i/>
        </w:rPr>
      </w:pPr>
      <w:r w:rsidRPr="007F5B8E">
        <w:rPr>
          <w:rStyle w:val="Odkaznapoznmkupodiarou"/>
          <w:i/>
        </w:rPr>
        <w:footnoteRef/>
      </w:r>
      <w:r>
        <w:rPr>
          <w:i/>
          <w:vertAlign w:val="superscript"/>
        </w:rPr>
        <w:t>)</w:t>
      </w:r>
      <w:r w:rsidRPr="007F5B8E">
        <w:rPr>
          <w:i/>
        </w:rPr>
        <w:t xml:space="preserve"> Napr. investície do cestnej infraštruktúry tak namiesto jedného programu plynú až z troch – Cestná infraštruktúra (053), Tvorba a implementácia politík (07T) a Operačný program Integrovaná infraštruktúra (0EB).</w:t>
      </w:r>
    </w:p>
  </w:footnote>
  <w:footnote w:id="15">
    <w:p w14:paraId="2D2F845F" w14:textId="463AD779" w:rsidR="00D7052E" w:rsidRPr="00912E54" w:rsidRDefault="00D7052E" w:rsidP="00F9378C">
      <w:pPr>
        <w:pStyle w:val="Textpoznmkypodiarou"/>
        <w:rPr>
          <w:i/>
        </w:rPr>
      </w:pPr>
      <w:r w:rsidRPr="00912E54">
        <w:rPr>
          <w:rStyle w:val="Odkaznapoznmkupodiarou"/>
          <w:i/>
        </w:rPr>
        <w:t>15)</w:t>
      </w:r>
      <w:r w:rsidRPr="00912E54">
        <w:rPr>
          <w:i/>
        </w:rPr>
        <w:t xml:space="preserve"> Celkové výdavky ŠR bez prostriedkov z rozpočtu EÚ a z Plánu obnovy sú na rok 2022 alokované vo výške 2</w:t>
      </w:r>
      <w:r>
        <w:rPr>
          <w:i/>
        </w:rPr>
        <w:t>1</w:t>
      </w:r>
      <w:r w:rsidRPr="00912E54">
        <w:rPr>
          <w:i/>
        </w:rPr>
        <w:t xml:space="preserve"> ml</w:t>
      </w:r>
      <w:r>
        <w:rPr>
          <w:i/>
        </w:rPr>
        <w:t>d</w:t>
      </w:r>
      <w:r w:rsidRPr="00912E54">
        <w:rPr>
          <w:i/>
        </w:rPr>
        <w:t>. eur, z toho kapitálové výdavky (vrátane spolufinancovania EÚ fondov a prostriedkov na úhradu DPH k Plánu obnov</w:t>
      </w:r>
      <w:r>
        <w:rPr>
          <w:i/>
        </w:rPr>
        <w:t>y</w:t>
      </w:r>
      <w:r w:rsidRPr="00912E54">
        <w:rPr>
          <w:i/>
        </w:rPr>
        <w:t>) predstavujú 1</w:t>
      </w:r>
      <w:r>
        <w:rPr>
          <w:i/>
        </w:rPr>
        <w:t>,</w:t>
      </w:r>
      <w:r w:rsidRPr="00912E54">
        <w:rPr>
          <w:i/>
        </w:rPr>
        <w:t>7 ml</w:t>
      </w:r>
      <w:r>
        <w:rPr>
          <w:i/>
        </w:rPr>
        <w:t>d. eur. V</w:t>
      </w:r>
      <w:r w:rsidRPr="00912E54">
        <w:rPr>
          <w:i/>
        </w:rPr>
        <w:t>ýdavky z EÚ sú alokované vo výške 3</w:t>
      </w:r>
      <w:r>
        <w:rPr>
          <w:i/>
        </w:rPr>
        <w:t>,</w:t>
      </w:r>
      <w:r w:rsidRPr="00912E54">
        <w:rPr>
          <w:i/>
        </w:rPr>
        <w:t>1 ml</w:t>
      </w:r>
      <w:r>
        <w:rPr>
          <w:i/>
        </w:rPr>
        <w:t>d</w:t>
      </w:r>
      <w:r w:rsidRPr="00912E54">
        <w:rPr>
          <w:i/>
        </w:rPr>
        <w:t>. eur (bez spolufinancovania), z toho kapitálové výdavky tvoria 1</w:t>
      </w:r>
      <w:r>
        <w:rPr>
          <w:i/>
        </w:rPr>
        <w:t>,2 m</w:t>
      </w:r>
      <w:r w:rsidRPr="00912E54">
        <w:rPr>
          <w:i/>
        </w:rPr>
        <w:t>l</w:t>
      </w:r>
      <w:r>
        <w:rPr>
          <w:i/>
        </w:rPr>
        <w:t>d</w:t>
      </w:r>
      <w:r w:rsidRPr="00912E54">
        <w:rPr>
          <w:i/>
        </w:rPr>
        <w:t xml:space="preserve">. eur. </w:t>
      </w:r>
      <w:r>
        <w:rPr>
          <w:i/>
        </w:rPr>
        <w:t>V</w:t>
      </w:r>
      <w:r w:rsidRPr="00912E54">
        <w:rPr>
          <w:i/>
        </w:rPr>
        <w:t>ýdavky Plánu obnovy sú alokované vo výške 1</w:t>
      </w:r>
      <w:r>
        <w:rPr>
          <w:i/>
        </w:rPr>
        <w:t>,</w:t>
      </w:r>
      <w:r w:rsidRPr="00912E54">
        <w:rPr>
          <w:i/>
        </w:rPr>
        <w:t>3 ml</w:t>
      </w:r>
      <w:r>
        <w:rPr>
          <w:i/>
        </w:rPr>
        <w:t>d</w:t>
      </w:r>
      <w:r w:rsidRPr="00912E54">
        <w:rPr>
          <w:i/>
        </w:rPr>
        <w:t>. eur (bez prostriedkov na úhradu DPH), z toho kapitálové výdavky tvoria 955 mil. eur.</w:t>
      </w:r>
    </w:p>
  </w:footnote>
  <w:footnote w:id="16">
    <w:p w14:paraId="6688F623" w14:textId="2AF2644F" w:rsidR="00D7052E" w:rsidRPr="00C5329C" w:rsidRDefault="00D7052E" w:rsidP="003B1E6E">
      <w:pPr>
        <w:pStyle w:val="Textpoznmkypodiarou"/>
        <w:rPr>
          <w:i/>
        </w:rPr>
      </w:pPr>
      <w:r w:rsidRPr="00C5329C">
        <w:rPr>
          <w:rStyle w:val="Odkaznapoznmkupodiarou"/>
          <w:i/>
        </w:rPr>
        <w:footnoteRef/>
      </w:r>
      <w:r w:rsidRPr="00C5329C">
        <w:rPr>
          <w:i/>
          <w:vertAlign w:val="superscript"/>
        </w:rPr>
        <w:t>)</w:t>
      </w:r>
      <w:r w:rsidRPr="00C5329C">
        <w:rPr>
          <w:i/>
        </w:rPr>
        <w:t xml:space="preserve"> MDV SR iba čiastočne. Rezort dopravy musí vypracovať až </w:t>
      </w:r>
      <w:r>
        <w:rPr>
          <w:i/>
        </w:rPr>
        <w:t>štyri</w:t>
      </w:r>
      <w:r w:rsidRPr="00C5329C">
        <w:rPr>
          <w:i/>
        </w:rPr>
        <w:t xml:space="preserve"> metodiky a investičné plány – zvlášť za cesty, ŽSR, ZSSK a ostatné </w:t>
      </w:r>
      <w:r>
        <w:rPr>
          <w:i/>
        </w:rPr>
        <w:t>oblasti.</w:t>
      </w:r>
      <w:r w:rsidRPr="00C5329C">
        <w:rPr>
          <w:i/>
        </w:rPr>
        <w:t xml:space="preserve"> Doposiaľ boli zverejnené iba metodiky za oblasť ciest a ŽSR a investičný plán iba za cesty.</w:t>
      </w:r>
    </w:p>
  </w:footnote>
  <w:footnote w:id="17">
    <w:p w14:paraId="0D7B9DE9" w14:textId="212EFF03" w:rsidR="00D7052E" w:rsidRPr="00635F0B" w:rsidRDefault="00D7052E">
      <w:pPr>
        <w:pStyle w:val="Textpoznmkypodiarou"/>
        <w:rPr>
          <w:i/>
        </w:rPr>
      </w:pPr>
      <w:r w:rsidRPr="00635F0B">
        <w:rPr>
          <w:rStyle w:val="Odkaznapoznmkupodiarou"/>
          <w:i/>
        </w:rPr>
        <w:footnoteRef/>
      </w:r>
      <w:r>
        <w:rPr>
          <w:i/>
          <w:vertAlign w:val="superscript"/>
        </w:rPr>
        <w:t>)</w:t>
      </w:r>
      <w:r w:rsidRPr="00635F0B">
        <w:rPr>
          <w:i/>
        </w:rPr>
        <w:t xml:space="preserve"> Vláda SR. Programové vyhlásenie vlády S</w:t>
      </w:r>
      <w:r>
        <w:rPr>
          <w:i/>
        </w:rPr>
        <w:t>R</w:t>
      </w:r>
      <w:r w:rsidRPr="00635F0B">
        <w:rPr>
          <w:i/>
        </w:rPr>
        <w:t xml:space="preserve"> na obdobie rokov 2020</w:t>
      </w:r>
      <w:r>
        <w:rPr>
          <w:i/>
        </w:rPr>
        <w:t xml:space="preserve"> – </w:t>
      </w:r>
      <w:r w:rsidRPr="00635F0B">
        <w:rPr>
          <w:i/>
        </w:rPr>
        <w:t xml:space="preserve">2024. schválené v NR SR dňa 30. 4. 2020. </w:t>
      </w:r>
      <w:r w:rsidRPr="00635F0B">
        <w:rPr>
          <w:i/>
          <w:lang w:val="en-US"/>
        </w:rPr>
        <w:t>[</w:t>
      </w:r>
      <w:hyperlink r:id="rId6" w:history="1">
        <w:r w:rsidRPr="00635F0B">
          <w:rPr>
            <w:rStyle w:val="Hypertextovprepojenie"/>
            <w:i/>
            <w:sz w:val="16"/>
          </w:rPr>
          <w:t>online</w:t>
        </w:r>
      </w:hyperlink>
      <w:r w:rsidRPr="00635F0B">
        <w:rPr>
          <w:i/>
        </w:rPr>
        <w:t>].</w:t>
      </w:r>
    </w:p>
  </w:footnote>
  <w:footnote w:id="18">
    <w:p w14:paraId="1BC2E772" w14:textId="77777777" w:rsidR="00D7052E" w:rsidRPr="0035673A" w:rsidRDefault="00D7052E" w:rsidP="00FB6475">
      <w:pPr>
        <w:pStyle w:val="Textpoznmkypodiarou"/>
        <w:rPr>
          <w:i/>
        </w:rPr>
      </w:pPr>
      <w:r w:rsidRPr="0035673A">
        <w:rPr>
          <w:rStyle w:val="Odkaznapoznmkupodiarou"/>
          <w:i/>
        </w:rPr>
        <w:footnoteRef/>
      </w:r>
      <w:r>
        <w:rPr>
          <w:i/>
          <w:vertAlign w:val="superscript"/>
        </w:rPr>
        <w:t>)</w:t>
      </w:r>
      <w:r w:rsidRPr="0035673A">
        <w:rPr>
          <w:i/>
        </w:rPr>
        <w:t xml:space="preserve"> </w:t>
      </w:r>
      <w:r>
        <w:rPr>
          <w:i/>
        </w:rPr>
        <w:t>Klasifikácia výdavkov a ich spracovanie sú</w:t>
      </w:r>
      <w:r w:rsidRPr="0035673A">
        <w:rPr>
          <w:i/>
        </w:rPr>
        <w:t xml:space="preserve"> </w:t>
      </w:r>
      <w:r>
        <w:rPr>
          <w:i/>
        </w:rPr>
        <w:t xml:space="preserve">urobené na základe dát </w:t>
      </w:r>
      <w:r w:rsidRPr="0035673A">
        <w:rPr>
          <w:i/>
        </w:rPr>
        <w:t>z RIS BI.</w:t>
      </w:r>
    </w:p>
  </w:footnote>
  <w:footnote w:id="19">
    <w:p w14:paraId="1F35CB45" w14:textId="77777777" w:rsidR="00D7052E" w:rsidRPr="0035673A" w:rsidRDefault="00D7052E" w:rsidP="00FB6475">
      <w:pPr>
        <w:pStyle w:val="Textpoznmkypodiarou"/>
        <w:rPr>
          <w:i/>
        </w:rPr>
      </w:pPr>
      <w:r w:rsidRPr="0035673A">
        <w:rPr>
          <w:rStyle w:val="Odkaznapoznmkupodiarou"/>
          <w:i/>
        </w:rPr>
        <w:footnoteRef/>
      </w:r>
      <w:r>
        <w:rPr>
          <w:i/>
          <w:vertAlign w:val="superscript"/>
        </w:rPr>
        <w:t>)</w:t>
      </w:r>
      <w:r w:rsidRPr="0035673A">
        <w:rPr>
          <w:i/>
        </w:rPr>
        <w:t xml:space="preserve"> ZMOS. 2017. Súčasné problémy v regionálnom školstve a možnosti ich riešenia z pohľadu miest a obcí; kolektív autorov. [</w:t>
      </w:r>
      <w:hyperlink r:id="rId7" w:history="1">
        <w:r w:rsidRPr="0035673A">
          <w:rPr>
            <w:rStyle w:val="Hypertextovprepojenie"/>
            <w:i/>
            <w:sz w:val="16"/>
          </w:rPr>
          <w:t>online</w:t>
        </w:r>
      </w:hyperlink>
      <w:r w:rsidRPr="0035673A">
        <w:rPr>
          <w:i/>
        </w:rPr>
        <w:t>].</w:t>
      </w:r>
    </w:p>
  </w:footnote>
  <w:footnote w:id="20">
    <w:p w14:paraId="6DC3DB26" w14:textId="77777777" w:rsidR="00D7052E" w:rsidRPr="0035673A" w:rsidRDefault="00D7052E" w:rsidP="00FB6475">
      <w:pPr>
        <w:pStyle w:val="Textpoznmkypodiarou"/>
        <w:rPr>
          <w:i/>
        </w:rPr>
      </w:pPr>
      <w:r w:rsidRPr="0035673A">
        <w:rPr>
          <w:rStyle w:val="Odkaznapoznmkupodiarou"/>
          <w:i/>
        </w:rPr>
        <w:footnoteRef/>
      </w:r>
      <w:r>
        <w:rPr>
          <w:i/>
          <w:vertAlign w:val="superscript"/>
        </w:rPr>
        <w:t>)</w:t>
      </w:r>
      <w:r w:rsidRPr="0035673A">
        <w:rPr>
          <w:i/>
        </w:rPr>
        <w:t xml:space="preserve"> ZMOS. 2019. Výkon a financovanie prenesených kompetencií. [</w:t>
      </w:r>
      <w:hyperlink r:id="rId8" w:history="1">
        <w:r w:rsidRPr="0035673A">
          <w:rPr>
            <w:rStyle w:val="Hypertextovprepojenie"/>
            <w:i/>
            <w:sz w:val="16"/>
          </w:rPr>
          <w:t>online</w:t>
        </w:r>
      </w:hyperlink>
      <w:r w:rsidRPr="0035673A">
        <w:rPr>
          <w:i/>
        </w:rPr>
        <w:t>].</w:t>
      </w:r>
    </w:p>
  </w:footnote>
  <w:footnote w:id="21">
    <w:p w14:paraId="0DBB2CC8" w14:textId="77777777" w:rsidR="00D7052E" w:rsidRPr="0035673A" w:rsidRDefault="00D7052E" w:rsidP="00FB6475">
      <w:pPr>
        <w:pStyle w:val="Textpoznmkypodiarou"/>
        <w:rPr>
          <w:i/>
        </w:rPr>
      </w:pPr>
      <w:r w:rsidRPr="0035673A">
        <w:rPr>
          <w:rStyle w:val="Odkaznapoznmkupodiarou"/>
          <w:i/>
        </w:rPr>
        <w:footnoteRef/>
      </w:r>
      <w:r>
        <w:rPr>
          <w:i/>
          <w:vertAlign w:val="superscript"/>
        </w:rPr>
        <w:t>)</w:t>
      </w:r>
      <w:r w:rsidRPr="0035673A">
        <w:rPr>
          <w:i/>
        </w:rPr>
        <w:t xml:space="preserve"> ZMOS. 2020. Výkon a financovanie originálnych kompetencií. [</w:t>
      </w:r>
      <w:hyperlink r:id="rId9" w:history="1">
        <w:r w:rsidRPr="0035673A">
          <w:rPr>
            <w:rStyle w:val="Hypertextovprepojenie"/>
            <w:i/>
            <w:sz w:val="16"/>
          </w:rPr>
          <w:t>online</w:t>
        </w:r>
      </w:hyperlink>
      <w:r w:rsidRPr="0035673A">
        <w:rPr>
          <w:i/>
        </w:rPr>
        <w:t>].: „obce vynakladali v každom z posledných piatich rokov na školstvo podstatne viac prostriedkov, ako dostali v rámci 40 % podielu z DPFO“</w:t>
      </w:r>
    </w:p>
  </w:footnote>
  <w:footnote w:id="22">
    <w:p w14:paraId="60B19E64" w14:textId="77777777" w:rsidR="00D7052E" w:rsidRPr="00843815" w:rsidRDefault="00D7052E" w:rsidP="00FB6475">
      <w:pPr>
        <w:pStyle w:val="Textpoznmkypodiarou"/>
        <w:rPr>
          <w:i/>
        </w:rPr>
      </w:pPr>
      <w:r w:rsidRPr="00843815">
        <w:rPr>
          <w:rStyle w:val="Odkaznapoznmkupodiarou"/>
          <w:i/>
        </w:rPr>
        <w:footnoteRef/>
      </w:r>
      <w:r>
        <w:rPr>
          <w:i/>
          <w:vertAlign w:val="superscript"/>
        </w:rPr>
        <w:t>)</w:t>
      </w:r>
      <w:r w:rsidRPr="00843815">
        <w:rPr>
          <w:i/>
        </w:rPr>
        <w:t xml:space="preserve"> CVTI SR. 2021. Vývojové tendencie ukazovateľov materských, základných a stredných škôl; trendová analýza. [</w:t>
      </w:r>
      <w:hyperlink r:id="rId10" w:history="1">
        <w:r w:rsidRPr="00843815">
          <w:rPr>
            <w:rStyle w:val="Hypertextovprepojenie"/>
            <w:i/>
            <w:sz w:val="16"/>
          </w:rPr>
          <w:t>online</w:t>
        </w:r>
      </w:hyperlink>
      <w:r w:rsidRPr="00843815">
        <w:rPr>
          <w:i/>
        </w:rPr>
        <w:t>].</w:t>
      </w:r>
    </w:p>
  </w:footnote>
  <w:footnote w:id="23">
    <w:p w14:paraId="191642D7" w14:textId="77777777" w:rsidR="00D7052E" w:rsidRPr="00843815" w:rsidRDefault="00D7052E" w:rsidP="00FB6475">
      <w:pPr>
        <w:pStyle w:val="Textpoznmkypodiarou"/>
        <w:rPr>
          <w:i/>
        </w:rPr>
      </w:pPr>
      <w:r w:rsidRPr="00843815">
        <w:rPr>
          <w:rStyle w:val="Odkaznapoznmkupodiarou"/>
          <w:i/>
        </w:rPr>
        <w:footnoteRef/>
      </w:r>
      <w:r>
        <w:rPr>
          <w:i/>
          <w:vertAlign w:val="superscript"/>
        </w:rPr>
        <w:t>)</w:t>
      </w:r>
      <w:r w:rsidRPr="00843815">
        <w:rPr>
          <w:i/>
        </w:rPr>
        <w:t xml:space="preserve"> MŠVVaŠ SR. 2021.Návrh rozpočtu kapitoly Ministerstva školstva, vedy, výskumu a športu SR na roky 2022 až 2024.</w:t>
      </w:r>
    </w:p>
  </w:footnote>
  <w:footnote w:id="24">
    <w:p w14:paraId="0014535D" w14:textId="2066782D" w:rsidR="00D7052E" w:rsidRPr="00843815" w:rsidRDefault="00D7052E" w:rsidP="00E20790">
      <w:pPr>
        <w:pStyle w:val="Textpoznmkypodiarou"/>
        <w:rPr>
          <w:i/>
        </w:rPr>
      </w:pPr>
      <w:r w:rsidRPr="00843815">
        <w:rPr>
          <w:rStyle w:val="Odkaznapoznmkupodiarou"/>
          <w:i/>
        </w:rPr>
        <w:footnoteRef/>
      </w:r>
      <w:r>
        <w:rPr>
          <w:i/>
          <w:vertAlign w:val="superscript"/>
        </w:rPr>
        <w:t>)</w:t>
      </w:r>
      <w:r w:rsidRPr="00843815">
        <w:rPr>
          <w:i/>
        </w:rPr>
        <w:t xml:space="preserve"> MZ SR. Pripomienky k návrhu východísk </w:t>
      </w:r>
      <w:r>
        <w:rPr>
          <w:i/>
        </w:rPr>
        <w:t>RVS</w:t>
      </w:r>
      <w:r w:rsidRPr="00843815">
        <w:rPr>
          <w:i/>
        </w:rPr>
        <w:t xml:space="preserve"> na roky 2022 až 2024.</w:t>
      </w:r>
    </w:p>
  </w:footnote>
  <w:footnote w:id="25">
    <w:p w14:paraId="26CEB68E" w14:textId="7B3FEA6B" w:rsidR="00D7052E" w:rsidRPr="00843815" w:rsidRDefault="00D7052E" w:rsidP="00E20790">
      <w:pPr>
        <w:pStyle w:val="Textpoznmkypodiarou"/>
        <w:rPr>
          <w:i/>
        </w:rPr>
      </w:pPr>
      <w:r w:rsidRPr="00843815">
        <w:rPr>
          <w:rStyle w:val="Odkaznapoznmkupodiarou"/>
          <w:i/>
        </w:rPr>
        <w:footnoteRef/>
      </w:r>
      <w:r>
        <w:rPr>
          <w:i/>
          <w:vertAlign w:val="superscript"/>
        </w:rPr>
        <w:t>)</w:t>
      </w:r>
      <w:r w:rsidRPr="00843815">
        <w:rPr>
          <w:i/>
        </w:rPr>
        <w:t xml:space="preserve"> Metodický pokyn o predkladaní žiadostí o súhlas na použitie / poskytnutie finančných prostriedkov na investičné účely</w:t>
      </w:r>
      <w:r>
        <w:rPr>
          <w:i/>
        </w:rPr>
        <w:t>.</w:t>
      </w:r>
      <w:r w:rsidRPr="00843815">
        <w:rPr>
          <w:i/>
        </w:rPr>
        <w:t xml:space="preserve"> </w:t>
      </w:r>
      <w:r>
        <w:rPr>
          <w:i/>
          <w:lang w:val="en-US"/>
        </w:rPr>
        <w:t>[</w:t>
      </w:r>
      <w:hyperlink r:id="rId11" w:history="1">
        <w:r w:rsidRPr="00843815">
          <w:rPr>
            <w:rStyle w:val="Hypertextovprepojenie"/>
            <w:i/>
            <w:sz w:val="16"/>
          </w:rPr>
          <w:t>online</w:t>
        </w:r>
      </w:hyperlink>
      <w:r>
        <w:rPr>
          <w:rStyle w:val="Hypertextovprepojenie"/>
          <w:i/>
          <w:sz w:val="16"/>
        </w:rPr>
        <w:t>].</w:t>
      </w:r>
    </w:p>
  </w:footnote>
  <w:footnote w:id="26">
    <w:p w14:paraId="633E4006" w14:textId="6E356276" w:rsidR="00D7052E" w:rsidRPr="00843815" w:rsidRDefault="00D7052E" w:rsidP="00E20790">
      <w:pPr>
        <w:pStyle w:val="Textpoznmkypodiarou"/>
        <w:rPr>
          <w:i/>
        </w:rPr>
      </w:pPr>
      <w:r w:rsidRPr="00843815">
        <w:rPr>
          <w:rStyle w:val="Odkaznapoznmkupodiarou"/>
          <w:i/>
        </w:rPr>
        <w:footnoteRef/>
      </w:r>
      <w:r>
        <w:rPr>
          <w:i/>
          <w:vertAlign w:val="superscript"/>
        </w:rPr>
        <w:t>)</w:t>
      </w:r>
      <w:r w:rsidRPr="00843815">
        <w:rPr>
          <w:i/>
        </w:rPr>
        <w:t xml:space="preserve"> Investičný plán 2021-2026 z 31. marca 2021</w:t>
      </w:r>
      <w:r>
        <w:rPr>
          <w:i/>
        </w:rPr>
        <w:t>.</w:t>
      </w:r>
      <w:r w:rsidRPr="00843815">
        <w:rPr>
          <w:i/>
        </w:rPr>
        <w:t xml:space="preserve"> </w:t>
      </w:r>
      <w:r>
        <w:rPr>
          <w:i/>
        </w:rPr>
        <w:t>[</w:t>
      </w:r>
      <w:hyperlink r:id="rId12" w:history="1">
        <w:r w:rsidRPr="00843815">
          <w:rPr>
            <w:rStyle w:val="Hypertextovprepojenie"/>
            <w:i/>
            <w:sz w:val="16"/>
          </w:rPr>
          <w:t>online</w:t>
        </w:r>
      </w:hyperlink>
      <w:r>
        <w:rPr>
          <w:rStyle w:val="Hypertextovprepojenie"/>
          <w:i/>
          <w:sz w:val="16"/>
        </w:rPr>
        <w:t>].</w:t>
      </w:r>
    </w:p>
  </w:footnote>
  <w:footnote w:id="27">
    <w:p w14:paraId="662B16DF" w14:textId="1B114F88" w:rsidR="00D7052E" w:rsidRPr="00843815" w:rsidRDefault="00D7052E" w:rsidP="00E20790">
      <w:pPr>
        <w:pStyle w:val="Textpoznmkypodiarou"/>
        <w:rPr>
          <w:i/>
        </w:rPr>
      </w:pPr>
      <w:r w:rsidRPr="00843815">
        <w:rPr>
          <w:rStyle w:val="Odkaznapoznmkupodiarou"/>
          <w:i/>
        </w:rPr>
        <w:footnoteRef/>
      </w:r>
      <w:r>
        <w:rPr>
          <w:i/>
          <w:vertAlign w:val="superscript"/>
        </w:rPr>
        <w:t>)</w:t>
      </w:r>
      <w:r w:rsidRPr="00843815">
        <w:rPr>
          <w:i/>
        </w:rPr>
        <w:t xml:space="preserve"> </w:t>
      </w:r>
      <w:r>
        <w:rPr>
          <w:i/>
        </w:rPr>
        <w:t>P</w:t>
      </w:r>
      <w:r w:rsidRPr="00843815">
        <w:rPr>
          <w:i/>
        </w:rPr>
        <w:t xml:space="preserve">odľa odpovede MF SR </w:t>
      </w:r>
      <w:r>
        <w:rPr>
          <w:i/>
        </w:rPr>
        <w:t>–</w:t>
      </w:r>
      <w:r w:rsidRPr="00843815">
        <w:rPr>
          <w:i/>
        </w:rPr>
        <w:t xml:space="preserve"> Príloha k listu č. MF/015317/2021</w:t>
      </w:r>
      <w:r>
        <w:rPr>
          <w:i/>
        </w:rPr>
        <w:t>—</w:t>
      </w:r>
      <w:r w:rsidRPr="00843815">
        <w:rPr>
          <w:i/>
        </w:rPr>
        <w:t>412</w:t>
      </w:r>
      <w:r>
        <w:rPr>
          <w:i/>
        </w:rPr>
        <w:t>.</w:t>
      </w:r>
    </w:p>
  </w:footnote>
  <w:footnote w:id="28">
    <w:p w14:paraId="1E194A0C" w14:textId="1BE0E93F" w:rsidR="00D7052E" w:rsidRPr="00843815" w:rsidRDefault="00D7052E" w:rsidP="00E20790">
      <w:pPr>
        <w:pStyle w:val="Textpoznmkypodiarou"/>
        <w:rPr>
          <w:i/>
        </w:rPr>
      </w:pPr>
      <w:r w:rsidRPr="00843815">
        <w:rPr>
          <w:rStyle w:val="Odkaznapoznmkupodiarou"/>
          <w:i/>
        </w:rPr>
        <w:footnoteRef/>
      </w:r>
      <w:r>
        <w:rPr>
          <w:i/>
          <w:vertAlign w:val="superscript"/>
        </w:rPr>
        <w:t>)</w:t>
      </w:r>
      <w:r w:rsidRPr="00843815">
        <w:rPr>
          <w:i/>
        </w:rPr>
        <w:t xml:space="preserve"> Odpoveď MF SR - Príloha k listu č. MF/015317/2021</w:t>
      </w:r>
      <w:r>
        <w:rPr>
          <w:i/>
        </w:rPr>
        <w:t>—</w:t>
      </w:r>
      <w:r w:rsidRPr="00843815">
        <w:rPr>
          <w:i/>
        </w:rPr>
        <w:t>412</w:t>
      </w:r>
      <w:r>
        <w:rPr>
          <w:i/>
        </w:rPr>
        <w:t>.</w:t>
      </w:r>
    </w:p>
  </w:footnote>
  <w:footnote w:id="29">
    <w:p w14:paraId="4B3A6A74" w14:textId="7AA12BCD" w:rsidR="00D7052E" w:rsidRPr="00843815" w:rsidRDefault="00D7052E" w:rsidP="00E20790">
      <w:pPr>
        <w:pStyle w:val="Textpoznmkypodiarou"/>
        <w:rPr>
          <w:i/>
        </w:rPr>
      </w:pPr>
      <w:r w:rsidRPr="00843815">
        <w:rPr>
          <w:rStyle w:val="Odkaznapoznmkupodiarou"/>
          <w:i/>
        </w:rPr>
        <w:footnoteRef/>
      </w:r>
      <w:r>
        <w:rPr>
          <w:i/>
          <w:vertAlign w:val="superscript"/>
        </w:rPr>
        <w:t>)</w:t>
      </w:r>
      <w:r w:rsidRPr="00843815">
        <w:rPr>
          <w:i/>
        </w:rPr>
        <w:t xml:space="preserve"> Dokument bol schválený vládou v decembri 2013. </w:t>
      </w:r>
      <w:r>
        <w:rPr>
          <w:i/>
        </w:rPr>
        <w:t>[</w:t>
      </w:r>
      <w:hyperlink r:id="rId13" w:history="1">
        <w:r w:rsidRPr="00843815">
          <w:rPr>
            <w:rStyle w:val="Hypertextovprepojenie"/>
            <w:i/>
            <w:sz w:val="16"/>
          </w:rPr>
          <w:t>online</w:t>
        </w:r>
      </w:hyperlink>
      <w:r>
        <w:rPr>
          <w:rStyle w:val="Hypertextovprepojenie"/>
          <w:i/>
          <w:sz w:val="16"/>
        </w:rPr>
        <w:t>].</w:t>
      </w:r>
    </w:p>
  </w:footnote>
  <w:footnote w:id="30">
    <w:p w14:paraId="3731ED53" w14:textId="0A592367" w:rsidR="00D7052E" w:rsidRPr="002317A5" w:rsidRDefault="00D7052E" w:rsidP="00E20790">
      <w:pPr>
        <w:pStyle w:val="Textpoznmkypodiarou"/>
        <w:rPr>
          <w:i/>
        </w:rPr>
      </w:pPr>
      <w:r w:rsidRPr="002317A5">
        <w:rPr>
          <w:rStyle w:val="Odkaznapoznmkupodiarou"/>
          <w:i/>
        </w:rPr>
        <w:footnoteRef/>
      </w:r>
      <w:r>
        <w:rPr>
          <w:i/>
          <w:vertAlign w:val="superscript"/>
        </w:rPr>
        <w:t>)</w:t>
      </w:r>
      <w:r w:rsidRPr="002317A5">
        <w:rPr>
          <w:i/>
        </w:rPr>
        <w:t xml:space="preserve"> </w:t>
      </w:r>
      <w:r w:rsidRPr="00857CB1">
        <w:rPr>
          <w:i/>
        </w:rPr>
        <w:t>Návrh RVS na roky 2022 až 2024</w:t>
      </w:r>
      <w:r>
        <w:rPr>
          <w:i/>
        </w:rPr>
        <w:t xml:space="preserve"> uvádza</w:t>
      </w:r>
      <w:r w:rsidRPr="002317A5">
        <w:rPr>
          <w:i/>
        </w:rPr>
        <w:t xml:space="preserve"> v Grafe 34, že už v roku 2017 chýbalo 3 550 sestier.</w:t>
      </w:r>
    </w:p>
  </w:footnote>
  <w:footnote w:id="31">
    <w:p w14:paraId="116A5C1A" w14:textId="5CEC57A7" w:rsidR="00D7052E" w:rsidRPr="002317A5" w:rsidRDefault="00D7052E" w:rsidP="00E20790">
      <w:pPr>
        <w:pStyle w:val="Textpoznmkypodiarou"/>
        <w:rPr>
          <w:i/>
        </w:rPr>
      </w:pPr>
      <w:r w:rsidRPr="002317A5">
        <w:rPr>
          <w:rStyle w:val="Odkaznapoznmkupodiarou"/>
          <w:i/>
        </w:rPr>
        <w:footnoteRef/>
      </w:r>
      <w:r>
        <w:rPr>
          <w:i/>
          <w:vertAlign w:val="superscript"/>
        </w:rPr>
        <w:t>)</w:t>
      </w:r>
      <w:r w:rsidRPr="002317A5">
        <w:rPr>
          <w:i/>
        </w:rPr>
        <w:t xml:space="preserve"> Jednoduchý prepočet ukazuje, že pri hrubej mzde 1000 eur mesačne by 11 mil. na rok pokrylo cenu práce ani nie pre 700 sestier.</w:t>
      </w:r>
    </w:p>
  </w:footnote>
  <w:footnote w:id="32">
    <w:p w14:paraId="46D1FBEF" w14:textId="77777777" w:rsidR="00D7052E" w:rsidRPr="00085D9A" w:rsidRDefault="00D7052E" w:rsidP="000347E2">
      <w:pPr>
        <w:pStyle w:val="Textpoznmkypodiarou"/>
        <w:rPr>
          <w:i/>
        </w:rPr>
      </w:pPr>
      <w:r w:rsidRPr="00085D9A">
        <w:rPr>
          <w:rStyle w:val="Odkaznapoznmkupodiarou"/>
          <w:i/>
        </w:rPr>
        <w:footnoteRef/>
      </w:r>
      <w:r>
        <w:rPr>
          <w:i/>
          <w:vertAlign w:val="superscript"/>
        </w:rPr>
        <w:t>)</w:t>
      </w:r>
      <w:r w:rsidRPr="00085D9A">
        <w:rPr>
          <w:i/>
        </w:rPr>
        <w:t xml:space="preserve"> </w:t>
      </w:r>
      <w:r>
        <w:rPr>
          <w:i/>
        </w:rPr>
        <w:t>P</w:t>
      </w:r>
      <w:r w:rsidRPr="00085D9A">
        <w:rPr>
          <w:i/>
        </w:rPr>
        <w:t>rvok 07B0307 Veda a výskum v</w:t>
      </w:r>
      <w:r>
        <w:rPr>
          <w:i/>
        </w:rPr>
        <w:t> </w:t>
      </w:r>
      <w:r w:rsidRPr="00085D9A">
        <w:rPr>
          <w:i/>
        </w:rPr>
        <w:t>zdravotníctve</w:t>
      </w:r>
      <w:r>
        <w:rPr>
          <w:i/>
        </w:rPr>
        <w:t>.</w:t>
      </w:r>
    </w:p>
  </w:footnote>
  <w:footnote w:id="33">
    <w:p w14:paraId="3BAFFBA6" w14:textId="09BFB4E0" w:rsidR="00D7052E" w:rsidRPr="0055168A" w:rsidRDefault="00D7052E">
      <w:pPr>
        <w:pStyle w:val="Textpoznmkypodiarou"/>
        <w:rPr>
          <w:i/>
        </w:rPr>
      </w:pPr>
      <w:r w:rsidRPr="0055168A">
        <w:rPr>
          <w:rStyle w:val="Odkaznapoznmkupodiarou"/>
          <w:i/>
        </w:rPr>
        <w:footnoteRef/>
      </w:r>
      <w:r>
        <w:rPr>
          <w:i/>
          <w:vertAlign w:val="superscript"/>
        </w:rPr>
        <w:t>)</w:t>
      </w:r>
      <w:r w:rsidRPr="0055168A">
        <w:rPr>
          <w:i/>
        </w:rPr>
        <w:t xml:space="preserve"> MPSVaR SR</w:t>
      </w:r>
      <w:r>
        <w:rPr>
          <w:i/>
        </w:rPr>
        <w:t>. Návrh rozpočtu kapitoly MPSVaR SR na roky 2022 až 2024.</w:t>
      </w:r>
    </w:p>
  </w:footnote>
  <w:footnote w:id="34">
    <w:p w14:paraId="7972F8D4" w14:textId="2B6572AD" w:rsidR="00D7052E" w:rsidRPr="00296624" w:rsidRDefault="00D7052E">
      <w:pPr>
        <w:pStyle w:val="Textpoznmkypodiarou"/>
        <w:rPr>
          <w:i/>
          <w:lang w:val="en-US"/>
        </w:rPr>
      </w:pPr>
      <w:r w:rsidRPr="00296624">
        <w:rPr>
          <w:rStyle w:val="Odkaznapoznmkupodiarou"/>
          <w:i/>
        </w:rPr>
        <w:footnoteRef/>
      </w:r>
      <w:r>
        <w:rPr>
          <w:i/>
          <w:vertAlign w:val="superscript"/>
        </w:rPr>
        <w:t>)</w:t>
      </w:r>
      <w:r w:rsidRPr="00296624">
        <w:rPr>
          <w:i/>
        </w:rPr>
        <w:t xml:space="preserve"> Ako je rodičovský príspevok o 4,10 eur, resp. o 5,70 eur (z 275,90 eur na 280 eur, resp. z 378,10 eur na 383,80 eur v prípade nemocensky poistenej osoby) prídavok na dieťa o 38 centov (z 25,50 eur na 25,88 eur) a príplatok k prídavku na dieťa o 18 centov (z 11,96 eur na 12,14 eur).</w:t>
      </w:r>
    </w:p>
  </w:footnote>
  <w:footnote w:id="35">
    <w:p w14:paraId="1F393999" w14:textId="1A689B8E" w:rsidR="00D7052E" w:rsidRPr="00296624" w:rsidRDefault="00D7052E" w:rsidP="005F0F5B">
      <w:pPr>
        <w:pStyle w:val="Textpoznmkypodiarou"/>
        <w:rPr>
          <w:i/>
        </w:rPr>
      </w:pPr>
      <w:r w:rsidRPr="00296624">
        <w:rPr>
          <w:rStyle w:val="Odkaznapoznmkupodiarou"/>
          <w:i/>
        </w:rPr>
        <w:footnoteRef/>
      </w:r>
      <w:r>
        <w:rPr>
          <w:i/>
          <w:vertAlign w:val="superscript"/>
        </w:rPr>
        <w:t>)</w:t>
      </w:r>
      <w:r w:rsidRPr="00296624">
        <w:rPr>
          <w:i/>
        </w:rPr>
        <w:t xml:space="preserve"> MF SR: Návrh rozpočtu verejnej správy, tabuľka 2 – Porovnanie prognóz EK a MF SR</w:t>
      </w:r>
      <w:r>
        <w:rPr>
          <w:i/>
        </w:rPr>
        <w:t>.</w:t>
      </w:r>
    </w:p>
  </w:footnote>
  <w:footnote w:id="36">
    <w:p w14:paraId="71635C33" w14:textId="25AA7F5F" w:rsidR="00D7052E" w:rsidRPr="00296624" w:rsidRDefault="00D7052E" w:rsidP="005F0F5B">
      <w:pPr>
        <w:pStyle w:val="Textpoznmkypodiarou"/>
        <w:jc w:val="left"/>
        <w:rPr>
          <w:rFonts w:cs="Segoe UI"/>
          <w:i/>
          <w:szCs w:val="16"/>
        </w:rPr>
      </w:pPr>
      <w:r w:rsidRPr="00296624">
        <w:rPr>
          <w:rStyle w:val="Odkaznapoznmkupodiarou"/>
          <w:i/>
        </w:rPr>
        <w:footnoteRef/>
      </w:r>
      <w:r>
        <w:rPr>
          <w:i/>
          <w:vertAlign w:val="superscript"/>
        </w:rPr>
        <w:t>)</w:t>
      </w:r>
      <w:r w:rsidRPr="00296624">
        <w:rPr>
          <w:i/>
        </w:rPr>
        <w:t xml:space="preserve"> MPSVR SR, Inštitút sociálnej politiky, </w:t>
      </w:r>
      <w:r w:rsidRPr="00296624">
        <w:rPr>
          <w:rStyle w:val="markedcontent"/>
          <w:rFonts w:cs="Segoe UI"/>
          <w:i/>
          <w:szCs w:val="16"/>
        </w:rPr>
        <w:t>Prvá pomoc Slovensku: priebežná správa o sociálnej pomoci pracujúcim a rodinám (Aktualizácia 17), október 2021</w:t>
      </w:r>
      <w:r>
        <w:rPr>
          <w:rStyle w:val="markedcontent"/>
          <w:rFonts w:cs="Segoe UI"/>
          <w:i/>
          <w:szCs w:val="16"/>
        </w:rPr>
        <w:t>.</w:t>
      </w:r>
      <w:r w:rsidRPr="00296624">
        <w:rPr>
          <w:rStyle w:val="markedcontent"/>
          <w:rFonts w:cs="Segoe UI"/>
          <w:i/>
          <w:szCs w:val="16"/>
        </w:rPr>
        <w:t xml:space="preserve"> </w:t>
      </w:r>
      <w:hyperlink r:id="rId14" w:history="1">
        <w:r w:rsidRPr="00296624">
          <w:rPr>
            <w:rStyle w:val="Hypertextovprepojenie"/>
            <w:rFonts w:cs="Segoe UI"/>
            <w:i/>
            <w:sz w:val="16"/>
            <w:szCs w:val="16"/>
          </w:rPr>
          <w:t>[online]</w:t>
        </w:r>
      </w:hyperlink>
      <w:r>
        <w:rPr>
          <w:rStyle w:val="markedcontent"/>
          <w:rFonts w:cs="Segoe UI"/>
          <w:i/>
          <w:szCs w:val="16"/>
        </w:rPr>
        <w:t>.</w:t>
      </w:r>
    </w:p>
  </w:footnote>
  <w:footnote w:id="37">
    <w:p w14:paraId="0BD50485" w14:textId="1A5BC109" w:rsidR="00D7052E" w:rsidRPr="00296624" w:rsidRDefault="00D7052E" w:rsidP="005F0F5B">
      <w:pPr>
        <w:pStyle w:val="Textpoznmkypodiarou"/>
        <w:rPr>
          <w:i/>
        </w:rPr>
      </w:pPr>
      <w:r w:rsidRPr="00296624">
        <w:rPr>
          <w:rStyle w:val="Odkaznapoznmkupodiarou"/>
          <w:i/>
        </w:rPr>
        <w:footnoteRef/>
      </w:r>
      <w:r>
        <w:rPr>
          <w:i/>
          <w:vertAlign w:val="superscript"/>
        </w:rPr>
        <w:t>)</w:t>
      </w:r>
      <w:r w:rsidRPr="00296624">
        <w:rPr>
          <w:i/>
        </w:rPr>
        <w:t xml:space="preserve"> Zákon č. 422/2020 Z. z., ktorým sa mení a dopĺňa Ústava Slovenskej republiky č. 460/1992 Zb.</w:t>
      </w:r>
    </w:p>
  </w:footnote>
  <w:footnote w:id="38">
    <w:p w14:paraId="061B1CB0" w14:textId="2EE5F3A8" w:rsidR="00D7052E" w:rsidRPr="00296624" w:rsidRDefault="00D7052E" w:rsidP="005F0F5B">
      <w:pPr>
        <w:pStyle w:val="Textpoznmkypodiarou"/>
        <w:rPr>
          <w:i/>
        </w:rPr>
      </w:pPr>
      <w:r w:rsidRPr="00296624">
        <w:rPr>
          <w:rStyle w:val="Odkaznapoznmkupodiarou"/>
          <w:i/>
        </w:rPr>
        <w:footnoteRef/>
      </w:r>
      <w:r>
        <w:rPr>
          <w:i/>
          <w:vertAlign w:val="superscript"/>
        </w:rPr>
        <w:t>)</w:t>
      </w:r>
      <w:r w:rsidRPr="00296624">
        <w:rPr>
          <w:i/>
        </w:rPr>
        <w:t xml:space="preserve"> Návrh zákona, ktorým sa mení zákon č. 461/2003 Z. z. o sociálnom poistení v znení neskorších predpisov</w:t>
      </w:r>
      <w:r>
        <w:rPr>
          <w:i/>
        </w:rPr>
        <w:t>.</w:t>
      </w:r>
    </w:p>
  </w:footnote>
  <w:footnote w:id="39">
    <w:p w14:paraId="400CC027" w14:textId="2150F08B" w:rsidR="00D7052E" w:rsidRPr="00091866" w:rsidRDefault="00D7052E" w:rsidP="00972D87">
      <w:pPr>
        <w:pStyle w:val="Textpoznmkypodiarou"/>
        <w:rPr>
          <w:i/>
        </w:rPr>
      </w:pPr>
      <w:r w:rsidRPr="00091866">
        <w:rPr>
          <w:rStyle w:val="Odkaznapoznmkupodiarou"/>
          <w:i/>
        </w:rPr>
        <w:footnoteRef/>
      </w:r>
      <w:r>
        <w:rPr>
          <w:i/>
          <w:vertAlign w:val="superscript"/>
        </w:rPr>
        <w:t>)</w:t>
      </w:r>
      <w:r>
        <w:rPr>
          <w:i/>
        </w:rPr>
        <w:t xml:space="preserve"> NKÚ SR.</w:t>
      </w:r>
      <w:r w:rsidRPr="00091866">
        <w:rPr>
          <w:i/>
        </w:rPr>
        <w:t xml:space="preserve"> august 2021. Strategická modernizácia železníc. [</w:t>
      </w:r>
      <w:hyperlink r:id="rId15" w:history="1">
        <w:r w:rsidRPr="00091866">
          <w:rPr>
            <w:rStyle w:val="Hypertextovprepojenie"/>
            <w:i/>
            <w:sz w:val="16"/>
          </w:rPr>
          <w:t>online</w:t>
        </w:r>
      </w:hyperlink>
      <w:r w:rsidRPr="00091866">
        <w:rPr>
          <w:i/>
        </w:rPr>
        <w:t>].</w:t>
      </w:r>
    </w:p>
  </w:footnote>
  <w:footnote w:id="40">
    <w:p w14:paraId="69407429" w14:textId="442BEE85" w:rsidR="00D7052E" w:rsidRPr="007F5B8E" w:rsidRDefault="00D7052E" w:rsidP="0005675B">
      <w:pPr>
        <w:pStyle w:val="Textpoznmkypodiarou"/>
        <w:rPr>
          <w:i/>
        </w:rPr>
      </w:pPr>
      <w:r w:rsidRPr="007F5B8E">
        <w:rPr>
          <w:rStyle w:val="Odkaznapoznmkupodiarou"/>
          <w:i/>
        </w:rPr>
        <w:footnoteRef/>
      </w:r>
      <w:r>
        <w:rPr>
          <w:i/>
          <w:vertAlign w:val="superscript"/>
        </w:rPr>
        <w:t>)</w:t>
      </w:r>
      <w:r w:rsidRPr="007F5B8E">
        <w:rPr>
          <w:i/>
        </w:rPr>
        <w:t xml:space="preserve"> Projekt R3 Tvrdošín – Nižná by mal byť namiesto ŠR financovaný prostriedkami z EÚ, pri projekte R4 Prešov, severný obchvat (II: etapa) je riziko ukončenia VO načas, čím by sa oddialilo potrebné financovanie výstavby zo ŠR</w:t>
      </w:r>
      <w:r>
        <w:rPr>
          <w:i/>
        </w:rPr>
        <w:t>.</w:t>
      </w:r>
      <w:r w:rsidRPr="007F5B8E">
        <w:rPr>
          <w:i/>
        </w:rPr>
        <w:t xml:space="preserve"> </w:t>
      </w:r>
    </w:p>
  </w:footnote>
  <w:footnote w:id="41">
    <w:p w14:paraId="1C546689" w14:textId="617203F6" w:rsidR="00D7052E" w:rsidRPr="007F5B8E" w:rsidRDefault="00D7052E" w:rsidP="004848BF">
      <w:pPr>
        <w:pStyle w:val="Textpoznmkypodiarou"/>
        <w:rPr>
          <w:i/>
        </w:rPr>
      </w:pPr>
      <w:r w:rsidRPr="007F5B8E">
        <w:rPr>
          <w:rStyle w:val="Odkaznapoznmkupodiarou"/>
          <w:i/>
        </w:rPr>
        <w:footnoteRef/>
      </w:r>
      <w:r>
        <w:rPr>
          <w:i/>
          <w:vertAlign w:val="superscript"/>
        </w:rPr>
        <w:t>)</w:t>
      </w:r>
      <w:r w:rsidRPr="007F5B8E">
        <w:rPr>
          <w:i/>
        </w:rPr>
        <w:t xml:space="preserve"> Návrh rozpočtu si kladie </w:t>
      </w:r>
      <w:r>
        <w:rPr>
          <w:i/>
        </w:rPr>
        <w:t xml:space="preserve">úlohu </w:t>
      </w:r>
      <w:r w:rsidRPr="007F5B8E">
        <w:rPr>
          <w:i/>
        </w:rPr>
        <w:t xml:space="preserve">v strednodobom horizonte, t. j. do roku 2024 dosiahnuť hodnotu 30,5 % podielu ciest I. triedy v nevyhovujúcom a havarijnom stave  </w:t>
      </w:r>
    </w:p>
  </w:footnote>
  <w:footnote w:id="42">
    <w:p w14:paraId="6CEE5635" w14:textId="04636DC7" w:rsidR="00D7052E" w:rsidRPr="007F5B8E" w:rsidRDefault="00D7052E" w:rsidP="004848BF">
      <w:pPr>
        <w:pStyle w:val="Textpoznmkypodiarou"/>
        <w:rPr>
          <w:i/>
        </w:rPr>
      </w:pPr>
      <w:r w:rsidRPr="007F5B8E">
        <w:rPr>
          <w:rStyle w:val="Odkaznapoznmkupodiarou"/>
          <w:i/>
        </w:rPr>
        <w:footnoteRef/>
      </w:r>
      <w:r>
        <w:rPr>
          <w:i/>
          <w:vertAlign w:val="superscript"/>
        </w:rPr>
        <w:t>)</w:t>
      </w:r>
      <w:r>
        <w:rPr>
          <w:i/>
        </w:rPr>
        <w:t xml:space="preserve"> O</w:t>
      </w:r>
      <w:r w:rsidRPr="007F5B8E">
        <w:rPr>
          <w:i/>
        </w:rPr>
        <w:t>d roku 2000 bol najnižší podiel v roku 2004 a to 18,5 %</w:t>
      </w:r>
      <w:r>
        <w:rPr>
          <w:i/>
        </w:rPr>
        <w:t>.</w:t>
      </w:r>
    </w:p>
  </w:footnote>
  <w:footnote w:id="43">
    <w:p w14:paraId="0E6E1130" w14:textId="77777777" w:rsidR="00D7052E" w:rsidRPr="00DD7F99" w:rsidRDefault="00D7052E" w:rsidP="004848BF">
      <w:pPr>
        <w:pStyle w:val="Textpoznmkypodiarou"/>
        <w:rPr>
          <w:i/>
          <w:lang w:val="en-US"/>
        </w:rPr>
      </w:pPr>
      <w:r w:rsidRPr="00DD7F99">
        <w:rPr>
          <w:rStyle w:val="Odkaznapoznmkupodiarou"/>
          <w:i/>
        </w:rPr>
        <w:footnoteRef/>
      </w:r>
      <w:r>
        <w:rPr>
          <w:i/>
          <w:vertAlign w:val="superscript"/>
        </w:rPr>
        <w:t>)</w:t>
      </w:r>
      <w:r w:rsidRPr="00DD7F99">
        <w:rPr>
          <w:i/>
        </w:rPr>
        <w:t xml:space="preserve"> Podľa Revízie výdavkov na dopravu predstavuje rekonštrukcia 1 km cesty náklady vo výške približne 1,5 mil. eur. </w:t>
      </w:r>
      <w:r w:rsidRPr="00DD7F99">
        <w:rPr>
          <w:i/>
          <w:lang w:val="en-US"/>
        </w:rPr>
        <w:t>[</w:t>
      </w:r>
      <w:hyperlink r:id="rId16" w:history="1">
        <w:r w:rsidRPr="00DD7F99">
          <w:rPr>
            <w:rStyle w:val="Hypertextovprepojenie"/>
            <w:i/>
            <w:sz w:val="16"/>
          </w:rPr>
          <w:t>online</w:t>
        </w:r>
      </w:hyperlink>
      <w:r w:rsidRPr="00DD7F99">
        <w:rPr>
          <w:i/>
          <w:lang w:val="en-US"/>
        </w:rPr>
        <w:t>].</w:t>
      </w:r>
    </w:p>
  </w:footnote>
  <w:footnote w:id="44">
    <w:p w14:paraId="2F962180" w14:textId="77777777" w:rsidR="00D7052E" w:rsidRPr="007F5B8E" w:rsidRDefault="00D7052E" w:rsidP="004848BF">
      <w:pPr>
        <w:pStyle w:val="Textpoznmkypodiarou"/>
        <w:rPr>
          <w:i/>
        </w:rPr>
      </w:pPr>
      <w:r w:rsidRPr="007F5B8E">
        <w:rPr>
          <w:rStyle w:val="Odkaznapoznmkupodiarou"/>
          <w:i/>
        </w:rPr>
        <w:footnoteRef/>
      </w:r>
      <w:r>
        <w:rPr>
          <w:i/>
          <w:vertAlign w:val="superscript"/>
        </w:rPr>
        <w:t>)</w:t>
      </w:r>
      <w:r w:rsidRPr="007F5B8E">
        <w:rPr>
          <w:i/>
        </w:rPr>
        <w:t xml:space="preserve"> V </w:t>
      </w:r>
      <w:r>
        <w:rPr>
          <w:i/>
        </w:rPr>
        <w:t>PO</w:t>
      </w:r>
      <w:r w:rsidRPr="007F5B8E">
        <w:rPr>
          <w:i/>
        </w:rPr>
        <w:t xml:space="preserve"> 2021 – 2027 sa neuvažuje o podpore cestnej infraštruktúry z</w:t>
      </w:r>
      <w:r>
        <w:rPr>
          <w:i/>
        </w:rPr>
        <w:t> </w:t>
      </w:r>
      <w:r w:rsidRPr="007F5B8E">
        <w:rPr>
          <w:i/>
        </w:rPr>
        <w:t>EŠIF</w:t>
      </w:r>
      <w:r>
        <w:rPr>
          <w:i/>
        </w:rPr>
        <w:t>.</w:t>
      </w:r>
    </w:p>
  </w:footnote>
  <w:footnote w:id="45">
    <w:p w14:paraId="1BFA1E73" w14:textId="77777777" w:rsidR="00D7052E" w:rsidRPr="00912E54" w:rsidRDefault="00D7052E" w:rsidP="006F3C69">
      <w:pPr>
        <w:pStyle w:val="Textpoznmkypodiarou"/>
        <w:rPr>
          <w:i/>
          <w:lang w:val="en-US"/>
        </w:rPr>
      </w:pPr>
      <w:r w:rsidRPr="007545B1">
        <w:rPr>
          <w:rStyle w:val="Odkaznapoznmkupodiarou"/>
        </w:rPr>
        <w:footnoteRef/>
      </w:r>
      <w:r w:rsidRPr="00912E54">
        <w:rPr>
          <w:vertAlign w:val="superscript"/>
        </w:rPr>
        <w:t>)</w:t>
      </w:r>
      <w:r>
        <w:t xml:space="preserve"> </w:t>
      </w:r>
      <w:r w:rsidRPr="00912E54">
        <w:rPr>
          <w:i/>
        </w:rPr>
        <w:t xml:space="preserve">MŽP SR: Manažment povodňových rizík. </w:t>
      </w:r>
      <w:r w:rsidRPr="00912E54">
        <w:rPr>
          <w:i/>
          <w:lang w:val="en-US"/>
        </w:rPr>
        <w:t>[</w:t>
      </w:r>
      <w:hyperlink r:id="rId17" w:history="1">
        <w:r w:rsidRPr="00912E54">
          <w:rPr>
            <w:rStyle w:val="Hypertextovprepojenie"/>
            <w:i/>
            <w:sz w:val="16"/>
            <w:lang w:val="en-US"/>
          </w:rPr>
          <w:t>on-line</w:t>
        </w:r>
      </w:hyperlink>
      <w:r w:rsidRPr="00912E54">
        <w:rPr>
          <w:i/>
          <w:lang w:val="en-US"/>
        </w:rPr>
        <w:t xml:space="preserve">].   </w:t>
      </w:r>
    </w:p>
  </w:footnote>
  <w:footnote w:id="46">
    <w:p w14:paraId="656EEB0E" w14:textId="77777777" w:rsidR="00D7052E" w:rsidRPr="00E24BE7" w:rsidRDefault="00D7052E" w:rsidP="006F3C69">
      <w:pPr>
        <w:pStyle w:val="Textpoznmkypodiarou"/>
        <w:rPr>
          <w:i/>
          <w:lang w:val="en-US"/>
        </w:rPr>
      </w:pPr>
      <w:r w:rsidRPr="00E24BE7">
        <w:rPr>
          <w:rStyle w:val="Odkaznapoznmkupodiarou"/>
          <w:i/>
        </w:rPr>
        <w:footnoteRef/>
      </w:r>
      <w:r>
        <w:rPr>
          <w:i/>
          <w:vertAlign w:val="superscript"/>
        </w:rPr>
        <w:t>)</w:t>
      </w:r>
      <w:r w:rsidRPr="00E24BE7">
        <w:rPr>
          <w:i/>
        </w:rPr>
        <w:t xml:space="preserve"> Odbor stratégie a analýz, NKÚ SR. Možné úspory na protipovodňových opatreniach (Analýza výdavkov použitých na realizáciu preventívnych opatrení na ochranu pred povodňami), december 202</w:t>
      </w:r>
      <w:r>
        <w:rPr>
          <w:i/>
        </w:rPr>
        <w:t>0</w:t>
      </w:r>
      <w:r w:rsidRPr="00E24BE7">
        <w:rPr>
          <w:i/>
        </w:rPr>
        <w:t>.</w:t>
      </w:r>
      <w:r>
        <w:rPr>
          <w:i/>
        </w:rPr>
        <w:t xml:space="preserve"> </w:t>
      </w:r>
      <w:r>
        <w:rPr>
          <w:i/>
          <w:lang w:val="en-US"/>
        </w:rPr>
        <w:t>[</w:t>
      </w:r>
      <w:hyperlink r:id="rId18" w:history="1">
        <w:r w:rsidRPr="00E24BE7">
          <w:rPr>
            <w:rStyle w:val="Hypertextovprepojenie"/>
            <w:i/>
            <w:sz w:val="16"/>
          </w:rPr>
          <w:t>on</w:t>
        </w:r>
        <w:r>
          <w:rPr>
            <w:rStyle w:val="Hypertextovprepojenie"/>
            <w:i/>
            <w:sz w:val="16"/>
          </w:rPr>
          <w:t>-</w:t>
        </w:r>
        <w:r w:rsidRPr="00E24BE7">
          <w:rPr>
            <w:rStyle w:val="Hypertextovprepojenie"/>
            <w:i/>
            <w:sz w:val="16"/>
          </w:rPr>
          <w:t>line</w:t>
        </w:r>
      </w:hyperlink>
      <w:r>
        <w:rPr>
          <w:i/>
          <w:lang w:val="en-US"/>
        </w:rPr>
        <w:t>].</w:t>
      </w:r>
    </w:p>
  </w:footnote>
  <w:footnote w:id="47">
    <w:p w14:paraId="6B3C6AA6" w14:textId="44121968" w:rsidR="00D7052E" w:rsidRPr="00BA1367" w:rsidRDefault="00D7052E" w:rsidP="006F3C69">
      <w:pPr>
        <w:pStyle w:val="Textpoznmkypodiarou"/>
        <w:rPr>
          <w:i/>
        </w:rPr>
      </w:pPr>
      <w:r w:rsidRPr="00BA1367">
        <w:rPr>
          <w:rStyle w:val="Odkaznapoznmkupodiarou"/>
          <w:i/>
        </w:rPr>
        <w:footnoteRef/>
      </w:r>
      <w:r>
        <w:rPr>
          <w:i/>
          <w:vertAlign w:val="superscript"/>
        </w:rPr>
        <w:t>)</w:t>
      </w:r>
      <w:r w:rsidRPr="00BA1367">
        <w:rPr>
          <w:i/>
        </w:rPr>
        <w:t xml:space="preserve"> </w:t>
      </w:r>
      <w:r>
        <w:rPr>
          <w:i/>
        </w:rPr>
        <w:t>BC</w:t>
      </w:r>
      <w:r w:rsidRPr="00BA1367">
        <w:rPr>
          <w:i/>
        </w:rPr>
        <w:t>G audit, 2017</w:t>
      </w:r>
      <w:r>
        <w:rPr>
          <w:i/>
        </w:rPr>
        <w:t>.</w:t>
      </w:r>
      <w:r w:rsidRPr="00BA1367">
        <w:rPr>
          <w:i/>
        </w:rPr>
        <w:t xml:space="preserve"> </w:t>
      </w:r>
      <w:r w:rsidRPr="00BA1367">
        <w:rPr>
          <w:i/>
          <w:lang w:val="en-US"/>
        </w:rPr>
        <w:t>[</w:t>
      </w:r>
      <w:hyperlink r:id="rId19" w:history="1">
        <w:r w:rsidRPr="00BA1367">
          <w:rPr>
            <w:rStyle w:val="Hypertextovprepojenie"/>
            <w:i/>
            <w:sz w:val="16"/>
          </w:rPr>
          <w:t>on-line</w:t>
        </w:r>
      </w:hyperlink>
      <w:r w:rsidRPr="00BA1367">
        <w:rPr>
          <w:i/>
        </w:rPr>
        <w:t>].</w:t>
      </w:r>
    </w:p>
  </w:footnote>
  <w:footnote w:id="48">
    <w:p w14:paraId="07D45819" w14:textId="7B86A464" w:rsidR="00D7052E" w:rsidRPr="00A00923" w:rsidRDefault="00D7052E" w:rsidP="006F3C69">
      <w:pPr>
        <w:pStyle w:val="Textpoznmkypodiarou"/>
        <w:rPr>
          <w:i/>
        </w:rPr>
      </w:pPr>
      <w:r w:rsidRPr="00A00923">
        <w:rPr>
          <w:rStyle w:val="Odkaznapoznmkupodiarou"/>
          <w:i/>
        </w:rPr>
        <w:footnoteRef/>
      </w:r>
      <w:r>
        <w:rPr>
          <w:i/>
          <w:vertAlign w:val="superscript"/>
        </w:rPr>
        <w:t>)</w:t>
      </w:r>
      <w:r w:rsidRPr="00A00923">
        <w:rPr>
          <w:i/>
        </w:rPr>
        <w:t xml:space="preserve"> </w:t>
      </w:r>
      <w:r w:rsidRPr="00A00923">
        <w:rPr>
          <w:i/>
          <w:lang w:val="en-US"/>
        </w:rPr>
        <w:t>MF SR, 2021</w:t>
      </w:r>
      <w:r>
        <w:rPr>
          <w:i/>
          <w:lang w:val="en-US"/>
        </w:rPr>
        <w:t>.</w:t>
      </w:r>
      <w:r w:rsidRPr="00A00923">
        <w:rPr>
          <w:i/>
          <w:lang w:val="en-US"/>
        </w:rPr>
        <w:t xml:space="preserve"> S</w:t>
      </w:r>
      <w:r w:rsidRPr="00A00923">
        <w:rPr>
          <w:i/>
        </w:rPr>
        <w:t>úhrnná implementačná správa 2020</w:t>
      </w:r>
      <w:r>
        <w:rPr>
          <w:i/>
        </w:rPr>
        <w:t>.</w:t>
      </w:r>
      <w:r w:rsidRPr="00A00923">
        <w:rPr>
          <w:i/>
        </w:rPr>
        <w:t xml:space="preserve"> [</w:t>
      </w:r>
      <w:hyperlink r:id="rId20" w:history="1">
        <w:r w:rsidRPr="00A00923">
          <w:rPr>
            <w:rStyle w:val="Hypertextovprepojenie"/>
            <w:i/>
            <w:sz w:val="16"/>
          </w:rPr>
          <w:t>on-line</w:t>
        </w:r>
      </w:hyperlink>
      <w:r w:rsidRPr="00A00923">
        <w:rPr>
          <w:i/>
          <w:lang w:val="en-US"/>
        </w:rPr>
        <w:t>].</w:t>
      </w:r>
      <w:r w:rsidRPr="00A00923">
        <w:rPr>
          <w:i/>
        </w:rPr>
        <w:t xml:space="preserve"> </w:t>
      </w:r>
    </w:p>
  </w:footnote>
  <w:footnote w:id="49">
    <w:p w14:paraId="784458DF" w14:textId="29D2D966" w:rsidR="00D7052E" w:rsidRPr="00E24BE7" w:rsidRDefault="00D7052E" w:rsidP="006F3C69">
      <w:pPr>
        <w:pStyle w:val="Textpoznmkypodiarou"/>
        <w:rPr>
          <w:i/>
        </w:rPr>
      </w:pPr>
      <w:r w:rsidRPr="00E24BE7">
        <w:rPr>
          <w:rStyle w:val="Odkaznapoznmkupodiarou"/>
          <w:i/>
        </w:rPr>
        <w:footnoteRef/>
      </w:r>
      <w:r>
        <w:rPr>
          <w:i/>
          <w:vertAlign w:val="superscript"/>
        </w:rPr>
        <w:t>)</w:t>
      </w:r>
      <w:r w:rsidRPr="00E24BE7">
        <w:rPr>
          <w:i/>
        </w:rPr>
        <w:t xml:space="preserve"> </w:t>
      </w:r>
      <w:r>
        <w:rPr>
          <w:i/>
        </w:rPr>
        <w:t>V</w:t>
      </w:r>
      <w:r w:rsidRPr="00E24BE7">
        <w:rPr>
          <w:i/>
        </w:rPr>
        <w:t xml:space="preserve"> roku 2020 boli do SVP</w:t>
      </w:r>
      <w:r>
        <w:rPr>
          <w:i/>
        </w:rPr>
        <w:t>,</w:t>
      </w:r>
      <w:r w:rsidRPr="00E24BE7">
        <w:rPr>
          <w:i/>
        </w:rPr>
        <w:t xml:space="preserve"> š. p. delimitované malé vodné toky v dĺžke cca. 22 tis. km, v dôsledku čoho výrazne vzrástli výdavky na ich správu a údržbu. </w:t>
      </w:r>
    </w:p>
  </w:footnote>
  <w:footnote w:id="50">
    <w:p w14:paraId="426F01F8" w14:textId="41A9398F" w:rsidR="00D7052E" w:rsidRPr="00CC7317" w:rsidRDefault="00D7052E" w:rsidP="00AE75ED">
      <w:pPr>
        <w:pStyle w:val="Textpoznmkypodiarou"/>
        <w:rPr>
          <w:i/>
        </w:rPr>
      </w:pPr>
      <w:r w:rsidRPr="00CC7317">
        <w:rPr>
          <w:rStyle w:val="Odkaznapoznmkupodiarou"/>
          <w:i/>
        </w:rPr>
        <w:footnoteRef/>
      </w:r>
      <w:r>
        <w:rPr>
          <w:i/>
          <w:vertAlign w:val="superscript"/>
        </w:rPr>
        <w:t>)</w:t>
      </w:r>
      <w:r w:rsidRPr="00CC7317">
        <w:rPr>
          <w:i/>
        </w:rPr>
        <w:t xml:space="preserve"> </w:t>
      </w:r>
      <w:r w:rsidRPr="00CC7317">
        <w:rPr>
          <w:rFonts w:cs="Segoe UI"/>
          <w:i/>
        </w:rPr>
        <w:t xml:space="preserve">Plán rozvoja verejných kanalizácií: len </w:t>
      </w:r>
      <w:r>
        <w:rPr>
          <w:rFonts w:cs="Segoe UI"/>
          <w:i/>
        </w:rPr>
        <w:t>na</w:t>
      </w:r>
      <w:r w:rsidRPr="00CC7317">
        <w:rPr>
          <w:rFonts w:cs="Segoe UI"/>
          <w:i/>
        </w:rPr>
        <w:t xml:space="preserve"> prioritné projekty pre aglomerácie nad 2 000 </w:t>
      </w:r>
      <w:r>
        <w:rPr>
          <w:rFonts w:cs="Segoe UI"/>
          <w:i/>
        </w:rPr>
        <w:t>ekvivalentných obyvateľov</w:t>
      </w:r>
      <w:r w:rsidRPr="00CC7317">
        <w:rPr>
          <w:rFonts w:cs="Segoe UI"/>
          <w:i/>
        </w:rPr>
        <w:t xml:space="preserve"> sú potrebné investície vo výške 635 mil. eur a ďalších približne 57,30 mil. eur v chránených vodohospodárskych oblastiach. </w:t>
      </w:r>
      <w:r w:rsidRPr="00CC7317">
        <w:rPr>
          <w:i/>
          <w:szCs w:val="16"/>
        </w:rPr>
        <w:t>[</w:t>
      </w:r>
      <w:hyperlink r:id="rId21" w:history="1">
        <w:r w:rsidRPr="00CC7317">
          <w:rPr>
            <w:rStyle w:val="Hypertextovprepojenie"/>
            <w:i/>
            <w:sz w:val="16"/>
            <w:szCs w:val="16"/>
          </w:rPr>
          <w:t>on-line</w:t>
        </w:r>
      </w:hyperlink>
      <w:r w:rsidRPr="00CC7317">
        <w:rPr>
          <w:i/>
          <w:szCs w:val="16"/>
        </w:rPr>
        <w:t>].</w:t>
      </w:r>
    </w:p>
  </w:footnote>
  <w:footnote w:id="51">
    <w:p w14:paraId="37AB6820" w14:textId="77777777" w:rsidR="00D7052E" w:rsidRPr="009C1B6F" w:rsidRDefault="00D7052E" w:rsidP="00AE75ED">
      <w:pPr>
        <w:pStyle w:val="Textpoznmkypodiarou"/>
        <w:rPr>
          <w:i/>
        </w:rPr>
      </w:pPr>
      <w:r w:rsidRPr="009C1B6F">
        <w:rPr>
          <w:rStyle w:val="Odkaznapoznmkupodiarou"/>
          <w:i/>
        </w:rPr>
        <w:footnoteRef/>
      </w:r>
      <w:r>
        <w:rPr>
          <w:i/>
          <w:vertAlign w:val="superscript"/>
        </w:rPr>
        <w:t>)</w:t>
      </w:r>
      <w:r w:rsidRPr="009C1B6F">
        <w:rPr>
          <w:i/>
        </w:rPr>
        <w:t xml:space="preserve"> </w:t>
      </w:r>
      <w:r w:rsidRPr="009C1B6F">
        <w:rPr>
          <w:rFonts w:cs="Segoe UI"/>
          <w:i/>
        </w:rPr>
        <w:t xml:space="preserve">V súčasnom období je v SR 2 416 obcí zásobovaných vodou z verejných vodovodov, čo predstavuje 83,6 % z celkového počtu obcí (spolu 2 890 obcí). </w:t>
      </w:r>
      <w:r w:rsidRPr="009C1B6F">
        <w:rPr>
          <w:i/>
          <w:szCs w:val="16"/>
        </w:rPr>
        <w:t>[</w:t>
      </w:r>
      <w:hyperlink r:id="rId22" w:history="1">
        <w:r w:rsidRPr="009C1B6F">
          <w:rPr>
            <w:rStyle w:val="Hypertextovprepojenie"/>
            <w:i/>
            <w:sz w:val="16"/>
            <w:szCs w:val="16"/>
          </w:rPr>
          <w:t>on-line</w:t>
        </w:r>
      </w:hyperlink>
      <w:r w:rsidRPr="009C1B6F">
        <w:rPr>
          <w:i/>
          <w:szCs w:val="16"/>
        </w:rPr>
        <w:t>].</w:t>
      </w:r>
    </w:p>
  </w:footnote>
  <w:footnote w:id="52">
    <w:p w14:paraId="45C67615" w14:textId="42C49A29" w:rsidR="00D7052E" w:rsidRPr="003E324F" w:rsidRDefault="00D7052E" w:rsidP="00AE75ED">
      <w:pPr>
        <w:pStyle w:val="Textpoznmkypodiarou"/>
        <w:rPr>
          <w:i/>
          <w:szCs w:val="16"/>
        </w:rPr>
      </w:pPr>
      <w:r w:rsidRPr="003E324F">
        <w:rPr>
          <w:i/>
          <w:szCs w:val="16"/>
          <w:vertAlign w:val="superscript"/>
        </w:rPr>
        <w:footnoteRef/>
      </w:r>
      <w:r>
        <w:rPr>
          <w:i/>
          <w:szCs w:val="16"/>
          <w:vertAlign w:val="superscript"/>
        </w:rPr>
        <w:t>)</w:t>
      </w:r>
      <w:r w:rsidRPr="003E324F">
        <w:rPr>
          <w:i/>
          <w:szCs w:val="16"/>
        </w:rPr>
        <w:t xml:space="preserve"> Plán rozvoja verejných vodovodov: je potrebných približne 474,6 mil. eur len na dobudovanie vodovodných sietí v obciach a prívodov vody, aby sme sa priblížili k potrebám pre oblasť zásobovania pitnou vodou. Na </w:t>
      </w:r>
      <w:r w:rsidRPr="003E324F">
        <w:rPr>
          <w:rFonts w:cs="Segoe UI"/>
          <w:i/>
        </w:rPr>
        <w:t>rekonštrukcie prívodov vody, vodovodných sietí a zariadení.je potrebných 182 mil. eur.</w:t>
      </w:r>
      <w:r>
        <w:rPr>
          <w:rFonts w:cs="Segoe UI"/>
          <w:i/>
        </w:rPr>
        <w:t xml:space="preserve"> </w:t>
      </w:r>
      <w:r w:rsidRPr="00CC7317">
        <w:rPr>
          <w:i/>
          <w:szCs w:val="16"/>
        </w:rPr>
        <w:t>[</w:t>
      </w:r>
      <w:hyperlink r:id="rId23" w:history="1">
        <w:r w:rsidRPr="00CC7317">
          <w:rPr>
            <w:rStyle w:val="Hypertextovprepojenie"/>
            <w:i/>
            <w:sz w:val="16"/>
            <w:szCs w:val="16"/>
          </w:rPr>
          <w:t>on-line</w:t>
        </w:r>
      </w:hyperlink>
      <w:r w:rsidRPr="00CC7317">
        <w:rPr>
          <w:i/>
          <w:szCs w:val="16"/>
        </w:rPr>
        <w:t>].</w:t>
      </w:r>
    </w:p>
  </w:footnote>
  <w:footnote w:id="53">
    <w:p w14:paraId="69ACD107" w14:textId="148E3F0F" w:rsidR="00D7052E" w:rsidRPr="007156D8" w:rsidRDefault="00D7052E" w:rsidP="00AE75ED">
      <w:pPr>
        <w:spacing w:after="0" w:line="240" w:lineRule="auto"/>
        <w:ind w:right="-113"/>
        <w:rPr>
          <w:rFonts w:cs="Segoe UI"/>
          <w:i/>
        </w:rPr>
      </w:pPr>
      <w:r w:rsidRPr="00912E54">
        <w:rPr>
          <w:rStyle w:val="Odkaznapoznmkupodiarou"/>
          <w:i/>
          <w:sz w:val="16"/>
        </w:rPr>
        <w:footnoteRef/>
      </w:r>
      <w:r w:rsidRPr="00912E54">
        <w:rPr>
          <w:i/>
          <w:sz w:val="16"/>
          <w:vertAlign w:val="superscript"/>
        </w:rPr>
        <w:t>)</w:t>
      </w:r>
      <w:r w:rsidRPr="00F641D4">
        <w:rPr>
          <w:i/>
        </w:rPr>
        <w:t xml:space="preserve"> </w:t>
      </w:r>
      <w:r w:rsidRPr="00912E54">
        <w:rPr>
          <w:i/>
          <w:sz w:val="16"/>
          <w:szCs w:val="16"/>
        </w:rPr>
        <w:t xml:space="preserve">MŽP SR, </w:t>
      </w:r>
      <w:r w:rsidRPr="00310B38">
        <w:rPr>
          <w:i/>
          <w:sz w:val="16"/>
          <w:szCs w:val="16"/>
        </w:rPr>
        <w:t>2021: Plán rozvoja verejných kanalizácií</w:t>
      </w:r>
      <w:r>
        <w:rPr>
          <w:i/>
          <w:sz w:val="16"/>
          <w:szCs w:val="16"/>
        </w:rPr>
        <w:t xml:space="preserve"> a vodovodov</w:t>
      </w:r>
      <w:r w:rsidRPr="00310B38">
        <w:rPr>
          <w:i/>
          <w:sz w:val="16"/>
          <w:szCs w:val="16"/>
        </w:rPr>
        <w:t xml:space="preserve"> pre územie S</w:t>
      </w:r>
      <w:r>
        <w:rPr>
          <w:i/>
          <w:sz w:val="16"/>
          <w:szCs w:val="16"/>
        </w:rPr>
        <w:t>R</w:t>
      </w:r>
      <w:r w:rsidRPr="00310B38">
        <w:rPr>
          <w:i/>
          <w:sz w:val="16"/>
          <w:szCs w:val="16"/>
        </w:rPr>
        <w:t xml:space="preserve"> na roky 2021 – 2027</w:t>
      </w:r>
      <w:r>
        <w:rPr>
          <w:i/>
          <w:szCs w:val="16"/>
        </w:rPr>
        <w:t>.</w:t>
      </w:r>
      <w:r w:rsidRPr="00F641D4">
        <w:rPr>
          <w:i/>
          <w:szCs w:val="16"/>
        </w:rPr>
        <w:t xml:space="preserve"> </w:t>
      </w:r>
      <w:r w:rsidRPr="00310B38">
        <w:rPr>
          <w:i/>
          <w:sz w:val="16"/>
          <w:szCs w:val="16"/>
        </w:rPr>
        <w:t>[</w:t>
      </w:r>
      <w:hyperlink r:id="rId24" w:history="1">
        <w:r w:rsidRPr="00310B38">
          <w:rPr>
            <w:rStyle w:val="Hypertextovprepojenie"/>
            <w:i/>
            <w:sz w:val="16"/>
            <w:szCs w:val="16"/>
          </w:rPr>
          <w:t>on-line</w:t>
        </w:r>
      </w:hyperlink>
      <w:r w:rsidRPr="00310B38">
        <w:rPr>
          <w:i/>
          <w:sz w:val="16"/>
          <w:szCs w:val="16"/>
        </w:rPr>
        <w:t>].</w:t>
      </w:r>
    </w:p>
  </w:footnote>
  <w:footnote w:id="54">
    <w:p w14:paraId="26A5B633" w14:textId="77777777" w:rsidR="00D7052E" w:rsidRPr="00816513" w:rsidRDefault="00D7052E" w:rsidP="00AE75ED">
      <w:pPr>
        <w:pStyle w:val="Textpoznmkypodiarou"/>
        <w:rPr>
          <w:i/>
        </w:rPr>
      </w:pPr>
      <w:r w:rsidRPr="00C93AA3">
        <w:rPr>
          <w:rStyle w:val="Odkaznapoznmkupodiarou"/>
          <w:i/>
        </w:rPr>
        <w:footnoteRef/>
      </w:r>
      <w:r w:rsidRPr="00912E54">
        <w:rPr>
          <w:i/>
          <w:vertAlign w:val="superscript"/>
        </w:rPr>
        <w:t>)</w:t>
      </w:r>
      <w:r w:rsidRPr="00816513">
        <w:rPr>
          <w:i/>
        </w:rPr>
        <w:t xml:space="preserve"> </w:t>
      </w:r>
      <w:r w:rsidRPr="00816513">
        <w:rPr>
          <w:rFonts w:cs="Segoe UI"/>
          <w:i/>
        </w:rPr>
        <w:t>V súvislosti s pripravovanou Stratégiou ochrany ovzdušia SR do roku 2030 bol v marci 2020 schválený Národný program znižovania emisií, ktorý navrhuje opatrenia na dosiahnutie národných záväzkov v znižovaní emisií znečisťujúcich látok.</w:t>
      </w:r>
    </w:p>
  </w:footnote>
  <w:footnote w:id="55">
    <w:p w14:paraId="3E4B8583" w14:textId="77777777" w:rsidR="00D7052E" w:rsidRPr="003E7068" w:rsidRDefault="00D7052E" w:rsidP="00AE75ED">
      <w:pPr>
        <w:pStyle w:val="Textpoznmkypodiarou"/>
        <w:rPr>
          <w:rStyle w:val="Odkaznapoznmkupodiarou"/>
          <w:i/>
          <w:vertAlign w:val="baseline"/>
        </w:rPr>
      </w:pPr>
      <w:r>
        <w:rPr>
          <w:rStyle w:val="Odkaznapoznmkupodiarou"/>
        </w:rPr>
        <w:footnoteRef/>
      </w:r>
      <w:r>
        <w:rPr>
          <w:vertAlign w:val="superscript"/>
        </w:rPr>
        <w:t>)</w:t>
      </w:r>
      <w:r>
        <w:t xml:space="preserve"> </w:t>
      </w:r>
      <w:r w:rsidRPr="003E7068">
        <w:rPr>
          <w:rStyle w:val="Odkaznapoznmkupodiarou"/>
          <w:i/>
          <w:vertAlign w:val="baseline"/>
        </w:rPr>
        <w:t xml:space="preserve">Dotácie na náhradu zastaraných spaľovacích zariadení v domácnostiach za </w:t>
      </w:r>
      <w:proofErr w:type="spellStart"/>
      <w:r w:rsidRPr="003E7068">
        <w:rPr>
          <w:rStyle w:val="Odkaznapoznmkupodiarou"/>
          <w:i/>
          <w:vertAlign w:val="baseline"/>
        </w:rPr>
        <w:t>nízkoemisné</w:t>
      </w:r>
      <w:proofErr w:type="spellEnd"/>
      <w:r w:rsidRPr="003E7068">
        <w:rPr>
          <w:rStyle w:val="Odkaznapoznmkupodiarou"/>
          <w:i/>
          <w:vertAlign w:val="baseline"/>
        </w:rPr>
        <w:t>.</w:t>
      </w:r>
    </w:p>
  </w:footnote>
  <w:footnote w:id="56">
    <w:p w14:paraId="4A81C4A0" w14:textId="130593A8" w:rsidR="00D7052E" w:rsidRDefault="00D7052E" w:rsidP="008749D2">
      <w:pPr>
        <w:pStyle w:val="Textpoznmkypodiarou"/>
      </w:pPr>
      <w:r w:rsidRPr="003A5A60">
        <w:rPr>
          <w:rStyle w:val="Odkaznapoznmkupodiarou"/>
          <w:i/>
        </w:rPr>
        <w:footnoteRef/>
      </w:r>
      <w:r w:rsidRPr="003A5A60">
        <w:rPr>
          <w:i/>
          <w:vertAlign w:val="superscript"/>
        </w:rPr>
        <w:t xml:space="preserve">) </w:t>
      </w:r>
      <w:r w:rsidRPr="00DA3E1C">
        <w:rPr>
          <w:rFonts w:cs="Segoe UI"/>
          <w:i/>
        </w:rPr>
        <w:t>Postupné utlmenie výroby elektriny z</w:t>
      </w:r>
      <w:r>
        <w:rPr>
          <w:rFonts w:cs="Segoe UI"/>
          <w:i/>
        </w:rPr>
        <w:t> </w:t>
      </w:r>
      <w:r w:rsidRPr="00DA3E1C">
        <w:rPr>
          <w:rFonts w:cs="Segoe UI"/>
          <w:i/>
        </w:rPr>
        <w:t>uhlia</w:t>
      </w:r>
      <w:r>
        <w:rPr>
          <w:rFonts w:cs="Segoe UI"/>
          <w:i/>
        </w:rPr>
        <w:t>,</w:t>
      </w:r>
      <w:r w:rsidRPr="00DA3E1C">
        <w:rPr>
          <w:rFonts w:cs="Segoe UI"/>
          <w:i/>
        </w:rPr>
        <w:t> ako aj jeho ťažba sa čiastočne darí realizovať (Tepelná elektráreň Nováky, Elektráreň Vojany a Hornonitrianske bane Prievidza).</w:t>
      </w:r>
    </w:p>
  </w:footnote>
  <w:footnote w:id="57">
    <w:p w14:paraId="161F6FB8" w14:textId="77777777" w:rsidR="00D7052E" w:rsidRPr="00FF325C" w:rsidRDefault="00D7052E" w:rsidP="008700C7">
      <w:pPr>
        <w:pStyle w:val="Textpoznmkypodiarou"/>
        <w:rPr>
          <w:i/>
        </w:rPr>
      </w:pPr>
      <w:r w:rsidRPr="00FF325C">
        <w:rPr>
          <w:rStyle w:val="Odkaznapoznmkupodiarou"/>
          <w:i/>
        </w:rPr>
        <w:footnoteRef/>
      </w:r>
      <w:r>
        <w:rPr>
          <w:i/>
          <w:vertAlign w:val="superscript"/>
        </w:rPr>
        <w:t>)</w:t>
      </w:r>
      <w:r w:rsidRPr="00FF325C">
        <w:rPr>
          <w:i/>
        </w:rPr>
        <w:t xml:space="preserve"> V súlade s novým zákonom o poplatkoch za ukladanie odpadov, ktorý je účinný od roku 2019.</w:t>
      </w:r>
    </w:p>
  </w:footnote>
  <w:footnote w:id="58">
    <w:p w14:paraId="4F0DAB01" w14:textId="368F1A1F" w:rsidR="00D7052E" w:rsidRDefault="00D7052E" w:rsidP="008700C7">
      <w:pPr>
        <w:pStyle w:val="Textpoznmkypodiarou"/>
      </w:pPr>
      <w:r>
        <w:rPr>
          <w:rStyle w:val="Odkaznapoznmkupodiarou"/>
        </w:rPr>
        <w:footnoteRef/>
      </w:r>
      <w:r>
        <w:rPr>
          <w:vertAlign w:val="superscript"/>
        </w:rPr>
        <w:t>)</w:t>
      </w:r>
      <w:r>
        <w:t xml:space="preserve"> </w:t>
      </w:r>
      <w:r>
        <w:rPr>
          <w:rFonts w:cs="Segoe UI"/>
          <w:i/>
          <w:szCs w:val="16"/>
        </w:rPr>
        <w:t xml:space="preserve">Implementačný plán na rok 2019, Revízia výdavkov na životné prostredie. </w:t>
      </w:r>
      <w:r>
        <w:rPr>
          <w:rFonts w:cs="Segoe UI"/>
          <w:i/>
          <w:szCs w:val="16"/>
          <w:lang w:val="en-US"/>
        </w:rPr>
        <w:t>[</w:t>
      </w:r>
      <w:hyperlink r:id="rId25" w:history="1">
        <w:r>
          <w:rPr>
            <w:rStyle w:val="Hypertextovprepojenie"/>
            <w:rFonts w:cs="Segoe UI"/>
            <w:i/>
            <w:sz w:val="16"/>
            <w:szCs w:val="16"/>
          </w:rPr>
          <w:t>on-line</w:t>
        </w:r>
      </w:hyperlink>
      <w:r>
        <w:rPr>
          <w:rFonts w:cs="Segoe UI"/>
          <w:i/>
          <w:szCs w:val="16"/>
        </w:rPr>
        <w:t xml:space="preserve">]. </w:t>
      </w:r>
      <w:r w:rsidRPr="00E275BF">
        <w:rPr>
          <w:rFonts w:cs="Segoe UI"/>
          <w:i/>
          <w:szCs w:val="16"/>
        </w:rPr>
        <w:t xml:space="preserve"> </w:t>
      </w:r>
    </w:p>
  </w:footnote>
  <w:footnote w:id="59">
    <w:p w14:paraId="640565C2" w14:textId="77777777" w:rsidR="00D7052E" w:rsidRPr="00FF325C" w:rsidRDefault="00D7052E" w:rsidP="00893E88">
      <w:pPr>
        <w:pStyle w:val="Textpoznmkypodiarou"/>
        <w:rPr>
          <w:i/>
          <w:szCs w:val="16"/>
        </w:rPr>
      </w:pPr>
      <w:r w:rsidRPr="00FF325C">
        <w:rPr>
          <w:rStyle w:val="Odkaznapoznmkupodiarou"/>
          <w:i/>
          <w:szCs w:val="16"/>
        </w:rPr>
        <w:footnoteRef/>
      </w:r>
      <w:r>
        <w:rPr>
          <w:i/>
          <w:szCs w:val="16"/>
          <w:vertAlign w:val="superscript"/>
        </w:rPr>
        <w:t>)</w:t>
      </w:r>
      <w:r w:rsidRPr="00FF325C">
        <w:rPr>
          <w:i/>
          <w:szCs w:val="16"/>
        </w:rPr>
        <w:t xml:space="preserve"> </w:t>
      </w:r>
      <w:r w:rsidRPr="00FF325C">
        <w:rPr>
          <w:bCs/>
          <w:i/>
          <w:szCs w:val="16"/>
        </w:rPr>
        <w:t xml:space="preserve">Z hodnotových opatrení navrhnutých Revíziou sa v roku 2020 nepodarilo plne implementovať žiadne. </w:t>
      </w:r>
      <w:r w:rsidRPr="00FF325C">
        <w:rPr>
          <w:bCs/>
          <w:i/>
          <w:szCs w:val="16"/>
          <w:lang w:val="en-US"/>
        </w:rPr>
        <w:t>[</w:t>
      </w:r>
      <w:hyperlink r:id="rId26" w:history="1">
        <w:r w:rsidRPr="00FF325C">
          <w:rPr>
            <w:rStyle w:val="Hypertextovprepojenie"/>
            <w:bCs/>
            <w:i/>
            <w:sz w:val="16"/>
            <w:szCs w:val="16"/>
          </w:rPr>
          <w:t>on-line</w:t>
        </w:r>
      </w:hyperlink>
      <w:r w:rsidRPr="00FF325C">
        <w:rPr>
          <w:bCs/>
          <w: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3" w:type="pct"/>
      <w:tblInd w:w="-1418" w:type="dxa"/>
      <w:shd w:val="clear" w:color="auto" w:fill="9CB9EC" w:themeFill="accent2"/>
      <w:tblCellMar>
        <w:top w:w="115" w:type="dxa"/>
        <w:left w:w="115" w:type="dxa"/>
        <w:bottom w:w="115" w:type="dxa"/>
        <w:right w:w="115" w:type="dxa"/>
      </w:tblCellMar>
      <w:tblLook w:val="04A0" w:firstRow="1" w:lastRow="0" w:firstColumn="1" w:lastColumn="0" w:noHBand="0" w:noVBand="1"/>
    </w:tblPr>
    <w:tblGrid>
      <w:gridCol w:w="12341"/>
    </w:tblGrid>
    <w:tr w:rsidR="00D7052E" w14:paraId="6078A1EE" w14:textId="77777777" w:rsidTr="00D368ED">
      <w:trPr>
        <w:trHeight w:val="1911"/>
      </w:trPr>
      <w:tc>
        <w:tcPr>
          <w:tcW w:w="5000" w:type="pct"/>
          <w:shd w:val="clear" w:color="auto" w:fill="314364"/>
          <w:vAlign w:val="center"/>
        </w:tcPr>
        <w:p w14:paraId="0129F68B" w14:textId="77777777" w:rsidR="00D7052E" w:rsidRPr="00D368ED" w:rsidRDefault="00D7052E" w:rsidP="000B6CC9">
          <w:pPr>
            <w:pStyle w:val="Hlavika"/>
            <w:tabs>
              <w:tab w:val="clear" w:pos="9072"/>
              <w:tab w:val="right" w:pos="10239"/>
            </w:tabs>
            <w:spacing w:before="240" w:after="120"/>
            <w:ind w:left="1308"/>
            <w:jc w:val="left"/>
            <w:rPr>
              <w:rFonts w:cs="Segoe UI"/>
              <w:b/>
              <w:caps/>
              <w:color w:val="FFFFFF" w:themeColor="background1"/>
              <w:sz w:val="40"/>
              <w:szCs w:val="40"/>
            </w:rPr>
          </w:pPr>
          <w:r w:rsidRPr="0060315B">
            <w:rPr>
              <w:rFonts w:cs="Segoe UI"/>
              <w:noProof/>
              <w:color w:val="FFFFFF" w:themeColor="background1"/>
              <w:sz w:val="40"/>
              <w:lang w:eastAsia="sk-SK"/>
            </w:rPr>
            <w:drawing>
              <wp:anchor distT="0" distB="0" distL="114300" distR="114300" simplePos="0" relativeHeight="251661312" behindDoc="0" locked="0" layoutInCell="1" allowOverlap="1" wp14:anchorId="375CB54A" wp14:editId="30DC9E20">
                <wp:simplePos x="0" y="0"/>
                <wp:positionH relativeFrom="margin">
                  <wp:posOffset>5177155</wp:posOffset>
                </wp:positionH>
                <wp:positionV relativeFrom="margin">
                  <wp:posOffset>135255</wp:posOffset>
                </wp:positionV>
                <wp:extent cx="1371600" cy="100965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Obrázok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009650"/>
                        </a:xfrm>
                        <a:prstGeom prst="rect">
                          <a:avLst/>
                        </a:prstGeom>
                      </pic:spPr>
                    </pic:pic>
                  </a:graphicData>
                </a:graphic>
                <wp14:sizeRelH relativeFrom="margin">
                  <wp14:pctWidth>0</wp14:pctWidth>
                </wp14:sizeRelH>
                <wp14:sizeRelV relativeFrom="margin">
                  <wp14:pctHeight>0</wp14:pctHeight>
                </wp14:sizeRelV>
              </wp:anchor>
            </w:drawing>
          </w:r>
          <w:r w:rsidRPr="00D368ED">
            <w:rPr>
              <w:rFonts w:cs="Segoe UI"/>
              <w:b/>
              <w:caps/>
              <w:color w:val="FFFFFF" w:themeColor="background1"/>
              <w:sz w:val="40"/>
              <w:szCs w:val="40"/>
            </w:rPr>
            <w:t>NAJVYŠŠÍ KONTROLNÝ ÚRAD</w:t>
          </w:r>
          <w:r w:rsidRPr="00D368ED">
            <w:rPr>
              <w:rFonts w:cs="Segoe UI"/>
              <w:b/>
              <w:caps/>
              <w:color w:val="FFFFFF" w:themeColor="background1"/>
              <w:sz w:val="40"/>
              <w:szCs w:val="40"/>
            </w:rPr>
            <w:br/>
            <w:t>SLOVENSKEJ REPUBLIKY</w:t>
          </w:r>
        </w:p>
        <w:p w14:paraId="41E3EFF0" w14:textId="77777777" w:rsidR="00D7052E" w:rsidRPr="00452B4A" w:rsidRDefault="00D7052E" w:rsidP="00D368ED">
          <w:pPr>
            <w:pStyle w:val="Hlavika"/>
            <w:ind w:left="1308"/>
            <w:jc w:val="left"/>
            <w:rPr>
              <w:rFonts w:ascii="Montserrat" w:hAnsi="Montserrat"/>
              <w:caps/>
              <w:color w:val="FFFFFF" w:themeColor="background1"/>
            </w:rPr>
          </w:pPr>
          <w:r>
            <w:rPr>
              <w:rFonts w:cs="Segoe UI"/>
              <w:color w:val="FFFFFF" w:themeColor="background1"/>
              <w:sz w:val="24"/>
            </w:rPr>
            <w:t>www.nku.gov.sk</w:t>
          </w:r>
        </w:p>
      </w:tc>
    </w:tr>
  </w:tbl>
  <w:p w14:paraId="0EE9014E" w14:textId="77777777" w:rsidR="00D7052E" w:rsidRDefault="00D7052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600" w:type="pct"/>
      <w:tblInd w:w="-1471" w:type="dxa"/>
      <w:shd w:val="clear" w:color="auto" w:fill="9CB9EC" w:themeFill="accent2"/>
      <w:tblCellMar>
        <w:top w:w="115" w:type="dxa"/>
        <w:left w:w="115" w:type="dxa"/>
        <w:bottom w:w="115" w:type="dxa"/>
        <w:right w:w="115" w:type="dxa"/>
      </w:tblCellMar>
      <w:tblLook w:val="04A0" w:firstRow="1" w:lastRow="0" w:firstColumn="1" w:lastColumn="0" w:noHBand="0" w:noVBand="1"/>
    </w:tblPr>
    <w:tblGrid>
      <w:gridCol w:w="11972"/>
    </w:tblGrid>
    <w:tr w:rsidR="00D7052E" w14:paraId="7A36DCFD" w14:textId="77777777" w:rsidTr="0056118C">
      <w:trPr>
        <w:trHeight w:val="1134"/>
      </w:trPr>
      <w:tc>
        <w:tcPr>
          <w:tcW w:w="5000" w:type="pct"/>
          <w:shd w:val="clear" w:color="auto" w:fill="314364"/>
          <w:vAlign w:val="center"/>
        </w:tcPr>
        <w:p w14:paraId="6D97F8F6" w14:textId="5CC4F8FA" w:rsidR="00D7052E" w:rsidRPr="00962F36" w:rsidRDefault="00D7052E" w:rsidP="00092577">
          <w:pPr>
            <w:pStyle w:val="Hlavika"/>
            <w:tabs>
              <w:tab w:val="clear" w:pos="4536"/>
              <w:tab w:val="center" w:pos="309"/>
            </w:tabs>
            <w:spacing w:before="120"/>
            <w:ind w:left="309" w:right="1296"/>
            <w:jc w:val="right"/>
            <w:rPr>
              <w:rFonts w:cs="Segoe UI"/>
              <w:color w:val="FFFFFF" w:themeColor="background1"/>
              <w:sz w:val="24"/>
            </w:rPr>
          </w:pPr>
          <w:r>
            <w:rPr>
              <w:rFonts w:cs="Segoe UI"/>
              <w:color w:val="FFFFFF" w:themeColor="background1"/>
              <w:sz w:val="24"/>
            </w:rPr>
            <w:br/>
            <w:t>www.nku.gov.sk</w:t>
          </w:r>
        </w:p>
      </w:tc>
    </w:tr>
  </w:tbl>
  <w:p w14:paraId="25C8DE35" w14:textId="77777777" w:rsidR="00D7052E" w:rsidRDefault="00D705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B422C4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386E14"/>
    <w:multiLevelType w:val="hybridMultilevel"/>
    <w:tmpl w:val="0BAE7192"/>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 w15:restartNumberingAfterBreak="0">
    <w:nsid w:val="01415B3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3D1EA4"/>
    <w:multiLevelType w:val="hybridMultilevel"/>
    <w:tmpl w:val="A2308EA0"/>
    <w:lvl w:ilvl="0" w:tplc="F084AF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6A5CD7"/>
    <w:multiLevelType w:val="multilevel"/>
    <w:tmpl w:val="CCBE1A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065B0B66"/>
    <w:multiLevelType w:val="hybridMultilevel"/>
    <w:tmpl w:val="F9F6D3E4"/>
    <w:lvl w:ilvl="0" w:tplc="2AB4B55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3D4DE1"/>
    <w:multiLevelType w:val="hybridMultilevel"/>
    <w:tmpl w:val="F49E1B6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EC83D03"/>
    <w:multiLevelType w:val="hybridMultilevel"/>
    <w:tmpl w:val="0980BC60"/>
    <w:lvl w:ilvl="0" w:tplc="4448D31A">
      <w:start w:val="1"/>
      <w:numFmt w:val="decimal"/>
      <w:lvlText w:val="%1."/>
      <w:lvlJc w:val="left"/>
      <w:pPr>
        <w:ind w:left="720" w:hanging="360"/>
      </w:pPr>
      <w:rPr>
        <w:rFonts w:ascii="Segoe UI" w:eastAsiaTheme="minorHAnsi" w:hAnsi="Segoe U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9D19BC"/>
    <w:multiLevelType w:val="hybridMultilevel"/>
    <w:tmpl w:val="1B1E8C52"/>
    <w:lvl w:ilvl="0" w:tplc="30744BCA">
      <w:numFmt w:val="bullet"/>
      <w:lvlText w:val="-"/>
      <w:lvlJc w:val="left"/>
      <w:pPr>
        <w:ind w:left="420" w:hanging="360"/>
      </w:pPr>
      <w:rPr>
        <w:rFonts w:ascii="Segoe UI" w:eastAsiaTheme="minorHAnsi" w:hAnsi="Segoe UI" w:cs="Segoe U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9" w15:restartNumberingAfterBreak="0">
    <w:nsid w:val="14F532AE"/>
    <w:multiLevelType w:val="hybridMultilevel"/>
    <w:tmpl w:val="F9F6D3E4"/>
    <w:lvl w:ilvl="0" w:tplc="2AB4B55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B550AA"/>
    <w:multiLevelType w:val="hybridMultilevel"/>
    <w:tmpl w:val="14EC0B56"/>
    <w:lvl w:ilvl="0" w:tplc="985C7DCA">
      <w:start w:val="2"/>
      <w:numFmt w:val="bullet"/>
      <w:lvlText w:val="-"/>
      <w:lvlJc w:val="left"/>
      <w:pPr>
        <w:ind w:left="0" w:firstLine="0"/>
      </w:pPr>
      <w:rPr>
        <w:rFonts w:ascii="Segoe UI" w:eastAsiaTheme="minorHAnsi" w:hAnsi="Segoe U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1772320A"/>
    <w:multiLevelType w:val="hybridMultilevel"/>
    <w:tmpl w:val="F2A416B6"/>
    <w:lvl w:ilvl="0" w:tplc="985C7DCA">
      <w:start w:val="2"/>
      <w:numFmt w:val="bullet"/>
      <w:lvlText w:val="-"/>
      <w:lvlJc w:val="left"/>
      <w:pPr>
        <w:ind w:left="720" w:hanging="360"/>
      </w:pPr>
      <w:rPr>
        <w:rFonts w:ascii="Segoe UI" w:eastAsiaTheme="minorHAnsi" w:hAnsi="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A1D05BE"/>
    <w:multiLevelType w:val="hybridMultilevel"/>
    <w:tmpl w:val="DE40DE26"/>
    <w:lvl w:ilvl="0" w:tplc="03BA7296">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1BB2443C"/>
    <w:multiLevelType w:val="hybridMultilevel"/>
    <w:tmpl w:val="F4E6D1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E55DA3"/>
    <w:multiLevelType w:val="hybridMultilevel"/>
    <w:tmpl w:val="BFCC99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753F28"/>
    <w:multiLevelType w:val="hybridMultilevel"/>
    <w:tmpl w:val="40EE383E"/>
    <w:lvl w:ilvl="0" w:tplc="041B0019">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6EC729D"/>
    <w:multiLevelType w:val="hybridMultilevel"/>
    <w:tmpl w:val="9DFA2408"/>
    <w:lvl w:ilvl="0" w:tplc="03BA7296">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ACC0E74"/>
    <w:multiLevelType w:val="hybridMultilevel"/>
    <w:tmpl w:val="5F28D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1E7074"/>
    <w:multiLevelType w:val="multilevel"/>
    <w:tmpl w:val="FF002986"/>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9" w15:restartNumberingAfterBreak="0">
    <w:nsid w:val="3DBE68C9"/>
    <w:multiLevelType w:val="hybridMultilevel"/>
    <w:tmpl w:val="4C70F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9E3AC0"/>
    <w:multiLevelType w:val="hybridMultilevel"/>
    <w:tmpl w:val="86249D46"/>
    <w:lvl w:ilvl="0" w:tplc="67127FAC">
      <w:start w:val="2020"/>
      <w:numFmt w:val="bullet"/>
      <w:lvlText w:val="-"/>
      <w:lvlJc w:val="left"/>
      <w:pPr>
        <w:ind w:left="720" w:hanging="360"/>
      </w:pPr>
      <w:rPr>
        <w:rFonts w:ascii="Segoe UI" w:eastAsiaTheme="minorHAns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8C14BD4"/>
    <w:multiLevelType w:val="hybridMultilevel"/>
    <w:tmpl w:val="AD7E6442"/>
    <w:lvl w:ilvl="0" w:tplc="985C7DCA">
      <w:start w:val="2"/>
      <w:numFmt w:val="bullet"/>
      <w:lvlText w:val="-"/>
      <w:lvlJc w:val="left"/>
      <w:pPr>
        <w:ind w:left="720" w:hanging="360"/>
      </w:pPr>
      <w:rPr>
        <w:rFonts w:ascii="Segoe UI" w:eastAsiaTheme="minorHAnsi" w:hAnsi="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7610D2"/>
    <w:multiLevelType w:val="hybridMultilevel"/>
    <w:tmpl w:val="3D86B1B8"/>
    <w:lvl w:ilvl="0" w:tplc="985C7DCA">
      <w:start w:val="2"/>
      <w:numFmt w:val="bullet"/>
      <w:lvlText w:val="-"/>
      <w:lvlJc w:val="left"/>
      <w:pPr>
        <w:ind w:left="720" w:hanging="360"/>
      </w:pPr>
      <w:rPr>
        <w:rFonts w:ascii="Segoe UI" w:eastAsiaTheme="minorHAnsi" w:hAnsi="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CCE3342"/>
    <w:multiLevelType w:val="hybridMultilevel"/>
    <w:tmpl w:val="AC8C0610"/>
    <w:lvl w:ilvl="0" w:tplc="20A00EA2">
      <w:numFmt w:val="bullet"/>
      <w:lvlText w:val="-"/>
      <w:lvlJc w:val="left"/>
      <w:pPr>
        <w:ind w:left="720" w:hanging="360"/>
      </w:pPr>
      <w:rPr>
        <w:rFonts w:ascii="Segoe UI" w:eastAsiaTheme="minorHAns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C93BA0"/>
    <w:multiLevelType w:val="hybridMultilevel"/>
    <w:tmpl w:val="ED767D7A"/>
    <w:lvl w:ilvl="0" w:tplc="041B0001">
      <w:start w:val="1"/>
      <w:numFmt w:val="bullet"/>
      <w:lvlText w:val=""/>
      <w:lvlJc w:val="left"/>
      <w:pPr>
        <w:ind w:left="720" w:hanging="607"/>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73B2FE1"/>
    <w:multiLevelType w:val="hybridMultilevel"/>
    <w:tmpl w:val="434C1B0C"/>
    <w:lvl w:ilvl="0" w:tplc="03BA7296">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0341B3"/>
    <w:multiLevelType w:val="hybridMultilevel"/>
    <w:tmpl w:val="7C1CA97E"/>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EE5B02"/>
    <w:multiLevelType w:val="hybridMultilevel"/>
    <w:tmpl w:val="F23CA8A8"/>
    <w:lvl w:ilvl="0" w:tplc="03BA7296">
      <w:start w:val="1"/>
      <w:numFmt w:val="bullet"/>
      <w:lvlText w:val="−"/>
      <w:lvlJc w:val="left"/>
      <w:pPr>
        <w:ind w:left="720" w:hanging="360"/>
      </w:pPr>
      <w:rPr>
        <w:rFonts w:ascii="Arial Narrow"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F910701"/>
    <w:multiLevelType w:val="hybridMultilevel"/>
    <w:tmpl w:val="DF8A6F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09920EC"/>
    <w:multiLevelType w:val="hybridMultilevel"/>
    <w:tmpl w:val="52D2B098"/>
    <w:lvl w:ilvl="0" w:tplc="BEC42024">
      <w:numFmt w:val="bullet"/>
      <w:lvlText w:val="-"/>
      <w:lvlJc w:val="left"/>
      <w:pPr>
        <w:ind w:left="720" w:hanging="360"/>
      </w:pPr>
      <w:rPr>
        <w:rFonts w:ascii="Segoe UI" w:eastAsiaTheme="minorHAnsi" w:hAnsi="Segoe UI" w:cs="Segoe U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64A54957"/>
    <w:multiLevelType w:val="hybridMultilevel"/>
    <w:tmpl w:val="95B608C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60D3C0F"/>
    <w:multiLevelType w:val="hybridMultilevel"/>
    <w:tmpl w:val="7936AE06"/>
    <w:lvl w:ilvl="0" w:tplc="980C73D2">
      <w:start w:val="1"/>
      <w:numFmt w:val="decimal"/>
      <w:pStyle w:val="Pouitliteratra"/>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1E3DD5"/>
    <w:multiLevelType w:val="hybridMultilevel"/>
    <w:tmpl w:val="98E2B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BAE4E16"/>
    <w:multiLevelType w:val="hybridMultilevel"/>
    <w:tmpl w:val="F9F6D3E4"/>
    <w:lvl w:ilvl="0" w:tplc="2AB4B55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0265FA"/>
    <w:multiLevelType w:val="hybridMultilevel"/>
    <w:tmpl w:val="DD5256FC"/>
    <w:lvl w:ilvl="0" w:tplc="8940DB8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84282E"/>
    <w:multiLevelType w:val="multilevel"/>
    <w:tmpl w:val="623AD604"/>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2559"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C902E8"/>
    <w:multiLevelType w:val="hybridMultilevel"/>
    <w:tmpl w:val="7D5A8598"/>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6270A1E"/>
    <w:multiLevelType w:val="hybridMultilevel"/>
    <w:tmpl w:val="A70263F4"/>
    <w:lvl w:ilvl="0" w:tplc="041B001B">
      <w:start w:val="1"/>
      <w:numFmt w:val="lowerRoman"/>
      <w:lvlText w:val="%1."/>
      <w:lvlJc w:val="righ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31"/>
  </w:num>
  <w:num w:numId="4">
    <w:abstractNumId w:val="18"/>
  </w:num>
  <w:num w:numId="5">
    <w:abstractNumId w:val="4"/>
  </w:num>
  <w:num w:numId="6">
    <w:abstractNumId w:val="3"/>
  </w:num>
  <w:num w:numId="7">
    <w:abstractNumId w:val="2"/>
  </w:num>
  <w:num w:numId="8">
    <w:abstractNumId w:val="35"/>
  </w:num>
  <w:num w:numId="9">
    <w:abstractNumId w:val="35"/>
  </w:num>
  <w:num w:numId="10">
    <w:abstractNumId w:val="35"/>
  </w:num>
  <w:num w:numId="11">
    <w:abstractNumId w:val="35"/>
  </w:num>
  <w:num w:numId="12">
    <w:abstractNumId w:val="35"/>
  </w:num>
  <w:num w:numId="13">
    <w:abstractNumId w:val="20"/>
  </w:num>
  <w:num w:numId="14">
    <w:abstractNumId w:val="27"/>
  </w:num>
  <w:num w:numId="15">
    <w:abstractNumId w:val="12"/>
  </w:num>
  <w:num w:numId="16">
    <w:abstractNumId w:val="6"/>
  </w:num>
  <w:num w:numId="17">
    <w:abstractNumId w:val="35"/>
  </w:num>
  <w:num w:numId="18">
    <w:abstractNumId w:val="7"/>
  </w:num>
  <w:num w:numId="19">
    <w:abstractNumId w:val="10"/>
  </w:num>
  <w:num w:numId="20">
    <w:abstractNumId w:val="16"/>
  </w:num>
  <w:num w:numId="21">
    <w:abstractNumId w:val="14"/>
  </w:num>
  <w:num w:numId="22">
    <w:abstractNumId w:val="22"/>
  </w:num>
  <w:num w:numId="23">
    <w:abstractNumId w:val="1"/>
  </w:num>
  <w:num w:numId="24">
    <w:abstractNumId w:val="28"/>
  </w:num>
  <w:num w:numId="25">
    <w:abstractNumId w:val="11"/>
  </w:num>
  <w:num w:numId="26">
    <w:abstractNumId w:val="21"/>
  </w:num>
  <w:num w:numId="27">
    <w:abstractNumId w:val="17"/>
  </w:num>
  <w:num w:numId="28">
    <w:abstractNumId w:val="35"/>
  </w:num>
  <w:num w:numId="29">
    <w:abstractNumId w:val="35"/>
  </w:num>
  <w:num w:numId="30">
    <w:abstractNumId w:val="19"/>
  </w:num>
  <w:num w:numId="31">
    <w:abstractNumId w:val="23"/>
  </w:num>
  <w:num w:numId="32">
    <w:abstractNumId w:val="24"/>
  </w:num>
  <w:num w:numId="33">
    <w:abstractNumId w:val="29"/>
  </w:num>
  <w:num w:numId="34">
    <w:abstractNumId w:val="13"/>
  </w:num>
  <w:num w:numId="35">
    <w:abstractNumId w:val="32"/>
  </w:num>
  <w:num w:numId="36">
    <w:abstractNumId w:val="26"/>
  </w:num>
  <w:num w:numId="37">
    <w:abstractNumId w:val="37"/>
  </w:num>
  <w:num w:numId="38">
    <w:abstractNumId w:val="15"/>
  </w:num>
  <w:num w:numId="39">
    <w:abstractNumId w:val="36"/>
  </w:num>
  <w:num w:numId="40">
    <w:abstractNumId w:val="33"/>
  </w:num>
  <w:num w:numId="41">
    <w:abstractNumId w:val="9"/>
  </w:num>
  <w:num w:numId="42">
    <w:abstractNumId w:val="5"/>
  </w:num>
  <w:num w:numId="43">
    <w:abstractNumId w:val="34"/>
  </w:num>
  <w:num w:numId="44">
    <w:abstractNumId w:val="2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C2"/>
    <w:rsid w:val="00000294"/>
    <w:rsid w:val="00002667"/>
    <w:rsid w:val="00004033"/>
    <w:rsid w:val="000059A5"/>
    <w:rsid w:val="00006CF3"/>
    <w:rsid w:val="000112C8"/>
    <w:rsid w:val="00011DEB"/>
    <w:rsid w:val="000156D3"/>
    <w:rsid w:val="00015CB4"/>
    <w:rsid w:val="00016D01"/>
    <w:rsid w:val="00023340"/>
    <w:rsid w:val="00024757"/>
    <w:rsid w:val="000248C3"/>
    <w:rsid w:val="00024931"/>
    <w:rsid w:val="00024E9A"/>
    <w:rsid w:val="00025225"/>
    <w:rsid w:val="00030D77"/>
    <w:rsid w:val="000347E2"/>
    <w:rsid w:val="00034CF4"/>
    <w:rsid w:val="0003553D"/>
    <w:rsid w:val="00035D8F"/>
    <w:rsid w:val="00037A18"/>
    <w:rsid w:val="00041751"/>
    <w:rsid w:val="00046FC0"/>
    <w:rsid w:val="00047A70"/>
    <w:rsid w:val="00050F6E"/>
    <w:rsid w:val="0005233D"/>
    <w:rsid w:val="000555E4"/>
    <w:rsid w:val="0005675B"/>
    <w:rsid w:val="00056B89"/>
    <w:rsid w:val="000601AC"/>
    <w:rsid w:val="00060491"/>
    <w:rsid w:val="00060EFA"/>
    <w:rsid w:val="000615A9"/>
    <w:rsid w:val="00061F1F"/>
    <w:rsid w:val="0006328F"/>
    <w:rsid w:val="000634F6"/>
    <w:rsid w:val="00066A87"/>
    <w:rsid w:val="00071405"/>
    <w:rsid w:val="00074731"/>
    <w:rsid w:val="00077243"/>
    <w:rsid w:val="00081734"/>
    <w:rsid w:val="00081DDE"/>
    <w:rsid w:val="00083097"/>
    <w:rsid w:val="00085D9A"/>
    <w:rsid w:val="00086CFA"/>
    <w:rsid w:val="00091260"/>
    <w:rsid w:val="00091866"/>
    <w:rsid w:val="00092577"/>
    <w:rsid w:val="00092E55"/>
    <w:rsid w:val="000940C2"/>
    <w:rsid w:val="00095320"/>
    <w:rsid w:val="00095CF4"/>
    <w:rsid w:val="0009606A"/>
    <w:rsid w:val="000A0207"/>
    <w:rsid w:val="000A451D"/>
    <w:rsid w:val="000B17E1"/>
    <w:rsid w:val="000B1C0A"/>
    <w:rsid w:val="000B379D"/>
    <w:rsid w:val="000B6CC9"/>
    <w:rsid w:val="000B7C4A"/>
    <w:rsid w:val="000C1766"/>
    <w:rsid w:val="000C33D4"/>
    <w:rsid w:val="000C671E"/>
    <w:rsid w:val="000C7B37"/>
    <w:rsid w:val="000D05F7"/>
    <w:rsid w:val="000D08CC"/>
    <w:rsid w:val="000D44E2"/>
    <w:rsid w:val="000D556A"/>
    <w:rsid w:val="000D6535"/>
    <w:rsid w:val="000D752F"/>
    <w:rsid w:val="000E0405"/>
    <w:rsid w:val="000E1E08"/>
    <w:rsid w:val="000E5CB3"/>
    <w:rsid w:val="000F6D77"/>
    <w:rsid w:val="00100936"/>
    <w:rsid w:val="00104F9C"/>
    <w:rsid w:val="00105203"/>
    <w:rsid w:val="00105E47"/>
    <w:rsid w:val="001067DB"/>
    <w:rsid w:val="00106BF8"/>
    <w:rsid w:val="00107DD4"/>
    <w:rsid w:val="00110271"/>
    <w:rsid w:val="001123B7"/>
    <w:rsid w:val="00113C5D"/>
    <w:rsid w:val="0011737A"/>
    <w:rsid w:val="0011791E"/>
    <w:rsid w:val="00122526"/>
    <w:rsid w:val="001256A4"/>
    <w:rsid w:val="00127302"/>
    <w:rsid w:val="001273CF"/>
    <w:rsid w:val="0013594B"/>
    <w:rsid w:val="00135BC5"/>
    <w:rsid w:val="0014071A"/>
    <w:rsid w:val="0014156E"/>
    <w:rsid w:val="0014343D"/>
    <w:rsid w:val="0014479C"/>
    <w:rsid w:val="0014533F"/>
    <w:rsid w:val="00145644"/>
    <w:rsid w:val="00145BA9"/>
    <w:rsid w:val="00151147"/>
    <w:rsid w:val="0015153D"/>
    <w:rsid w:val="001555F8"/>
    <w:rsid w:val="001576E9"/>
    <w:rsid w:val="001609D9"/>
    <w:rsid w:val="00160B33"/>
    <w:rsid w:val="00160CCF"/>
    <w:rsid w:val="00162997"/>
    <w:rsid w:val="00164DF3"/>
    <w:rsid w:val="00165813"/>
    <w:rsid w:val="00165F25"/>
    <w:rsid w:val="001736C2"/>
    <w:rsid w:val="001778A6"/>
    <w:rsid w:val="00181C89"/>
    <w:rsid w:val="00182145"/>
    <w:rsid w:val="00184758"/>
    <w:rsid w:val="0018540D"/>
    <w:rsid w:val="0018541D"/>
    <w:rsid w:val="00185FA1"/>
    <w:rsid w:val="00192A7B"/>
    <w:rsid w:val="001931C5"/>
    <w:rsid w:val="001932C8"/>
    <w:rsid w:val="00194C12"/>
    <w:rsid w:val="001951F6"/>
    <w:rsid w:val="00196D31"/>
    <w:rsid w:val="00197492"/>
    <w:rsid w:val="0019785D"/>
    <w:rsid w:val="001A1C0E"/>
    <w:rsid w:val="001A2FF8"/>
    <w:rsid w:val="001A3D08"/>
    <w:rsid w:val="001A6FB8"/>
    <w:rsid w:val="001B03A6"/>
    <w:rsid w:val="001B10CB"/>
    <w:rsid w:val="001B3E13"/>
    <w:rsid w:val="001B4846"/>
    <w:rsid w:val="001B5440"/>
    <w:rsid w:val="001C47F4"/>
    <w:rsid w:val="001C5FF2"/>
    <w:rsid w:val="001C7997"/>
    <w:rsid w:val="001D4049"/>
    <w:rsid w:val="001D4805"/>
    <w:rsid w:val="001D56CD"/>
    <w:rsid w:val="001D5E57"/>
    <w:rsid w:val="001D7483"/>
    <w:rsid w:val="001E0A12"/>
    <w:rsid w:val="001E109F"/>
    <w:rsid w:val="001E3DBD"/>
    <w:rsid w:val="001E4A2A"/>
    <w:rsid w:val="001E7A80"/>
    <w:rsid w:val="001F3866"/>
    <w:rsid w:val="001F4513"/>
    <w:rsid w:val="001F4AA2"/>
    <w:rsid w:val="001F7057"/>
    <w:rsid w:val="00202081"/>
    <w:rsid w:val="0020314A"/>
    <w:rsid w:val="002038B4"/>
    <w:rsid w:val="00205613"/>
    <w:rsid w:val="00207111"/>
    <w:rsid w:val="00210CF0"/>
    <w:rsid w:val="002158AB"/>
    <w:rsid w:val="00217DFF"/>
    <w:rsid w:val="00220608"/>
    <w:rsid w:val="00227DB9"/>
    <w:rsid w:val="002317A5"/>
    <w:rsid w:val="0023186B"/>
    <w:rsid w:val="00235889"/>
    <w:rsid w:val="00237F46"/>
    <w:rsid w:val="002407D6"/>
    <w:rsid w:val="0024149A"/>
    <w:rsid w:val="00241FDE"/>
    <w:rsid w:val="00243A51"/>
    <w:rsid w:val="00243D49"/>
    <w:rsid w:val="002604A2"/>
    <w:rsid w:val="0026362C"/>
    <w:rsid w:val="0026414E"/>
    <w:rsid w:val="0026439C"/>
    <w:rsid w:val="002649EE"/>
    <w:rsid w:val="0027333D"/>
    <w:rsid w:val="002741AA"/>
    <w:rsid w:val="00274EED"/>
    <w:rsid w:val="00276436"/>
    <w:rsid w:val="00277C8B"/>
    <w:rsid w:val="002846CB"/>
    <w:rsid w:val="00287025"/>
    <w:rsid w:val="002926E5"/>
    <w:rsid w:val="0029286C"/>
    <w:rsid w:val="00292D37"/>
    <w:rsid w:val="00294C28"/>
    <w:rsid w:val="00296624"/>
    <w:rsid w:val="002A1496"/>
    <w:rsid w:val="002A20BC"/>
    <w:rsid w:val="002A24A1"/>
    <w:rsid w:val="002A2DEC"/>
    <w:rsid w:val="002A31B8"/>
    <w:rsid w:val="002A3A7F"/>
    <w:rsid w:val="002A5217"/>
    <w:rsid w:val="002A599C"/>
    <w:rsid w:val="002B0AFD"/>
    <w:rsid w:val="002B2A28"/>
    <w:rsid w:val="002B6671"/>
    <w:rsid w:val="002C16C4"/>
    <w:rsid w:val="002C2BAB"/>
    <w:rsid w:val="002C61B7"/>
    <w:rsid w:val="002C7A6A"/>
    <w:rsid w:val="002D14C1"/>
    <w:rsid w:val="002D389F"/>
    <w:rsid w:val="002D3CCA"/>
    <w:rsid w:val="002D4645"/>
    <w:rsid w:val="002D4ED0"/>
    <w:rsid w:val="002D4FA6"/>
    <w:rsid w:val="002D50F1"/>
    <w:rsid w:val="002D54D7"/>
    <w:rsid w:val="002E0AA8"/>
    <w:rsid w:val="002E130C"/>
    <w:rsid w:val="002E3AB9"/>
    <w:rsid w:val="002E4C15"/>
    <w:rsid w:val="002E4CC5"/>
    <w:rsid w:val="002E4FF4"/>
    <w:rsid w:val="002F199C"/>
    <w:rsid w:val="002F30A4"/>
    <w:rsid w:val="002F69BE"/>
    <w:rsid w:val="002F731B"/>
    <w:rsid w:val="00305D3C"/>
    <w:rsid w:val="0031008D"/>
    <w:rsid w:val="00311DA9"/>
    <w:rsid w:val="00312033"/>
    <w:rsid w:val="003131B6"/>
    <w:rsid w:val="00313BE3"/>
    <w:rsid w:val="003141CA"/>
    <w:rsid w:val="003149DB"/>
    <w:rsid w:val="00320202"/>
    <w:rsid w:val="0032280E"/>
    <w:rsid w:val="00330871"/>
    <w:rsid w:val="00331365"/>
    <w:rsid w:val="00333744"/>
    <w:rsid w:val="00337BD2"/>
    <w:rsid w:val="003445E1"/>
    <w:rsid w:val="003465F3"/>
    <w:rsid w:val="00346601"/>
    <w:rsid w:val="00347074"/>
    <w:rsid w:val="003470FF"/>
    <w:rsid w:val="0035040C"/>
    <w:rsid w:val="0035167C"/>
    <w:rsid w:val="00353534"/>
    <w:rsid w:val="00354F33"/>
    <w:rsid w:val="0035673A"/>
    <w:rsid w:val="003567A1"/>
    <w:rsid w:val="00361E85"/>
    <w:rsid w:val="00362C0F"/>
    <w:rsid w:val="00363203"/>
    <w:rsid w:val="003671FA"/>
    <w:rsid w:val="003709F8"/>
    <w:rsid w:val="003712F4"/>
    <w:rsid w:val="003731BB"/>
    <w:rsid w:val="003733BE"/>
    <w:rsid w:val="0037525E"/>
    <w:rsid w:val="00375593"/>
    <w:rsid w:val="00375629"/>
    <w:rsid w:val="0037567D"/>
    <w:rsid w:val="00376D38"/>
    <w:rsid w:val="00380732"/>
    <w:rsid w:val="00381348"/>
    <w:rsid w:val="003914D9"/>
    <w:rsid w:val="00391708"/>
    <w:rsid w:val="00391D7C"/>
    <w:rsid w:val="00392952"/>
    <w:rsid w:val="00392CE4"/>
    <w:rsid w:val="00393658"/>
    <w:rsid w:val="00393A4D"/>
    <w:rsid w:val="00397688"/>
    <w:rsid w:val="003A151A"/>
    <w:rsid w:val="003A15C9"/>
    <w:rsid w:val="003A44A0"/>
    <w:rsid w:val="003A5A60"/>
    <w:rsid w:val="003A6C19"/>
    <w:rsid w:val="003A74A2"/>
    <w:rsid w:val="003B0361"/>
    <w:rsid w:val="003B1E6E"/>
    <w:rsid w:val="003B321A"/>
    <w:rsid w:val="003B4011"/>
    <w:rsid w:val="003B5630"/>
    <w:rsid w:val="003B7F8F"/>
    <w:rsid w:val="003D05CC"/>
    <w:rsid w:val="003D315C"/>
    <w:rsid w:val="003D4D45"/>
    <w:rsid w:val="003D4F20"/>
    <w:rsid w:val="003D6267"/>
    <w:rsid w:val="003D7A71"/>
    <w:rsid w:val="003E0E2F"/>
    <w:rsid w:val="003E257A"/>
    <w:rsid w:val="003F19FB"/>
    <w:rsid w:val="003F248C"/>
    <w:rsid w:val="003F28BE"/>
    <w:rsid w:val="003F69EA"/>
    <w:rsid w:val="003F7659"/>
    <w:rsid w:val="003F7B4F"/>
    <w:rsid w:val="00400A50"/>
    <w:rsid w:val="00402C95"/>
    <w:rsid w:val="004117E6"/>
    <w:rsid w:val="00412486"/>
    <w:rsid w:val="00413AF0"/>
    <w:rsid w:val="00413DDE"/>
    <w:rsid w:val="004207C0"/>
    <w:rsid w:val="00422249"/>
    <w:rsid w:val="00426946"/>
    <w:rsid w:val="00427568"/>
    <w:rsid w:val="00432AD8"/>
    <w:rsid w:val="0043565C"/>
    <w:rsid w:val="00436A49"/>
    <w:rsid w:val="00440A40"/>
    <w:rsid w:val="00442CE6"/>
    <w:rsid w:val="00444649"/>
    <w:rsid w:val="00451D11"/>
    <w:rsid w:val="00452609"/>
    <w:rsid w:val="004527DD"/>
    <w:rsid w:val="00452FAE"/>
    <w:rsid w:val="0045441E"/>
    <w:rsid w:val="00454845"/>
    <w:rsid w:val="00454AE6"/>
    <w:rsid w:val="00462C0B"/>
    <w:rsid w:val="0046587D"/>
    <w:rsid w:val="004673B5"/>
    <w:rsid w:val="004848BF"/>
    <w:rsid w:val="0049128E"/>
    <w:rsid w:val="00493BE3"/>
    <w:rsid w:val="00497CAB"/>
    <w:rsid w:val="004A1372"/>
    <w:rsid w:val="004A147A"/>
    <w:rsid w:val="004A3F2C"/>
    <w:rsid w:val="004A4470"/>
    <w:rsid w:val="004A5262"/>
    <w:rsid w:val="004A5459"/>
    <w:rsid w:val="004B0E21"/>
    <w:rsid w:val="004B2632"/>
    <w:rsid w:val="004C00A0"/>
    <w:rsid w:val="004C1252"/>
    <w:rsid w:val="004C3AFC"/>
    <w:rsid w:val="004C4E08"/>
    <w:rsid w:val="004C501B"/>
    <w:rsid w:val="004C691A"/>
    <w:rsid w:val="004C6D1F"/>
    <w:rsid w:val="004D09C6"/>
    <w:rsid w:val="004D3016"/>
    <w:rsid w:val="004E051A"/>
    <w:rsid w:val="004E415F"/>
    <w:rsid w:val="004E6991"/>
    <w:rsid w:val="004E6F9A"/>
    <w:rsid w:val="004F018B"/>
    <w:rsid w:val="004F0587"/>
    <w:rsid w:val="004F10D0"/>
    <w:rsid w:val="004F207A"/>
    <w:rsid w:val="004F2E30"/>
    <w:rsid w:val="00513E0C"/>
    <w:rsid w:val="0051510D"/>
    <w:rsid w:val="005158D2"/>
    <w:rsid w:val="005217B4"/>
    <w:rsid w:val="005224B6"/>
    <w:rsid w:val="0052787E"/>
    <w:rsid w:val="005302BF"/>
    <w:rsid w:val="0053105A"/>
    <w:rsid w:val="00532F40"/>
    <w:rsid w:val="00534688"/>
    <w:rsid w:val="00534BDB"/>
    <w:rsid w:val="0053790A"/>
    <w:rsid w:val="00541E71"/>
    <w:rsid w:val="00544EBD"/>
    <w:rsid w:val="0055004D"/>
    <w:rsid w:val="00550DAB"/>
    <w:rsid w:val="0055104C"/>
    <w:rsid w:val="0055168A"/>
    <w:rsid w:val="00552FA4"/>
    <w:rsid w:val="00553554"/>
    <w:rsid w:val="0056096B"/>
    <w:rsid w:val="00560B1D"/>
    <w:rsid w:val="0056118C"/>
    <w:rsid w:val="005634D1"/>
    <w:rsid w:val="00567CCE"/>
    <w:rsid w:val="005718D5"/>
    <w:rsid w:val="0057191D"/>
    <w:rsid w:val="00571A80"/>
    <w:rsid w:val="0057351D"/>
    <w:rsid w:val="005752DC"/>
    <w:rsid w:val="00582A6C"/>
    <w:rsid w:val="00584854"/>
    <w:rsid w:val="005852A6"/>
    <w:rsid w:val="00585A84"/>
    <w:rsid w:val="00587DF9"/>
    <w:rsid w:val="00590B0F"/>
    <w:rsid w:val="0059120A"/>
    <w:rsid w:val="0059169C"/>
    <w:rsid w:val="00593B17"/>
    <w:rsid w:val="00593D0A"/>
    <w:rsid w:val="005A0044"/>
    <w:rsid w:val="005A4C1A"/>
    <w:rsid w:val="005A7563"/>
    <w:rsid w:val="005B0A15"/>
    <w:rsid w:val="005B144E"/>
    <w:rsid w:val="005B253E"/>
    <w:rsid w:val="005B513E"/>
    <w:rsid w:val="005B56E7"/>
    <w:rsid w:val="005B7CF2"/>
    <w:rsid w:val="005C0F36"/>
    <w:rsid w:val="005C1FD3"/>
    <w:rsid w:val="005C28F3"/>
    <w:rsid w:val="005C3B91"/>
    <w:rsid w:val="005C55A0"/>
    <w:rsid w:val="005C61DD"/>
    <w:rsid w:val="005D0B91"/>
    <w:rsid w:val="005D2701"/>
    <w:rsid w:val="005D3AAF"/>
    <w:rsid w:val="005D3DC8"/>
    <w:rsid w:val="005E1FFA"/>
    <w:rsid w:val="005E276B"/>
    <w:rsid w:val="005E312A"/>
    <w:rsid w:val="005E3614"/>
    <w:rsid w:val="005E3E18"/>
    <w:rsid w:val="005E582F"/>
    <w:rsid w:val="005E58BC"/>
    <w:rsid w:val="005E7D60"/>
    <w:rsid w:val="005F0F5B"/>
    <w:rsid w:val="005F3517"/>
    <w:rsid w:val="005F383C"/>
    <w:rsid w:val="005F5E3D"/>
    <w:rsid w:val="005F64E6"/>
    <w:rsid w:val="006023A2"/>
    <w:rsid w:val="00606C83"/>
    <w:rsid w:val="00607D51"/>
    <w:rsid w:val="00607ED0"/>
    <w:rsid w:val="006119C0"/>
    <w:rsid w:val="006125F4"/>
    <w:rsid w:val="00612D23"/>
    <w:rsid w:val="006139F5"/>
    <w:rsid w:val="00613D4B"/>
    <w:rsid w:val="00614192"/>
    <w:rsid w:val="00614590"/>
    <w:rsid w:val="006147D5"/>
    <w:rsid w:val="00621100"/>
    <w:rsid w:val="00624D44"/>
    <w:rsid w:val="00626D05"/>
    <w:rsid w:val="00630BD8"/>
    <w:rsid w:val="00631C44"/>
    <w:rsid w:val="00633EEC"/>
    <w:rsid w:val="00635F0B"/>
    <w:rsid w:val="00635FF4"/>
    <w:rsid w:val="00640ABF"/>
    <w:rsid w:val="0064125B"/>
    <w:rsid w:val="006458B4"/>
    <w:rsid w:val="006509D9"/>
    <w:rsid w:val="00650EAB"/>
    <w:rsid w:val="006541BE"/>
    <w:rsid w:val="00654270"/>
    <w:rsid w:val="00656939"/>
    <w:rsid w:val="00664B90"/>
    <w:rsid w:val="00666EFE"/>
    <w:rsid w:val="00671411"/>
    <w:rsid w:val="00672640"/>
    <w:rsid w:val="00672C38"/>
    <w:rsid w:val="00673170"/>
    <w:rsid w:val="00673E85"/>
    <w:rsid w:val="00677008"/>
    <w:rsid w:val="00684647"/>
    <w:rsid w:val="00684F50"/>
    <w:rsid w:val="00691C61"/>
    <w:rsid w:val="00691E3F"/>
    <w:rsid w:val="00694846"/>
    <w:rsid w:val="00694F30"/>
    <w:rsid w:val="00696621"/>
    <w:rsid w:val="006A2BFC"/>
    <w:rsid w:val="006B0082"/>
    <w:rsid w:val="006B152B"/>
    <w:rsid w:val="006B1E23"/>
    <w:rsid w:val="006B1F90"/>
    <w:rsid w:val="006C0A47"/>
    <w:rsid w:val="006C125B"/>
    <w:rsid w:val="006C2FCA"/>
    <w:rsid w:val="006C47F4"/>
    <w:rsid w:val="006C557F"/>
    <w:rsid w:val="006D0283"/>
    <w:rsid w:val="006D053A"/>
    <w:rsid w:val="006D094C"/>
    <w:rsid w:val="006D16ED"/>
    <w:rsid w:val="006D2563"/>
    <w:rsid w:val="006D40BF"/>
    <w:rsid w:val="006D5ECF"/>
    <w:rsid w:val="006D6F6D"/>
    <w:rsid w:val="006E0B99"/>
    <w:rsid w:val="006E1CA2"/>
    <w:rsid w:val="006E4D9B"/>
    <w:rsid w:val="006E7157"/>
    <w:rsid w:val="006F2B5B"/>
    <w:rsid w:val="006F2F8A"/>
    <w:rsid w:val="006F3595"/>
    <w:rsid w:val="006F3C69"/>
    <w:rsid w:val="006F418A"/>
    <w:rsid w:val="006F529C"/>
    <w:rsid w:val="006F7935"/>
    <w:rsid w:val="00700E5A"/>
    <w:rsid w:val="0070456C"/>
    <w:rsid w:val="0070595E"/>
    <w:rsid w:val="007077C6"/>
    <w:rsid w:val="00711042"/>
    <w:rsid w:val="00711BAD"/>
    <w:rsid w:val="00712A2B"/>
    <w:rsid w:val="00712B22"/>
    <w:rsid w:val="00721698"/>
    <w:rsid w:val="00722849"/>
    <w:rsid w:val="00726CEA"/>
    <w:rsid w:val="00733BFD"/>
    <w:rsid w:val="00735C7A"/>
    <w:rsid w:val="00741B19"/>
    <w:rsid w:val="00744E13"/>
    <w:rsid w:val="00745B03"/>
    <w:rsid w:val="00752628"/>
    <w:rsid w:val="00752C16"/>
    <w:rsid w:val="00753778"/>
    <w:rsid w:val="007550B4"/>
    <w:rsid w:val="00757117"/>
    <w:rsid w:val="00760850"/>
    <w:rsid w:val="00773D17"/>
    <w:rsid w:val="00773FB8"/>
    <w:rsid w:val="0077629D"/>
    <w:rsid w:val="00776847"/>
    <w:rsid w:val="00781EE3"/>
    <w:rsid w:val="00782207"/>
    <w:rsid w:val="00783E97"/>
    <w:rsid w:val="00792C08"/>
    <w:rsid w:val="00794A50"/>
    <w:rsid w:val="00795EEC"/>
    <w:rsid w:val="00797376"/>
    <w:rsid w:val="007A0C9E"/>
    <w:rsid w:val="007A3A37"/>
    <w:rsid w:val="007A3FEB"/>
    <w:rsid w:val="007A4609"/>
    <w:rsid w:val="007A512A"/>
    <w:rsid w:val="007A7D70"/>
    <w:rsid w:val="007B003F"/>
    <w:rsid w:val="007B045C"/>
    <w:rsid w:val="007B1C9F"/>
    <w:rsid w:val="007B6665"/>
    <w:rsid w:val="007B7DCB"/>
    <w:rsid w:val="007C165D"/>
    <w:rsid w:val="007C219E"/>
    <w:rsid w:val="007C274A"/>
    <w:rsid w:val="007C5FEF"/>
    <w:rsid w:val="007C7C30"/>
    <w:rsid w:val="007D1156"/>
    <w:rsid w:val="007D2232"/>
    <w:rsid w:val="007D6309"/>
    <w:rsid w:val="007E10B2"/>
    <w:rsid w:val="007E17E1"/>
    <w:rsid w:val="007E51E3"/>
    <w:rsid w:val="007E597A"/>
    <w:rsid w:val="007E630A"/>
    <w:rsid w:val="007E7567"/>
    <w:rsid w:val="007F0B66"/>
    <w:rsid w:val="007F0D96"/>
    <w:rsid w:val="007F13D4"/>
    <w:rsid w:val="007F21CD"/>
    <w:rsid w:val="007F267B"/>
    <w:rsid w:val="007F3C5A"/>
    <w:rsid w:val="007F4C04"/>
    <w:rsid w:val="007F50B2"/>
    <w:rsid w:val="007F5B8E"/>
    <w:rsid w:val="007F7294"/>
    <w:rsid w:val="008012FB"/>
    <w:rsid w:val="0080666B"/>
    <w:rsid w:val="00806701"/>
    <w:rsid w:val="00810083"/>
    <w:rsid w:val="008122BD"/>
    <w:rsid w:val="00813E8F"/>
    <w:rsid w:val="008148FD"/>
    <w:rsid w:val="00814EA5"/>
    <w:rsid w:val="00814EC4"/>
    <w:rsid w:val="008150DC"/>
    <w:rsid w:val="008203E1"/>
    <w:rsid w:val="00821497"/>
    <w:rsid w:val="00825872"/>
    <w:rsid w:val="008323C1"/>
    <w:rsid w:val="00832A16"/>
    <w:rsid w:val="00833CD5"/>
    <w:rsid w:val="00835DF6"/>
    <w:rsid w:val="00836590"/>
    <w:rsid w:val="0084186B"/>
    <w:rsid w:val="00843078"/>
    <w:rsid w:val="00843815"/>
    <w:rsid w:val="00843A1C"/>
    <w:rsid w:val="0084722A"/>
    <w:rsid w:val="008551B6"/>
    <w:rsid w:val="00856AB5"/>
    <w:rsid w:val="00857CB1"/>
    <w:rsid w:val="00862D4B"/>
    <w:rsid w:val="0086387D"/>
    <w:rsid w:val="008647C7"/>
    <w:rsid w:val="00864EAB"/>
    <w:rsid w:val="008700C7"/>
    <w:rsid w:val="008713BA"/>
    <w:rsid w:val="008749D2"/>
    <w:rsid w:val="00877B40"/>
    <w:rsid w:val="00880466"/>
    <w:rsid w:val="00880694"/>
    <w:rsid w:val="008807A4"/>
    <w:rsid w:val="00881650"/>
    <w:rsid w:val="00885BA3"/>
    <w:rsid w:val="008876BA"/>
    <w:rsid w:val="00887C94"/>
    <w:rsid w:val="0089102A"/>
    <w:rsid w:val="00891DC2"/>
    <w:rsid w:val="008924D3"/>
    <w:rsid w:val="00893A9B"/>
    <w:rsid w:val="00893E45"/>
    <w:rsid w:val="00893E88"/>
    <w:rsid w:val="00894E07"/>
    <w:rsid w:val="0089621C"/>
    <w:rsid w:val="0089676B"/>
    <w:rsid w:val="008A116D"/>
    <w:rsid w:val="008A4CE4"/>
    <w:rsid w:val="008A506A"/>
    <w:rsid w:val="008B1906"/>
    <w:rsid w:val="008B3C14"/>
    <w:rsid w:val="008C2BDF"/>
    <w:rsid w:val="008C3570"/>
    <w:rsid w:val="008C54F9"/>
    <w:rsid w:val="008C76F7"/>
    <w:rsid w:val="008E0CEC"/>
    <w:rsid w:val="008E3920"/>
    <w:rsid w:val="008E5EE3"/>
    <w:rsid w:val="008E6998"/>
    <w:rsid w:val="008F011D"/>
    <w:rsid w:val="008F0416"/>
    <w:rsid w:val="008F0A84"/>
    <w:rsid w:val="008F35B4"/>
    <w:rsid w:val="008F527D"/>
    <w:rsid w:val="008F7084"/>
    <w:rsid w:val="008F7241"/>
    <w:rsid w:val="008F7413"/>
    <w:rsid w:val="008F7CA4"/>
    <w:rsid w:val="00900E47"/>
    <w:rsid w:val="009021B1"/>
    <w:rsid w:val="0090686A"/>
    <w:rsid w:val="00915019"/>
    <w:rsid w:val="0091611C"/>
    <w:rsid w:val="00926E61"/>
    <w:rsid w:val="00927A04"/>
    <w:rsid w:val="00932082"/>
    <w:rsid w:val="0093244D"/>
    <w:rsid w:val="00933C9F"/>
    <w:rsid w:val="00933D73"/>
    <w:rsid w:val="009375B5"/>
    <w:rsid w:val="00941459"/>
    <w:rsid w:val="00942375"/>
    <w:rsid w:val="00942986"/>
    <w:rsid w:val="0095388D"/>
    <w:rsid w:val="00953CFC"/>
    <w:rsid w:val="00954B34"/>
    <w:rsid w:val="00955742"/>
    <w:rsid w:val="00957C35"/>
    <w:rsid w:val="00961651"/>
    <w:rsid w:val="00962E3F"/>
    <w:rsid w:val="00962F36"/>
    <w:rsid w:val="00966501"/>
    <w:rsid w:val="009711B5"/>
    <w:rsid w:val="00972D87"/>
    <w:rsid w:val="00973297"/>
    <w:rsid w:val="00974D21"/>
    <w:rsid w:val="009757BD"/>
    <w:rsid w:val="009822C4"/>
    <w:rsid w:val="009869CE"/>
    <w:rsid w:val="009873BD"/>
    <w:rsid w:val="00991A07"/>
    <w:rsid w:val="00993B2E"/>
    <w:rsid w:val="00993E8C"/>
    <w:rsid w:val="00995B3F"/>
    <w:rsid w:val="009A075A"/>
    <w:rsid w:val="009A64E6"/>
    <w:rsid w:val="009B3AD0"/>
    <w:rsid w:val="009B66D6"/>
    <w:rsid w:val="009C3E77"/>
    <w:rsid w:val="009C4845"/>
    <w:rsid w:val="009D0D58"/>
    <w:rsid w:val="009D23BE"/>
    <w:rsid w:val="009D56A6"/>
    <w:rsid w:val="009E0940"/>
    <w:rsid w:val="009E2744"/>
    <w:rsid w:val="009E3651"/>
    <w:rsid w:val="009E62FF"/>
    <w:rsid w:val="009E6D7B"/>
    <w:rsid w:val="009E7408"/>
    <w:rsid w:val="009E7E3C"/>
    <w:rsid w:val="009F2CC0"/>
    <w:rsid w:val="009F2FCD"/>
    <w:rsid w:val="009F301C"/>
    <w:rsid w:val="009F31AA"/>
    <w:rsid w:val="009F5B70"/>
    <w:rsid w:val="00A001BC"/>
    <w:rsid w:val="00A02DD1"/>
    <w:rsid w:val="00A036D5"/>
    <w:rsid w:val="00A0443D"/>
    <w:rsid w:val="00A066A9"/>
    <w:rsid w:val="00A1212A"/>
    <w:rsid w:val="00A1276B"/>
    <w:rsid w:val="00A142F5"/>
    <w:rsid w:val="00A167A1"/>
    <w:rsid w:val="00A20E05"/>
    <w:rsid w:val="00A21668"/>
    <w:rsid w:val="00A2393C"/>
    <w:rsid w:val="00A33FD6"/>
    <w:rsid w:val="00A42EAA"/>
    <w:rsid w:val="00A44E78"/>
    <w:rsid w:val="00A4753C"/>
    <w:rsid w:val="00A47CB6"/>
    <w:rsid w:val="00A5183A"/>
    <w:rsid w:val="00A55614"/>
    <w:rsid w:val="00A633BF"/>
    <w:rsid w:val="00A63F4A"/>
    <w:rsid w:val="00A723B6"/>
    <w:rsid w:val="00A729F9"/>
    <w:rsid w:val="00A77D98"/>
    <w:rsid w:val="00A817A6"/>
    <w:rsid w:val="00A825AB"/>
    <w:rsid w:val="00A83DC1"/>
    <w:rsid w:val="00A923E7"/>
    <w:rsid w:val="00A92E80"/>
    <w:rsid w:val="00AA01EB"/>
    <w:rsid w:val="00AA0263"/>
    <w:rsid w:val="00AA2A3B"/>
    <w:rsid w:val="00AA5909"/>
    <w:rsid w:val="00AA78EA"/>
    <w:rsid w:val="00AA7F29"/>
    <w:rsid w:val="00AB0D9A"/>
    <w:rsid w:val="00AB10BC"/>
    <w:rsid w:val="00AB27A4"/>
    <w:rsid w:val="00AB2CC2"/>
    <w:rsid w:val="00AB2ED7"/>
    <w:rsid w:val="00AB4331"/>
    <w:rsid w:val="00AB4EAD"/>
    <w:rsid w:val="00AC6430"/>
    <w:rsid w:val="00AD3A60"/>
    <w:rsid w:val="00AD7720"/>
    <w:rsid w:val="00AE01AE"/>
    <w:rsid w:val="00AE05AC"/>
    <w:rsid w:val="00AE0A59"/>
    <w:rsid w:val="00AE75ED"/>
    <w:rsid w:val="00AF09AC"/>
    <w:rsid w:val="00AF2AE6"/>
    <w:rsid w:val="00AF7A57"/>
    <w:rsid w:val="00B021DA"/>
    <w:rsid w:val="00B02C7C"/>
    <w:rsid w:val="00B0325D"/>
    <w:rsid w:val="00B055DB"/>
    <w:rsid w:val="00B07608"/>
    <w:rsid w:val="00B10EC5"/>
    <w:rsid w:val="00B11C94"/>
    <w:rsid w:val="00B12B30"/>
    <w:rsid w:val="00B13837"/>
    <w:rsid w:val="00B16B2F"/>
    <w:rsid w:val="00B2231D"/>
    <w:rsid w:val="00B22A82"/>
    <w:rsid w:val="00B26EBA"/>
    <w:rsid w:val="00B302E9"/>
    <w:rsid w:val="00B315E2"/>
    <w:rsid w:val="00B366DF"/>
    <w:rsid w:val="00B37CA4"/>
    <w:rsid w:val="00B40115"/>
    <w:rsid w:val="00B40476"/>
    <w:rsid w:val="00B42065"/>
    <w:rsid w:val="00B427B7"/>
    <w:rsid w:val="00B45069"/>
    <w:rsid w:val="00B45EA9"/>
    <w:rsid w:val="00B47D3A"/>
    <w:rsid w:val="00B52098"/>
    <w:rsid w:val="00B559C2"/>
    <w:rsid w:val="00B567DB"/>
    <w:rsid w:val="00B615AC"/>
    <w:rsid w:val="00B61C21"/>
    <w:rsid w:val="00B62F20"/>
    <w:rsid w:val="00B70CA3"/>
    <w:rsid w:val="00B772C9"/>
    <w:rsid w:val="00B80596"/>
    <w:rsid w:val="00B822DA"/>
    <w:rsid w:val="00B84766"/>
    <w:rsid w:val="00B86F8F"/>
    <w:rsid w:val="00B91688"/>
    <w:rsid w:val="00B92A44"/>
    <w:rsid w:val="00B94A96"/>
    <w:rsid w:val="00B975C1"/>
    <w:rsid w:val="00B976B6"/>
    <w:rsid w:val="00BA0CB9"/>
    <w:rsid w:val="00BA1310"/>
    <w:rsid w:val="00BA173B"/>
    <w:rsid w:val="00BA4F62"/>
    <w:rsid w:val="00BA6B9B"/>
    <w:rsid w:val="00BA6F05"/>
    <w:rsid w:val="00BA7479"/>
    <w:rsid w:val="00BB0010"/>
    <w:rsid w:val="00BB1EAF"/>
    <w:rsid w:val="00BB6815"/>
    <w:rsid w:val="00BB7970"/>
    <w:rsid w:val="00BC05B0"/>
    <w:rsid w:val="00BC1349"/>
    <w:rsid w:val="00BC3C75"/>
    <w:rsid w:val="00BC3CA3"/>
    <w:rsid w:val="00BC4AB9"/>
    <w:rsid w:val="00BC4FAB"/>
    <w:rsid w:val="00BD0A4F"/>
    <w:rsid w:val="00BD2E2C"/>
    <w:rsid w:val="00BD3507"/>
    <w:rsid w:val="00BD3AA3"/>
    <w:rsid w:val="00BD4DD4"/>
    <w:rsid w:val="00BD72E0"/>
    <w:rsid w:val="00BE13A9"/>
    <w:rsid w:val="00BE1B44"/>
    <w:rsid w:val="00BE49F7"/>
    <w:rsid w:val="00BE4CFE"/>
    <w:rsid w:val="00BE5A0E"/>
    <w:rsid w:val="00BE76AF"/>
    <w:rsid w:val="00BE7E9E"/>
    <w:rsid w:val="00BF2818"/>
    <w:rsid w:val="00BF2B01"/>
    <w:rsid w:val="00BF354C"/>
    <w:rsid w:val="00BF44C0"/>
    <w:rsid w:val="00BF486D"/>
    <w:rsid w:val="00BF55A1"/>
    <w:rsid w:val="00BF5742"/>
    <w:rsid w:val="00C00543"/>
    <w:rsid w:val="00C03A34"/>
    <w:rsid w:val="00C0649D"/>
    <w:rsid w:val="00C07838"/>
    <w:rsid w:val="00C108E6"/>
    <w:rsid w:val="00C12043"/>
    <w:rsid w:val="00C14AC2"/>
    <w:rsid w:val="00C1712A"/>
    <w:rsid w:val="00C20BD7"/>
    <w:rsid w:val="00C20ED1"/>
    <w:rsid w:val="00C216FC"/>
    <w:rsid w:val="00C24EDC"/>
    <w:rsid w:val="00C264AE"/>
    <w:rsid w:val="00C264C6"/>
    <w:rsid w:val="00C27040"/>
    <w:rsid w:val="00C30CC5"/>
    <w:rsid w:val="00C31E3C"/>
    <w:rsid w:val="00C3271C"/>
    <w:rsid w:val="00C35563"/>
    <w:rsid w:val="00C3651C"/>
    <w:rsid w:val="00C40A27"/>
    <w:rsid w:val="00C4150B"/>
    <w:rsid w:val="00C41F32"/>
    <w:rsid w:val="00C42616"/>
    <w:rsid w:val="00C45B18"/>
    <w:rsid w:val="00C46921"/>
    <w:rsid w:val="00C478C4"/>
    <w:rsid w:val="00C5329C"/>
    <w:rsid w:val="00C55C5A"/>
    <w:rsid w:val="00C61DA3"/>
    <w:rsid w:val="00C64408"/>
    <w:rsid w:val="00C658CE"/>
    <w:rsid w:val="00C66343"/>
    <w:rsid w:val="00C669C6"/>
    <w:rsid w:val="00C71065"/>
    <w:rsid w:val="00C7172A"/>
    <w:rsid w:val="00C72B95"/>
    <w:rsid w:val="00C76DB9"/>
    <w:rsid w:val="00C77A5A"/>
    <w:rsid w:val="00C80036"/>
    <w:rsid w:val="00C809F6"/>
    <w:rsid w:val="00C824C8"/>
    <w:rsid w:val="00C82E31"/>
    <w:rsid w:val="00C91BD4"/>
    <w:rsid w:val="00C9200D"/>
    <w:rsid w:val="00C9567A"/>
    <w:rsid w:val="00CA024B"/>
    <w:rsid w:val="00CA12EF"/>
    <w:rsid w:val="00CA1767"/>
    <w:rsid w:val="00CA19B2"/>
    <w:rsid w:val="00CA3405"/>
    <w:rsid w:val="00CA7D0E"/>
    <w:rsid w:val="00CB30A2"/>
    <w:rsid w:val="00CB79D0"/>
    <w:rsid w:val="00CC017D"/>
    <w:rsid w:val="00CC180B"/>
    <w:rsid w:val="00CC1B95"/>
    <w:rsid w:val="00CC1C5C"/>
    <w:rsid w:val="00CC29F6"/>
    <w:rsid w:val="00CC3260"/>
    <w:rsid w:val="00CC3433"/>
    <w:rsid w:val="00CC62B5"/>
    <w:rsid w:val="00CD06D4"/>
    <w:rsid w:val="00CD108B"/>
    <w:rsid w:val="00CD2C07"/>
    <w:rsid w:val="00CD64D6"/>
    <w:rsid w:val="00CD7042"/>
    <w:rsid w:val="00CE1EEE"/>
    <w:rsid w:val="00CE3628"/>
    <w:rsid w:val="00CE4E84"/>
    <w:rsid w:val="00CE50AC"/>
    <w:rsid w:val="00CE55ED"/>
    <w:rsid w:val="00CF1FD3"/>
    <w:rsid w:val="00D06487"/>
    <w:rsid w:val="00D13D5E"/>
    <w:rsid w:val="00D14772"/>
    <w:rsid w:val="00D203FB"/>
    <w:rsid w:val="00D21A62"/>
    <w:rsid w:val="00D22B6B"/>
    <w:rsid w:val="00D259F0"/>
    <w:rsid w:val="00D27D29"/>
    <w:rsid w:val="00D3118D"/>
    <w:rsid w:val="00D32A67"/>
    <w:rsid w:val="00D33606"/>
    <w:rsid w:val="00D34389"/>
    <w:rsid w:val="00D34F96"/>
    <w:rsid w:val="00D368ED"/>
    <w:rsid w:val="00D37117"/>
    <w:rsid w:val="00D40AB4"/>
    <w:rsid w:val="00D43160"/>
    <w:rsid w:val="00D46617"/>
    <w:rsid w:val="00D5008A"/>
    <w:rsid w:val="00D50530"/>
    <w:rsid w:val="00D5188C"/>
    <w:rsid w:val="00D52F05"/>
    <w:rsid w:val="00D53DA0"/>
    <w:rsid w:val="00D55B59"/>
    <w:rsid w:val="00D60605"/>
    <w:rsid w:val="00D65D01"/>
    <w:rsid w:val="00D65FAE"/>
    <w:rsid w:val="00D66A7C"/>
    <w:rsid w:val="00D66A89"/>
    <w:rsid w:val="00D67541"/>
    <w:rsid w:val="00D7052E"/>
    <w:rsid w:val="00D711EE"/>
    <w:rsid w:val="00D76914"/>
    <w:rsid w:val="00D769B9"/>
    <w:rsid w:val="00D76A57"/>
    <w:rsid w:val="00D77CAE"/>
    <w:rsid w:val="00D83DB2"/>
    <w:rsid w:val="00D84C1F"/>
    <w:rsid w:val="00D86321"/>
    <w:rsid w:val="00D86DC7"/>
    <w:rsid w:val="00D9335F"/>
    <w:rsid w:val="00D953D5"/>
    <w:rsid w:val="00D95554"/>
    <w:rsid w:val="00D975EC"/>
    <w:rsid w:val="00DA19C7"/>
    <w:rsid w:val="00DA2D01"/>
    <w:rsid w:val="00DA35DC"/>
    <w:rsid w:val="00DA65F4"/>
    <w:rsid w:val="00DA6F5B"/>
    <w:rsid w:val="00DB1343"/>
    <w:rsid w:val="00DB192A"/>
    <w:rsid w:val="00DB3893"/>
    <w:rsid w:val="00DC0175"/>
    <w:rsid w:val="00DC0C84"/>
    <w:rsid w:val="00DC0E4E"/>
    <w:rsid w:val="00DC2BCA"/>
    <w:rsid w:val="00DC34B7"/>
    <w:rsid w:val="00DC38D7"/>
    <w:rsid w:val="00DC7527"/>
    <w:rsid w:val="00DC7B96"/>
    <w:rsid w:val="00DD07DF"/>
    <w:rsid w:val="00DD78CB"/>
    <w:rsid w:val="00DD7F99"/>
    <w:rsid w:val="00DE1C0A"/>
    <w:rsid w:val="00DF068C"/>
    <w:rsid w:val="00DF10EB"/>
    <w:rsid w:val="00DF1FBE"/>
    <w:rsid w:val="00DF32F4"/>
    <w:rsid w:val="00DF6599"/>
    <w:rsid w:val="00E003AF"/>
    <w:rsid w:val="00E02AC9"/>
    <w:rsid w:val="00E05800"/>
    <w:rsid w:val="00E058A7"/>
    <w:rsid w:val="00E11826"/>
    <w:rsid w:val="00E11CAC"/>
    <w:rsid w:val="00E1284F"/>
    <w:rsid w:val="00E16669"/>
    <w:rsid w:val="00E20209"/>
    <w:rsid w:val="00E20790"/>
    <w:rsid w:val="00E23E0D"/>
    <w:rsid w:val="00E24BE7"/>
    <w:rsid w:val="00E25E31"/>
    <w:rsid w:val="00E2702C"/>
    <w:rsid w:val="00E3117F"/>
    <w:rsid w:val="00E32DAA"/>
    <w:rsid w:val="00E34BBA"/>
    <w:rsid w:val="00E37DC8"/>
    <w:rsid w:val="00E407CC"/>
    <w:rsid w:val="00E410DB"/>
    <w:rsid w:val="00E42E2A"/>
    <w:rsid w:val="00E44248"/>
    <w:rsid w:val="00E44A45"/>
    <w:rsid w:val="00E45C76"/>
    <w:rsid w:val="00E53658"/>
    <w:rsid w:val="00E536AD"/>
    <w:rsid w:val="00E548E6"/>
    <w:rsid w:val="00E56181"/>
    <w:rsid w:val="00E65596"/>
    <w:rsid w:val="00E66178"/>
    <w:rsid w:val="00E705E3"/>
    <w:rsid w:val="00E71A03"/>
    <w:rsid w:val="00E74FAF"/>
    <w:rsid w:val="00E75B1E"/>
    <w:rsid w:val="00E77A6D"/>
    <w:rsid w:val="00E81967"/>
    <w:rsid w:val="00E83EE0"/>
    <w:rsid w:val="00E8769A"/>
    <w:rsid w:val="00E91732"/>
    <w:rsid w:val="00E940D9"/>
    <w:rsid w:val="00E962EA"/>
    <w:rsid w:val="00E97CF6"/>
    <w:rsid w:val="00EA16ED"/>
    <w:rsid w:val="00EA30E4"/>
    <w:rsid w:val="00EA3918"/>
    <w:rsid w:val="00EA3BCA"/>
    <w:rsid w:val="00EA4F45"/>
    <w:rsid w:val="00EA78CD"/>
    <w:rsid w:val="00EB08B3"/>
    <w:rsid w:val="00EB7629"/>
    <w:rsid w:val="00EC09B7"/>
    <w:rsid w:val="00EC3685"/>
    <w:rsid w:val="00EC6BE2"/>
    <w:rsid w:val="00EC6F47"/>
    <w:rsid w:val="00ED06D6"/>
    <w:rsid w:val="00ED0EBB"/>
    <w:rsid w:val="00ED2BAE"/>
    <w:rsid w:val="00ED4013"/>
    <w:rsid w:val="00ED6CD0"/>
    <w:rsid w:val="00ED76F3"/>
    <w:rsid w:val="00ED78A9"/>
    <w:rsid w:val="00EE17DE"/>
    <w:rsid w:val="00EE1C17"/>
    <w:rsid w:val="00EE1CA6"/>
    <w:rsid w:val="00EE20CC"/>
    <w:rsid w:val="00EF02A4"/>
    <w:rsid w:val="00EF1030"/>
    <w:rsid w:val="00EF210B"/>
    <w:rsid w:val="00EF22CA"/>
    <w:rsid w:val="00EF44E7"/>
    <w:rsid w:val="00EF59AC"/>
    <w:rsid w:val="00EF5F31"/>
    <w:rsid w:val="00EF6C45"/>
    <w:rsid w:val="00EF7A27"/>
    <w:rsid w:val="00F0230E"/>
    <w:rsid w:val="00F0317B"/>
    <w:rsid w:val="00F04382"/>
    <w:rsid w:val="00F05471"/>
    <w:rsid w:val="00F057A5"/>
    <w:rsid w:val="00F06180"/>
    <w:rsid w:val="00F071B7"/>
    <w:rsid w:val="00F158F7"/>
    <w:rsid w:val="00F20A36"/>
    <w:rsid w:val="00F2127D"/>
    <w:rsid w:val="00F2349C"/>
    <w:rsid w:val="00F23965"/>
    <w:rsid w:val="00F2647B"/>
    <w:rsid w:val="00F2766C"/>
    <w:rsid w:val="00F333AD"/>
    <w:rsid w:val="00F36F51"/>
    <w:rsid w:val="00F42833"/>
    <w:rsid w:val="00F43F1B"/>
    <w:rsid w:val="00F47310"/>
    <w:rsid w:val="00F50F0D"/>
    <w:rsid w:val="00F51BB8"/>
    <w:rsid w:val="00F51D0D"/>
    <w:rsid w:val="00F53824"/>
    <w:rsid w:val="00F539EB"/>
    <w:rsid w:val="00F5498A"/>
    <w:rsid w:val="00F61656"/>
    <w:rsid w:val="00F639C6"/>
    <w:rsid w:val="00F641D4"/>
    <w:rsid w:val="00F66052"/>
    <w:rsid w:val="00F66EC7"/>
    <w:rsid w:val="00F70AC8"/>
    <w:rsid w:val="00F73C62"/>
    <w:rsid w:val="00F73CA4"/>
    <w:rsid w:val="00F77423"/>
    <w:rsid w:val="00F80233"/>
    <w:rsid w:val="00F80B8E"/>
    <w:rsid w:val="00F84C88"/>
    <w:rsid w:val="00F9012C"/>
    <w:rsid w:val="00F92556"/>
    <w:rsid w:val="00F9378C"/>
    <w:rsid w:val="00F94437"/>
    <w:rsid w:val="00F969E3"/>
    <w:rsid w:val="00FA4826"/>
    <w:rsid w:val="00FA5403"/>
    <w:rsid w:val="00FB3A40"/>
    <w:rsid w:val="00FB6475"/>
    <w:rsid w:val="00FC3317"/>
    <w:rsid w:val="00FC3E8B"/>
    <w:rsid w:val="00FC495E"/>
    <w:rsid w:val="00FC5AAF"/>
    <w:rsid w:val="00FC7636"/>
    <w:rsid w:val="00FD1647"/>
    <w:rsid w:val="00FD1E1F"/>
    <w:rsid w:val="00FD4A08"/>
    <w:rsid w:val="00FD70AA"/>
    <w:rsid w:val="00FD7EC8"/>
    <w:rsid w:val="00FE013E"/>
    <w:rsid w:val="00FE0DC3"/>
    <w:rsid w:val="00FE1AB8"/>
    <w:rsid w:val="00FE2501"/>
    <w:rsid w:val="00FE5698"/>
    <w:rsid w:val="00FF0BD2"/>
    <w:rsid w:val="00FF325C"/>
    <w:rsid w:val="00FF3CAA"/>
    <w:rsid w:val="00FF42B5"/>
    <w:rsid w:val="00FF4CB2"/>
    <w:rsid w:val="00FF5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DFCE0"/>
  <w15:chartTrackingRefBased/>
  <w15:docId w15:val="{06CE96BB-E470-42DD-91AF-A0EF22FB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48FD"/>
    <w:pPr>
      <w:spacing w:after="120" w:line="276" w:lineRule="auto"/>
      <w:jc w:val="both"/>
    </w:pPr>
    <w:rPr>
      <w:rFonts w:ascii="Segoe UI" w:hAnsi="Segoe UI"/>
      <w:sz w:val="20"/>
    </w:rPr>
  </w:style>
  <w:style w:type="paragraph" w:styleId="Nadpis1">
    <w:name w:val="heading 1"/>
    <w:basedOn w:val="Normlny"/>
    <w:next w:val="Normlny"/>
    <w:link w:val="Nadpis1Char"/>
    <w:uiPriority w:val="9"/>
    <w:qFormat/>
    <w:rsid w:val="00277C8B"/>
    <w:pPr>
      <w:keepNext/>
      <w:keepLines/>
      <w:pageBreakBefore/>
      <w:numPr>
        <w:numId w:val="8"/>
      </w:numPr>
      <w:spacing w:before="120"/>
      <w:outlineLvl w:val="0"/>
    </w:pPr>
    <w:rPr>
      <w:rFonts w:eastAsiaTheme="majorEastAsia" w:cstheme="majorBidi"/>
      <w:b/>
      <w:color w:val="314364"/>
      <w:position w:val="10"/>
      <w:sz w:val="32"/>
      <w:szCs w:val="32"/>
    </w:rPr>
  </w:style>
  <w:style w:type="paragraph" w:styleId="Nadpis2">
    <w:name w:val="heading 2"/>
    <w:basedOn w:val="Normlny"/>
    <w:next w:val="Normlny"/>
    <w:link w:val="Nadpis2Char"/>
    <w:uiPriority w:val="9"/>
    <w:unhideWhenUsed/>
    <w:qFormat/>
    <w:rsid w:val="00432AD8"/>
    <w:pPr>
      <w:keepNext/>
      <w:keepLines/>
      <w:numPr>
        <w:ilvl w:val="1"/>
        <w:numId w:val="8"/>
      </w:numPr>
      <w:spacing w:before="120"/>
      <w:ind w:left="998" w:hanging="431"/>
      <w:outlineLvl w:val="1"/>
    </w:pPr>
    <w:rPr>
      <w:rFonts w:eastAsiaTheme="majorEastAsia" w:cstheme="majorBidi"/>
      <w:color w:val="314364"/>
      <w:sz w:val="28"/>
      <w:szCs w:val="26"/>
    </w:rPr>
  </w:style>
  <w:style w:type="paragraph" w:styleId="Nadpis3">
    <w:name w:val="heading 3"/>
    <w:basedOn w:val="Normlny"/>
    <w:next w:val="Normlny"/>
    <w:link w:val="Nadpis3Char"/>
    <w:uiPriority w:val="9"/>
    <w:unhideWhenUsed/>
    <w:qFormat/>
    <w:rsid w:val="003D6267"/>
    <w:pPr>
      <w:keepNext/>
      <w:keepLines/>
      <w:numPr>
        <w:ilvl w:val="2"/>
        <w:numId w:val="8"/>
      </w:numPr>
      <w:spacing w:before="40" w:after="0"/>
      <w:outlineLvl w:val="2"/>
    </w:pPr>
    <w:rPr>
      <w:rFonts w:eastAsiaTheme="majorEastAsia" w:cstheme="majorBidi"/>
      <w:color w:val="314364"/>
      <w:sz w:val="24"/>
      <w:szCs w:val="24"/>
    </w:rPr>
  </w:style>
  <w:style w:type="paragraph" w:styleId="Nadpis4">
    <w:name w:val="heading 4"/>
    <w:basedOn w:val="Normlny"/>
    <w:next w:val="Normlny"/>
    <w:link w:val="Nadpis4Char"/>
    <w:uiPriority w:val="9"/>
    <w:unhideWhenUsed/>
    <w:qFormat/>
    <w:rsid w:val="002A599C"/>
    <w:pPr>
      <w:keepNext/>
      <w:keepLines/>
      <w:spacing w:before="40" w:after="0"/>
      <w:outlineLvl w:val="3"/>
    </w:pPr>
    <w:rPr>
      <w:rFonts w:asciiTheme="majorHAnsi" w:eastAsiaTheme="majorEastAsia" w:hAnsiTheme="majorHAnsi" w:cstheme="majorBidi"/>
      <w:i/>
      <w:iCs/>
      <w:color w:val="24324A" w:themeColor="accent1" w:themeShade="BF"/>
    </w:rPr>
  </w:style>
  <w:style w:type="paragraph" w:styleId="Nadpis5">
    <w:name w:val="heading 5"/>
    <w:basedOn w:val="Normlny"/>
    <w:next w:val="Normlny"/>
    <w:link w:val="Nadpis5Char"/>
    <w:uiPriority w:val="9"/>
    <w:unhideWhenUsed/>
    <w:qFormat/>
    <w:rsid w:val="00AC6430"/>
    <w:pPr>
      <w:keepNext/>
      <w:keepLines/>
      <w:spacing w:before="40" w:after="0"/>
      <w:outlineLvl w:val="4"/>
    </w:pPr>
    <w:rPr>
      <w:rFonts w:asciiTheme="majorHAnsi" w:eastAsiaTheme="majorEastAsia" w:hAnsiTheme="majorHAnsi" w:cstheme="majorBidi"/>
      <w:color w:val="24324A"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7C8B"/>
    <w:rPr>
      <w:rFonts w:ascii="Segoe UI" w:eastAsiaTheme="majorEastAsia" w:hAnsi="Segoe UI" w:cstheme="majorBidi"/>
      <w:b/>
      <w:color w:val="314364"/>
      <w:position w:val="10"/>
      <w:sz w:val="32"/>
      <w:szCs w:val="32"/>
    </w:rPr>
  </w:style>
  <w:style w:type="character" w:customStyle="1" w:styleId="Nadpis2Char">
    <w:name w:val="Nadpis 2 Char"/>
    <w:basedOn w:val="Predvolenpsmoodseku"/>
    <w:link w:val="Nadpis2"/>
    <w:uiPriority w:val="9"/>
    <w:rsid w:val="00432AD8"/>
    <w:rPr>
      <w:rFonts w:ascii="Segoe UI" w:eastAsiaTheme="majorEastAsia" w:hAnsi="Segoe UI" w:cstheme="majorBidi"/>
      <w:color w:val="314364"/>
      <w:sz w:val="28"/>
      <w:szCs w:val="26"/>
    </w:rPr>
  </w:style>
  <w:style w:type="paragraph" w:styleId="Hlavika">
    <w:name w:val="header"/>
    <w:basedOn w:val="Normlny"/>
    <w:link w:val="HlavikaChar"/>
    <w:uiPriority w:val="99"/>
    <w:unhideWhenUsed/>
    <w:rsid w:val="004F10D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F10D0"/>
  </w:style>
  <w:style w:type="paragraph" w:styleId="Pta">
    <w:name w:val="footer"/>
    <w:basedOn w:val="Normlny"/>
    <w:link w:val="PtaChar"/>
    <w:uiPriority w:val="99"/>
    <w:unhideWhenUsed/>
    <w:rsid w:val="004F10D0"/>
    <w:pPr>
      <w:tabs>
        <w:tab w:val="center" w:pos="4536"/>
        <w:tab w:val="right" w:pos="9072"/>
      </w:tabs>
      <w:spacing w:after="0" w:line="240" w:lineRule="auto"/>
    </w:pPr>
  </w:style>
  <w:style w:type="character" w:customStyle="1" w:styleId="PtaChar">
    <w:name w:val="Päta Char"/>
    <w:basedOn w:val="Predvolenpsmoodseku"/>
    <w:link w:val="Pta"/>
    <w:uiPriority w:val="99"/>
    <w:rsid w:val="004F10D0"/>
  </w:style>
  <w:style w:type="character" w:styleId="Zstupntext">
    <w:name w:val="Placeholder Text"/>
    <w:basedOn w:val="Predvolenpsmoodseku"/>
    <w:uiPriority w:val="99"/>
    <w:semiHidden/>
    <w:rsid w:val="00F539EB"/>
    <w:rPr>
      <w:color w:val="808080"/>
    </w:rPr>
  </w:style>
  <w:style w:type="paragraph" w:styleId="Nzov">
    <w:name w:val="Title"/>
    <w:basedOn w:val="Normlny"/>
    <w:next w:val="Normlny"/>
    <w:link w:val="NzovChar"/>
    <w:uiPriority w:val="10"/>
    <w:qFormat/>
    <w:rsid w:val="00FF5DA3"/>
    <w:pPr>
      <w:spacing w:before="240" w:after="240" w:line="240" w:lineRule="auto"/>
      <w:contextualSpacing/>
      <w:jc w:val="center"/>
    </w:pPr>
    <w:rPr>
      <w:rFonts w:eastAsiaTheme="majorEastAsia" w:cstheme="majorBidi"/>
      <w:b/>
      <w:smallCaps/>
      <w:color w:val="314364"/>
      <w:spacing w:val="-10"/>
      <w:kern w:val="28"/>
      <w:sz w:val="44"/>
      <w:szCs w:val="56"/>
    </w:rPr>
  </w:style>
  <w:style w:type="character" w:customStyle="1" w:styleId="NzovChar">
    <w:name w:val="Názov Char"/>
    <w:basedOn w:val="Predvolenpsmoodseku"/>
    <w:link w:val="Nzov"/>
    <w:uiPriority w:val="10"/>
    <w:rsid w:val="00FF5DA3"/>
    <w:rPr>
      <w:rFonts w:ascii="Segoe UI" w:eastAsiaTheme="majorEastAsia" w:hAnsi="Segoe UI" w:cstheme="majorBidi"/>
      <w:b/>
      <w:smallCaps/>
      <w:color w:val="314364"/>
      <w:spacing w:val="-10"/>
      <w:kern w:val="28"/>
      <w:sz w:val="44"/>
      <w:szCs w:val="56"/>
    </w:rPr>
  </w:style>
  <w:style w:type="paragraph" w:styleId="Podtitul">
    <w:name w:val="Subtitle"/>
    <w:basedOn w:val="Normlny"/>
    <w:next w:val="Normlny"/>
    <w:link w:val="PodtitulChar"/>
    <w:uiPriority w:val="11"/>
    <w:qFormat/>
    <w:rsid w:val="001778A6"/>
    <w:pPr>
      <w:numPr>
        <w:ilvl w:val="1"/>
      </w:numPr>
      <w:spacing w:before="240" w:after="240"/>
      <w:jc w:val="center"/>
    </w:pPr>
    <w:rPr>
      <w:rFonts w:eastAsiaTheme="minorEastAsia"/>
      <w:color w:val="314364"/>
      <w:spacing w:val="15"/>
      <w:sz w:val="28"/>
    </w:rPr>
  </w:style>
  <w:style w:type="character" w:customStyle="1" w:styleId="PodtitulChar">
    <w:name w:val="Podtitul Char"/>
    <w:basedOn w:val="Predvolenpsmoodseku"/>
    <w:link w:val="Podtitul"/>
    <w:uiPriority w:val="11"/>
    <w:rsid w:val="001778A6"/>
    <w:rPr>
      <w:rFonts w:ascii="Segoe UI" w:eastAsiaTheme="minorEastAsia" w:hAnsi="Segoe UI"/>
      <w:color w:val="314364"/>
      <w:spacing w:val="15"/>
      <w:sz w:val="28"/>
    </w:rPr>
  </w:style>
  <w:style w:type="paragraph" w:customStyle="1" w:styleId="Zhrnutie">
    <w:name w:val="Zhrnutie"/>
    <w:basedOn w:val="Normlny"/>
    <w:qFormat/>
    <w:rsid w:val="001778A6"/>
    <w:pPr>
      <w:spacing w:before="120"/>
      <w:jc w:val="left"/>
    </w:pPr>
    <w:rPr>
      <w:b/>
      <w:color w:val="314364"/>
      <w:sz w:val="32"/>
    </w:rPr>
  </w:style>
  <w:style w:type="paragraph" w:styleId="Odsekzoznamu">
    <w:name w:val="List Paragraph"/>
    <w:aliases w:val="body,Odsek zoznamu2,Odsek,Odsek zoznamu1,Dot pt,No Spacing1,List Paragraph Char Char Char,Indicator Text,Numbered Para 1,List Paragraph à moi,Odsek zoznamu4,LISTA,Listaszerű bekezdés2,Listaszerű bekezdés3,Listaszerű bekezdés1,Bullet 1,3"/>
    <w:basedOn w:val="Normlny"/>
    <w:link w:val="OdsekzoznamuChar"/>
    <w:uiPriority w:val="34"/>
    <w:qFormat/>
    <w:rsid w:val="0015153D"/>
    <w:pPr>
      <w:ind w:left="720"/>
      <w:contextualSpacing/>
    </w:pPr>
  </w:style>
  <w:style w:type="paragraph" w:customStyle="1" w:styleId="Poakovanie">
    <w:name w:val="Poďakovanie"/>
    <w:basedOn w:val="Normlny"/>
    <w:qFormat/>
    <w:rsid w:val="00BD3507"/>
    <w:pPr>
      <w:spacing w:before="120"/>
      <w:jc w:val="left"/>
    </w:pPr>
    <w:rPr>
      <w:color w:val="314364"/>
      <w:sz w:val="28"/>
    </w:rPr>
  </w:style>
  <w:style w:type="character" w:styleId="Hypertextovprepojenie">
    <w:name w:val="Hyperlink"/>
    <w:basedOn w:val="Predvolenpsmoodseku"/>
    <w:uiPriority w:val="99"/>
    <w:unhideWhenUsed/>
    <w:rsid w:val="00C824C8"/>
    <w:rPr>
      <w:rFonts w:ascii="Segoe UI" w:hAnsi="Segoe UI"/>
      <w:color w:val="314364" w:themeColor="hyperlink"/>
      <w:sz w:val="20"/>
      <w:u w:val="single"/>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
    <w:basedOn w:val="Normlny"/>
    <w:link w:val="TextpoznmkypodiarouChar"/>
    <w:uiPriority w:val="99"/>
    <w:rsid w:val="00110271"/>
    <w:pPr>
      <w:spacing w:after="0" w:line="240" w:lineRule="auto"/>
    </w:pPr>
    <w:rPr>
      <w:sz w:val="16"/>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
    <w:basedOn w:val="Predvolenpsmoodseku"/>
    <w:link w:val="Textpoznmkypodiarou"/>
    <w:uiPriority w:val="99"/>
    <w:rsid w:val="008148FD"/>
    <w:rPr>
      <w:rFonts w:ascii="Segoe UI" w:hAnsi="Segoe UI"/>
      <w:sz w:val="16"/>
      <w:szCs w:val="20"/>
    </w:rPr>
  </w:style>
  <w:style w:type="character" w:styleId="Odkaznapoznmkupodiarou">
    <w:name w:val="footnote reference"/>
    <w:basedOn w:val="Predvolenpsmoodseku"/>
    <w:uiPriority w:val="99"/>
    <w:unhideWhenUsed/>
    <w:rsid w:val="002407D6"/>
    <w:rPr>
      <w:vertAlign w:val="superscript"/>
    </w:rPr>
  </w:style>
  <w:style w:type="paragraph" w:customStyle="1" w:styleId="vodZverZhrnutie">
    <w:name w:val="Úvod/Záver/Zhrnutie"/>
    <w:basedOn w:val="Nadpis1"/>
    <w:next w:val="Textpoznmkypodiarou"/>
    <w:rsid w:val="00277C8B"/>
    <w:pPr>
      <w:numPr>
        <w:numId w:val="0"/>
      </w:numPr>
    </w:pPr>
  </w:style>
  <w:style w:type="paragraph" w:customStyle="1" w:styleId="Zdroj">
    <w:name w:val="Zdroj"/>
    <w:basedOn w:val="Normlny"/>
    <w:qFormat/>
    <w:rsid w:val="00C71065"/>
    <w:pPr>
      <w:spacing w:line="240" w:lineRule="auto"/>
      <w:jc w:val="left"/>
    </w:pPr>
    <w:rPr>
      <w:i/>
      <w:color w:val="314364" w:themeColor="text2"/>
      <w:sz w:val="16"/>
    </w:rPr>
  </w:style>
  <w:style w:type="paragraph" w:styleId="Popis">
    <w:name w:val="caption"/>
    <w:basedOn w:val="Normlny"/>
    <w:next w:val="Normlny"/>
    <w:uiPriority w:val="35"/>
    <w:unhideWhenUsed/>
    <w:qFormat/>
    <w:rsid w:val="002407D6"/>
    <w:pPr>
      <w:spacing w:after="0" w:line="240" w:lineRule="auto"/>
    </w:pPr>
    <w:rPr>
      <w:b/>
      <w:iCs/>
      <w:color w:val="314364" w:themeColor="text2"/>
      <w:szCs w:val="18"/>
    </w:rPr>
  </w:style>
  <w:style w:type="table" w:styleId="Mriekatabuky">
    <w:name w:val="Table Grid"/>
    <w:basedOn w:val="Normlnatabuka"/>
    <w:uiPriority w:val="39"/>
    <w:rsid w:val="0066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uiPriority w:val="1"/>
    <w:qFormat/>
    <w:rsid w:val="00664B90"/>
    <w:pPr>
      <w:spacing w:after="0" w:line="240" w:lineRule="auto"/>
    </w:pPr>
    <w:rPr>
      <w:rFonts w:asciiTheme="minorHAnsi" w:eastAsiaTheme="minorEastAsia" w:hAnsiTheme="minorHAnsi"/>
      <w:lang w:eastAsia="sk-SK"/>
    </w:rPr>
  </w:style>
  <w:style w:type="character" w:customStyle="1" w:styleId="BezriadkovaniaChar">
    <w:name w:val="Bez riadkovania Char"/>
    <w:basedOn w:val="Predvolenpsmoodseku"/>
    <w:link w:val="Bezriadkovania"/>
    <w:uiPriority w:val="1"/>
    <w:locked/>
    <w:rsid w:val="00664B90"/>
    <w:rPr>
      <w:rFonts w:asciiTheme="minorHAnsi" w:eastAsiaTheme="minorEastAsia" w:hAnsiTheme="minorHAnsi"/>
      <w:lang w:eastAsia="sk-SK"/>
    </w:rPr>
  </w:style>
  <w:style w:type="paragraph" w:customStyle="1" w:styleId="Pouitliteratra">
    <w:name w:val="Použitá literatúra"/>
    <w:basedOn w:val="Odsekzoznamu"/>
    <w:qFormat/>
    <w:rsid w:val="0070595E"/>
    <w:pPr>
      <w:numPr>
        <w:numId w:val="3"/>
      </w:numPr>
      <w:ind w:left="357" w:hanging="357"/>
    </w:pPr>
  </w:style>
  <w:style w:type="paragraph" w:styleId="Hlavikaobsahu">
    <w:name w:val="TOC Heading"/>
    <w:basedOn w:val="Nadpis1"/>
    <w:next w:val="Normlny"/>
    <w:uiPriority w:val="39"/>
    <w:unhideWhenUsed/>
    <w:qFormat/>
    <w:rsid w:val="00277C8B"/>
    <w:pPr>
      <w:numPr>
        <w:numId w:val="0"/>
      </w:numPr>
      <w:spacing w:before="240" w:after="0" w:line="259" w:lineRule="auto"/>
      <w:jc w:val="left"/>
      <w:outlineLvl w:val="9"/>
    </w:pPr>
    <w:rPr>
      <w:b w:val="0"/>
      <w:position w:val="0"/>
      <w:lang w:eastAsia="sk-SK"/>
    </w:rPr>
  </w:style>
  <w:style w:type="paragraph" w:styleId="Obsah1">
    <w:name w:val="toc 1"/>
    <w:basedOn w:val="Normlny"/>
    <w:next w:val="Normlny"/>
    <w:autoRedefine/>
    <w:uiPriority w:val="39"/>
    <w:unhideWhenUsed/>
    <w:rsid w:val="006C125B"/>
    <w:pPr>
      <w:tabs>
        <w:tab w:val="left" w:pos="400"/>
        <w:tab w:val="right" w:leader="dot" w:pos="9060"/>
      </w:tabs>
      <w:spacing w:before="120"/>
      <w:jc w:val="left"/>
    </w:pPr>
    <w:rPr>
      <w:rFonts w:asciiTheme="minorHAnsi" w:hAnsiTheme="minorHAnsi" w:cstheme="minorHAnsi"/>
      <w:b/>
      <w:bCs/>
      <w:caps/>
      <w:noProof/>
      <w:color w:val="314364" w:themeColor="text2"/>
      <w:szCs w:val="20"/>
    </w:rPr>
  </w:style>
  <w:style w:type="paragraph" w:styleId="Obsah2">
    <w:name w:val="toc 2"/>
    <w:basedOn w:val="Normlny"/>
    <w:next w:val="Normlny"/>
    <w:autoRedefine/>
    <w:uiPriority w:val="39"/>
    <w:unhideWhenUsed/>
    <w:rsid w:val="00004033"/>
    <w:pPr>
      <w:spacing w:after="0"/>
      <w:ind w:left="200"/>
      <w:jc w:val="left"/>
    </w:pPr>
    <w:rPr>
      <w:rFonts w:asciiTheme="minorHAnsi" w:hAnsiTheme="minorHAnsi" w:cstheme="minorHAnsi"/>
      <w:smallCaps/>
      <w:szCs w:val="20"/>
    </w:rPr>
  </w:style>
  <w:style w:type="paragraph" w:styleId="Obsah3">
    <w:name w:val="toc 3"/>
    <w:basedOn w:val="Normlny"/>
    <w:next w:val="Normlny"/>
    <w:autoRedefine/>
    <w:uiPriority w:val="39"/>
    <w:unhideWhenUsed/>
    <w:rsid w:val="00004033"/>
    <w:pPr>
      <w:spacing w:after="0"/>
      <w:ind w:left="400"/>
      <w:jc w:val="left"/>
    </w:pPr>
    <w:rPr>
      <w:rFonts w:asciiTheme="minorHAnsi" w:hAnsiTheme="minorHAnsi" w:cstheme="minorHAnsi"/>
      <w:i/>
      <w:iCs/>
      <w:szCs w:val="20"/>
    </w:rPr>
  </w:style>
  <w:style w:type="character" w:customStyle="1" w:styleId="Nadpis3Char">
    <w:name w:val="Nadpis 3 Char"/>
    <w:basedOn w:val="Predvolenpsmoodseku"/>
    <w:link w:val="Nadpis3"/>
    <w:uiPriority w:val="9"/>
    <w:rsid w:val="003D6267"/>
    <w:rPr>
      <w:rFonts w:ascii="Segoe UI" w:eastAsiaTheme="majorEastAsia" w:hAnsi="Segoe UI" w:cstheme="majorBidi"/>
      <w:color w:val="314364"/>
      <w:sz w:val="24"/>
      <w:szCs w:val="24"/>
    </w:rPr>
  </w:style>
  <w:style w:type="paragraph" w:styleId="Textbubliny">
    <w:name w:val="Balloon Text"/>
    <w:basedOn w:val="Normlny"/>
    <w:link w:val="TextbublinyChar"/>
    <w:uiPriority w:val="99"/>
    <w:semiHidden/>
    <w:unhideWhenUsed/>
    <w:rsid w:val="00442CE6"/>
    <w:pPr>
      <w:spacing w:after="0" w:line="240" w:lineRule="auto"/>
    </w:pPr>
    <w:rPr>
      <w:rFonts w:cs="Segoe UI"/>
      <w:sz w:val="18"/>
      <w:szCs w:val="18"/>
    </w:rPr>
  </w:style>
  <w:style w:type="character" w:customStyle="1" w:styleId="TextbublinyChar">
    <w:name w:val="Text bubliny Char"/>
    <w:basedOn w:val="Predvolenpsmoodseku"/>
    <w:link w:val="Textbubliny"/>
    <w:uiPriority w:val="99"/>
    <w:semiHidden/>
    <w:rsid w:val="00442CE6"/>
    <w:rPr>
      <w:rFonts w:ascii="Segoe UI" w:hAnsi="Segoe UI" w:cs="Segoe UI"/>
      <w:sz w:val="18"/>
      <w:szCs w:val="18"/>
    </w:rPr>
  </w:style>
  <w:style w:type="character" w:styleId="Odkaznakomentr">
    <w:name w:val="annotation reference"/>
    <w:basedOn w:val="Predvolenpsmoodseku"/>
    <w:uiPriority w:val="99"/>
    <w:semiHidden/>
    <w:unhideWhenUsed/>
    <w:rsid w:val="003733BE"/>
    <w:rPr>
      <w:sz w:val="16"/>
      <w:szCs w:val="16"/>
    </w:rPr>
  </w:style>
  <w:style w:type="paragraph" w:styleId="Textkomentra">
    <w:name w:val="annotation text"/>
    <w:basedOn w:val="Normlny"/>
    <w:link w:val="TextkomentraChar"/>
    <w:uiPriority w:val="99"/>
    <w:semiHidden/>
    <w:unhideWhenUsed/>
    <w:rsid w:val="003733BE"/>
    <w:pPr>
      <w:spacing w:line="240" w:lineRule="auto"/>
    </w:pPr>
    <w:rPr>
      <w:szCs w:val="20"/>
    </w:rPr>
  </w:style>
  <w:style w:type="character" w:customStyle="1" w:styleId="TextkomentraChar">
    <w:name w:val="Text komentára Char"/>
    <w:basedOn w:val="Predvolenpsmoodseku"/>
    <w:link w:val="Textkomentra"/>
    <w:uiPriority w:val="99"/>
    <w:semiHidden/>
    <w:rsid w:val="003733BE"/>
    <w:rPr>
      <w:rFonts w:ascii="Segoe UI" w:hAnsi="Segoe UI"/>
      <w:sz w:val="20"/>
      <w:szCs w:val="20"/>
    </w:rPr>
  </w:style>
  <w:style w:type="paragraph" w:styleId="Predmetkomentra">
    <w:name w:val="annotation subject"/>
    <w:basedOn w:val="Textkomentra"/>
    <w:next w:val="Textkomentra"/>
    <w:link w:val="PredmetkomentraChar"/>
    <w:uiPriority w:val="99"/>
    <w:semiHidden/>
    <w:unhideWhenUsed/>
    <w:rsid w:val="002D4645"/>
    <w:rPr>
      <w:b/>
      <w:bCs/>
    </w:rPr>
  </w:style>
  <w:style w:type="character" w:customStyle="1" w:styleId="PredmetkomentraChar">
    <w:name w:val="Predmet komentára Char"/>
    <w:basedOn w:val="TextkomentraChar"/>
    <w:link w:val="Predmetkomentra"/>
    <w:uiPriority w:val="99"/>
    <w:semiHidden/>
    <w:rsid w:val="002D4645"/>
    <w:rPr>
      <w:rFonts w:ascii="Segoe UI" w:hAnsi="Segoe UI"/>
      <w:b/>
      <w:bCs/>
      <w:sz w:val="20"/>
      <w:szCs w:val="20"/>
    </w:rPr>
  </w:style>
  <w:style w:type="character" w:customStyle="1" w:styleId="In">
    <w:name w:val="Iné_"/>
    <w:basedOn w:val="Predvolenpsmoodseku"/>
    <w:link w:val="In0"/>
    <w:rsid w:val="0070456C"/>
    <w:rPr>
      <w:rFonts w:ascii="Times New Roman" w:eastAsia="Times New Roman" w:hAnsi="Times New Roman" w:cs="Times New Roman"/>
      <w:shd w:val="clear" w:color="auto" w:fill="FFFFFF"/>
    </w:rPr>
  </w:style>
  <w:style w:type="paragraph" w:customStyle="1" w:styleId="In0">
    <w:name w:val="Iné"/>
    <w:basedOn w:val="Normlny"/>
    <w:link w:val="In"/>
    <w:rsid w:val="0070456C"/>
    <w:pPr>
      <w:widowControl w:val="0"/>
      <w:shd w:val="clear" w:color="auto" w:fill="FFFFFF"/>
      <w:spacing w:after="260" w:line="240" w:lineRule="auto"/>
    </w:pPr>
    <w:rPr>
      <w:rFonts w:ascii="Times New Roman" w:eastAsia="Times New Roman" w:hAnsi="Times New Roman" w:cs="Times New Roman"/>
      <w:sz w:val="22"/>
    </w:rPr>
  </w:style>
  <w:style w:type="table" w:customStyle="1" w:styleId="Mriekatabuky1">
    <w:name w:val="Mriežka tabuľky1"/>
    <w:basedOn w:val="Normlnatabuka"/>
    <w:next w:val="Mriekatabuky"/>
    <w:uiPriority w:val="39"/>
    <w:rsid w:val="0042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2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42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42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ý text_"/>
    <w:basedOn w:val="Predvolenpsmoodseku"/>
    <w:link w:val="Zkladntext1"/>
    <w:rsid w:val="00422249"/>
    <w:rPr>
      <w:rFonts w:ascii="Times New Roman" w:eastAsia="Times New Roman" w:hAnsi="Times New Roman" w:cs="Times New Roman"/>
      <w:shd w:val="clear" w:color="auto" w:fill="FFFFFF"/>
    </w:rPr>
  </w:style>
  <w:style w:type="paragraph" w:customStyle="1" w:styleId="Zkladntext1">
    <w:name w:val="Základný text1"/>
    <w:basedOn w:val="Normlny"/>
    <w:link w:val="Zkladntext"/>
    <w:rsid w:val="00422249"/>
    <w:pPr>
      <w:widowControl w:val="0"/>
      <w:shd w:val="clear" w:color="auto" w:fill="FFFFFF"/>
      <w:spacing w:after="260" w:line="240" w:lineRule="auto"/>
    </w:pPr>
    <w:rPr>
      <w:rFonts w:ascii="Times New Roman" w:eastAsia="Times New Roman" w:hAnsi="Times New Roman" w:cs="Times New Roman"/>
      <w:sz w:val="22"/>
    </w:rPr>
  </w:style>
  <w:style w:type="character" w:customStyle="1" w:styleId="OdsekzoznamuChar">
    <w:name w:val="Odsek zoznamu Char"/>
    <w:aliases w:val="body Char,Odsek zoznamu2 Char,Odsek Char,Odsek zoznamu1 Char,Dot pt Char,No Spacing1 Char,List Paragraph Char Char Char Char,Indicator Text Char,Numbered Para 1 Char,List Paragraph à moi Char,Odsek zoznamu4 Char,LISTA Char,3 Char"/>
    <w:basedOn w:val="Predvolenpsmoodseku"/>
    <w:link w:val="Odsekzoznamu"/>
    <w:uiPriority w:val="34"/>
    <w:qFormat/>
    <w:locked/>
    <w:rsid w:val="00571A80"/>
    <w:rPr>
      <w:rFonts w:ascii="Segoe UI" w:hAnsi="Segoe UI"/>
      <w:sz w:val="20"/>
    </w:rPr>
  </w:style>
  <w:style w:type="paragraph" w:customStyle="1" w:styleId="2stlpce">
    <w:name w:val="2 stlpce"/>
    <w:basedOn w:val="Normlny"/>
    <w:link w:val="2stlpceChar"/>
    <w:qFormat/>
    <w:rsid w:val="00A33FD6"/>
    <w:pPr>
      <w:spacing w:line="240" w:lineRule="auto"/>
    </w:pPr>
    <w:rPr>
      <w:rFonts w:ascii="Calibri" w:hAnsi="Calibri"/>
      <w:sz w:val="22"/>
    </w:rPr>
  </w:style>
  <w:style w:type="character" w:customStyle="1" w:styleId="2stlpceChar">
    <w:name w:val="2 stlpce Char"/>
    <w:basedOn w:val="Predvolenpsmoodseku"/>
    <w:link w:val="2stlpce"/>
    <w:rsid w:val="00A33FD6"/>
    <w:rPr>
      <w:rFonts w:ascii="Calibri" w:hAnsi="Calibri"/>
    </w:rPr>
  </w:style>
  <w:style w:type="character" w:styleId="PouitHypertextovPrepojenie">
    <w:name w:val="FollowedHyperlink"/>
    <w:basedOn w:val="Predvolenpsmoodseku"/>
    <w:uiPriority w:val="99"/>
    <w:semiHidden/>
    <w:unhideWhenUsed/>
    <w:rsid w:val="00582A6C"/>
    <w:rPr>
      <w:color w:val="314364" w:themeColor="followedHyperlink"/>
      <w:u w:val="single"/>
    </w:rPr>
  </w:style>
  <w:style w:type="paragraph" w:customStyle="1" w:styleId="Default">
    <w:name w:val="Default"/>
    <w:rsid w:val="00DC0C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Predvolenpsmoodseku"/>
    <w:link w:val="Nadpis4"/>
    <w:uiPriority w:val="9"/>
    <w:rsid w:val="002A599C"/>
    <w:rPr>
      <w:rFonts w:asciiTheme="majorHAnsi" w:eastAsiaTheme="majorEastAsia" w:hAnsiTheme="majorHAnsi" w:cstheme="majorBidi"/>
      <w:i/>
      <w:iCs/>
      <w:color w:val="24324A" w:themeColor="accent1" w:themeShade="BF"/>
      <w:sz w:val="20"/>
    </w:rPr>
  </w:style>
  <w:style w:type="character" w:customStyle="1" w:styleId="Nadpis5Char">
    <w:name w:val="Nadpis 5 Char"/>
    <w:basedOn w:val="Predvolenpsmoodseku"/>
    <w:link w:val="Nadpis5"/>
    <w:uiPriority w:val="9"/>
    <w:rsid w:val="00AC6430"/>
    <w:rPr>
      <w:rFonts w:asciiTheme="majorHAnsi" w:eastAsiaTheme="majorEastAsia" w:hAnsiTheme="majorHAnsi" w:cstheme="majorBidi"/>
      <w:color w:val="24324A" w:themeColor="accent1" w:themeShade="BF"/>
      <w:sz w:val="20"/>
    </w:rPr>
  </w:style>
  <w:style w:type="character" w:styleId="Zvraznenie">
    <w:name w:val="Emphasis"/>
    <w:basedOn w:val="Predvolenpsmoodseku"/>
    <w:uiPriority w:val="20"/>
    <w:qFormat/>
    <w:rsid w:val="00AC6430"/>
    <w:rPr>
      <w:i/>
      <w:iCs/>
    </w:rPr>
  </w:style>
  <w:style w:type="character" w:styleId="Siln">
    <w:name w:val="Strong"/>
    <w:basedOn w:val="Predvolenpsmoodseku"/>
    <w:uiPriority w:val="22"/>
    <w:qFormat/>
    <w:rsid w:val="00AC6430"/>
    <w:rPr>
      <w:b/>
      <w:bCs/>
    </w:rPr>
  </w:style>
  <w:style w:type="character" w:styleId="Nzovknihy">
    <w:name w:val="Book Title"/>
    <w:basedOn w:val="Predvolenpsmoodseku"/>
    <w:uiPriority w:val="33"/>
    <w:qFormat/>
    <w:rsid w:val="00AC6430"/>
    <w:rPr>
      <w:b/>
      <w:bCs/>
      <w:i/>
      <w:iCs/>
      <w:spacing w:val="5"/>
    </w:rPr>
  </w:style>
  <w:style w:type="table" w:customStyle="1" w:styleId="Mriekatabuky5">
    <w:name w:val="Mriežka tabuľky5"/>
    <w:basedOn w:val="Normlnatabuka"/>
    <w:next w:val="Mriekatabuky"/>
    <w:uiPriority w:val="39"/>
    <w:rsid w:val="00427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5F0F5B"/>
  </w:style>
  <w:style w:type="paragraph" w:styleId="Obsah4">
    <w:name w:val="toc 4"/>
    <w:basedOn w:val="Normlny"/>
    <w:next w:val="Normlny"/>
    <w:autoRedefine/>
    <w:uiPriority w:val="39"/>
    <w:unhideWhenUsed/>
    <w:rsid w:val="006C125B"/>
    <w:pPr>
      <w:spacing w:after="0"/>
      <w:ind w:left="600"/>
      <w:jc w:val="left"/>
    </w:pPr>
    <w:rPr>
      <w:rFonts w:asciiTheme="minorHAnsi" w:hAnsiTheme="minorHAnsi" w:cstheme="minorHAnsi"/>
      <w:sz w:val="18"/>
      <w:szCs w:val="18"/>
    </w:rPr>
  </w:style>
  <w:style w:type="paragraph" w:styleId="Obsah5">
    <w:name w:val="toc 5"/>
    <w:basedOn w:val="Normlny"/>
    <w:next w:val="Normlny"/>
    <w:autoRedefine/>
    <w:uiPriority w:val="39"/>
    <w:unhideWhenUsed/>
    <w:rsid w:val="006C125B"/>
    <w:pPr>
      <w:spacing w:after="0"/>
      <w:ind w:left="800"/>
      <w:jc w:val="left"/>
    </w:pPr>
    <w:rPr>
      <w:rFonts w:asciiTheme="minorHAnsi" w:hAnsiTheme="minorHAnsi" w:cstheme="minorHAnsi"/>
      <w:sz w:val="18"/>
      <w:szCs w:val="18"/>
    </w:rPr>
  </w:style>
  <w:style w:type="paragraph" w:styleId="Obsah6">
    <w:name w:val="toc 6"/>
    <w:basedOn w:val="Normlny"/>
    <w:next w:val="Normlny"/>
    <w:autoRedefine/>
    <w:uiPriority w:val="39"/>
    <w:unhideWhenUsed/>
    <w:rsid w:val="006C125B"/>
    <w:pPr>
      <w:spacing w:after="0"/>
      <w:ind w:left="1000"/>
      <w:jc w:val="left"/>
    </w:pPr>
    <w:rPr>
      <w:rFonts w:asciiTheme="minorHAnsi" w:hAnsiTheme="minorHAnsi" w:cstheme="minorHAnsi"/>
      <w:sz w:val="18"/>
      <w:szCs w:val="18"/>
    </w:rPr>
  </w:style>
  <w:style w:type="paragraph" w:styleId="Obsah7">
    <w:name w:val="toc 7"/>
    <w:basedOn w:val="Normlny"/>
    <w:next w:val="Normlny"/>
    <w:autoRedefine/>
    <w:uiPriority w:val="39"/>
    <w:unhideWhenUsed/>
    <w:rsid w:val="006C125B"/>
    <w:pPr>
      <w:spacing w:after="0"/>
      <w:ind w:left="120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6C125B"/>
    <w:pPr>
      <w:spacing w:after="0"/>
      <w:ind w:left="140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6C125B"/>
    <w:pPr>
      <w:spacing w:after="0"/>
      <w:ind w:left="160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yperlink" Target="https://www.slov-lex.sk/pravne-predpisy/SK/ZZ/2015/440/20210728" TargetMode="Externa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footer" Target="footer2.xml"/><Relationship Id="rId10" Type="http://schemas.openxmlformats.org/officeDocument/2006/relationships/image" Target="media/image2.tmp"/><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npmodmus.zmos.sk/download_file_f.php?id=1193191" TargetMode="External"/><Relationship Id="rId13" Type="http://schemas.openxmlformats.org/officeDocument/2006/relationships/hyperlink" Target="https://rokovania.gov.sk/RVL/Material/10438/1" TargetMode="External"/><Relationship Id="rId18" Type="http://schemas.openxmlformats.org/officeDocument/2006/relationships/hyperlink" Target="https://www.nku.gov.sk/documents/10157/1460168/Analyza_Uspory_Protipovodnove_Opatrenia_122020.pdf" TargetMode="External"/><Relationship Id="rId26" Type="http://schemas.openxmlformats.org/officeDocument/2006/relationships/hyperlink" Target="https://www.mfsr.sk/files/archiv/5/suhrnna_implementacna_sprava_2020.pdf" TargetMode="External"/><Relationship Id="rId3" Type="http://schemas.openxmlformats.org/officeDocument/2006/relationships/hyperlink" Target="https://www.vtv.fi/app/uploads/2021/06/NAOF-Fiscal-policy-monitoring-assessment-on-management-of-general-government-finances-spring-2021.pdf" TargetMode="External"/><Relationship Id="rId21" Type="http://schemas.openxmlformats.org/officeDocument/2006/relationships/hyperlink" Target="https://www.minzp.sk/voda/verejne-vodovody-verejne-kanalizacie/" TargetMode="External"/><Relationship Id="rId7" Type="http://schemas.openxmlformats.org/officeDocument/2006/relationships/hyperlink" Target="https://www.google.com/url?sa=t&amp;rct=j&amp;q=&amp;esrc=s&amp;source=web&amp;cd=&amp;ved=2ahUKEwi15qLZmeXzAhWjg_0HHZMrAIkQFnoECAQQAQ&amp;url=https%3A%2F%2Fwww.zmos.sk%2Fdownload_file_f.php%3Fid%3D1220822&amp;usg=AOvVaw3FdGNEhwE6ODO9v2wOc62P" TargetMode="External"/><Relationship Id="rId12" Type="http://schemas.openxmlformats.org/officeDocument/2006/relationships/hyperlink" Target="https://rokovania.gov.sk/RVL/Material/10438/1" TargetMode="External"/><Relationship Id="rId17" Type="http://schemas.openxmlformats.org/officeDocument/2006/relationships/hyperlink" Target="https://www.minzp.sk/voda/ochrana-pred-povodnami/manazment-povodnovych-rizik/" TargetMode="External"/><Relationship Id="rId25" Type="http://schemas.openxmlformats.org/officeDocument/2006/relationships/hyperlink" Target="https://www.mfsr.sk/files/archiv/42/7420_implementacny-plan-2019-revizia-vydavkov-na-zivotne-prostredie.pdf" TargetMode="External"/><Relationship Id="rId2" Type="http://schemas.openxmlformats.org/officeDocument/2006/relationships/hyperlink" Target="https://www.riksrevisionen.se/download/18.78cdca4f1770d3923573fc74/1611224599583/RiR%202020_29%20GB.pdf" TargetMode="External"/><Relationship Id="rId16" Type="http://schemas.openxmlformats.org/officeDocument/2006/relationships/hyperlink" Target="https://www.mfsr.sk/files/archiv/uhp/3370/76/Finalna_sprava_revizia_DOPRAVA.pdf" TargetMode="External"/><Relationship Id="rId20" Type="http://schemas.openxmlformats.org/officeDocument/2006/relationships/hyperlink" Target="https://www.mfsr.sk/files/archiv/5/suhrnna_implementacna_sprava_2020.pdf" TargetMode="External"/><Relationship Id="rId1" Type="http://schemas.openxmlformats.org/officeDocument/2006/relationships/hyperlink" Target="https://www.nku.gov.sk/documents/10157/df2ad6f7-2f3b-4079-9aaa-a1d53e74488b" TargetMode="External"/><Relationship Id="rId6" Type="http://schemas.openxmlformats.org/officeDocument/2006/relationships/hyperlink" Target="https://www.mpsr.sk/programove-vyhlasenie-vlady-slovenskej-republiky-na-obdobie-rokov-2020-2024/800-17-800-15434/" TargetMode="External"/><Relationship Id="rId11" Type="http://schemas.openxmlformats.org/officeDocument/2006/relationships/hyperlink" Target="https://www.health.gov.sk/Clanok?MP-fin_prostriedky_investicne_ucely" TargetMode="External"/><Relationship Id="rId24" Type="http://schemas.openxmlformats.org/officeDocument/2006/relationships/hyperlink" Target="https://www.minzp.sk/voda/verejne-vodovody-verejne-kanalizacie/" TargetMode="External"/><Relationship Id="rId5" Type="http://schemas.openxmlformats.org/officeDocument/2006/relationships/hyperlink" Target="https://www.mfsr.sk/files/archiv/49/programovanie-pokrocilych.pdf" TargetMode="External"/><Relationship Id="rId15" Type="http://schemas.openxmlformats.org/officeDocument/2006/relationships/hyperlink" Target="https://www.nku.gov.sk/documents/10157/1460168/Strategick%C3%A1+moderniz%C3%A1cia+%C5%BEelezn%C3%ADc.pdf" TargetMode="External"/><Relationship Id="rId23" Type="http://schemas.openxmlformats.org/officeDocument/2006/relationships/hyperlink" Target="https://www.minzp.sk/voda/verejne-vodovody-verejne-kanalizacie/" TargetMode="External"/><Relationship Id="rId10" Type="http://schemas.openxmlformats.org/officeDocument/2006/relationships/hyperlink" Target="https://www.cvtisr.sk/buxus/docs/JH/Vyvojove_tendencie_2021.pdf" TargetMode="External"/><Relationship Id="rId19" Type="http://schemas.openxmlformats.org/officeDocument/2006/relationships/hyperlink" Target="https://www.crz.gov.sk/data/att/2865354_dokument.pdf" TargetMode="External"/><Relationship Id="rId4" Type="http://schemas.openxmlformats.org/officeDocument/2006/relationships/hyperlink" Target="https://www.planobnovy.sk/semafor/" TargetMode="External"/><Relationship Id="rId9" Type="http://schemas.openxmlformats.org/officeDocument/2006/relationships/hyperlink" Target="https://npmodmus.zmos.sk/download_file_f.php?id=1406364" TargetMode="External"/><Relationship Id="rId14" Type="http://schemas.openxmlformats.org/officeDocument/2006/relationships/hyperlink" Target="https://www.employment.gov.sk/files/slovensky/ministerstvo/analyticke-centrum/analyticke-komentare/isp_2021_prva_pomoc_update17_final.pdf" TargetMode="External"/><Relationship Id="rId22" Type="http://schemas.openxmlformats.org/officeDocument/2006/relationships/hyperlink" Target="https://www.minzp.sk/voda/verejne-vodovody-verejne-kanaliza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novisk&#225;\Stanovisko%20k%20n&#225;vrhu%20&#352;R%202021\Stanovisko%20OS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YST&#201;MOV&#201;%20PRIE&#268;INKY\Downloads\STANOVISKO\Stanovisko%20k%20RVS%202022\Grafy_stanovisko%20n&#225;vrh&#352;R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_rok_programu_Microsoft_Excel.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SYST&#201;MOV&#201;%20PRIE&#268;INKY\Desktop\K&#243;pia%20-%20tabu&#318;ky%20SP.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D:\SYST&#201;MOV&#201;%20PRIE&#268;INKY\Desktop\K&#243;pia%20-%20tabu&#318;ky%20SP.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MOJE%20DOKUMENTY\Odbor%20rozpo&#269;tovej%20politiky\Rozpocet\Stanovisko%20k%20rozpoctu%202022\n&#225;vrh%20rvs%202022%20(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SYST&#201;MOV&#201;%20PRIE&#268;INKY\Desktop\K&#243;pia%20-%20Envirofond2.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D:\SYST&#201;MOV&#201;%20PRIE&#268;INKY\Downloads\STANOVISKO\Stanovisko%20k%20RVS%202022\Grafy_stanovisko%20n&#225;vrh&#352;R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OJE%20DOKUMENTY\&#352;tvr&#357;ro&#269;n&#233;%20spr&#225;vy%20o%20v&#253;voji%20rozpo&#357;ov&#233;ho%20hospod&#225;renia\2021\I.%20polrok\V&#253;po&#269;ty\V&#253;po&#269;ty_dl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YST&#201;MOV&#201;%20PRIE&#268;INKY\Desktop\Pracovn&#233;%20zlo&#382;ky\GRAFY%20A%20&#352;ABL&#211;NY%20OD%20MILANA\Rozpoctove%20Hospodarenie%201Q%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nisik\AppData\Roaming\Microsoft\Excel\kapitalove%20v&#253;davky%20(version%202).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MOJE%20DOKUMENTY\Rozpo&#269;et\Rozpo&#269;et%202022\Dlh%20VS\V&#253;po&#269;ty_dl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SYST&#201;MOV&#201;%20PRIE&#268;INKY\Do&#269;asn&#233;%20internetov&#233;%20s&#250;bory\Content.Outlook\BQHVU0R5\prenesen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SYST&#201;MOV&#201;%20PRIE&#268;INKY\Desktop\Stanovisk&#225;\ku%20rvs%202022\k%20&#353;kolstvu.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MOJE%20DOKUMENTY\Odbor%20analytick&#253;_9.12.15\Ukazovatele%201_6.2.18\Ukazovatele_Zdravi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272751745192688E-2"/>
          <c:y val="4.1666666666666664E-2"/>
          <c:w val="0.92235972688728596"/>
          <c:h val="0.74972202338344085"/>
        </c:manualLayout>
      </c:layout>
      <c:lineChart>
        <c:grouping val="standard"/>
        <c:varyColors val="0"/>
        <c:ser>
          <c:idx val="0"/>
          <c:order val="0"/>
          <c:tx>
            <c:strRef>
              <c:f>'Graf 1'!$A$2</c:f>
              <c:strCache>
                <c:ptCount val="1"/>
                <c:pt idx="0">
                  <c:v>HDP_p</c:v>
                </c:pt>
              </c:strCache>
            </c:strRef>
          </c:tx>
          <c:spPr>
            <a:ln w="15875" cap="rnd">
              <a:solidFill>
                <a:srgbClr val="002060"/>
              </a:solidFill>
              <a:prstDash val="sysDot"/>
              <a:round/>
            </a:ln>
            <a:effectLst/>
          </c:spPr>
          <c:marker>
            <c:symbol val="none"/>
          </c:marker>
          <c:cat>
            <c:numRef>
              <c:f>'Graf 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'Graf 1'!$B$2:$P$2</c:f>
              <c:numCache>
                <c:formatCode>General</c:formatCode>
                <c:ptCount val="15"/>
                <c:pt idx="0">
                  <c:v>5.6</c:v>
                </c:pt>
                <c:pt idx="1">
                  <c:v>6.5</c:v>
                </c:pt>
                <c:pt idx="2">
                  <c:v>1.9</c:v>
                </c:pt>
                <c:pt idx="3">
                  <c:v>3.3</c:v>
                </c:pt>
                <c:pt idx="4">
                  <c:v>1.7</c:v>
                </c:pt>
                <c:pt idx="5">
                  <c:v>2.1</c:v>
                </c:pt>
                <c:pt idx="6">
                  <c:v>2.2000000000000002</c:v>
                </c:pt>
                <c:pt idx="7">
                  <c:v>2.6</c:v>
                </c:pt>
                <c:pt idx="8">
                  <c:v>3.1</c:v>
                </c:pt>
                <c:pt idx="9">
                  <c:v>3.5</c:v>
                </c:pt>
                <c:pt idx="10">
                  <c:v>4.2</c:v>
                </c:pt>
                <c:pt idx="11">
                  <c:v>4.5</c:v>
                </c:pt>
                <c:pt idx="12">
                  <c:v>2.2999999999999998</c:v>
                </c:pt>
                <c:pt idx="13">
                  <c:v>5.5</c:v>
                </c:pt>
                <c:pt idx="14">
                  <c:v>4.2</c:v>
                </c:pt>
              </c:numCache>
            </c:numRef>
          </c:val>
          <c:smooth val="1"/>
          <c:extLst>
            <c:ext xmlns:c16="http://schemas.microsoft.com/office/drawing/2014/chart" uri="{C3380CC4-5D6E-409C-BE32-E72D297353CC}">
              <c16:uniqueId val="{00000000-EDAF-4753-96EB-8F5D06EF6082}"/>
            </c:ext>
          </c:extLst>
        </c:ser>
        <c:ser>
          <c:idx val="2"/>
          <c:order val="1"/>
          <c:tx>
            <c:strRef>
              <c:f>'Graf 1'!$A$4</c:f>
              <c:strCache>
                <c:ptCount val="1"/>
                <c:pt idx="0">
                  <c:v>Zamestnanosť_p</c:v>
                </c:pt>
              </c:strCache>
            </c:strRef>
          </c:tx>
          <c:spPr>
            <a:ln w="15875" cap="rnd">
              <a:solidFill>
                <a:schemeClr val="accent3"/>
              </a:solidFill>
              <a:prstDash val="sysDot"/>
              <a:round/>
            </a:ln>
            <a:effectLst/>
          </c:spPr>
          <c:marker>
            <c:symbol val="none"/>
          </c:marker>
          <c:cat>
            <c:numRef>
              <c:f>'Graf 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'Graf 1'!$B$4:$P$4</c:f>
              <c:numCache>
                <c:formatCode>General</c:formatCode>
                <c:ptCount val="15"/>
                <c:pt idx="0">
                  <c:v>1.6</c:v>
                </c:pt>
                <c:pt idx="1">
                  <c:v>1.3</c:v>
                </c:pt>
                <c:pt idx="2">
                  <c:v>-0.1</c:v>
                </c:pt>
                <c:pt idx="3">
                  <c:v>0.6</c:v>
                </c:pt>
                <c:pt idx="4">
                  <c:v>-0.2</c:v>
                </c:pt>
                <c:pt idx="5">
                  <c:v>0.1</c:v>
                </c:pt>
                <c:pt idx="6">
                  <c:v>0.2</c:v>
                </c:pt>
                <c:pt idx="7">
                  <c:v>0.4</c:v>
                </c:pt>
                <c:pt idx="8">
                  <c:v>1</c:v>
                </c:pt>
                <c:pt idx="9">
                  <c:v>1.5</c:v>
                </c:pt>
                <c:pt idx="10">
                  <c:v>1.4</c:v>
                </c:pt>
                <c:pt idx="11">
                  <c:v>1.1000000000000001</c:v>
                </c:pt>
                <c:pt idx="12">
                  <c:v>0.2</c:v>
                </c:pt>
                <c:pt idx="13">
                  <c:v>0.5</c:v>
                </c:pt>
                <c:pt idx="14">
                  <c:v>0.6</c:v>
                </c:pt>
              </c:numCache>
            </c:numRef>
          </c:val>
          <c:smooth val="1"/>
          <c:extLst>
            <c:ext xmlns:c16="http://schemas.microsoft.com/office/drawing/2014/chart" uri="{C3380CC4-5D6E-409C-BE32-E72D297353CC}">
              <c16:uniqueId val="{00000001-EDAF-4753-96EB-8F5D06EF6082}"/>
            </c:ext>
          </c:extLst>
        </c:ser>
        <c:ser>
          <c:idx val="4"/>
          <c:order val="2"/>
          <c:tx>
            <c:strRef>
              <c:f>'Graf 1'!$A$6</c:f>
              <c:strCache>
                <c:ptCount val="1"/>
                <c:pt idx="0">
                  <c:v>Inflácia_p</c:v>
                </c:pt>
              </c:strCache>
            </c:strRef>
          </c:tx>
          <c:spPr>
            <a:ln w="15875" cap="rnd">
              <a:solidFill>
                <a:srgbClr val="C00000"/>
              </a:solidFill>
              <a:prstDash val="sysDot"/>
              <a:round/>
            </a:ln>
            <a:effectLst/>
          </c:spPr>
          <c:marker>
            <c:symbol val="none"/>
          </c:marker>
          <c:cat>
            <c:numRef>
              <c:f>'Graf 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'Graf 1'!$B$6:$P$6</c:f>
              <c:numCache>
                <c:formatCode>General</c:formatCode>
                <c:ptCount val="15"/>
                <c:pt idx="0">
                  <c:v>1.9</c:v>
                </c:pt>
                <c:pt idx="1">
                  <c:v>4</c:v>
                </c:pt>
                <c:pt idx="2">
                  <c:v>3.2</c:v>
                </c:pt>
                <c:pt idx="3">
                  <c:v>3.7</c:v>
                </c:pt>
                <c:pt idx="4">
                  <c:v>2.6</c:v>
                </c:pt>
                <c:pt idx="5">
                  <c:v>3.1</c:v>
                </c:pt>
                <c:pt idx="6">
                  <c:v>1.7</c:v>
                </c:pt>
                <c:pt idx="7">
                  <c:v>1</c:v>
                </c:pt>
                <c:pt idx="8">
                  <c:v>0.9</c:v>
                </c:pt>
                <c:pt idx="9">
                  <c:v>0.9</c:v>
                </c:pt>
                <c:pt idx="10">
                  <c:v>1.7</c:v>
                </c:pt>
                <c:pt idx="11">
                  <c:v>2.5</c:v>
                </c:pt>
                <c:pt idx="12">
                  <c:v>2.1</c:v>
                </c:pt>
                <c:pt idx="13">
                  <c:v>1.1000000000000001</c:v>
                </c:pt>
                <c:pt idx="14">
                  <c:v>4.2</c:v>
                </c:pt>
              </c:numCache>
            </c:numRef>
          </c:val>
          <c:smooth val="1"/>
          <c:extLst>
            <c:ext xmlns:c16="http://schemas.microsoft.com/office/drawing/2014/chart" uri="{C3380CC4-5D6E-409C-BE32-E72D297353CC}">
              <c16:uniqueId val="{00000002-EDAF-4753-96EB-8F5D06EF6082}"/>
            </c:ext>
          </c:extLst>
        </c:ser>
        <c:ser>
          <c:idx val="1"/>
          <c:order val="3"/>
          <c:tx>
            <c:strRef>
              <c:f>'Graf 1'!$A$3</c:f>
              <c:strCache>
                <c:ptCount val="1"/>
                <c:pt idx="0">
                  <c:v>HDP_s</c:v>
                </c:pt>
              </c:strCache>
            </c:strRef>
          </c:tx>
          <c:spPr>
            <a:ln w="15875" cap="rnd">
              <a:noFill/>
              <a:round/>
            </a:ln>
            <a:effectLst/>
          </c:spPr>
          <c:marker>
            <c:symbol val="triangle"/>
            <c:size val="5"/>
            <c:spPr>
              <a:noFill/>
              <a:ln w="12700">
                <a:solidFill>
                  <a:srgbClr val="002060"/>
                </a:solidFill>
              </a:ln>
              <a:effectLst/>
            </c:spPr>
          </c:marker>
          <c:cat>
            <c:numRef>
              <c:f>'Graf 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'Graf 1'!$B$3:$P$3</c:f>
              <c:numCache>
                <c:formatCode>General</c:formatCode>
                <c:ptCount val="15"/>
                <c:pt idx="0">
                  <c:v>6.4</c:v>
                </c:pt>
                <c:pt idx="1">
                  <c:v>-4.7</c:v>
                </c:pt>
                <c:pt idx="2">
                  <c:v>4.2</c:v>
                </c:pt>
                <c:pt idx="3">
                  <c:v>3.3</c:v>
                </c:pt>
                <c:pt idx="4">
                  <c:v>2</c:v>
                </c:pt>
                <c:pt idx="5">
                  <c:v>1.4</c:v>
                </c:pt>
                <c:pt idx="6">
                  <c:v>2.4</c:v>
                </c:pt>
                <c:pt idx="7">
                  <c:v>3.6</c:v>
                </c:pt>
                <c:pt idx="8">
                  <c:v>3.3</c:v>
                </c:pt>
                <c:pt idx="9">
                  <c:v>3.4</c:v>
                </c:pt>
                <c:pt idx="10">
                  <c:v>4.0999999999999996</c:v>
                </c:pt>
                <c:pt idx="11">
                  <c:v>2.4</c:v>
                </c:pt>
                <c:pt idx="12">
                  <c:v>-4.8</c:v>
                </c:pt>
                <c:pt idx="13">
                  <c:v>3.7</c:v>
                </c:pt>
              </c:numCache>
            </c:numRef>
          </c:val>
          <c:smooth val="0"/>
          <c:extLst>
            <c:ext xmlns:c16="http://schemas.microsoft.com/office/drawing/2014/chart" uri="{C3380CC4-5D6E-409C-BE32-E72D297353CC}">
              <c16:uniqueId val="{00000003-EDAF-4753-96EB-8F5D06EF6082}"/>
            </c:ext>
          </c:extLst>
        </c:ser>
        <c:ser>
          <c:idx val="3"/>
          <c:order val="4"/>
          <c:tx>
            <c:strRef>
              <c:f>'Graf 1'!$A$5</c:f>
              <c:strCache>
                <c:ptCount val="1"/>
                <c:pt idx="0">
                  <c:v>Zamestnanosť_s</c:v>
                </c:pt>
              </c:strCache>
            </c:strRef>
          </c:tx>
          <c:spPr>
            <a:ln w="22225" cap="rnd">
              <a:noFill/>
              <a:round/>
            </a:ln>
            <a:effectLst/>
          </c:spPr>
          <c:marker>
            <c:symbol val="circle"/>
            <c:size val="5"/>
            <c:spPr>
              <a:noFill/>
              <a:ln w="12700">
                <a:solidFill>
                  <a:schemeClr val="accent3"/>
                </a:solidFill>
              </a:ln>
              <a:effectLst/>
            </c:spPr>
          </c:marker>
          <c:cat>
            <c:numRef>
              <c:f>'Graf 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'Graf 1'!$B$5:$P$5</c:f>
              <c:numCache>
                <c:formatCode>General</c:formatCode>
                <c:ptCount val="15"/>
                <c:pt idx="0">
                  <c:v>2.8</c:v>
                </c:pt>
                <c:pt idx="1">
                  <c:v>-2.4</c:v>
                </c:pt>
                <c:pt idx="2">
                  <c:v>-1.5</c:v>
                </c:pt>
                <c:pt idx="3">
                  <c:v>1.8</c:v>
                </c:pt>
                <c:pt idx="4">
                  <c:v>-0.1</c:v>
                </c:pt>
                <c:pt idx="5">
                  <c:v>-0.7</c:v>
                </c:pt>
                <c:pt idx="6">
                  <c:v>1.3</c:v>
                </c:pt>
                <c:pt idx="7">
                  <c:v>2.1</c:v>
                </c:pt>
                <c:pt idx="8">
                  <c:v>2.5</c:v>
                </c:pt>
                <c:pt idx="9">
                  <c:v>1.8</c:v>
                </c:pt>
                <c:pt idx="10">
                  <c:v>1.9</c:v>
                </c:pt>
                <c:pt idx="11">
                  <c:v>1</c:v>
                </c:pt>
                <c:pt idx="12">
                  <c:v>-1.8</c:v>
                </c:pt>
                <c:pt idx="13">
                  <c:v>-0.8</c:v>
                </c:pt>
              </c:numCache>
            </c:numRef>
          </c:val>
          <c:smooth val="0"/>
          <c:extLst>
            <c:ext xmlns:c16="http://schemas.microsoft.com/office/drawing/2014/chart" uri="{C3380CC4-5D6E-409C-BE32-E72D297353CC}">
              <c16:uniqueId val="{00000004-EDAF-4753-96EB-8F5D06EF6082}"/>
            </c:ext>
          </c:extLst>
        </c:ser>
        <c:ser>
          <c:idx val="5"/>
          <c:order val="5"/>
          <c:tx>
            <c:strRef>
              <c:f>'Graf 1'!$A$7</c:f>
              <c:strCache>
                <c:ptCount val="1"/>
                <c:pt idx="0">
                  <c:v>Inflácia_s</c:v>
                </c:pt>
              </c:strCache>
            </c:strRef>
          </c:tx>
          <c:spPr>
            <a:ln w="15875" cap="rnd">
              <a:noFill/>
              <a:prstDash val="sysDot"/>
              <a:round/>
            </a:ln>
            <a:effectLst/>
          </c:spPr>
          <c:marker>
            <c:symbol val="square"/>
            <c:size val="5"/>
            <c:spPr>
              <a:noFill/>
              <a:ln w="12700">
                <a:solidFill>
                  <a:srgbClr val="C00000"/>
                </a:solidFill>
              </a:ln>
              <a:effectLst/>
            </c:spPr>
          </c:marker>
          <c:cat>
            <c:numRef>
              <c:f>'Graf 1'!$B$1:$P$1</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'Graf 1'!$B$7:$P$7</c:f>
              <c:numCache>
                <c:formatCode>General</c:formatCode>
                <c:ptCount val="15"/>
                <c:pt idx="0">
                  <c:v>4.5999999999999996</c:v>
                </c:pt>
                <c:pt idx="1">
                  <c:v>1.6</c:v>
                </c:pt>
                <c:pt idx="2">
                  <c:v>1</c:v>
                </c:pt>
                <c:pt idx="3">
                  <c:v>3.9</c:v>
                </c:pt>
                <c:pt idx="4">
                  <c:v>3.6</c:v>
                </c:pt>
                <c:pt idx="5">
                  <c:v>1.4</c:v>
                </c:pt>
                <c:pt idx="6">
                  <c:v>-0.1</c:v>
                </c:pt>
                <c:pt idx="7">
                  <c:v>-0.3</c:v>
                </c:pt>
                <c:pt idx="8">
                  <c:v>-0.5</c:v>
                </c:pt>
                <c:pt idx="9">
                  <c:v>1.3</c:v>
                </c:pt>
                <c:pt idx="10">
                  <c:v>2.5</c:v>
                </c:pt>
                <c:pt idx="11">
                  <c:v>2.7</c:v>
                </c:pt>
                <c:pt idx="12">
                  <c:v>1.9</c:v>
                </c:pt>
                <c:pt idx="13">
                  <c:v>2.5</c:v>
                </c:pt>
              </c:numCache>
            </c:numRef>
          </c:val>
          <c:smooth val="1"/>
          <c:extLst>
            <c:ext xmlns:c16="http://schemas.microsoft.com/office/drawing/2014/chart" uri="{C3380CC4-5D6E-409C-BE32-E72D297353CC}">
              <c16:uniqueId val="{00000005-EDAF-4753-96EB-8F5D06EF6082}"/>
            </c:ext>
          </c:extLst>
        </c:ser>
        <c:dLbls>
          <c:showLegendKey val="0"/>
          <c:showVal val="0"/>
          <c:showCatName val="0"/>
          <c:showSerName val="0"/>
          <c:showPercent val="0"/>
          <c:showBubbleSize val="0"/>
        </c:dLbls>
        <c:smooth val="0"/>
        <c:axId val="723313072"/>
        <c:axId val="723304752"/>
      </c:lineChart>
      <c:catAx>
        <c:axId val="723313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723304752"/>
        <c:crosses val="autoZero"/>
        <c:auto val="1"/>
        <c:lblAlgn val="ctr"/>
        <c:lblOffset val="100"/>
        <c:noMultiLvlLbl val="0"/>
      </c:catAx>
      <c:valAx>
        <c:axId val="723304752"/>
        <c:scaling>
          <c:orientation val="minMax"/>
          <c:max val="7"/>
          <c:min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723313072"/>
        <c:crosses val="autoZero"/>
        <c:crossBetween val="between"/>
        <c:majorUnit val="1"/>
      </c:valAx>
      <c:spPr>
        <a:noFill/>
        <a:ln>
          <a:noFill/>
        </a:ln>
        <a:effectLst/>
      </c:spPr>
    </c:plotArea>
    <c:legend>
      <c:legendPos val="b"/>
      <c:layout>
        <c:manualLayout>
          <c:xMode val="edge"/>
          <c:yMode val="edge"/>
          <c:x val="7.9137529137529125E-2"/>
          <c:y val="0.88046647578143644"/>
          <c:w val="0.80481740481740482"/>
          <c:h val="0.1007241708422810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'na obyv graf'!$D$9</c:f>
              <c:strCache>
                <c:ptCount val="1"/>
                <c:pt idx="0">
                  <c:v>2019</c:v>
                </c:pt>
              </c:strCache>
            </c:strRef>
          </c:tx>
          <c:spPr>
            <a:solidFill>
              <a:schemeClr val="accent2"/>
            </a:solidFill>
            <a:ln>
              <a:noFill/>
            </a:ln>
            <a:effectLst/>
          </c:spPr>
          <c:invertIfNegative val="0"/>
          <c:dPt>
            <c:idx val="24"/>
            <c:invertIfNegative val="0"/>
            <c:bubble3D val="0"/>
            <c:spPr>
              <a:solidFill>
                <a:srgbClr val="FF0000"/>
              </a:solidFill>
              <a:ln>
                <a:noFill/>
              </a:ln>
              <a:effectLst/>
            </c:spPr>
            <c:extLst>
              <c:ext xmlns:c16="http://schemas.microsoft.com/office/drawing/2014/chart" uri="{C3380CC4-5D6E-409C-BE32-E72D297353CC}">
                <c16:uniqueId val="{00000001-B1A1-4D3F-8638-F9E8FBF6E6AC}"/>
              </c:ext>
            </c:extLst>
          </c:dPt>
          <c:dLbls>
            <c:dLbl>
              <c:idx val="24"/>
              <c:layout>
                <c:manualLayout>
                  <c:x val="1.5435501653803748E-2"/>
                  <c:y val="-8.639548325894810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A1-4D3F-8638-F9E8FBF6E6AC}"/>
                </c:ext>
              </c:extLst>
            </c:dLbl>
            <c:spPr>
              <a:noFill/>
              <a:ln>
                <a:noFill/>
              </a:ln>
              <a:effectLst/>
            </c:spPr>
            <c:txPr>
              <a:bodyPr rot="-5400000" spcFirstLastPara="1" vertOverflow="ellipsis"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 obyv graf'!$B$10:$B$34</c:f>
              <c:strCache>
                <c:ptCount val="25"/>
                <c:pt idx="0">
                  <c:v>Švédsko</c:v>
                </c:pt>
                <c:pt idx="1">
                  <c:v>Nemecko</c:v>
                </c:pt>
                <c:pt idx="2">
                  <c:v>Holandsko</c:v>
                </c:pt>
                <c:pt idx="3">
                  <c:v>Fínsko</c:v>
                </c:pt>
                <c:pt idx="4">
                  <c:v>Luxembursko</c:v>
                </c:pt>
                <c:pt idx="5">
                  <c:v>Dánsko</c:v>
                </c:pt>
                <c:pt idx="6">
                  <c:v>Írsko</c:v>
                </c:pt>
                <c:pt idx="7">
                  <c:v>Taliansko</c:v>
                </c:pt>
                <c:pt idx="8">
                  <c:v>Rakúsko</c:v>
                </c:pt>
                <c:pt idx="9">
                  <c:v>Francúzko</c:v>
                </c:pt>
                <c:pt idx="10">
                  <c:v>Belgicko</c:v>
                </c:pt>
                <c:pt idx="11">
                  <c:v>Slovinsko</c:v>
                </c:pt>
                <c:pt idx="12">
                  <c:v>Španielsko</c:v>
                </c:pt>
                <c:pt idx="13">
                  <c:v>Estónsko</c:v>
                </c:pt>
                <c:pt idx="14">
                  <c:v>Česká republika</c:v>
                </c:pt>
                <c:pt idx="15">
                  <c:v>Portugalsko</c:v>
                </c:pt>
                <c:pt idx="16">
                  <c:v>Litva</c:v>
                </c:pt>
                <c:pt idx="17">
                  <c:v>Maďarsko</c:v>
                </c:pt>
                <c:pt idx="18">
                  <c:v>Chorvátsko</c:v>
                </c:pt>
                <c:pt idx="19">
                  <c:v>Lotyšsko</c:v>
                </c:pt>
                <c:pt idx="20">
                  <c:v>Cyprus</c:v>
                </c:pt>
                <c:pt idx="21">
                  <c:v>Bulharsko</c:v>
                </c:pt>
                <c:pt idx="22">
                  <c:v>Grécko</c:v>
                </c:pt>
                <c:pt idx="23">
                  <c:v>Rumunsko</c:v>
                </c:pt>
                <c:pt idx="24">
                  <c:v>Slovensko</c:v>
                </c:pt>
              </c:strCache>
            </c:strRef>
          </c:cat>
          <c:val>
            <c:numRef>
              <c:f>'na obyv graf'!$D$10:$D$34</c:f>
              <c:numCache>
                <c:formatCode>0.0</c:formatCode>
                <c:ptCount val="25"/>
                <c:pt idx="0">
                  <c:v>165.19</c:v>
                </c:pt>
                <c:pt idx="1">
                  <c:v>162.29</c:v>
                </c:pt>
                <c:pt idx="2">
                  <c:v>156.82</c:v>
                </c:pt>
                <c:pt idx="3">
                  <c:v>156.51</c:v>
                </c:pt>
                <c:pt idx="4">
                  <c:v>134.88</c:v>
                </c:pt>
                <c:pt idx="5">
                  <c:v>132</c:v>
                </c:pt>
                <c:pt idx="6">
                  <c:v>128.53</c:v>
                </c:pt>
                <c:pt idx="7">
                  <c:v>122.44</c:v>
                </c:pt>
                <c:pt idx="8">
                  <c:v>97.9</c:v>
                </c:pt>
                <c:pt idx="9">
                  <c:v>75.290000000000006</c:v>
                </c:pt>
                <c:pt idx="10">
                  <c:v>71.739999999999995</c:v>
                </c:pt>
                <c:pt idx="11">
                  <c:v>62.89</c:v>
                </c:pt>
                <c:pt idx="12">
                  <c:v>51.72</c:v>
                </c:pt>
                <c:pt idx="13">
                  <c:v>51.36</c:v>
                </c:pt>
                <c:pt idx="14">
                  <c:v>41.25</c:v>
                </c:pt>
                <c:pt idx="15">
                  <c:v>35.31</c:v>
                </c:pt>
                <c:pt idx="16">
                  <c:v>33.29</c:v>
                </c:pt>
                <c:pt idx="17">
                  <c:v>30.33</c:v>
                </c:pt>
                <c:pt idx="18">
                  <c:v>27.67</c:v>
                </c:pt>
                <c:pt idx="19">
                  <c:v>27.09</c:v>
                </c:pt>
                <c:pt idx="20">
                  <c:v>21.81</c:v>
                </c:pt>
                <c:pt idx="21">
                  <c:v>18.510000000000002</c:v>
                </c:pt>
                <c:pt idx="22">
                  <c:v>18.16</c:v>
                </c:pt>
                <c:pt idx="23">
                  <c:v>10.06</c:v>
                </c:pt>
                <c:pt idx="24">
                  <c:v>9.7200000000000006</c:v>
                </c:pt>
              </c:numCache>
            </c:numRef>
          </c:val>
          <c:extLst>
            <c:ext xmlns:c16="http://schemas.microsoft.com/office/drawing/2014/chart" uri="{C3380CC4-5D6E-409C-BE32-E72D297353CC}">
              <c16:uniqueId val="{00000002-B1A1-4D3F-8638-F9E8FBF6E6AC}"/>
            </c:ext>
          </c:extLst>
        </c:ser>
        <c:dLbls>
          <c:showLegendKey val="0"/>
          <c:showVal val="0"/>
          <c:showCatName val="0"/>
          <c:showSerName val="0"/>
          <c:showPercent val="0"/>
          <c:showBubbleSize val="0"/>
        </c:dLbls>
        <c:gapWidth val="219"/>
        <c:axId val="1325671440"/>
        <c:axId val="1325670608"/>
      </c:barChart>
      <c:lineChart>
        <c:grouping val="standard"/>
        <c:varyColors val="0"/>
        <c:ser>
          <c:idx val="0"/>
          <c:order val="0"/>
          <c:tx>
            <c:strRef>
              <c:f>'na obyv graf'!$C$9</c:f>
              <c:strCache>
                <c:ptCount val="1"/>
                <c:pt idx="0">
                  <c:v>2014</c:v>
                </c:pt>
              </c:strCache>
            </c:strRef>
          </c:tx>
          <c:spPr>
            <a:ln w="28575" cap="rnd">
              <a:noFill/>
              <a:round/>
            </a:ln>
            <a:effectLst/>
          </c:spPr>
          <c:marker>
            <c:symbol val="triangle"/>
            <c:size val="7"/>
            <c:spPr>
              <a:solidFill>
                <a:schemeClr val="accent1"/>
              </a:solidFill>
              <a:ln w="9525">
                <a:noFill/>
              </a:ln>
              <a:effectLst/>
            </c:spPr>
          </c:marker>
          <c:cat>
            <c:strRef>
              <c:f>'na obyv graf'!$B$10:$B$34</c:f>
              <c:strCache>
                <c:ptCount val="25"/>
                <c:pt idx="0">
                  <c:v>Švédsko</c:v>
                </c:pt>
                <c:pt idx="1">
                  <c:v>Nemecko</c:v>
                </c:pt>
                <c:pt idx="2">
                  <c:v>Holandsko</c:v>
                </c:pt>
                <c:pt idx="3">
                  <c:v>Fínsko</c:v>
                </c:pt>
                <c:pt idx="4">
                  <c:v>Luxembursko</c:v>
                </c:pt>
                <c:pt idx="5">
                  <c:v>Dánsko</c:v>
                </c:pt>
                <c:pt idx="6">
                  <c:v>Írsko</c:v>
                </c:pt>
                <c:pt idx="7">
                  <c:v>Taliansko</c:v>
                </c:pt>
                <c:pt idx="8">
                  <c:v>Rakúsko</c:v>
                </c:pt>
                <c:pt idx="9">
                  <c:v>Francúzko</c:v>
                </c:pt>
                <c:pt idx="10">
                  <c:v>Belgicko</c:v>
                </c:pt>
                <c:pt idx="11">
                  <c:v>Slovinsko</c:v>
                </c:pt>
                <c:pt idx="12">
                  <c:v>Španielsko</c:v>
                </c:pt>
                <c:pt idx="13">
                  <c:v>Estónsko</c:v>
                </c:pt>
                <c:pt idx="14">
                  <c:v>Česká republika</c:v>
                </c:pt>
                <c:pt idx="15">
                  <c:v>Portugalsko</c:v>
                </c:pt>
                <c:pt idx="16">
                  <c:v>Litva</c:v>
                </c:pt>
                <c:pt idx="17">
                  <c:v>Maďarsko</c:v>
                </c:pt>
                <c:pt idx="18">
                  <c:v>Chorvátsko</c:v>
                </c:pt>
                <c:pt idx="19">
                  <c:v>Lotyšsko</c:v>
                </c:pt>
                <c:pt idx="20">
                  <c:v>Cyprus</c:v>
                </c:pt>
                <c:pt idx="21">
                  <c:v>Bulharsko</c:v>
                </c:pt>
                <c:pt idx="22">
                  <c:v>Grécko</c:v>
                </c:pt>
                <c:pt idx="23">
                  <c:v>Rumunsko</c:v>
                </c:pt>
                <c:pt idx="24">
                  <c:v>Slovensko</c:v>
                </c:pt>
              </c:strCache>
            </c:strRef>
          </c:cat>
          <c:val>
            <c:numRef>
              <c:f>'na obyv graf'!$C$10:$C$34</c:f>
              <c:numCache>
                <c:formatCode>0.0</c:formatCode>
                <c:ptCount val="25"/>
                <c:pt idx="0">
                  <c:v>148.84</c:v>
                </c:pt>
                <c:pt idx="1">
                  <c:v>129.78</c:v>
                </c:pt>
                <c:pt idx="2">
                  <c:v>159.44999999999999</c:v>
                </c:pt>
                <c:pt idx="3">
                  <c:v>121.28</c:v>
                </c:pt>
                <c:pt idx="4">
                  <c:v>101.03</c:v>
                </c:pt>
                <c:pt idx="5">
                  <c:v>113.13</c:v>
                </c:pt>
                <c:pt idx="6">
                  <c:v>110.35</c:v>
                </c:pt>
                <c:pt idx="7">
                  <c:v>101.28</c:v>
                </c:pt>
                <c:pt idx="8">
                  <c:v>85.03</c:v>
                </c:pt>
                <c:pt idx="9">
                  <c:v>70.42</c:v>
                </c:pt>
                <c:pt idx="10">
                  <c:v>71.709999999999994</c:v>
                </c:pt>
                <c:pt idx="11">
                  <c:v>47.25</c:v>
                </c:pt>
                <c:pt idx="12">
                  <c:v>42.43</c:v>
                </c:pt>
                <c:pt idx="13">
                  <c:v>28.52</c:v>
                </c:pt>
                <c:pt idx="14">
                  <c:v>36.520000000000003</c:v>
                </c:pt>
                <c:pt idx="15">
                  <c:v>28.82</c:v>
                </c:pt>
                <c:pt idx="16">
                  <c:v>14.18</c:v>
                </c:pt>
                <c:pt idx="17">
                  <c:v>20.49</c:v>
                </c:pt>
                <c:pt idx="18">
                  <c:v>19.600000000000001</c:v>
                </c:pt>
                <c:pt idx="19">
                  <c:v>12.79</c:v>
                </c:pt>
                <c:pt idx="20">
                  <c:v>9.07</c:v>
                </c:pt>
                <c:pt idx="21">
                  <c:v>12.94</c:v>
                </c:pt>
                <c:pt idx="22">
                  <c:v>19.64</c:v>
                </c:pt>
                <c:pt idx="23">
                  <c:v>6.71</c:v>
                </c:pt>
                <c:pt idx="24">
                  <c:v>18.28</c:v>
                </c:pt>
              </c:numCache>
            </c:numRef>
          </c:val>
          <c:smooth val="0"/>
          <c:extLst>
            <c:ext xmlns:c16="http://schemas.microsoft.com/office/drawing/2014/chart" uri="{C3380CC4-5D6E-409C-BE32-E72D297353CC}">
              <c16:uniqueId val="{00000003-B1A1-4D3F-8638-F9E8FBF6E6AC}"/>
            </c:ext>
          </c:extLst>
        </c:ser>
        <c:ser>
          <c:idx val="2"/>
          <c:order val="2"/>
          <c:tx>
            <c:strRef>
              <c:f>'na obyv graf'!$E$9</c:f>
              <c:strCache>
                <c:ptCount val="1"/>
                <c:pt idx="0">
                  <c:v>priemer</c:v>
                </c:pt>
              </c:strCache>
            </c:strRef>
          </c:tx>
          <c:spPr>
            <a:ln w="28575" cap="rnd">
              <a:solidFill>
                <a:schemeClr val="accent3"/>
              </a:solidFill>
              <a:round/>
            </a:ln>
            <a:effectLst/>
          </c:spPr>
          <c:marker>
            <c:symbol val="none"/>
          </c:marker>
          <c:dLbls>
            <c:dLbl>
              <c:idx val="24"/>
              <c:layout>
                <c:manualLayout>
                  <c:x val="-3.3076074972436607E-2"/>
                  <c:y val="-5.1837888784165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A1-4D3F-8638-F9E8FBF6E6AC}"/>
                </c:ext>
              </c:extLst>
            </c:dLbl>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 obyv graf'!$B$10:$B$34</c:f>
              <c:strCache>
                <c:ptCount val="25"/>
                <c:pt idx="0">
                  <c:v>Švédsko</c:v>
                </c:pt>
                <c:pt idx="1">
                  <c:v>Nemecko</c:v>
                </c:pt>
                <c:pt idx="2">
                  <c:v>Holandsko</c:v>
                </c:pt>
                <c:pt idx="3">
                  <c:v>Fínsko</c:v>
                </c:pt>
                <c:pt idx="4">
                  <c:v>Luxembursko</c:v>
                </c:pt>
                <c:pt idx="5">
                  <c:v>Dánsko</c:v>
                </c:pt>
                <c:pt idx="6">
                  <c:v>Írsko</c:v>
                </c:pt>
                <c:pt idx="7">
                  <c:v>Taliansko</c:v>
                </c:pt>
                <c:pt idx="8">
                  <c:v>Rakúsko</c:v>
                </c:pt>
                <c:pt idx="9">
                  <c:v>Francúzko</c:v>
                </c:pt>
                <c:pt idx="10">
                  <c:v>Belgicko</c:v>
                </c:pt>
                <c:pt idx="11">
                  <c:v>Slovinsko</c:v>
                </c:pt>
                <c:pt idx="12">
                  <c:v>Španielsko</c:v>
                </c:pt>
                <c:pt idx="13">
                  <c:v>Estónsko</c:v>
                </c:pt>
                <c:pt idx="14">
                  <c:v>Česká republika</c:v>
                </c:pt>
                <c:pt idx="15">
                  <c:v>Portugalsko</c:v>
                </c:pt>
                <c:pt idx="16">
                  <c:v>Litva</c:v>
                </c:pt>
                <c:pt idx="17">
                  <c:v>Maďarsko</c:v>
                </c:pt>
                <c:pt idx="18">
                  <c:v>Chorvátsko</c:v>
                </c:pt>
                <c:pt idx="19">
                  <c:v>Lotyšsko</c:v>
                </c:pt>
                <c:pt idx="20">
                  <c:v>Cyprus</c:v>
                </c:pt>
                <c:pt idx="21">
                  <c:v>Bulharsko</c:v>
                </c:pt>
                <c:pt idx="22">
                  <c:v>Grécko</c:v>
                </c:pt>
                <c:pt idx="23">
                  <c:v>Rumunsko</c:v>
                </c:pt>
                <c:pt idx="24">
                  <c:v>Slovensko</c:v>
                </c:pt>
              </c:strCache>
            </c:strRef>
          </c:cat>
          <c:val>
            <c:numRef>
              <c:f>'na obyv graf'!$E$10:$E$34</c:f>
              <c:numCache>
                <c:formatCode>0.0</c:formatCode>
                <c:ptCount val="25"/>
                <c:pt idx="0">
                  <c:v>73.710399999999993</c:v>
                </c:pt>
                <c:pt idx="1">
                  <c:v>73.710399999999993</c:v>
                </c:pt>
                <c:pt idx="2">
                  <c:v>73.710399999999993</c:v>
                </c:pt>
                <c:pt idx="3">
                  <c:v>73.710399999999993</c:v>
                </c:pt>
                <c:pt idx="4">
                  <c:v>73.710399999999993</c:v>
                </c:pt>
                <c:pt idx="5">
                  <c:v>73.710399999999993</c:v>
                </c:pt>
                <c:pt idx="6">
                  <c:v>73.710399999999993</c:v>
                </c:pt>
                <c:pt idx="7">
                  <c:v>73.710399999999993</c:v>
                </c:pt>
                <c:pt idx="8">
                  <c:v>73.710399999999993</c:v>
                </c:pt>
                <c:pt idx="9">
                  <c:v>73.710399999999993</c:v>
                </c:pt>
                <c:pt idx="10">
                  <c:v>73.710399999999993</c:v>
                </c:pt>
                <c:pt idx="11">
                  <c:v>73.710399999999993</c:v>
                </c:pt>
                <c:pt idx="12">
                  <c:v>73.710399999999993</c:v>
                </c:pt>
                <c:pt idx="13">
                  <c:v>73.710399999999993</c:v>
                </c:pt>
                <c:pt idx="14">
                  <c:v>73.710399999999993</c:v>
                </c:pt>
                <c:pt idx="15">
                  <c:v>73.710399999999993</c:v>
                </c:pt>
                <c:pt idx="16">
                  <c:v>73.710399999999993</c:v>
                </c:pt>
                <c:pt idx="17">
                  <c:v>73.710399999999993</c:v>
                </c:pt>
                <c:pt idx="18">
                  <c:v>73.710399999999993</c:v>
                </c:pt>
                <c:pt idx="19">
                  <c:v>73.710399999999993</c:v>
                </c:pt>
                <c:pt idx="20">
                  <c:v>73.710399999999993</c:v>
                </c:pt>
                <c:pt idx="21">
                  <c:v>73.710399999999993</c:v>
                </c:pt>
                <c:pt idx="22">
                  <c:v>73.710399999999993</c:v>
                </c:pt>
                <c:pt idx="23">
                  <c:v>73.710399999999993</c:v>
                </c:pt>
                <c:pt idx="24">
                  <c:v>73.710399999999993</c:v>
                </c:pt>
              </c:numCache>
            </c:numRef>
          </c:val>
          <c:smooth val="0"/>
          <c:extLst>
            <c:ext xmlns:c16="http://schemas.microsoft.com/office/drawing/2014/chart" uri="{C3380CC4-5D6E-409C-BE32-E72D297353CC}">
              <c16:uniqueId val="{00000005-B1A1-4D3F-8638-F9E8FBF6E6AC}"/>
            </c:ext>
          </c:extLst>
        </c:ser>
        <c:dLbls>
          <c:showLegendKey val="0"/>
          <c:showVal val="0"/>
          <c:showCatName val="0"/>
          <c:showSerName val="0"/>
          <c:showPercent val="0"/>
          <c:showBubbleSize val="0"/>
        </c:dLbls>
        <c:marker val="1"/>
        <c:smooth val="0"/>
        <c:axId val="1325671440"/>
        <c:axId val="1325670608"/>
      </c:lineChart>
      <c:catAx>
        <c:axId val="132567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325670608"/>
        <c:crosses val="autoZero"/>
        <c:auto val="1"/>
        <c:lblAlgn val="ctr"/>
        <c:lblOffset val="100"/>
        <c:noMultiLvlLbl val="0"/>
      </c:catAx>
      <c:valAx>
        <c:axId val="132567060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325671440"/>
        <c:crosses val="autoZero"/>
        <c:crossBetween val="between"/>
      </c:valAx>
      <c:spPr>
        <a:noFill/>
        <a:ln>
          <a:noFill/>
        </a:ln>
        <a:effectLst/>
      </c:spPr>
    </c:plotArea>
    <c:legend>
      <c:legendPos val="tr"/>
      <c:layout>
        <c:manualLayout>
          <c:xMode val="edge"/>
          <c:yMode val="edge"/>
          <c:x val="0.64228216235925306"/>
          <c:y val="2.827521206409048E-2"/>
          <c:w val="0.34448740765177233"/>
          <c:h val="0.10374236928249139"/>
        </c:manualLayout>
      </c:layout>
      <c:overlay val="1"/>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848910640440642"/>
          <c:y val="6.5789473684210523E-2"/>
          <c:w val="0.78332867721363997"/>
          <c:h val="0.53747221489658292"/>
        </c:manualLayout>
      </c:layout>
      <c:barChart>
        <c:barDir val="col"/>
        <c:grouping val="clustered"/>
        <c:varyColors val="0"/>
        <c:ser>
          <c:idx val="0"/>
          <c:order val="0"/>
          <c:tx>
            <c:strRef>
              <c:f>'SP vláda schválenie'!$B$10</c:f>
              <c:strCache>
                <c:ptCount val="1"/>
                <c:pt idx="0">
                  <c:v>Príjmy z poistného od ekonomicky aktívneho obyvateľstva (mil. eur)</c:v>
                </c:pt>
              </c:strCache>
            </c:strRef>
          </c:tx>
          <c:spPr>
            <a:solidFill>
              <a:schemeClr val="accent1"/>
            </a:solidFill>
            <a:ln>
              <a:noFill/>
            </a:ln>
            <a:effectLst/>
          </c:spPr>
          <c:invertIfNegative val="0"/>
          <c:dLbls>
            <c:numFmt formatCode="#\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 vláda schválenie'!$C$9:$J$9</c:f>
              <c:strCache>
                <c:ptCount val="8"/>
                <c:pt idx="0">
                  <c:v>2019S</c:v>
                </c:pt>
                <c:pt idx="1">
                  <c:v>2020S</c:v>
                </c:pt>
                <c:pt idx="2">
                  <c:v>2020R</c:v>
                </c:pt>
                <c:pt idx="3">
                  <c:v>2021R</c:v>
                </c:pt>
                <c:pt idx="4">
                  <c:v>2021OS</c:v>
                </c:pt>
                <c:pt idx="5">
                  <c:v>2022R</c:v>
                </c:pt>
                <c:pt idx="6">
                  <c:v>2023R</c:v>
                </c:pt>
                <c:pt idx="7">
                  <c:v>2024R</c:v>
                </c:pt>
              </c:strCache>
            </c:strRef>
          </c:cat>
          <c:val>
            <c:numRef>
              <c:f>'SP vláda schválenie'!$C$10:$J$10</c:f>
              <c:numCache>
                <c:formatCode>#,##0</c:formatCode>
                <c:ptCount val="8"/>
                <c:pt idx="0">
                  <c:v>7924.652</c:v>
                </c:pt>
                <c:pt idx="1">
                  <c:v>7936.192</c:v>
                </c:pt>
                <c:pt idx="2">
                  <c:v>8274.018</c:v>
                </c:pt>
                <c:pt idx="3">
                  <c:v>8277.9760000000006</c:v>
                </c:pt>
                <c:pt idx="4">
                  <c:v>8394.2720000000008</c:v>
                </c:pt>
                <c:pt idx="5">
                  <c:v>8844.4279999999999</c:v>
                </c:pt>
                <c:pt idx="6">
                  <c:v>9391.7860000000001</c:v>
                </c:pt>
                <c:pt idx="7">
                  <c:v>9801.0910000000003</c:v>
                </c:pt>
              </c:numCache>
            </c:numRef>
          </c:val>
          <c:extLst>
            <c:ext xmlns:c16="http://schemas.microsoft.com/office/drawing/2014/chart" uri="{C3380CC4-5D6E-409C-BE32-E72D297353CC}">
              <c16:uniqueId val="{00000000-34C9-4C83-B204-73857F49FB2B}"/>
            </c:ext>
          </c:extLst>
        </c:ser>
        <c:dLbls>
          <c:showLegendKey val="0"/>
          <c:showVal val="0"/>
          <c:showCatName val="0"/>
          <c:showSerName val="0"/>
          <c:showPercent val="0"/>
          <c:showBubbleSize val="0"/>
        </c:dLbls>
        <c:gapWidth val="100"/>
        <c:axId val="763855088"/>
        <c:axId val="763843024"/>
      </c:barChart>
      <c:catAx>
        <c:axId val="76385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763843024"/>
        <c:crosses val="autoZero"/>
        <c:auto val="1"/>
        <c:lblAlgn val="ctr"/>
        <c:lblOffset val="100"/>
        <c:noMultiLvlLbl val="0"/>
      </c:catAx>
      <c:valAx>
        <c:axId val="763843024"/>
        <c:scaling>
          <c:orientation val="minMax"/>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76385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294786376555"/>
          <c:y val="6.6125638713555757E-2"/>
          <c:w val="0.79663420770628524"/>
          <c:h val="0.53834600701963653"/>
        </c:manualLayout>
      </c:layout>
      <c:barChart>
        <c:barDir val="col"/>
        <c:grouping val="clustered"/>
        <c:varyColors val="0"/>
        <c:ser>
          <c:idx val="0"/>
          <c:order val="0"/>
          <c:tx>
            <c:strRef>
              <c:f>'SP vláda schválenie'!$B$11</c:f>
              <c:strCache>
                <c:ptCount val="1"/>
                <c:pt idx="0">
                  <c:v>Transfer zo ŠR (mil. eur)</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 vláda schválenie'!$C$9:$J$9</c:f>
              <c:strCache>
                <c:ptCount val="8"/>
                <c:pt idx="0">
                  <c:v>2019S</c:v>
                </c:pt>
                <c:pt idx="1">
                  <c:v>2020S</c:v>
                </c:pt>
                <c:pt idx="2">
                  <c:v>2020R</c:v>
                </c:pt>
                <c:pt idx="3">
                  <c:v>2021R</c:v>
                </c:pt>
                <c:pt idx="4">
                  <c:v>2021OS</c:v>
                </c:pt>
                <c:pt idx="5">
                  <c:v>2022R</c:v>
                </c:pt>
                <c:pt idx="6">
                  <c:v>2023R</c:v>
                </c:pt>
                <c:pt idx="7">
                  <c:v>2024R</c:v>
                </c:pt>
              </c:strCache>
            </c:strRef>
          </c:cat>
          <c:val>
            <c:numRef>
              <c:f>'SP vláda schválenie'!$C$11:$J$11</c:f>
              <c:numCache>
                <c:formatCode>#,##0</c:formatCode>
                <c:ptCount val="8"/>
                <c:pt idx="0">
                  <c:v>0</c:v>
                </c:pt>
                <c:pt idx="1">
                  <c:v>969.86500000000001</c:v>
                </c:pt>
                <c:pt idx="2">
                  <c:v>200</c:v>
                </c:pt>
                <c:pt idx="3">
                  <c:v>839.19799999999998</c:v>
                </c:pt>
                <c:pt idx="4">
                  <c:v>749.19799999999998</c:v>
                </c:pt>
                <c:pt idx="5">
                  <c:v>400</c:v>
                </c:pt>
                <c:pt idx="6">
                  <c:v>450</c:v>
                </c:pt>
                <c:pt idx="7">
                  <c:v>650</c:v>
                </c:pt>
              </c:numCache>
            </c:numRef>
          </c:val>
          <c:extLst>
            <c:ext xmlns:c16="http://schemas.microsoft.com/office/drawing/2014/chart" uri="{C3380CC4-5D6E-409C-BE32-E72D297353CC}">
              <c16:uniqueId val="{00000000-4EEE-4654-BC27-5C69C567152C}"/>
            </c:ext>
          </c:extLst>
        </c:ser>
        <c:dLbls>
          <c:dLblPos val="outEnd"/>
          <c:showLegendKey val="0"/>
          <c:showVal val="1"/>
          <c:showCatName val="0"/>
          <c:showSerName val="0"/>
          <c:showPercent val="0"/>
          <c:showBubbleSize val="0"/>
        </c:dLbls>
        <c:gapWidth val="100"/>
        <c:axId val="1923157232"/>
        <c:axId val="1923146000"/>
      </c:barChart>
      <c:catAx>
        <c:axId val="192315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923146000"/>
        <c:crosses val="autoZero"/>
        <c:auto val="1"/>
        <c:lblAlgn val="ctr"/>
        <c:lblOffset val="100"/>
        <c:noMultiLvlLbl val="0"/>
      </c:catAx>
      <c:valAx>
        <c:axId val="19231460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92315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Hárok1!$B$1</c:f>
              <c:strCache>
                <c:ptCount val="1"/>
                <c:pt idx="0">
                  <c:v>Schválený </c:v>
                </c:pt>
              </c:strCache>
            </c:strRef>
          </c:tx>
          <c:spPr>
            <a:solidFill>
              <a:schemeClr val="accent1"/>
            </a:solidFill>
            <a:ln>
              <a:noFill/>
            </a:ln>
            <a:effectLst/>
          </c:spPr>
          <c:invertIfNegative val="0"/>
          <c:cat>
            <c:strRef>
              <c:f>Hárok1!$A$2:$A$9</c:f>
              <c:strCache>
                <c:ptCount val="8"/>
                <c:pt idx="0">
                  <c:v>2016</c:v>
                </c:pt>
                <c:pt idx="1">
                  <c:v>2017</c:v>
                </c:pt>
                <c:pt idx="2">
                  <c:v>2018</c:v>
                </c:pt>
                <c:pt idx="3">
                  <c:v>2019</c:v>
                </c:pt>
                <c:pt idx="4">
                  <c:v>2020</c:v>
                </c:pt>
                <c:pt idx="5">
                  <c:v>2021*</c:v>
                </c:pt>
                <c:pt idx="6">
                  <c:v>2022N</c:v>
                </c:pt>
                <c:pt idx="7">
                  <c:v>2023N</c:v>
                </c:pt>
              </c:strCache>
            </c:strRef>
          </c:cat>
          <c:val>
            <c:numRef>
              <c:f>Hárok1!$B$2:$B$9</c:f>
              <c:numCache>
                <c:formatCode>#,##0.00</c:formatCode>
                <c:ptCount val="8"/>
                <c:pt idx="0">
                  <c:v>59589266</c:v>
                </c:pt>
                <c:pt idx="1">
                  <c:v>160467548</c:v>
                </c:pt>
                <c:pt idx="2" formatCode="General">
                  <c:v>0</c:v>
                </c:pt>
                <c:pt idx="3" formatCode="General">
                  <c:v>0</c:v>
                </c:pt>
                <c:pt idx="4" formatCode="General">
                  <c:v>0</c:v>
                </c:pt>
                <c:pt idx="5">
                  <c:v>127051011</c:v>
                </c:pt>
                <c:pt idx="6">
                  <c:v>201702616</c:v>
                </c:pt>
                <c:pt idx="7">
                  <c:v>173189298</c:v>
                </c:pt>
              </c:numCache>
            </c:numRef>
          </c:val>
          <c:extLst>
            <c:ext xmlns:c16="http://schemas.microsoft.com/office/drawing/2014/chart" uri="{C3380CC4-5D6E-409C-BE32-E72D297353CC}">
              <c16:uniqueId val="{00000000-6ADD-4D4B-8A1D-D7590708EA91}"/>
            </c:ext>
          </c:extLst>
        </c:ser>
        <c:ser>
          <c:idx val="1"/>
          <c:order val="1"/>
          <c:tx>
            <c:strRef>
              <c:f>Hárok1!$D$1</c:f>
              <c:strCache>
                <c:ptCount val="1"/>
                <c:pt idx="0">
                  <c:v>Čerpanie December</c:v>
                </c:pt>
              </c:strCache>
            </c:strRef>
          </c:tx>
          <c:spPr>
            <a:solidFill>
              <a:schemeClr val="accent2"/>
            </a:solidFill>
            <a:ln>
              <a:noFill/>
            </a:ln>
            <a:effectLst/>
          </c:spPr>
          <c:invertIfNegative val="0"/>
          <c:cat>
            <c:strRef>
              <c:f>Hárok1!$A$2:$A$9</c:f>
              <c:strCache>
                <c:ptCount val="8"/>
                <c:pt idx="0">
                  <c:v>2016</c:v>
                </c:pt>
                <c:pt idx="1">
                  <c:v>2017</c:v>
                </c:pt>
                <c:pt idx="2">
                  <c:v>2018</c:v>
                </c:pt>
                <c:pt idx="3">
                  <c:v>2019</c:v>
                </c:pt>
                <c:pt idx="4">
                  <c:v>2020</c:v>
                </c:pt>
                <c:pt idx="5">
                  <c:v>2021*</c:v>
                </c:pt>
                <c:pt idx="6">
                  <c:v>2022N</c:v>
                </c:pt>
                <c:pt idx="7">
                  <c:v>2023N</c:v>
                </c:pt>
              </c:strCache>
            </c:strRef>
          </c:cat>
          <c:val>
            <c:numRef>
              <c:f>Hárok1!$D$2:$D$9</c:f>
              <c:numCache>
                <c:formatCode>#,##0.00</c:formatCode>
                <c:ptCount val="8"/>
                <c:pt idx="0">
                  <c:v>69260931.280000001</c:v>
                </c:pt>
                <c:pt idx="1">
                  <c:v>41443221.75</c:v>
                </c:pt>
                <c:pt idx="2">
                  <c:v>33820222.57</c:v>
                </c:pt>
                <c:pt idx="3">
                  <c:v>13968775.77</c:v>
                </c:pt>
                <c:pt idx="4">
                  <c:v>23142282.989999998</c:v>
                </c:pt>
                <c:pt idx="5">
                  <c:v>26314992</c:v>
                </c:pt>
              </c:numCache>
            </c:numRef>
          </c:val>
          <c:extLst>
            <c:ext xmlns:c16="http://schemas.microsoft.com/office/drawing/2014/chart" uri="{C3380CC4-5D6E-409C-BE32-E72D297353CC}">
              <c16:uniqueId val="{00000001-6ADD-4D4B-8A1D-D7590708EA91}"/>
            </c:ext>
          </c:extLst>
        </c:ser>
        <c:dLbls>
          <c:showLegendKey val="0"/>
          <c:showVal val="0"/>
          <c:showCatName val="0"/>
          <c:showSerName val="0"/>
          <c:showPercent val="0"/>
          <c:showBubbleSize val="0"/>
        </c:dLbls>
        <c:gapWidth val="219"/>
        <c:overlap val="-27"/>
        <c:axId val="767217120"/>
        <c:axId val="767221280"/>
      </c:barChart>
      <c:catAx>
        <c:axId val="7672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767221280"/>
        <c:crosses val="autoZero"/>
        <c:auto val="1"/>
        <c:lblAlgn val="ctr"/>
        <c:lblOffset val="100"/>
        <c:noMultiLvlLbl val="0"/>
      </c:catAx>
      <c:valAx>
        <c:axId val="767221280"/>
        <c:scaling>
          <c:orientation val="minMax"/>
          <c:max val="2500000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767217120"/>
        <c:crosses val="autoZero"/>
        <c:crossBetween val="between"/>
        <c:majorUnit val="50000000"/>
        <c:dispUnits>
          <c:builtInUnit val="m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5036765663386"/>
          <c:y val="9.3818984547461362E-2"/>
          <c:w val="0.87189384403024595"/>
          <c:h val="0.59932775373277014"/>
        </c:manualLayout>
      </c:layout>
      <c:barChart>
        <c:barDir val="col"/>
        <c:grouping val="clustered"/>
        <c:varyColors val="0"/>
        <c:ser>
          <c:idx val="0"/>
          <c:order val="0"/>
          <c:tx>
            <c:strRef>
              <c:f>alternativa!$A$2</c:f>
              <c:strCache>
                <c:ptCount val="1"/>
                <c:pt idx="0">
                  <c:v>Celkové príjmy*</c:v>
                </c:pt>
              </c:strCache>
            </c:strRef>
          </c:tx>
          <c:spPr>
            <a:solidFill>
              <a:schemeClr val="accent1"/>
            </a:solidFill>
            <a:ln>
              <a:noFill/>
            </a:ln>
            <a:effectLst/>
          </c:spPr>
          <c:invertIfNegative val="0"/>
          <c:cat>
            <c:strRef>
              <c:f>alternativa!$B$1:$S$1</c:f>
              <c:strCach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strCache>
            </c:strRef>
          </c:cat>
          <c:val>
            <c:numRef>
              <c:f>alternativa!$B$2:$S$2</c:f>
              <c:numCache>
                <c:formatCode>#,##0</c:formatCode>
                <c:ptCount val="18"/>
                <c:pt idx="0">
                  <c:v>73494.655779061301</c:v>
                </c:pt>
                <c:pt idx="1">
                  <c:v>139188</c:v>
                </c:pt>
                <c:pt idx="2">
                  <c:v>145893</c:v>
                </c:pt>
                <c:pt idx="3">
                  <c:v>125082</c:v>
                </c:pt>
                <c:pt idx="4">
                  <c:v>125001</c:v>
                </c:pt>
                <c:pt idx="5">
                  <c:v>136404</c:v>
                </c:pt>
                <c:pt idx="6">
                  <c:v>147120</c:v>
                </c:pt>
                <c:pt idx="7">
                  <c:v>176048</c:v>
                </c:pt>
                <c:pt idx="8">
                  <c:v>272398</c:v>
                </c:pt>
                <c:pt idx="9">
                  <c:v>331871</c:v>
                </c:pt>
                <c:pt idx="10">
                  <c:v>395673</c:v>
                </c:pt>
                <c:pt idx="11">
                  <c:v>610978</c:v>
                </c:pt>
                <c:pt idx="12">
                  <c:v>846271</c:v>
                </c:pt>
                <c:pt idx="13">
                  <c:v>1018605.19</c:v>
                </c:pt>
                <c:pt idx="14">
                  <c:v>1258603</c:v>
                </c:pt>
                <c:pt idx="15">
                  <c:v>1586729</c:v>
                </c:pt>
                <c:pt idx="16">
                  <c:v>1666456</c:v>
                </c:pt>
                <c:pt idx="17">
                  <c:v>1828425</c:v>
                </c:pt>
              </c:numCache>
            </c:numRef>
          </c:val>
          <c:extLst>
            <c:ext xmlns:c16="http://schemas.microsoft.com/office/drawing/2014/chart" uri="{C3380CC4-5D6E-409C-BE32-E72D297353CC}">
              <c16:uniqueId val="{00000000-9D1C-4EDB-B8A9-E0B5050C15EF}"/>
            </c:ext>
          </c:extLst>
        </c:ser>
        <c:ser>
          <c:idx val="2"/>
          <c:order val="2"/>
          <c:tx>
            <c:strRef>
              <c:f>alternativa!$A$4</c:f>
              <c:strCache>
                <c:ptCount val="1"/>
                <c:pt idx="0">
                  <c:v>Príjmy z predaja emisných kvót</c:v>
                </c:pt>
              </c:strCache>
            </c:strRef>
          </c:tx>
          <c:spPr>
            <a:solidFill>
              <a:schemeClr val="bg2"/>
            </a:solidFill>
            <a:ln>
              <a:noFill/>
            </a:ln>
            <a:effectLst/>
          </c:spPr>
          <c:invertIfNegative val="0"/>
          <c:cat>
            <c:strRef>
              <c:f>alternativa!$B$1:$S$1</c:f>
              <c:strCach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strCache>
            </c:strRef>
          </c:cat>
          <c:val>
            <c:numRef>
              <c:f>alternativa!$B$4:$S$4</c:f>
              <c:numCache>
                <c:formatCode>#,##0</c:formatCode>
                <c:ptCount val="18"/>
                <c:pt idx="0">
                  <c:v>0</c:v>
                </c:pt>
                <c:pt idx="1">
                  <c:v>0</c:v>
                </c:pt>
                <c:pt idx="2">
                  <c:v>0</c:v>
                </c:pt>
                <c:pt idx="3">
                  <c:v>0</c:v>
                </c:pt>
                <c:pt idx="4" formatCode="General">
                  <c:v>0</c:v>
                </c:pt>
                <c:pt idx="5">
                  <c:v>12193</c:v>
                </c:pt>
                <c:pt idx="6">
                  <c:v>12328</c:v>
                </c:pt>
                <c:pt idx="7">
                  <c:v>17326</c:v>
                </c:pt>
                <c:pt idx="8">
                  <c:v>84425</c:v>
                </c:pt>
                <c:pt idx="9">
                  <c:v>64982</c:v>
                </c:pt>
                <c:pt idx="10">
                  <c:v>86977</c:v>
                </c:pt>
                <c:pt idx="11">
                  <c:v>229693</c:v>
                </c:pt>
                <c:pt idx="12">
                  <c:v>244185</c:v>
                </c:pt>
                <c:pt idx="13">
                  <c:v>241826.25659999999</c:v>
                </c:pt>
                <c:pt idx="14">
                  <c:v>268797</c:v>
                </c:pt>
                <c:pt idx="15">
                  <c:v>253567</c:v>
                </c:pt>
                <c:pt idx="16">
                  <c:v>239856</c:v>
                </c:pt>
                <c:pt idx="17">
                  <c:v>225927</c:v>
                </c:pt>
              </c:numCache>
            </c:numRef>
          </c:val>
          <c:extLst>
            <c:ext xmlns:c16="http://schemas.microsoft.com/office/drawing/2014/chart" uri="{C3380CC4-5D6E-409C-BE32-E72D297353CC}">
              <c16:uniqueId val="{00000001-9D1C-4EDB-B8A9-E0B5050C15EF}"/>
            </c:ext>
          </c:extLst>
        </c:ser>
        <c:dLbls>
          <c:showLegendKey val="0"/>
          <c:showVal val="0"/>
          <c:showCatName val="0"/>
          <c:showSerName val="0"/>
          <c:showPercent val="0"/>
          <c:showBubbleSize val="0"/>
        </c:dLbls>
        <c:gapWidth val="100"/>
        <c:axId val="623400383"/>
        <c:axId val="623403711"/>
      </c:barChart>
      <c:lineChart>
        <c:grouping val="standard"/>
        <c:varyColors val="0"/>
        <c:ser>
          <c:idx val="1"/>
          <c:order val="1"/>
          <c:tx>
            <c:strRef>
              <c:f>alternativa!$A$3</c:f>
              <c:strCache>
                <c:ptCount val="1"/>
                <c:pt idx="0">
                  <c:v>Celkové výdavky</c:v>
                </c:pt>
              </c:strCache>
            </c:strRef>
          </c:tx>
          <c:spPr>
            <a:ln w="28575" cap="rnd">
              <a:noFill/>
              <a:round/>
            </a:ln>
            <a:effectLst/>
          </c:spPr>
          <c:marker>
            <c:symbol val="diamond"/>
            <c:size val="5"/>
            <c:spPr>
              <a:solidFill>
                <a:schemeClr val="accent6"/>
              </a:solidFill>
              <a:ln w="9525">
                <a:solidFill>
                  <a:schemeClr val="accent6"/>
                </a:solidFill>
              </a:ln>
              <a:effectLst/>
            </c:spPr>
          </c:marker>
          <c:cat>
            <c:strRef>
              <c:f>alternativa!$B$1:$S$1</c:f>
              <c:strCach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strCache>
            </c:strRef>
          </c:cat>
          <c:val>
            <c:numRef>
              <c:f>alternativa!$B$3:$S$3</c:f>
              <c:numCache>
                <c:formatCode>#,##0</c:formatCode>
                <c:ptCount val="18"/>
                <c:pt idx="0">
                  <c:v>65494.921330412297</c:v>
                </c:pt>
                <c:pt idx="1">
                  <c:v>76803</c:v>
                </c:pt>
                <c:pt idx="2">
                  <c:v>61809</c:v>
                </c:pt>
                <c:pt idx="3">
                  <c:v>48746</c:v>
                </c:pt>
                <c:pt idx="4">
                  <c:v>39681</c:v>
                </c:pt>
                <c:pt idx="5">
                  <c:v>43672</c:v>
                </c:pt>
                <c:pt idx="6">
                  <c:v>24007</c:v>
                </c:pt>
                <c:pt idx="7">
                  <c:v>34902</c:v>
                </c:pt>
                <c:pt idx="8">
                  <c:v>50578</c:v>
                </c:pt>
                <c:pt idx="9">
                  <c:v>66452</c:v>
                </c:pt>
                <c:pt idx="10">
                  <c:v>48441</c:v>
                </c:pt>
                <c:pt idx="11">
                  <c:v>62299</c:v>
                </c:pt>
                <c:pt idx="12">
                  <c:v>122653</c:v>
                </c:pt>
                <c:pt idx="13">
                  <c:v>102085.01829000001</c:v>
                </c:pt>
                <c:pt idx="14">
                  <c:v>95430</c:v>
                </c:pt>
                <c:pt idx="15">
                  <c:v>231691</c:v>
                </c:pt>
                <c:pt idx="16">
                  <c:v>135948</c:v>
                </c:pt>
                <c:pt idx="17">
                  <c:v>137829</c:v>
                </c:pt>
              </c:numCache>
            </c:numRef>
          </c:val>
          <c:smooth val="0"/>
          <c:extLst>
            <c:ext xmlns:c16="http://schemas.microsoft.com/office/drawing/2014/chart" uri="{C3380CC4-5D6E-409C-BE32-E72D297353CC}">
              <c16:uniqueId val="{00000002-9D1C-4EDB-B8A9-E0B5050C15EF}"/>
            </c:ext>
          </c:extLst>
        </c:ser>
        <c:dLbls>
          <c:showLegendKey val="0"/>
          <c:showVal val="0"/>
          <c:showCatName val="0"/>
          <c:showSerName val="0"/>
          <c:showPercent val="0"/>
          <c:showBubbleSize val="0"/>
        </c:dLbls>
        <c:marker val="1"/>
        <c:smooth val="0"/>
        <c:axId val="623400383"/>
        <c:axId val="623403711"/>
        <c:extLst>
          <c:ext xmlns:c15="http://schemas.microsoft.com/office/drawing/2012/chart" uri="{02D57815-91ED-43cb-92C2-25804820EDAC}">
            <c15:filteredLineSeries>
              <c15:ser>
                <c:idx val="3"/>
                <c:order val="3"/>
                <c:tx>
                  <c:strRef>
                    <c:extLst>
                      <c:ext uri="{02D57815-91ED-43cb-92C2-25804820EDAC}">
                        <c15:formulaRef>
                          <c15:sqref>alternativa!$A$5</c15:sqref>
                        </c15:formulaRef>
                      </c:ext>
                    </c:extLst>
                    <c:strCache>
                      <c:ptCount val="1"/>
                      <c:pt idx="0">
                        <c:v>Stav finančných prostriedkov</c:v>
                      </c:pt>
                    </c:strCache>
                  </c:strRef>
                </c:tx>
                <c:spPr>
                  <a:ln w="28575" cap="rnd">
                    <a:solidFill>
                      <a:schemeClr val="accent4"/>
                    </a:solidFill>
                    <a:round/>
                  </a:ln>
                  <a:effectLst/>
                </c:spPr>
                <c:marker>
                  <c:symbol val="none"/>
                </c:marker>
                <c:cat>
                  <c:strRef>
                    <c:extLst>
                      <c:ext uri="{02D57815-91ED-43cb-92C2-25804820EDAC}">
                        <c15:formulaRef>
                          <c15:sqref>alternativa!$B$1:$S$1</c15:sqref>
                        </c15:formulaRef>
                      </c:ext>
                    </c:extLst>
                    <c:strCach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strCache>
                  </c:strRef>
                </c:cat>
                <c:val>
                  <c:numRef>
                    <c:extLst>
                      <c:ext uri="{02D57815-91ED-43cb-92C2-25804820EDAC}">
                        <c15:formulaRef>
                          <c15:sqref>alternativa!$B$5:$S$5</c15:sqref>
                        </c15:formulaRef>
                      </c:ext>
                    </c:extLst>
                    <c:numCache>
                      <c:formatCode>#,##0</c:formatCode>
                      <c:ptCount val="18"/>
                      <c:pt idx="1">
                        <c:v>96099.084450000009</c:v>
                      </c:pt>
                      <c:pt idx="2">
                        <c:v>84090.740689999991</c:v>
                      </c:pt>
                      <c:pt idx="3">
                        <c:v>76345.710829999996</c:v>
                      </c:pt>
                      <c:pt idx="4">
                        <c:v>85321.520150000011</c:v>
                      </c:pt>
                      <c:pt idx="5">
                        <c:v>92732.404299999995</c:v>
                      </c:pt>
                      <c:pt idx="6">
                        <c:v>123117.69</c:v>
                      </c:pt>
                      <c:pt idx="7">
                        <c:v>141147.17565000002</c:v>
                      </c:pt>
                      <c:pt idx="8">
                        <c:v>221820.16122000001</c:v>
                      </c:pt>
                      <c:pt idx="9">
                        <c:v>265422.84577000001</c:v>
                      </c:pt>
                      <c:pt idx="10">
                        <c:v>347236.89177999995</c:v>
                      </c:pt>
                      <c:pt idx="11">
                        <c:v>548684.5570700001</c:v>
                      </c:pt>
                      <c:pt idx="12">
                        <c:v>723620.41344000003</c:v>
                      </c:pt>
                      <c:pt idx="13">
                        <c:v>916525.07194000005</c:v>
                      </c:pt>
                    </c:numCache>
                  </c:numRef>
                </c:val>
                <c:smooth val="0"/>
                <c:extLst>
                  <c:ext xmlns:c16="http://schemas.microsoft.com/office/drawing/2014/chart" uri="{C3380CC4-5D6E-409C-BE32-E72D297353CC}">
                    <c16:uniqueId val="{00000003-9D1C-4EDB-B8A9-E0B5050C15EF}"/>
                  </c:ext>
                </c:extLst>
              </c15:ser>
            </c15:filteredLineSeries>
          </c:ext>
        </c:extLst>
      </c:lineChart>
      <c:catAx>
        <c:axId val="623400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623403711"/>
        <c:crosses val="autoZero"/>
        <c:auto val="1"/>
        <c:lblAlgn val="ctr"/>
        <c:lblOffset val="100"/>
        <c:noMultiLvlLbl val="0"/>
      </c:catAx>
      <c:valAx>
        <c:axId val="623403711"/>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623400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Hárok1!$B$4</c:f>
              <c:strCache>
                <c:ptCount val="1"/>
                <c:pt idx="0">
                  <c:v>Vývoj deficitu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Hárok1!$C$3:$S$3</c:f>
              <c:strCach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strCache>
            </c:strRef>
          </c:cat>
          <c:val>
            <c:numRef>
              <c:f>Hárok1!$C$4:$S$4</c:f>
              <c:numCache>
                <c:formatCode>0.00</c:formatCode>
                <c:ptCount val="17"/>
                <c:pt idx="0">
                  <c:v>-2.2999999999999998</c:v>
                </c:pt>
                <c:pt idx="1">
                  <c:v>-8</c:v>
                </c:pt>
                <c:pt idx="2">
                  <c:v>-7.7</c:v>
                </c:pt>
                <c:pt idx="3">
                  <c:v>-5.0999999999999996</c:v>
                </c:pt>
                <c:pt idx="4">
                  <c:v>-4.22</c:v>
                </c:pt>
                <c:pt idx="5">
                  <c:v>-2.59</c:v>
                </c:pt>
                <c:pt idx="6">
                  <c:v>-2.71</c:v>
                </c:pt>
                <c:pt idx="7">
                  <c:v>-2.74</c:v>
                </c:pt>
                <c:pt idx="8">
                  <c:v>-2.2200000000000002</c:v>
                </c:pt>
                <c:pt idx="9">
                  <c:v>-0.98</c:v>
                </c:pt>
                <c:pt idx="10">
                  <c:v>-1.01</c:v>
                </c:pt>
                <c:pt idx="11">
                  <c:v>-1.33</c:v>
                </c:pt>
                <c:pt idx="12">
                  <c:v>-5.5</c:v>
                </c:pt>
                <c:pt idx="13">
                  <c:v>-7.92</c:v>
                </c:pt>
                <c:pt idx="14">
                  <c:v>-4.9400000000000004</c:v>
                </c:pt>
                <c:pt idx="15">
                  <c:v>-3.39</c:v>
                </c:pt>
                <c:pt idx="16">
                  <c:v>-3.26</c:v>
                </c:pt>
              </c:numCache>
            </c:numRef>
          </c:val>
          <c:extLst>
            <c:ext xmlns:c16="http://schemas.microsoft.com/office/drawing/2014/chart" uri="{C3380CC4-5D6E-409C-BE32-E72D297353CC}">
              <c16:uniqueId val="{00000000-9477-4341-8E8E-085ED82FEE59}"/>
            </c:ext>
          </c:extLst>
        </c:ser>
        <c:dLbls>
          <c:showLegendKey val="0"/>
          <c:showVal val="0"/>
          <c:showCatName val="0"/>
          <c:showSerName val="0"/>
          <c:showPercent val="0"/>
          <c:showBubbleSize val="0"/>
        </c:dLbls>
        <c:gapWidth val="100"/>
        <c:axId val="1973819120"/>
        <c:axId val="1973814960"/>
      </c:barChart>
      <c:catAx>
        <c:axId val="197381912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973814960"/>
        <c:crosses val="autoZero"/>
        <c:auto val="1"/>
        <c:lblAlgn val="ctr"/>
        <c:lblOffset val="100"/>
        <c:noMultiLvlLbl val="0"/>
      </c:catAx>
      <c:valAx>
        <c:axId val="197381496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973819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035217819994723E-2"/>
          <c:y val="7.5316672372475177E-2"/>
          <c:w val="0.92096196308794731"/>
          <c:h val="0.67381517469890728"/>
        </c:manualLayout>
      </c:layout>
      <c:lineChart>
        <c:grouping val="standard"/>
        <c:varyColors val="0"/>
        <c:ser>
          <c:idx val="0"/>
          <c:order val="0"/>
          <c:tx>
            <c:strRef>
              <c:f>'Graf 19'!$A$19</c:f>
              <c:strCache>
                <c:ptCount val="1"/>
                <c:pt idx="0">
                  <c:v>Hrubý dlh VS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75CE-4038-82DA-D4239D777B06}"/>
                </c:ext>
              </c:extLst>
            </c:dLbl>
            <c:dLbl>
              <c:idx val="1"/>
              <c:delete val="1"/>
              <c:extLst>
                <c:ext xmlns:c15="http://schemas.microsoft.com/office/drawing/2012/chart" uri="{CE6537A1-D6FC-4f65-9D91-7224C49458BB}"/>
                <c:ext xmlns:c16="http://schemas.microsoft.com/office/drawing/2014/chart" uri="{C3380CC4-5D6E-409C-BE32-E72D297353CC}">
                  <c16:uniqueId val="{00000001-75CE-4038-82DA-D4239D777B06}"/>
                </c:ext>
              </c:extLst>
            </c:dLbl>
            <c:dLbl>
              <c:idx val="2"/>
              <c:delete val="1"/>
              <c:extLst>
                <c:ext xmlns:c15="http://schemas.microsoft.com/office/drawing/2012/chart" uri="{CE6537A1-D6FC-4f65-9D91-7224C49458BB}"/>
                <c:ext xmlns:c16="http://schemas.microsoft.com/office/drawing/2014/chart" uri="{C3380CC4-5D6E-409C-BE32-E72D297353CC}">
                  <c16:uniqueId val="{00000002-75CE-4038-82DA-D4239D777B06}"/>
                </c:ext>
              </c:extLst>
            </c:dLbl>
            <c:dLbl>
              <c:idx val="3"/>
              <c:delete val="1"/>
              <c:extLst>
                <c:ext xmlns:c15="http://schemas.microsoft.com/office/drawing/2012/chart" uri="{CE6537A1-D6FC-4f65-9D91-7224C49458BB}"/>
                <c:ext xmlns:c16="http://schemas.microsoft.com/office/drawing/2014/chart" uri="{C3380CC4-5D6E-409C-BE32-E72D297353CC}">
                  <c16:uniqueId val="{00000003-75CE-4038-82DA-D4239D777B06}"/>
                </c:ext>
              </c:extLst>
            </c:dLbl>
            <c:dLbl>
              <c:idx val="4"/>
              <c:delete val="1"/>
              <c:extLst>
                <c:ext xmlns:c15="http://schemas.microsoft.com/office/drawing/2012/chart" uri="{CE6537A1-D6FC-4f65-9D91-7224C49458BB}"/>
                <c:ext xmlns:c16="http://schemas.microsoft.com/office/drawing/2014/chart" uri="{C3380CC4-5D6E-409C-BE32-E72D297353CC}">
                  <c16:uniqueId val="{00000004-75CE-4038-82DA-D4239D777B06}"/>
                </c:ext>
              </c:extLst>
            </c:dLbl>
            <c:dLbl>
              <c:idx val="5"/>
              <c:delete val="1"/>
              <c:extLst>
                <c:ext xmlns:c15="http://schemas.microsoft.com/office/drawing/2012/chart" uri="{CE6537A1-D6FC-4f65-9D91-7224C49458BB}"/>
                <c:ext xmlns:c16="http://schemas.microsoft.com/office/drawing/2014/chart" uri="{C3380CC4-5D6E-409C-BE32-E72D297353CC}">
                  <c16:uniqueId val="{00000005-75CE-4038-82DA-D4239D777B06}"/>
                </c:ext>
              </c:extLst>
            </c:dLbl>
            <c:dLbl>
              <c:idx val="6"/>
              <c:delete val="1"/>
              <c:extLst>
                <c:ext xmlns:c15="http://schemas.microsoft.com/office/drawing/2012/chart" uri="{CE6537A1-D6FC-4f65-9D91-7224C49458BB}"/>
                <c:ext xmlns:c16="http://schemas.microsoft.com/office/drawing/2014/chart" uri="{C3380CC4-5D6E-409C-BE32-E72D297353CC}">
                  <c16:uniqueId val="{00000006-75CE-4038-82DA-D4239D777B06}"/>
                </c:ext>
              </c:extLst>
            </c:dLbl>
            <c:dLbl>
              <c:idx val="7"/>
              <c:delete val="1"/>
              <c:extLst>
                <c:ext xmlns:c15="http://schemas.microsoft.com/office/drawing/2012/chart" uri="{CE6537A1-D6FC-4f65-9D91-7224C49458BB}"/>
                <c:ext xmlns:c16="http://schemas.microsoft.com/office/drawing/2014/chart" uri="{C3380CC4-5D6E-409C-BE32-E72D297353CC}">
                  <c16:uniqueId val="{00000007-75CE-4038-82DA-D4239D777B06}"/>
                </c:ext>
              </c:extLst>
            </c:dLbl>
            <c:dLbl>
              <c:idx val="8"/>
              <c:delete val="1"/>
              <c:extLst>
                <c:ext xmlns:c15="http://schemas.microsoft.com/office/drawing/2012/chart" uri="{CE6537A1-D6FC-4f65-9D91-7224C49458BB}"/>
                <c:ext xmlns:c16="http://schemas.microsoft.com/office/drawing/2014/chart" uri="{C3380CC4-5D6E-409C-BE32-E72D297353CC}">
                  <c16:uniqueId val="{00000008-75CE-4038-82DA-D4239D777B06}"/>
                </c:ext>
              </c:extLst>
            </c:dLbl>
            <c:dLbl>
              <c:idx val="9"/>
              <c:delete val="1"/>
              <c:extLst>
                <c:ext xmlns:c15="http://schemas.microsoft.com/office/drawing/2012/chart" uri="{CE6537A1-D6FC-4f65-9D91-7224C49458BB}"/>
                <c:ext xmlns:c16="http://schemas.microsoft.com/office/drawing/2014/chart" uri="{C3380CC4-5D6E-409C-BE32-E72D297353CC}">
                  <c16:uniqueId val="{00000009-75CE-4038-82DA-D4239D777B06}"/>
                </c:ext>
              </c:extLst>
            </c:dLbl>
            <c:dLbl>
              <c:idx val="10"/>
              <c:delete val="1"/>
              <c:extLst>
                <c:ext xmlns:c15="http://schemas.microsoft.com/office/drawing/2012/chart" uri="{CE6537A1-D6FC-4f65-9D91-7224C49458BB}"/>
                <c:ext xmlns:c16="http://schemas.microsoft.com/office/drawing/2014/chart" uri="{C3380CC4-5D6E-409C-BE32-E72D297353CC}">
                  <c16:uniqueId val="{0000000A-75CE-4038-82DA-D4239D777B06}"/>
                </c:ext>
              </c:extLst>
            </c:dLbl>
            <c:dLbl>
              <c:idx val="15"/>
              <c:delete val="1"/>
              <c:extLst>
                <c:ext xmlns:c15="http://schemas.microsoft.com/office/drawing/2012/chart" uri="{CE6537A1-D6FC-4f65-9D91-7224C49458BB}"/>
                <c:ext xmlns:c16="http://schemas.microsoft.com/office/drawing/2014/chart" uri="{C3380CC4-5D6E-409C-BE32-E72D297353CC}">
                  <c16:uniqueId val="{0000000B-75CE-4038-82DA-D4239D777B06}"/>
                </c:ext>
              </c:extLst>
            </c:dLbl>
            <c:dLbl>
              <c:idx val="16"/>
              <c:delete val="1"/>
              <c:extLst>
                <c:ext xmlns:c15="http://schemas.microsoft.com/office/drawing/2012/chart" uri="{CE6537A1-D6FC-4f65-9D91-7224C49458BB}"/>
                <c:ext xmlns:c16="http://schemas.microsoft.com/office/drawing/2014/chart" uri="{C3380CC4-5D6E-409C-BE32-E72D297353CC}">
                  <c16:uniqueId val="{0000000C-75CE-4038-82DA-D4239D777B06}"/>
                </c:ext>
              </c:extLst>
            </c:dLbl>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19'!$B$18:$R$18</c:f>
              <c:strCach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strCache>
            </c:strRef>
          </c:cat>
          <c:val>
            <c:numRef>
              <c:f>'Graf 19'!$B$19:$R$19</c:f>
              <c:numCache>
                <c:formatCode>0.0</c:formatCode>
                <c:ptCount val="17"/>
                <c:pt idx="0">
                  <c:v>28.598844266178187</c:v>
                </c:pt>
                <c:pt idx="1">
                  <c:v>36.360888192511553</c:v>
                </c:pt>
                <c:pt idx="2">
                  <c:v>41.015691430321638</c:v>
                </c:pt>
                <c:pt idx="3">
                  <c:v>43.502305229419441</c:v>
                </c:pt>
                <c:pt idx="4">
                  <c:v>51.845561326410049</c:v>
                </c:pt>
                <c:pt idx="5">
                  <c:v>54.794008379682587</c:v>
                </c:pt>
                <c:pt idx="6">
                  <c:v>53.561788094018638</c:v>
                </c:pt>
                <c:pt idx="7">
                  <c:v>51.923690653091235</c:v>
                </c:pt>
                <c:pt idx="8">
                  <c:v>52.412725889252222</c:v>
                </c:pt>
                <c:pt idx="9">
                  <c:v>51.6</c:v>
                </c:pt>
                <c:pt idx="10">
                  <c:v>49.587096909993448</c:v>
                </c:pt>
                <c:pt idx="11">
                  <c:v>48.1</c:v>
                </c:pt>
                <c:pt idx="12">
                  <c:v>59.7</c:v>
                </c:pt>
                <c:pt idx="13">
                  <c:v>61.5</c:v>
                </c:pt>
                <c:pt idx="14">
                  <c:v>61.5</c:v>
                </c:pt>
                <c:pt idx="15">
                  <c:v>58.6</c:v>
                </c:pt>
                <c:pt idx="16">
                  <c:v>58.7</c:v>
                </c:pt>
              </c:numCache>
            </c:numRef>
          </c:val>
          <c:smooth val="0"/>
          <c:extLst>
            <c:ext xmlns:c16="http://schemas.microsoft.com/office/drawing/2014/chart" uri="{C3380CC4-5D6E-409C-BE32-E72D297353CC}">
              <c16:uniqueId val="{0000000D-75CE-4038-82DA-D4239D777B06}"/>
            </c:ext>
          </c:extLst>
        </c:ser>
        <c:ser>
          <c:idx val="1"/>
          <c:order val="1"/>
          <c:tx>
            <c:strRef>
              <c:f>'Graf 19'!$A$20</c:f>
              <c:strCache>
                <c:ptCount val="1"/>
                <c:pt idx="0">
                  <c:v>Čistý dlh VS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'Graf 19'!$B$18:$R$18</c:f>
              <c:strCach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strCache>
            </c:strRef>
          </c:cat>
          <c:val>
            <c:numRef>
              <c:f>'Graf 19'!$B$20:$R$20</c:f>
              <c:numCache>
                <c:formatCode>0.0</c:formatCode>
                <c:ptCount val="17"/>
                <c:pt idx="0">
                  <c:v>22.598307807313471</c:v>
                </c:pt>
                <c:pt idx="1">
                  <c:v>31.683494130065476</c:v>
                </c:pt>
                <c:pt idx="2">
                  <c:v>37.068734443693771</c:v>
                </c:pt>
                <c:pt idx="3">
                  <c:v>40.927685019601448</c:v>
                </c:pt>
                <c:pt idx="4">
                  <c:v>45.136737716228204</c:v>
                </c:pt>
                <c:pt idx="5">
                  <c:v>47.881345190081426</c:v>
                </c:pt>
                <c:pt idx="6">
                  <c:v>49.543867162149482</c:v>
                </c:pt>
                <c:pt idx="7">
                  <c:v>47.484021642515039</c:v>
                </c:pt>
                <c:pt idx="8">
                  <c:v>47.052183451906302</c:v>
                </c:pt>
                <c:pt idx="9">
                  <c:v>45.815407765782382</c:v>
                </c:pt>
                <c:pt idx="10">
                  <c:v>43.6</c:v>
                </c:pt>
                <c:pt idx="11">
                  <c:v>43.332748416380227</c:v>
                </c:pt>
                <c:pt idx="12">
                  <c:v>49.7</c:v>
                </c:pt>
                <c:pt idx="13">
                  <c:v>55.5</c:v>
                </c:pt>
                <c:pt idx="14">
                  <c:v>56.3</c:v>
                </c:pt>
                <c:pt idx="15">
                  <c:v>54.9</c:v>
                </c:pt>
                <c:pt idx="16">
                  <c:v>55.8</c:v>
                </c:pt>
              </c:numCache>
            </c:numRef>
          </c:val>
          <c:smooth val="0"/>
          <c:extLst>
            <c:ext xmlns:c16="http://schemas.microsoft.com/office/drawing/2014/chart" uri="{C3380CC4-5D6E-409C-BE32-E72D297353CC}">
              <c16:uniqueId val="{0000000E-75CE-4038-82DA-D4239D777B06}"/>
            </c:ext>
          </c:extLst>
        </c:ser>
        <c:ser>
          <c:idx val="2"/>
          <c:order val="2"/>
          <c:tx>
            <c:strRef>
              <c:f>'Graf 19'!$A$21</c:f>
              <c:strCache>
                <c:ptCount val="1"/>
                <c:pt idx="0">
                  <c:v>Maastrichtská hranica</c:v>
                </c:pt>
              </c:strCache>
            </c:strRef>
          </c:tx>
          <c:spPr>
            <a:ln w="25400" cap="rnd">
              <a:solidFill>
                <a:schemeClr val="accent6"/>
              </a:solidFill>
              <a:prstDash val="sysDash"/>
              <a:round/>
            </a:ln>
            <a:effectLst/>
          </c:spPr>
          <c:marker>
            <c:symbol val="none"/>
          </c:marker>
          <c:cat>
            <c:strRef>
              <c:f>'Graf 19'!$B$18:$R$18</c:f>
              <c:strCach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strCache>
            </c:strRef>
          </c:cat>
          <c:val>
            <c:numRef>
              <c:f>'Graf 19'!$B$21:$R$21</c:f>
              <c:numCache>
                <c:formatCode>0.0</c:formatCode>
                <c:ptCount val="17"/>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numCache>
            </c:numRef>
          </c:val>
          <c:smooth val="0"/>
          <c:extLst>
            <c:ext xmlns:c16="http://schemas.microsoft.com/office/drawing/2014/chart" uri="{C3380CC4-5D6E-409C-BE32-E72D297353CC}">
              <c16:uniqueId val="{0000000F-75CE-4038-82DA-D4239D777B06}"/>
            </c:ext>
          </c:extLst>
        </c:ser>
        <c:dLbls>
          <c:showLegendKey val="0"/>
          <c:showVal val="0"/>
          <c:showCatName val="0"/>
          <c:showSerName val="0"/>
          <c:showPercent val="0"/>
          <c:showBubbleSize val="0"/>
        </c:dLbls>
        <c:marker val="1"/>
        <c:smooth val="0"/>
        <c:axId val="681671007"/>
        <c:axId val="681662687"/>
      </c:lineChart>
      <c:catAx>
        <c:axId val="681671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681662687"/>
        <c:crosses val="autoZero"/>
        <c:auto val="1"/>
        <c:lblAlgn val="ctr"/>
        <c:lblOffset val="100"/>
        <c:noMultiLvlLbl val="0"/>
      </c:catAx>
      <c:valAx>
        <c:axId val="6816626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681671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253556448698433E-2"/>
          <c:y val="5.0505050505050504E-2"/>
          <c:w val="0.89829396325459321"/>
          <c:h val="0.84434466352862914"/>
        </c:manualLayout>
      </c:layout>
      <c:barChart>
        <c:barDir val="col"/>
        <c:grouping val="clustered"/>
        <c:varyColors val="0"/>
        <c:ser>
          <c:idx val="0"/>
          <c:order val="0"/>
          <c:tx>
            <c:strRef>
              <c:f>'Graf 11'!$C$2</c:f>
              <c:strCache>
                <c:ptCount val="1"/>
                <c:pt idx="0">
                  <c:v>Čerpanie</c:v>
                </c:pt>
              </c:strCache>
            </c:strRef>
          </c:tx>
          <c:spPr>
            <a:solidFill>
              <a:schemeClr val="tx2"/>
            </a:solidFill>
            <a:ln>
              <a:noFill/>
            </a:ln>
            <a:effectLst/>
          </c:spPr>
          <c:invertIfNegative val="0"/>
          <c:dPt>
            <c:idx val="4"/>
            <c:invertIfNegative val="0"/>
            <c:bubble3D val="0"/>
            <c:spPr>
              <a:solidFill>
                <a:schemeClr val="accent5"/>
              </a:solidFill>
              <a:ln>
                <a:noFill/>
              </a:ln>
              <a:effectLst/>
            </c:spPr>
            <c:extLst>
              <c:ext xmlns:c16="http://schemas.microsoft.com/office/drawing/2014/chart" uri="{C3380CC4-5D6E-409C-BE32-E72D297353CC}">
                <c16:uniqueId val="{00000001-C524-4115-AFFE-6A05DEE0241D}"/>
              </c:ext>
            </c:extLst>
          </c:dPt>
          <c:dPt>
            <c:idx val="8"/>
            <c:invertIfNegative val="0"/>
            <c:bubble3D val="0"/>
            <c:spPr>
              <a:solidFill>
                <a:schemeClr val="accent5"/>
              </a:solidFill>
              <a:ln>
                <a:noFill/>
              </a:ln>
              <a:effectLst/>
            </c:spPr>
            <c:extLst>
              <c:ext xmlns:c16="http://schemas.microsoft.com/office/drawing/2014/chart" uri="{C3380CC4-5D6E-409C-BE32-E72D297353CC}">
                <c16:uniqueId val="{00000003-C524-4115-AFFE-6A05DEE0241D}"/>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05-C524-4115-AFFE-6A05DEE0241D}"/>
              </c:ext>
            </c:extLst>
          </c:dPt>
          <c:dPt>
            <c:idx val="26"/>
            <c:invertIfNegative val="0"/>
            <c:bubble3D val="0"/>
            <c:spPr>
              <a:solidFill>
                <a:schemeClr val="accent5"/>
              </a:solidFill>
              <a:ln>
                <a:noFill/>
              </a:ln>
              <a:effectLst/>
            </c:spPr>
            <c:extLst>
              <c:ext xmlns:c16="http://schemas.microsoft.com/office/drawing/2014/chart" uri="{C3380CC4-5D6E-409C-BE32-E72D297353CC}">
                <c16:uniqueId val="{00000007-C524-4115-AFFE-6A05DEE0241D}"/>
              </c:ext>
            </c:extLst>
          </c:dPt>
          <c:dLbls>
            <c:dLbl>
              <c:idx val="4"/>
              <c:layout>
                <c:manualLayout>
                  <c:x val="4.373974849644614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24-4115-AFFE-6A05DEE0241D}"/>
                </c:ext>
              </c:extLst>
            </c:dLbl>
            <c:dLbl>
              <c:idx val="8"/>
              <c:layout>
                <c:manualLayout>
                  <c:x val="4.8981630166649763E-3"/>
                  <c:y val="-4.83886756743867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24-4115-AFFE-6A05DEE0241D}"/>
                </c:ext>
              </c:extLst>
            </c:dLbl>
            <c:dLbl>
              <c:idx val="16"/>
              <c:layout>
                <c:manualLayout>
                  <c:x val="-8.0188612564456166E-17"/>
                  <c:y val="-5.280635744567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24-4115-AFFE-6A05DEE0241D}"/>
                </c:ext>
              </c:extLst>
            </c:dLbl>
            <c:dLbl>
              <c:idx val="26"/>
              <c:layout>
                <c:manualLayout>
                  <c:x val="-6.5523520877550231E-4"/>
                  <c:y val="-7.25855235580410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24-4115-AFFE-6A05DEE0241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11'!$B$3:$B$29</c:f>
              <c:strCache>
                <c:ptCount val="27"/>
                <c:pt idx="0">
                  <c:v>IE</c:v>
                </c:pt>
                <c:pt idx="1">
                  <c:v>LT</c:v>
                </c:pt>
                <c:pt idx="2">
                  <c:v>FI</c:v>
                </c:pt>
                <c:pt idx="3">
                  <c:v>CY</c:v>
                </c:pt>
                <c:pt idx="4">
                  <c:v>HU</c:v>
                </c:pt>
                <c:pt idx="5">
                  <c:v>PT</c:v>
                </c:pt>
                <c:pt idx="6">
                  <c:v>SE</c:v>
                </c:pt>
                <c:pt idx="7">
                  <c:v>EE</c:v>
                </c:pt>
                <c:pt idx="8">
                  <c:v>CZ</c:v>
                </c:pt>
                <c:pt idx="9">
                  <c:v>LU</c:v>
                </c:pt>
                <c:pt idx="10">
                  <c:v>FR</c:v>
                </c:pt>
                <c:pt idx="11">
                  <c:v>LV</c:v>
                </c:pt>
                <c:pt idx="12">
                  <c:v>AT</c:v>
                </c:pt>
                <c:pt idx="13">
                  <c:v>BG</c:v>
                </c:pt>
                <c:pt idx="14">
                  <c:v>DE</c:v>
                </c:pt>
                <c:pt idx="15">
                  <c:v>SI</c:v>
                </c:pt>
                <c:pt idx="16">
                  <c:v>PL</c:v>
                </c:pt>
                <c:pt idx="17">
                  <c:v>GR</c:v>
                </c:pt>
                <c:pt idx="18">
                  <c:v>NL</c:v>
                </c:pt>
                <c:pt idx="19">
                  <c:v>IT</c:v>
                </c:pt>
                <c:pt idx="20">
                  <c:v>MT</c:v>
                </c:pt>
                <c:pt idx="21">
                  <c:v>HR</c:v>
                </c:pt>
                <c:pt idx="22">
                  <c:v>BE</c:v>
                </c:pt>
                <c:pt idx="23">
                  <c:v>ES</c:v>
                </c:pt>
                <c:pt idx="24">
                  <c:v>RO</c:v>
                </c:pt>
                <c:pt idx="25">
                  <c:v>DK</c:v>
                </c:pt>
                <c:pt idx="26">
                  <c:v>SK</c:v>
                </c:pt>
              </c:strCache>
            </c:strRef>
          </c:cat>
          <c:val>
            <c:numRef>
              <c:f>'Graf 11'!$C$3:$C$29</c:f>
              <c:numCache>
                <c:formatCode>0%</c:formatCode>
                <c:ptCount val="27"/>
                <c:pt idx="0">
                  <c:v>0.68</c:v>
                </c:pt>
                <c:pt idx="1">
                  <c:v>0.68</c:v>
                </c:pt>
                <c:pt idx="2">
                  <c:v>0.66</c:v>
                </c:pt>
                <c:pt idx="3">
                  <c:v>0.65</c:v>
                </c:pt>
                <c:pt idx="4">
                  <c:v>0.64</c:v>
                </c:pt>
                <c:pt idx="5">
                  <c:v>0.63</c:v>
                </c:pt>
                <c:pt idx="6">
                  <c:v>0.62</c:v>
                </c:pt>
                <c:pt idx="7">
                  <c:v>0.62</c:v>
                </c:pt>
                <c:pt idx="8">
                  <c:v>0.61</c:v>
                </c:pt>
                <c:pt idx="9">
                  <c:v>0.6</c:v>
                </c:pt>
                <c:pt idx="10">
                  <c:v>0.6</c:v>
                </c:pt>
                <c:pt idx="11">
                  <c:v>0.6</c:v>
                </c:pt>
                <c:pt idx="12">
                  <c:v>0.59</c:v>
                </c:pt>
                <c:pt idx="13">
                  <c:v>0.59</c:v>
                </c:pt>
                <c:pt idx="14">
                  <c:v>0.57999999999999996</c:v>
                </c:pt>
                <c:pt idx="15">
                  <c:v>0.57999999999999996</c:v>
                </c:pt>
                <c:pt idx="16">
                  <c:v>0.57999999999999996</c:v>
                </c:pt>
                <c:pt idx="17">
                  <c:v>0.56999999999999995</c:v>
                </c:pt>
                <c:pt idx="18">
                  <c:v>0.55000000000000004</c:v>
                </c:pt>
                <c:pt idx="19">
                  <c:v>0.53</c:v>
                </c:pt>
                <c:pt idx="20">
                  <c:v>0.52</c:v>
                </c:pt>
                <c:pt idx="21">
                  <c:v>0.52</c:v>
                </c:pt>
                <c:pt idx="22">
                  <c:v>0.5</c:v>
                </c:pt>
                <c:pt idx="23">
                  <c:v>0.5</c:v>
                </c:pt>
                <c:pt idx="24">
                  <c:v>0.49</c:v>
                </c:pt>
                <c:pt idx="25">
                  <c:v>0.47</c:v>
                </c:pt>
                <c:pt idx="26">
                  <c:v>0.46</c:v>
                </c:pt>
              </c:numCache>
            </c:numRef>
          </c:val>
          <c:extLst>
            <c:ext xmlns:c16="http://schemas.microsoft.com/office/drawing/2014/chart" uri="{C3380CC4-5D6E-409C-BE32-E72D297353CC}">
              <c16:uniqueId val="{00000008-C524-4115-AFFE-6A05DEE0241D}"/>
            </c:ext>
          </c:extLst>
        </c:ser>
        <c:dLbls>
          <c:showLegendKey val="0"/>
          <c:showVal val="0"/>
          <c:showCatName val="0"/>
          <c:showSerName val="0"/>
          <c:showPercent val="0"/>
          <c:showBubbleSize val="0"/>
        </c:dLbls>
        <c:gapWidth val="100"/>
        <c:axId val="611564432"/>
        <c:axId val="611571920"/>
      </c:barChart>
      <c:lineChart>
        <c:grouping val="standard"/>
        <c:varyColors val="0"/>
        <c:ser>
          <c:idx val="1"/>
          <c:order val="1"/>
          <c:tx>
            <c:strRef>
              <c:f>'Graf 11'!$D$2</c:f>
              <c:strCache>
                <c:ptCount val="1"/>
                <c:pt idx="0">
                  <c:v>Priemer EÚ</c:v>
                </c:pt>
              </c:strCache>
            </c:strRef>
          </c:tx>
          <c:spPr>
            <a:ln w="28575" cap="rnd">
              <a:solidFill>
                <a:schemeClr val="accent6"/>
              </a:solidFill>
              <a:round/>
            </a:ln>
            <a:effectLst/>
          </c:spPr>
          <c:marker>
            <c:symbol val="none"/>
          </c:marker>
          <c:dLbls>
            <c:dLbl>
              <c:idx val="23"/>
              <c:layout>
                <c:manualLayout>
                  <c:x val="5.6378297163373989E-2"/>
                  <c:y val="-9.300173946219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24-4115-AFFE-6A05DEE0241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11'!$B$3:$B$29</c:f>
              <c:strCache>
                <c:ptCount val="27"/>
                <c:pt idx="0">
                  <c:v>IE</c:v>
                </c:pt>
                <c:pt idx="1">
                  <c:v>LT</c:v>
                </c:pt>
                <c:pt idx="2">
                  <c:v>FI</c:v>
                </c:pt>
                <c:pt idx="3">
                  <c:v>CY</c:v>
                </c:pt>
                <c:pt idx="4">
                  <c:v>HU</c:v>
                </c:pt>
                <c:pt idx="5">
                  <c:v>PT</c:v>
                </c:pt>
                <c:pt idx="6">
                  <c:v>SE</c:v>
                </c:pt>
                <c:pt idx="7">
                  <c:v>EE</c:v>
                </c:pt>
                <c:pt idx="8">
                  <c:v>CZ</c:v>
                </c:pt>
                <c:pt idx="9">
                  <c:v>LU</c:v>
                </c:pt>
                <c:pt idx="10">
                  <c:v>FR</c:v>
                </c:pt>
                <c:pt idx="11">
                  <c:v>LV</c:v>
                </c:pt>
                <c:pt idx="12">
                  <c:v>AT</c:v>
                </c:pt>
                <c:pt idx="13">
                  <c:v>BG</c:v>
                </c:pt>
                <c:pt idx="14">
                  <c:v>DE</c:v>
                </c:pt>
                <c:pt idx="15">
                  <c:v>SI</c:v>
                </c:pt>
                <c:pt idx="16">
                  <c:v>PL</c:v>
                </c:pt>
                <c:pt idx="17">
                  <c:v>GR</c:v>
                </c:pt>
                <c:pt idx="18">
                  <c:v>NL</c:v>
                </c:pt>
                <c:pt idx="19">
                  <c:v>IT</c:v>
                </c:pt>
                <c:pt idx="20">
                  <c:v>MT</c:v>
                </c:pt>
                <c:pt idx="21">
                  <c:v>HR</c:v>
                </c:pt>
                <c:pt idx="22">
                  <c:v>BE</c:v>
                </c:pt>
                <c:pt idx="23">
                  <c:v>ES</c:v>
                </c:pt>
                <c:pt idx="24">
                  <c:v>RO</c:v>
                </c:pt>
                <c:pt idx="25">
                  <c:v>DK</c:v>
                </c:pt>
                <c:pt idx="26">
                  <c:v>SK</c:v>
                </c:pt>
              </c:strCache>
            </c:strRef>
          </c:cat>
          <c:val>
            <c:numRef>
              <c:f>'Graf 11'!$D$3:$D$29</c:f>
              <c:numCache>
                <c:formatCode>0%</c:formatCode>
                <c:ptCount val="27"/>
                <c:pt idx="0">
                  <c:v>0.57999999999999996</c:v>
                </c:pt>
                <c:pt idx="1">
                  <c:v>0.57999999999999996</c:v>
                </c:pt>
                <c:pt idx="2">
                  <c:v>0.57999999999999996</c:v>
                </c:pt>
                <c:pt idx="3">
                  <c:v>0.57999999999999996</c:v>
                </c:pt>
                <c:pt idx="4">
                  <c:v>0.57999999999999996</c:v>
                </c:pt>
                <c:pt idx="5">
                  <c:v>0.57999999999999996</c:v>
                </c:pt>
                <c:pt idx="6">
                  <c:v>0.57999999999999996</c:v>
                </c:pt>
                <c:pt idx="7">
                  <c:v>0.57999999999999996</c:v>
                </c:pt>
                <c:pt idx="8">
                  <c:v>0.57999999999999996</c:v>
                </c:pt>
                <c:pt idx="9">
                  <c:v>0.57999999999999996</c:v>
                </c:pt>
                <c:pt idx="10">
                  <c:v>0.57999999999999996</c:v>
                </c:pt>
                <c:pt idx="11">
                  <c:v>0.57999999999999996</c:v>
                </c:pt>
                <c:pt idx="12">
                  <c:v>0.57999999999999996</c:v>
                </c:pt>
                <c:pt idx="13">
                  <c:v>0.57999999999999996</c:v>
                </c:pt>
                <c:pt idx="14">
                  <c:v>0.57999999999999996</c:v>
                </c:pt>
                <c:pt idx="15">
                  <c:v>0.57999999999999996</c:v>
                </c:pt>
                <c:pt idx="16">
                  <c:v>0.57999999999999996</c:v>
                </c:pt>
                <c:pt idx="17">
                  <c:v>0.57999999999999996</c:v>
                </c:pt>
                <c:pt idx="18">
                  <c:v>0.57999999999999996</c:v>
                </c:pt>
                <c:pt idx="19">
                  <c:v>0.57999999999999996</c:v>
                </c:pt>
                <c:pt idx="20">
                  <c:v>0.57999999999999996</c:v>
                </c:pt>
                <c:pt idx="21">
                  <c:v>0.57999999999999996</c:v>
                </c:pt>
                <c:pt idx="22">
                  <c:v>0.57999999999999996</c:v>
                </c:pt>
                <c:pt idx="23">
                  <c:v>0.57999999999999996</c:v>
                </c:pt>
                <c:pt idx="24">
                  <c:v>0.57999999999999996</c:v>
                </c:pt>
                <c:pt idx="25">
                  <c:v>0.57999999999999996</c:v>
                </c:pt>
                <c:pt idx="26">
                  <c:v>0.57999999999999996</c:v>
                </c:pt>
              </c:numCache>
            </c:numRef>
          </c:val>
          <c:smooth val="0"/>
          <c:extLst>
            <c:ext xmlns:c16="http://schemas.microsoft.com/office/drawing/2014/chart" uri="{C3380CC4-5D6E-409C-BE32-E72D297353CC}">
              <c16:uniqueId val="{0000000A-C524-4115-AFFE-6A05DEE0241D}"/>
            </c:ext>
          </c:extLst>
        </c:ser>
        <c:dLbls>
          <c:showLegendKey val="0"/>
          <c:showVal val="0"/>
          <c:showCatName val="0"/>
          <c:showSerName val="0"/>
          <c:showPercent val="0"/>
          <c:showBubbleSize val="0"/>
        </c:dLbls>
        <c:marker val="1"/>
        <c:smooth val="0"/>
        <c:axId val="611564432"/>
        <c:axId val="611571920"/>
      </c:lineChart>
      <c:catAx>
        <c:axId val="61156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611571920"/>
        <c:crosses val="autoZero"/>
        <c:auto val="1"/>
        <c:lblAlgn val="ctr"/>
        <c:lblOffset val="100"/>
        <c:noMultiLvlLbl val="0"/>
      </c:catAx>
      <c:valAx>
        <c:axId val="611571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611564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6162307164746638E-2"/>
          <c:y val="8.9912280701754374E-2"/>
          <c:w val="0.78190764743161234"/>
          <c:h val="0.83662280701754388"/>
        </c:manualLayout>
      </c:layout>
      <c:ofPieChart>
        <c:ofPieType val="pie"/>
        <c:varyColors val="1"/>
        <c:ser>
          <c:idx val="0"/>
          <c:order val="0"/>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0A9E-47C0-B088-C759C49BBE7F}"/>
              </c:ext>
            </c:extLst>
          </c:dPt>
          <c:dPt>
            <c:idx val="1"/>
            <c:bubble3D val="0"/>
            <c:spPr>
              <a:solidFill>
                <a:schemeClr val="accent2">
                  <a:shade val="46000"/>
                </a:schemeClr>
              </a:solidFill>
              <a:ln w="19050">
                <a:solidFill>
                  <a:schemeClr val="lt1"/>
                </a:solidFill>
              </a:ln>
              <a:effectLst/>
            </c:spPr>
            <c:extLst>
              <c:ext xmlns:c16="http://schemas.microsoft.com/office/drawing/2014/chart" uri="{C3380CC4-5D6E-409C-BE32-E72D297353CC}">
                <c16:uniqueId val="{00000003-0A9E-47C0-B088-C759C49BBE7F}"/>
              </c:ext>
            </c:extLst>
          </c:dPt>
          <c:dPt>
            <c:idx val="2"/>
            <c:bubble3D val="0"/>
            <c:spPr>
              <a:solidFill>
                <a:schemeClr val="accent2">
                  <a:shade val="54000"/>
                </a:schemeClr>
              </a:solidFill>
              <a:ln w="19050">
                <a:solidFill>
                  <a:schemeClr val="lt1"/>
                </a:solidFill>
              </a:ln>
              <a:effectLst/>
            </c:spPr>
            <c:extLst>
              <c:ext xmlns:c16="http://schemas.microsoft.com/office/drawing/2014/chart" uri="{C3380CC4-5D6E-409C-BE32-E72D297353CC}">
                <c16:uniqueId val="{00000005-0A9E-47C0-B088-C759C49BBE7F}"/>
              </c:ext>
            </c:extLst>
          </c:dPt>
          <c:dPt>
            <c:idx val="3"/>
            <c:bubble3D val="0"/>
            <c:spPr>
              <a:solidFill>
                <a:schemeClr val="accent2">
                  <a:shade val="62000"/>
                </a:schemeClr>
              </a:solidFill>
              <a:ln w="19050">
                <a:solidFill>
                  <a:schemeClr val="lt1"/>
                </a:solidFill>
              </a:ln>
              <a:effectLst/>
            </c:spPr>
            <c:extLst>
              <c:ext xmlns:c16="http://schemas.microsoft.com/office/drawing/2014/chart" uri="{C3380CC4-5D6E-409C-BE32-E72D297353CC}">
                <c16:uniqueId val="{00000007-0A9E-47C0-B088-C759C49BBE7F}"/>
              </c:ext>
            </c:extLst>
          </c:dPt>
          <c:dPt>
            <c:idx val="4"/>
            <c:bubble3D val="0"/>
            <c:spPr>
              <a:solidFill>
                <a:schemeClr val="accent2">
                  <a:shade val="71000"/>
                </a:schemeClr>
              </a:solidFill>
              <a:ln w="19050">
                <a:solidFill>
                  <a:schemeClr val="lt1"/>
                </a:solidFill>
              </a:ln>
              <a:effectLst/>
            </c:spPr>
            <c:extLst>
              <c:ext xmlns:c16="http://schemas.microsoft.com/office/drawing/2014/chart" uri="{C3380CC4-5D6E-409C-BE32-E72D297353CC}">
                <c16:uniqueId val="{00000009-0A9E-47C0-B088-C759C49BBE7F}"/>
              </c:ext>
            </c:extLst>
          </c:dPt>
          <c:dPt>
            <c:idx val="5"/>
            <c:bubble3D val="0"/>
            <c:spPr>
              <a:solidFill>
                <a:schemeClr val="accent2">
                  <a:shade val="79000"/>
                </a:schemeClr>
              </a:solidFill>
              <a:ln w="19050">
                <a:solidFill>
                  <a:schemeClr val="lt1"/>
                </a:solidFill>
              </a:ln>
              <a:effectLst/>
            </c:spPr>
            <c:extLst>
              <c:ext xmlns:c16="http://schemas.microsoft.com/office/drawing/2014/chart" uri="{C3380CC4-5D6E-409C-BE32-E72D297353CC}">
                <c16:uniqueId val="{0000000B-0A9E-47C0-B088-C759C49BBE7F}"/>
              </c:ext>
            </c:extLst>
          </c:dPt>
          <c:dPt>
            <c:idx val="6"/>
            <c:bubble3D val="0"/>
            <c:spPr>
              <a:solidFill>
                <a:schemeClr val="accent2">
                  <a:shade val="87000"/>
                </a:schemeClr>
              </a:solidFill>
              <a:ln w="19050">
                <a:solidFill>
                  <a:schemeClr val="lt1"/>
                </a:solidFill>
              </a:ln>
              <a:effectLst/>
            </c:spPr>
            <c:extLst>
              <c:ext xmlns:c16="http://schemas.microsoft.com/office/drawing/2014/chart" uri="{C3380CC4-5D6E-409C-BE32-E72D297353CC}">
                <c16:uniqueId val="{0000000D-0A9E-47C0-B088-C759C49BBE7F}"/>
              </c:ext>
            </c:extLst>
          </c:dPt>
          <c:dPt>
            <c:idx val="7"/>
            <c:bubble3D val="0"/>
            <c:spPr>
              <a:solidFill>
                <a:schemeClr val="accent2">
                  <a:shade val="95000"/>
                </a:schemeClr>
              </a:solidFill>
              <a:ln w="19050">
                <a:solidFill>
                  <a:schemeClr val="lt1"/>
                </a:solidFill>
              </a:ln>
              <a:effectLst/>
            </c:spPr>
            <c:extLst>
              <c:ext xmlns:c16="http://schemas.microsoft.com/office/drawing/2014/chart" uri="{C3380CC4-5D6E-409C-BE32-E72D297353CC}">
                <c16:uniqueId val="{0000000F-0A9E-47C0-B088-C759C49BBE7F}"/>
              </c:ext>
            </c:extLst>
          </c:dPt>
          <c:dPt>
            <c:idx val="8"/>
            <c:bubble3D val="0"/>
            <c:spPr>
              <a:solidFill>
                <a:schemeClr val="accent2">
                  <a:tint val="96000"/>
                </a:schemeClr>
              </a:solidFill>
              <a:ln w="19050">
                <a:solidFill>
                  <a:schemeClr val="lt1"/>
                </a:solidFill>
              </a:ln>
              <a:effectLst/>
            </c:spPr>
            <c:extLst>
              <c:ext xmlns:c16="http://schemas.microsoft.com/office/drawing/2014/chart" uri="{C3380CC4-5D6E-409C-BE32-E72D297353CC}">
                <c16:uniqueId val="{00000011-0A9E-47C0-B088-C759C49BBE7F}"/>
              </c:ext>
            </c:extLst>
          </c:dPt>
          <c:dPt>
            <c:idx val="9"/>
            <c:bubble3D val="0"/>
            <c:spPr>
              <a:solidFill>
                <a:schemeClr val="accent2">
                  <a:tint val="88000"/>
                </a:schemeClr>
              </a:solidFill>
              <a:ln w="19050">
                <a:solidFill>
                  <a:schemeClr val="lt1"/>
                </a:solidFill>
              </a:ln>
              <a:effectLst/>
            </c:spPr>
            <c:extLst>
              <c:ext xmlns:c16="http://schemas.microsoft.com/office/drawing/2014/chart" uri="{C3380CC4-5D6E-409C-BE32-E72D297353CC}">
                <c16:uniqueId val="{00000013-0A9E-47C0-B088-C759C49BBE7F}"/>
              </c:ext>
            </c:extLst>
          </c:dPt>
          <c:dPt>
            <c:idx val="10"/>
            <c:bubble3D val="0"/>
            <c:spPr>
              <a:solidFill>
                <a:schemeClr val="accent2">
                  <a:tint val="80000"/>
                </a:schemeClr>
              </a:solidFill>
              <a:ln w="19050">
                <a:solidFill>
                  <a:schemeClr val="lt1"/>
                </a:solidFill>
              </a:ln>
              <a:effectLst/>
            </c:spPr>
            <c:extLst>
              <c:ext xmlns:c16="http://schemas.microsoft.com/office/drawing/2014/chart" uri="{C3380CC4-5D6E-409C-BE32-E72D297353CC}">
                <c16:uniqueId val="{00000015-0A9E-47C0-B088-C759C49BBE7F}"/>
              </c:ext>
            </c:extLst>
          </c:dPt>
          <c:dPt>
            <c:idx val="11"/>
            <c:bubble3D val="0"/>
            <c:spPr>
              <a:solidFill>
                <a:schemeClr val="accent2">
                  <a:tint val="72000"/>
                </a:schemeClr>
              </a:solidFill>
              <a:ln w="19050">
                <a:solidFill>
                  <a:schemeClr val="lt1"/>
                </a:solidFill>
              </a:ln>
              <a:effectLst/>
            </c:spPr>
            <c:extLst>
              <c:ext xmlns:c16="http://schemas.microsoft.com/office/drawing/2014/chart" uri="{C3380CC4-5D6E-409C-BE32-E72D297353CC}">
                <c16:uniqueId val="{00000017-0A9E-47C0-B088-C759C49BBE7F}"/>
              </c:ext>
            </c:extLst>
          </c:dPt>
          <c:dPt>
            <c:idx val="12"/>
            <c:bubble3D val="0"/>
            <c:spPr>
              <a:solidFill>
                <a:schemeClr val="accent2">
                  <a:tint val="63000"/>
                </a:schemeClr>
              </a:solidFill>
              <a:ln w="19050">
                <a:solidFill>
                  <a:schemeClr val="lt1"/>
                </a:solidFill>
              </a:ln>
              <a:effectLst/>
            </c:spPr>
            <c:extLst>
              <c:ext xmlns:c16="http://schemas.microsoft.com/office/drawing/2014/chart" uri="{C3380CC4-5D6E-409C-BE32-E72D297353CC}">
                <c16:uniqueId val="{00000019-0A9E-47C0-B088-C759C49BBE7F}"/>
              </c:ext>
            </c:extLst>
          </c:dPt>
          <c:dPt>
            <c:idx val="13"/>
            <c:bubble3D val="0"/>
            <c:spPr>
              <a:solidFill>
                <a:schemeClr val="accent2">
                  <a:tint val="55000"/>
                </a:schemeClr>
              </a:solidFill>
              <a:ln w="19050">
                <a:solidFill>
                  <a:schemeClr val="lt1"/>
                </a:solidFill>
              </a:ln>
              <a:effectLst/>
            </c:spPr>
            <c:extLst>
              <c:ext xmlns:c16="http://schemas.microsoft.com/office/drawing/2014/chart" uri="{C3380CC4-5D6E-409C-BE32-E72D297353CC}">
                <c16:uniqueId val="{0000001B-0A9E-47C0-B088-C759C49BBE7F}"/>
              </c:ext>
            </c:extLst>
          </c:dPt>
          <c:dPt>
            <c:idx val="14"/>
            <c:bubble3D val="0"/>
            <c:spPr>
              <a:solidFill>
                <a:schemeClr val="accent2">
                  <a:tint val="47000"/>
                </a:schemeClr>
              </a:solidFill>
              <a:ln w="19050">
                <a:solidFill>
                  <a:schemeClr val="lt1"/>
                </a:solidFill>
              </a:ln>
              <a:effectLst/>
            </c:spPr>
            <c:extLst>
              <c:ext xmlns:c16="http://schemas.microsoft.com/office/drawing/2014/chart" uri="{C3380CC4-5D6E-409C-BE32-E72D297353CC}">
                <c16:uniqueId val="{0000001D-0A9E-47C0-B088-C759C49BBE7F}"/>
              </c:ext>
            </c:extLst>
          </c:dPt>
          <c:dPt>
            <c:idx val="15"/>
            <c:bubble3D val="0"/>
            <c:spPr>
              <a:solidFill>
                <a:schemeClr val="accent2">
                  <a:tint val="39000"/>
                </a:schemeClr>
              </a:solidFill>
              <a:ln w="19050">
                <a:solidFill>
                  <a:schemeClr val="lt1"/>
                </a:solidFill>
              </a:ln>
              <a:effectLst/>
            </c:spPr>
            <c:extLst>
              <c:ext xmlns:c16="http://schemas.microsoft.com/office/drawing/2014/chart" uri="{C3380CC4-5D6E-409C-BE32-E72D297353CC}">
                <c16:uniqueId val="{0000001F-0A9E-47C0-B088-C759C49BBE7F}"/>
              </c:ext>
            </c:extLst>
          </c:dPt>
          <c:dPt>
            <c:idx val="16"/>
            <c:bubble3D val="0"/>
            <c:spPr>
              <a:solidFill>
                <a:schemeClr val="accent3">
                  <a:lumMod val="40000"/>
                  <a:lumOff val="60000"/>
                </a:schemeClr>
              </a:solidFill>
              <a:ln w="19050">
                <a:solidFill>
                  <a:schemeClr val="lt1"/>
                </a:solidFill>
              </a:ln>
              <a:effectLst/>
            </c:spPr>
            <c:extLst>
              <c:ext xmlns:c16="http://schemas.microsoft.com/office/drawing/2014/chart" uri="{C3380CC4-5D6E-409C-BE32-E72D297353CC}">
                <c16:uniqueId val="{00000021-0A9E-47C0-B088-C759C49BBE7F}"/>
              </c:ext>
            </c:extLst>
          </c:dPt>
          <c:dLbls>
            <c:dLbl>
              <c:idx val="0"/>
              <c:tx>
                <c:rich>
                  <a:bodyPr rot="0" spcFirstLastPara="1" vertOverflow="ellipsis" vert="horz" wrap="square" anchor="ctr" anchorCtr="1"/>
                  <a:lstStyle/>
                  <a:p>
                    <a:pPr>
                      <a:defRPr sz="800" b="1" i="0" u="none" strike="noStrike" kern="1200" baseline="0">
                        <a:solidFill>
                          <a:schemeClr val="bg1"/>
                        </a:solidFill>
                        <a:latin typeface="Segoe UI" panose="020B0502040204020203" pitchFamily="34" charset="0"/>
                        <a:ea typeface="+mn-ea"/>
                        <a:cs typeface="Segoe UI" panose="020B0502040204020203" pitchFamily="34" charset="0"/>
                      </a:defRPr>
                    </a:pPr>
                    <a:fld id="{4E1D7597-CC55-4089-BD89-6CCA267E4EDA}" type="CATEGORYNAME">
                      <a:rPr lang="en-US" b="1">
                        <a:solidFill>
                          <a:schemeClr val="bg1"/>
                        </a:solidFill>
                      </a:rPr>
                      <a:pPr>
                        <a:defRPr b="1">
                          <a:solidFill>
                            <a:schemeClr val="bg1"/>
                          </a:solidFill>
                        </a:defRPr>
                      </a:pPr>
                      <a:t>[NÁZOV KATEGÓRIE]</a:t>
                    </a:fld>
                    <a:r>
                      <a:rPr lang="en-US" b="1">
                        <a:solidFill>
                          <a:schemeClr val="bg1"/>
                        </a:solidFill>
                      </a:rPr>
                      <a:t>:</a:t>
                    </a:r>
                    <a:r>
                      <a:rPr lang="en-US" b="1" baseline="0">
                        <a:solidFill>
                          <a:schemeClr val="bg1"/>
                        </a:solidFill>
                      </a:rPr>
                      <a:t> </a:t>
                    </a:r>
                    <a:fld id="{596C015E-A3F7-4224-B863-34385B819DE6}" type="VALUE">
                      <a:rPr lang="en-US" b="1" baseline="0">
                        <a:solidFill>
                          <a:schemeClr val="bg1"/>
                        </a:solidFill>
                      </a:rPr>
                      <a:pPr>
                        <a:defRPr b="1">
                          <a:solidFill>
                            <a:schemeClr val="bg1"/>
                          </a:solidFill>
                        </a:defRPr>
                      </a:pPr>
                      <a:t>[HODNOTA]</a:t>
                    </a:fld>
                    <a:endParaRPr lang="en-US" b="1" baseline="0">
                      <a:solidFill>
                        <a:schemeClr val="bg1"/>
                      </a:solidFill>
                    </a:endParaRPr>
                  </a:p>
                </c:rich>
              </c:tx>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Segoe UI" panose="020B0502040204020203" pitchFamily="34" charset="0"/>
                      <a:ea typeface="+mn-ea"/>
                      <a:cs typeface="Segoe UI" panose="020B0502040204020203"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9E-47C0-B088-C759C49BBE7F}"/>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9E-47C0-B088-C759C49BBE7F}"/>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9E-47C0-B088-C759C49BBE7F}"/>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9E-47C0-B088-C759C49BBE7F}"/>
                </c:ext>
              </c:extLst>
            </c:dLbl>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9E-47C0-B088-C759C49BBE7F}"/>
                </c:ext>
              </c:extLst>
            </c:dLbl>
            <c:dLbl>
              <c:idx val="5"/>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A9E-47C0-B088-C759C49BBE7F}"/>
                </c:ext>
              </c:extLst>
            </c:dLbl>
            <c:dLbl>
              <c:idx val="6"/>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A9E-47C0-B088-C759C49BBE7F}"/>
                </c:ext>
              </c:extLst>
            </c:dLbl>
            <c:dLbl>
              <c:idx val="16"/>
              <c:tx>
                <c:rich>
                  <a:bodyPr rot="0" spcFirstLastPara="1" vertOverflow="ellipsis" vert="horz" wrap="square" anchor="ctr" anchorCtr="1"/>
                  <a:lstStyle/>
                  <a:p>
                    <a:pPr>
                      <a:defRPr sz="800" b="1" i="0" u="none" strike="noStrike" kern="1200" baseline="0">
                        <a:solidFill>
                          <a:schemeClr val="tx2"/>
                        </a:solidFill>
                        <a:latin typeface="Segoe UI" panose="020B0502040204020203" pitchFamily="34" charset="0"/>
                        <a:ea typeface="+mn-ea"/>
                        <a:cs typeface="Segoe UI" panose="020B0502040204020203" pitchFamily="34" charset="0"/>
                      </a:defRPr>
                    </a:pPr>
                    <a:r>
                      <a:rPr lang="en-US" b="1">
                        <a:solidFill>
                          <a:schemeClr val="tx2"/>
                        </a:solidFill>
                      </a:rPr>
                      <a:t>Ostatné kapitoly:</a:t>
                    </a:r>
                    <a:r>
                      <a:rPr lang="en-US" b="1" baseline="0">
                        <a:solidFill>
                          <a:schemeClr val="tx2"/>
                        </a:solidFill>
                      </a:rPr>
                      <a:t> </a:t>
                    </a:r>
                    <a:fld id="{48F29E70-B0AA-4929-8C6A-11948DB4089A}" type="VALUE">
                      <a:rPr lang="en-US" b="1" baseline="0">
                        <a:solidFill>
                          <a:schemeClr val="tx2"/>
                        </a:solidFill>
                      </a:rPr>
                      <a:pPr>
                        <a:defRPr b="1"/>
                      </a:pPr>
                      <a:t>[HODNOTA]</a:t>
                    </a:fld>
                    <a:endParaRPr lang="en-US" b="1" baseline="0">
                      <a:solidFill>
                        <a:schemeClr val="tx2"/>
                      </a:solidFill>
                    </a:endParaRPr>
                  </a:p>
                </c:rich>
              </c:tx>
              <c:spPr>
                <a:noFill/>
                <a:ln>
                  <a:noFill/>
                </a:ln>
                <a:effectLst/>
              </c:spPr>
              <c:txPr>
                <a:bodyPr rot="0" spcFirstLastPara="1" vertOverflow="ellipsis" vert="horz" wrap="square" anchor="ctr" anchorCtr="1"/>
                <a:lstStyle/>
                <a:p>
                  <a:pPr>
                    <a:defRPr sz="800" b="1"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1-0A9E-47C0-B088-C759C49BBE7F}"/>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Segoe UI" panose="020B0502040204020203" pitchFamily="34" charset="0"/>
                    <a:ea typeface="+mn-ea"/>
                    <a:cs typeface="Segoe UI" panose="020B0502040204020203" pitchFamily="34" charset="0"/>
                  </a:defRPr>
                </a:pPr>
                <a:endParaRPr lang="sk-SK"/>
              </a:p>
            </c:txPr>
            <c:dLblPos val="bestFit"/>
            <c:showLegendKey val="0"/>
            <c:showVal val="0"/>
            <c:showCatName val="0"/>
            <c:showSerName val="0"/>
            <c:showPercent val="0"/>
            <c:showBubbleSize val="0"/>
            <c:extLst>
              <c:ext xmlns:c15="http://schemas.microsoft.com/office/drawing/2012/chart" uri="{CE6537A1-D6FC-4f65-9D91-7224C49458BB}"/>
            </c:extLst>
          </c:dLbls>
          <c:cat>
            <c:strRef>
              <c:f>Hárok1!$A$2:$A$17</c:f>
              <c:strCache>
                <c:ptCount val="16"/>
                <c:pt idx="0">
                  <c:v>VPS</c:v>
                </c:pt>
                <c:pt idx="1">
                  <c:v>MDV SR</c:v>
                </c:pt>
                <c:pt idx="2">
                  <c:v>MK SR</c:v>
                </c:pt>
                <c:pt idx="3">
                  <c:v>MŠVVŠ SR</c:v>
                </c:pt>
                <c:pt idx="4">
                  <c:v>MF SR</c:v>
                </c:pt>
                <c:pt idx="5">
                  <c:v>MO SR</c:v>
                </c:pt>
                <c:pt idx="6">
                  <c:v>Ostatné</c:v>
                </c:pt>
                <c:pt idx="7">
                  <c:v>MH SR</c:v>
                </c:pt>
                <c:pt idx="8">
                  <c:v>MV SR</c:v>
                </c:pt>
                <c:pt idx="9">
                  <c:v>MZ SR</c:v>
                </c:pt>
                <c:pt idx="10">
                  <c:v>MPRV SR</c:v>
                </c:pt>
                <c:pt idx="11">
                  <c:v>MPSVR SR</c:v>
                </c:pt>
                <c:pt idx="12">
                  <c:v>MS SR</c:v>
                </c:pt>
                <c:pt idx="13">
                  <c:v>MIRRI SR</c:v>
                </c:pt>
                <c:pt idx="14">
                  <c:v>MŽP SR</c:v>
                </c:pt>
                <c:pt idx="15">
                  <c:v>MZVVEZ SR</c:v>
                </c:pt>
              </c:strCache>
            </c:strRef>
          </c:cat>
          <c:val>
            <c:numRef>
              <c:f>Hárok1!$B$2:$B$17</c:f>
              <c:numCache>
                <c:formatCode>_-* #\ ##0_-;\-* #\ ##0_-;_-* "-"??_-;_-@_-</c:formatCode>
                <c:ptCount val="16"/>
                <c:pt idx="0">
                  <c:v>1091</c:v>
                </c:pt>
                <c:pt idx="1">
                  <c:v>123.4</c:v>
                </c:pt>
                <c:pt idx="2">
                  <c:v>33.4</c:v>
                </c:pt>
                <c:pt idx="3">
                  <c:v>32.299999999999997</c:v>
                </c:pt>
                <c:pt idx="4">
                  <c:v>23</c:v>
                </c:pt>
                <c:pt idx="5">
                  <c:v>22</c:v>
                </c:pt>
                <c:pt idx="6">
                  <c:v>17</c:v>
                </c:pt>
                <c:pt idx="7">
                  <c:v>12</c:v>
                </c:pt>
                <c:pt idx="8">
                  <c:v>9</c:v>
                </c:pt>
                <c:pt idx="9">
                  <c:v>6</c:v>
                </c:pt>
                <c:pt idx="10">
                  <c:v>4</c:v>
                </c:pt>
                <c:pt idx="11">
                  <c:v>4</c:v>
                </c:pt>
                <c:pt idx="12">
                  <c:v>3</c:v>
                </c:pt>
                <c:pt idx="13">
                  <c:v>2</c:v>
                </c:pt>
                <c:pt idx="14">
                  <c:v>1</c:v>
                </c:pt>
                <c:pt idx="15">
                  <c:v>1</c:v>
                </c:pt>
              </c:numCache>
            </c:numRef>
          </c:val>
          <c:extLst>
            <c:ext xmlns:c16="http://schemas.microsoft.com/office/drawing/2014/chart" uri="{C3380CC4-5D6E-409C-BE32-E72D297353CC}">
              <c16:uniqueId val="{00000022-0A9E-47C0-B088-C759C49BBE7F}"/>
            </c:ext>
          </c:extLst>
        </c:ser>
        <c:dLbls>
          <c:dLblPos val="bestFit"/>
          <c:showLegendKey val="0"/>
          <c:showVal val="1"/>
          <c:showCatName val="0"/>
          <c:showSerName val="0"/>
          <c:showPercent val="0"/>
          <c:showBubbleSize val="0"/>
          <c:showLeaderLines val="1"/>
        </c:dLbls>
        <c:gapWidth val="100"/>
        <c:splitType val="pos"/>
        <c:splitPos val="15"/>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r"/>
      <c:legendEntry>
        <c:idx val="0"/>
        <c:delete val="1"/>
      </c:legendEntry>
      <c:layout>
        <c:manualLayout>
          <c:xMode val="edge"/>
          <c:yMode val="edge"/>
          <c:x val="0.82323314566763639"/>
          <c:y val="4.0977690288713911E-2"/>
          <c:w val="0.16415651385317062"/>
          <c:h val="0.934491556154164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C80D-4C75-BE3A-346D433F4AC8}"/>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C80D-4C75-BE3A-346D433F4AC8}"/>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C80D-4C75-BE3A-346D433F4AC8}"/>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C80D-4C75-BE3A-346D433F4AC8}"/>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C80D-4C75-BE3A-346D433F4AC8}"/>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C80D-4C75-BE3A-346D433F4AC8}"/>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D-C80D-4C75-BE3A-346D433F4AC8}"/>
              </c:ext>
            </c:extLst>
          </c:dPt>
          <c:dPt>
            <c:idx val="7"/>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F-C80D-4C75-BE3A-346D433F4AC8}"/>
              </c:ext>
            </c:extLst>
          </c:dPt>
          <c:dPt>
            <c:idx val="8"/>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1-C80D-4C75-BE3A-346D433F4AC8}"/>
              </c:ext>
            </c:extLst>
          </c:dPt>
          <c:dPt>
            <c:idx val="9"/>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13-C80D-4C75-BE3A-346D433F4AC8}"/>
              </c:ext>
            </c:extLst>
          </c:dPt>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Hárok5!$B$7:$B$15</c:f>
              <c:strCache>
                <c:ptCount val="9"/>
                <c:pt idx="0">
                  <c:v>Rezerva na negatívne vplyvy pandémie</c:v>
                </c:pt>
                <c:pt idx="1">
                  <c:v>Rezerva na prostriedky EÚ a odvody EÚ </c:v>
                </c:pt>
                <c:pt idx="2">
                  <c:v>Rezerva na výdavky v zdravotníctve </c:v>
                </c:pt>
                <c:pt idx="3">
                  <c:v>Rezerva na mzdy a poistné </c:v>
                </c:pt>
                <c:pt idx="4">
                  <c:v>Rezerva na riešenie vplyvov legislatívnych zmien </c:v>
                </c:pt>
                <c:pt idx="5">
                  <c:v>Rezerva na riešenie krízových situácií </c:v>
                </c:pt>
                <c:pt idx="6">
                  <c:v>Rezerva na realizáciu súdnych a exekučných rozhodnutí </c:v>
                </c:pt>
                <c:pt idx="7">
                  <c:v>Rezerva vlády </c:v>
                </c:pt>
                <c:pt idx="8">
                  <c:v>Rezerva predsedu vlády </c:v>
                </c:pt>
              </c:strCache>
            </c:strRef>
          </c:cat>
          <c:val>
            <c:numRef>
              <c:f>Hárok5!$C$7:$C$15</c:f>
              <c:numCache>
                <c:formatCode>#,##0</c:formatCode>
                <c:ptCount val="9"/>
                <c:pt idx="0">
                  <c:v>717441</c:v>
                </c:pt>
                <c:pt idx="1">
                  <c:v>483191</c:v>
                </c:pt>
                <c:pt idx="2">
                  <c:v>220000</c:v>
                </c:pt>
                <c:pt idx="3">
                  <c:v>175029</c:v>
                </c:pt>
                <c:pt idx="4">
                  <c:v>130634</c:v>
                </c:pt>
                <c:pt idx="5">
                  <c:v>11000</c:v>
                </c:pt>
                <c:pt idx="6">
                  <c:v>10000</c:v>
                </c:pt>
                <c:pt idx="7">
                  <c:v>5000</c:v>
                </c:pt>
                <c:pt idx="8">
                  <c:v>1500</c:v>
                </c:pt>
              </c:numCache>
            </c:numRef>
          </c:val>
          <c:extLst>
            <c:ext xmlns:c16="http://schemas.microsoft.com/office/drawing/2014/chart" uri="{C3380CC4-5D6E-409C-BE32-E72D297353CC}">
              <c16:uniqueId val="{00000014-C80D-4C75-BE3A-346D433F4AC8}"/>
            </c:ext>
          </c:extLst>
        </c:ser>
        <c:dLbls>
          <c:showLegendKey val="0"/>
          <c:showVal val="0"/>
          <c:showCatName val="0"/>
          <c:showSerName val="0"/>
          <c:showPercent val="0"/>
          <c:showBubbleSize val="0"/>
        </c:dLbls>
        <c:gapWidth val="100"/>
        <c:axId val="2035948608"/>
        <c:axId val="2035942368"/>
      </c:barChart>
      <c:valAx>
        <c:axId val="20359423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2035948608"/>
        <c:crosses val="autoZero"/>
        <c:crossBetween val="between"/>
        <c:majorUnit val="200000"/>
      </c:valAx>
      <c:catAx>
        <c:axId val="203594860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203594236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931434425162124E-2"/>
          <c:y val="6.5710872162485071E-2"/>
          <c:w val="0.95700042606198388"/>
          <c:h val="0.8175227424528922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Hárok2!$C$7565:$C$7575</c:f>
              <c:strCache>
                <c:ptCount val="11"/>
                <c:pt idx="0">
                  <c:v>2011</c:v>
                </c:pt>
                <c:pt idx="1">
                  <c:v>2012</c:v>
                </c:pt>
                <c:pt idx="2">
                  <c:v>2013</c:v>
                </c:pt>
                <c:pt idx="3">
                  <c:v>2014</c:v>
                </c:pt>
                <c:pt idx="4">
                  <c:v>2015</c:v>
                </c:pt>
                <c:pt idx="5">
                  <c:v>2016</c:v>
                </c:pt>
                <c:pt idx="6">
                  <c:v>2017</c:v>
                </c:pt>
                <c:pt idx="7">
                  <c:v>2018</c:v>
                </c:pt>
                <c:pt idx="8">
                  <c:v>2019</c:v>
                </c:pt>
                <c:pt idx="9">
                  <c:v>2020</c:v>
                </c:pt>
                <c:pt idx="10">
                  <c:v>2021 (I – IX)</c:v>
                </c:pt>
              </c:strCache>
            </c:strRef>
          </c:cat>
          <c:val>
            <c:numRef>
              <c:f>Hárok2!$D$7565:$D$7575</c:f>
              <c:numCache>
                <c:formatCode>General</c:formatCode>
                <c:ptCount val="11"/>
                <c:pt idx="0">
                  <c:v>2</c:v>
                </c:pt>
                <c:pt idx="1">
                  <c:v>3</c:v>
                </c:pt>
                <c:pt idx="2">
                  <c:v>6</c:v>
                </c:pt>
                <c:pt idx="3">
                  <c:v>8</c:v>
                </c:pt>
                <c:pt idx="4">
                  <c:v>7</c:v>
                </c:pt>
                <c:pt idx="5">
                  <c:v>5</c:v>
                </c:pt>
                <c:pt idx="6">
                  <c:v>4</c:v>
                </c:pt>
                <c:pt idx="7">
                  <c:v>2</c:v>
                </c:pt>
                <c:pt idx="8">
                  <c:v>5</c:v>
                </c:pt>
                <c:pt idx="9">
                  <c:v>3</c:v>
                </c:pt>
                <c:pt idx="10">
                  <c:v>3</c:v>
                </c:pt>
              </c:numCache>
            </c:numRef>
          </c:val>
          <c:extLst>
            <c:ext xmlns:c16="http://schemas.microsoft.com/office/drawing/2014/chart" uri="{C3380CC4-5D6E-409C-BE32-E72D297353CC}">
              <c16:uniqueId val="{00000000-DE37-413B-8D83-E318C4693EF7}"/>
            </c:ext>
          </c:extLst>
        </c:ser>
        <c:dLbls>
          <c:showLegendKey val="0"/>
          <c:showVal val="0"/>
          <c:showCatName val="0"/>
          <c:showSerName val="0"/>
          <c:showPercent val="0"/>
          <c:showBubbleSize val="0"/>
        </c:dLbls>
        <c:gapWidth val="219"/>
        <c:overlap val="-27"/>
        <c:axId val="1773033904"/>
        <c:axId val="1773036400"/>
      </c:barChart>
      <c:catAx>
        <c:axId val="177303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773036400"/>
        <c:crosses val="autoZero"/>
        <c:auto val="1"/>
        <c:lblAlgn val="ctr"/>
        <c:lblOffset val="100"/>
        <c:noMultiLvlLbl val="0"/>
      </c:catAx>
      <c:valAx>
        <c:axId val="1773036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773033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Hárok4!$C$4</c:f>
              <c:strCache>
                <c:ptCount val="1"/>
                <c:pt idx="0">
                  <c:v>MŠVVaŠ SR</c:v>
                </c:pt>
              </c:strCache>
            </c:strRef>
          </c:tx>
          <c:spPr>
            <a:solidFill>
              <a:schemeClr val="accent1"/>
            </a:solidFill>
            <a:ln>
              <a:noFill/>
            </a:ln>
            <a:effectLst/>
          </c:spPr>
          <c:invertIfNegative val="0"/>
          <c:dLbls>
            <c:spPr>
              <a:solidFill>
                <a:schemeClr val="accent2">
                  <a:lumMod val="40000"/>
                  <a:lumOff val="60000"/>
                </a:schemeClr>
              </a:solid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Hárok4!$D$3:$O$3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Hárok4!$D$4:$O$4</c:f>
              <c:numCache>
                <c:formatCode>_-* #\ ##0_-;\-* #\ ##0_-;_-* "-"??_-;_-@_-</c:formatCode>
                <c:ptCount val="12"/>
                <c:pt idx="0">
                  <c:v>1322</c:v>
                </c:pt>
                <c:pt idx="1">
                  <c:v>1359</c:v>
                </c:pt>
                <c:pt idx="2">
                  <c:v>433</c:v>
                </c:pt>
                <c:pt idx="3">
                  <c:v>437</c:v>
                </c:pt>
                <c:pt idx="4">
                  <c:v>462</c:v>
                </c:pt>
                <c:pt idx="5">
                  <c:v>463</c:v>
                </c:pt>
                <c:pt idx="6">
                  <c:v>469</c:v>
                </c:pt>
                <c:pt idx="7">
                  <c:v>474.1</c:v>
                </c:pt>
                <c:pt idx="8">
                  <c:v>515.79999999999995</c:v>
                </c:pt>
                <c:pt idx="9">
                  <c:v>554.08000000000004</c:v>
                </c:pt>
                <c:pt idx="10">
                  <c:v>773.1</c:v>
                </c:pt>
                <c:pt idx="11">
                  <c:v>2479.3000000000002</c:v>
                </c:pt>
              </c:numCache>
            </c:numRef>
          </c:val>
          <c:extLst>
            <c:ext xmlns:c16="http://schemas.microsoft.com/office/drawing/2014/chart" uri="{C3380CC4-5D6E-409C-BE32-E72D297353CC}">
              <c16:uniqueId val="{00000000-A5BB-4648-A0BD-50A2BBD5911F}"/>
            </c:ext>
          </c:extLst>
        </c:ser>
        <c:ser>
          <c:idx val="1"/>
          <c:order val="1"/>
          <c:tx>
            <c:strRef>
              <c:f>Hárok4!$C$5</c:f>
              <c:strCache>
                <c:ptCount val="1"/>
                <c:pt idx="0">
                  <c:v>MV SR</c:v>
                </c:pt>
              </c:strCache>
            </c:strRef>
          </c:tx>
          <c:spPr>
            <a:solidFill>
              <a:schemeClr val="accent2"/>
            </a:solidFill>
            <a:ln>
              <a:noFill/>
            </a:ln>
            <a:effectLst/>
          </c:spPr>
          <c:invertIfNegative val="0"/>
          <c:dLbls>
            <c:spPr>
              <a:solidFill>
                <a:schemeClr val="accent2">
                  <a:lumMod val="40000"/>
                  <a:lumOff val="60000"/>
                </a:schemeClr>
              </a:solid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Hárok4!$D$3:$O$3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Hárok4!$D$5:$O$5</c:f>
              <c:numCache>
                <c:formatCode>General</c:formatCode>
                <c:ptCount val="12"/>
                <c:pt idx="2" formatCode="_-* #\ ##0_-;\-* #\ ##0_-;_-* &quot;-&quot;??_-;_-@_-">
                  <c:v>964</c:v>
                </c:pt>
                <c:pt idx="3" formatCode="_-* #\ ##0_-;\-* #\ ##0_-;_-* &quot;-&quot;??_-;_-@_-">
                  <c:v>1015</c:v>
                </c:pt>
                <c:pt idx="4" formatCode="_-* #\ ##0_-;\-* #\ ##0_-;_-* &quot;-&quot;??_-;_-@_-">
                  <c:v>1070</c:v>
                </c:pt>
                <c:pt idx="5" formatCode="_-* #\ ##0_-;\-* #\ ##0_-;_-* &quot;-&quot;??_-;_-@_-">
                  <c:v>1137</c:v>
                </c:pt>
                <c:pt idx="6" formatCode="_-* #\ ##0_-;\-* #\ ##0_-;_-* &quot;-&quot;??_-;_-@_-">
                  <c:v>1206</c:v>
                </c:pt>
                <c:pt idx="7" formatCode="_-* #\ ##0_-;\-* #\ ##0_-;_-* &quot;-&quot;??_-;_-@_-">
                  <c:v>1237.8</c:v>
                </c:pt>
                <c:pt idx="8" formatCode="_-* #\ ##0_-;\-* #\ ##0_-;_-* &quot;-&quot;??_-;_-@_-">
                  <c:v>1386.7</c:v>
                </c:pt>
                <c:pt idx="9" formatCode="_-* #\ ##0_-;\-* #\ ##0_-;_-* &quot;-&quot;??_-;_-@_-">
                  <c:v>1560.8</c:v>
                </c:pt>
                <c:pt idx="10" formatCode="_-* #\ ##0_-;\-* #\ ##0_-;_-* &quot;-&quot;??_-;_-@_-">
                  <c:v>1441.6</c:v>
                </c:pt>
              </c:numCache>
            </c:numRef>
          </c:val>
          <c:extLst>
            <c:ext xmlns:c16="http://schemas.microsoft.com/office/drawing/2014/chart" uri="{C3380CC4-5D6E-409C-BE32-E72D297353CC}">
              <c16:uniqueId val="{00000001-A5BB-4648-A0BD-50A2BBD5911F}"/>
            </c:ext>
          </c:extLst>
        </c:ser>
        <c:dLbls>
          <c:showLegendKey val="0"/>
          <c:showVal val="0"/>
          <c:showCatName val="0"/>
          <c:showSerName val="0"/>
          <c:showPercent val="0"/>
          <c:showBubbleSize val="0"/>
        </c:dLbls>
        <c:gapWidth val="150"/>
        <c:overlap val="100"/>
        <c:axId val="763119231"/>
        <c:axId val="763108831"/>
      </c:barChart>
      <c:catAx>
        <c:axId val="76311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763108831"/>
        <c:crosses val="autoZero"/>
        <c:auto val="1"/>
        <c:lblAlgn val="ctr"/>
        <c:lblOffset val="100"/>
        <c:noMultiLvlLbl val="0"/>
      </c:catAx>
      <c:valAx>
        <c:axId val="763108831"/>
        <c:scaling>
          <c:orientation val="minMax"/>
          <c:max val="2500"/>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763119231"/>
        <c:crosses val="autoZero"/>
        <c:crossBetween val="between"/>
      </c:valAx>
      <c:spPr>
        <a:noFill/>
        <a:ln>
          <a:noFill/>
        </a:ln>
        <a:effectLst/>
      </c:spPr>
    </c:plotArea>
    <c:legend>
      <c:legendPos val="t"/>
      <c:layout>
        <c:manualLayout>
          <c:xMode val="edge"/>
          <c:yMode val="edge"/>
          <c:x val="8.9572591051536601E-2"/>
          <c:y val="0.10714285714285714"/>
          <c:w val="0.22330726217751209"/>
          <c:h val="9.8443475815523054E-2"/>
        </c:manualLayout>
      </c:layout>
      <c:overlay val="1"/>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'Záväzky FUN2'!$A$3</c:f>
              <c:strCache>
                <c:ptCount val="1"/>
                <c:pt idx="0">
                  <c:v>Záväzky v lehote splatnosti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'Záväzky FUN2'!$B$2:$J$2</c:f>
              <c:strCache>
                <c:ptCount val="9"/>
                <c:pt idx="0">
                  <c:v>31.12.2013</c:v>
                </c:pt>
                <c:pt idx="1">
                  <c:v>31.12.2014</c:v>
                </c:pt>
                <c:pt idx="2">
                  <c:v>31.12.2015</c:v>
                </c:pt>
                <c:pt idx="3">
                  <c:v>31.12.2016</c:v>
                </c:pt>
                <c:pt idx="4">
                  <c:v>31.12.2017</c:v>
                </c:pt>
                <c:pt idx="5">
                  <c:v>31.12.2018</c:v>
                </c:pt>
                <c:pt idx="6">
                  <c:v>31.12 2019</c:v>
                </c:pt>
                <c:pt idx="7">
                  <c:v>31.12.2020</c:v>
                </c:pt>
                <c:pt idx="8">
                  <c:v>31.8.2021</c:v>
                </c:pt>
              </c:strCache>
            </c:strRef>
          </c:cat>
          <c:val>
            <c:numRef>
              <c:f>'Záväzky FUN2'!$B$3:$J$3</c:f>
              <c:numCache>
                <c:formatCode>#\ ##0.0</c:formatCode>
                <c:ptCount val="9"/>
                <c:pt idx="0">
                  <c:v>128.98500000000001</c:v>
                </c:pt>
                <c:pt idx="1">
                  <c:v>118.191</c:v>
                </c:pt>
                <c:pt idx="2">
                  <c:v>120.205</c:v>
                </c:pt>
                <c:pt idx="3">
                  <c:v>123.32899999999999</c:v>
                </c:pt>
                <c:pt idx="4">
                  <c:v>127.621</c:v>
                </c:pt>
                <c:pt idx="5">
                  <c:v>156.16800000000001</c:v>
                </c:pt>
                <c:pt idx="6">
                  <c:v>206.20400000000001</c:v>
                </c:pt>
                <c:pt idx="7">
                  <c:v>241.7</c:v>
                </c:pt>
                <c:pt idx="8">
                  <c:v>235</c:v>
                </c:pt>
              </c:numCache>
            </c:numRef>
          </c:val>
          <c:smooth val="0"/>
          <c:extLst>
            <c:ext xmlns:c16="http://schemas.microsoft.com/office/drawing/2014/chart" uri="{C3380CC4-5D6E-409C-BE32-E72D297353CC}">
              <c16:uniqueId val="{00000000-365D-47CE-A1AF-76F3DBB66DB7}"/>
            </c:ext>
          </c:extLst>
        </c:ser>
        <c:ser>
          <c:idx val="1"/>
          <c:order val="1"/>
          <c:tx>
            <c:strRef>
              <c:f>'Záväzky FUN2'!$A$4</c:f>
              <c:strCache>
                <c:ptCount val="1"/>
                <c:pt idx="0">
                  <c:v>Záväzky po lehote splatnosti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'Záväzky FUN2'!$B$2:$J$2</c:f>
              <c:strCache>
                <c:ptCount val="9"/>
                <c:pt idx="0">
                  <c:v>31.12.2013</c:v>
                </c:pt>
                <c:pt idx="1">
                  <c:v>31.12.2014</c:v>
                </c:pt>
                <c:pt idx="2">
                  <c:v>31.12.2015</c:v>
                </c:pt>
                <c:pt idx="3">
                  <c:v>31.12.2016</c:v>
                </c:pt>
                <c:pt idx="4">
                  <c:v>31.12.2017</c:v>
                </c:pt>
                <c:pt idx="5">
                  <c:v>31.12.2018</c:v>
                </c:pt>
                <c:pt idx="6">
                  <c:v>31.12 2019</c:v>
                </c:pt>
                <c:pt idx="7">
                  <c:v>31.12.2020</c:v>
                </c:pt>
                <c:pt idx="8">
                  <c:v>31.8.2021</c:v>
                </c:pt>
              </c:strCache>
            </c:strRef>
          </c:cat>
          <c:val>
            <c:numRef>
              <c:f>'Záväzky FUN2'!$B$4:$J$4</c:f>
              <c:numCache>
                <c:formatCode>#\ ##0.0</c:formatCode>
                <c:ptCount val="9"/>
                <c:pt idx="0">
                  <c:v>236.82499999999999</c:v>
                </c:pt>
                <c:pt idx="1">
                  <c:v>317.85599999999999</c:v>
                </c:pt>
                <c:pt idx="2">
                  <c:v>426.923</c:v>
                </c:pt>
                <c:pt idx="3">
                  <c:v>527.16499999999996</c:v>
                </c:pt>
                <c:pt idx="4">
                  <c:v>646.38900000000001</c:v>
                </c:pt>
                <c:pt idx="5">
                  <c:v>656.34799999999996</c:v>
                </c:pt>
                <c:pt idx="6">
                  <c:v>529.77</c:v>
                </c:pt>
                <c:pt idx="7">
                  <c:v>593.20000000000005</c:v>
                </c:pt>
                <c:pt idx="8">
                  <c:v>678.8</c:v>
                </c:pt>
              </c:numCache>
            </c:numRef>
          </c:val>
          <c:smooth val="0"/>
          <c:extLst>
            <c:ext xmlns:c16="http://schemas.microsoft.com/office/drawing/2014/chart" uri="{C3380CC4-5D6E-409C-BE32-E72D297353CC}">
              <c16:uniqueId val="{00000001-365D-47CE-A1AF-76F3DBB66DB7}"/>
            </c:ext>
          </c:extLst>
        </c:ser>
        <c:ser>
          <c:idx val="2"/>
          <c:order val="2"/>
          <c:tx>
            <c:strRef>
              <c:f>'Záväzky FUN2'!$A$5</c:f>
              <c:strCache>
                <c:ptCount val="1"/>
                <c:pt idx="0">
                  <c:v>Celkové záväzky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'Záväzky FUN2'!$B$2:$J$2</c:f>
              <c:strCache>
                <c:ptCount val="9"/>
                <c:pt idx="0">
                  <c:v>31.12.2013</c:v>
                </c:pt>
                <c:pt idx="1">
                  <c:v>31.12.2014</c:v>
                </c:pt>
                <c:pt idx="2">
                  <c:v>31.12.2015</c:v>
                </c:pt>
                <c:pt idx="3">
                  <c:v>31.12.2016</c:v>
                </c:pt>
                <c:pt idx="4">
                  <c:v>31.12.2017</c:v>
                </c:pt>
                <c:pt idx="5">
                  <c:v>31.12.2018</c:v>
                </c:pt>
                <c:pt idx="6">
                  <c:v>31.12 2019</c:v>
                </c:pt>
                <c:pt idx="7">
                  <c:v>31.12.2020</c:v>
                </c:pt>
                <c:pt idx="8">
                  <c:v>31.8.2021</c:v>
                </c:pt>
              </c:strCache>
            </c:strRef>
          </c:cat>
          <c:val>
            <c:numRef>
              <c:f>'Záväzky FUN2'!$B$5:$J$5</c:f>
              <c:numCache>
                <c:formatCode>#\ ##0.0</c:formatCode>
                <c:ptCount val="9"/>
                <c:pt idx="0">
                  <c:v>365.81</c:v>
                </c:pt>
                <c:pt idx="1">
                  <c:v>436.04700000000003</c:v>
                </c:pt>
                <c:pt idx="2">
                  <c:v>547.12800000000004</c:v>
                </c:pt>
                <c:pt idx="3">
                  <c:v>650.49400000000003</c:v>
                </c:pt>
                <c:pt idx="4">
                  <c:v>774.00900000000001</c:v>
                </c:pt>
                <c:pt idx="5">
                  <c:v>812.51599999999996</c:v>
                </c:pt>
                <c:pt idx="6">
                  <c:v>735.97400000000005</c:v>
                </c:pt>
                <c:pt idx="7">
                  <c:v>834.9</c:v>
                </c:pt>
                <c:pt idx="8">
                  <c:v>913.8</c:v>
                </c:pt>
              </c:numCache>
            </c:numRef>
          </c:val>
          <c:smooth val="0"/>
          <c:extLst>
            <c:ext xmlns:c16="http://schemas.microsoft.com/office/drawing/2014/chart" uri="{C3380CC4-5D6E-409C-BE32-E72D297353CC}">
              <c16:uniqueId val="{00000002-365D-47CE-A1AF-76F3DBB66DB7}"/>
            </c:ext>
          </c:extLst>
        </c:ser>
        <c:dLbls>
          <c:dLblPos val="t"/>
          <c:showLegendKey val="0"/>
          <c:showVal val="1"/>
          <c:showCatName val="0"/>
          <c:showSerName val="0"/>
          <c:showPercent val="0"/>
          <c:showBubbleSize val="0"/>
        </c:dLbls>
        <c:marker val="1"/>
        <c:smooth val="0"/>
        <c:axId val="1501474528"/>
        <c:axId val="1501482432"/>
      </c:lineChart>
      <c:catAx>
        <c:axId val="15014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501482432"/>
        <c:crosses val="autoZero"/>
        <c:auto val="1"/>
        <c:lblAlgn val="ctr"/>
        <c:lblOffset val="100"/>
        <c:noMultiLvlLbl val="0"/>
      </c:catAx>
      <c:valAx>
        <c:axId val="150148243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crossAx val="150147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Segoe UI" panose="020B0502040204020203" pitchFamily="34" charset="0"/>
              <a:ea typeface="+mn-ea"/>
              <a:cs typeface="Segoe UI" panose="020B0502040204020203"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chemeClr val="tx2"/>
          </a:solidFill>
          <a:latin typeface="Segoe UI" panose="020B0502040204020203" pitchFamily="34" charset="0"/>
          <a:cs typeface="Segoe UI" panose="020B0502040204020203" pitchFamily="34" charset="0"/>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FA9320A03148E98EF733F7A917AECF"/>
        <w:category>
          <w:name w:val="Všeobecné"/>
          <w:gallery w:val="placeholder"/>
        </w:category>
        <w:types>
          <w:type w:val="bbPlcHdr"/>
        </w:types>
        <w:behaviors>
          <w:behavior w:val="content"/>
        </w:behaviors>
        <w:guid w:val="{EAF649BF-7601-4D14-95D7-FEA20E0734E3}"/>
      </w:docPartPr>
      <w:docPartBody>
        <w:p w:rsidR="00F869BD" w:rsidRDefault="000B5EA4">
          <w:pPr>
            <w:pStyle w:val="4CFA9320A03148E98EF733F7A917AECF"/>
          </w:pPr>
          <w:r w:rsidRPr="00F539EB">
            <w:t>Názov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Montserrat">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A4"/>
    <w:rsid w:val="000155BB"/>
    <w:rsid w:val="00025698"/>
    <w:rsid w:val="00051058"/>
    <w:rsid w:val="000757F3"/>
    <w:rsid w:val="000779F4"/>
    <w:rsid w:val="00090411"/>
    <w:rsid w:val="000B5EA4"/>
    <w:rsid w:val="000D221B"/>
    <w:rsid w:val="000E0014"/>
    <w:rsid w:val="000F2519"/>
    <w:rsid w:val="001068C9"/>
    <w:rsid w:val="001341D1"/>
    <w:rsid w:val="001510FC"/>
    <w:rsid w:val="00161F43"/>
    <w:rsid w:val="001702EC"/>
    <w:rsid w:val="00173F9A"/>
    <w:rsid w:val="001C1755"/>
    <w:rsid w:val="001C3668"/>
    <w:rsid w:val="001D407D"/>
    <w:rsid w:val="0022539B"/>
    <w:rsid w:val="002636A4"/>
    <w:rsid w:val="002A281C"/>
    <w:rsid w:val="002A6B14"/>
    <w:rsid w:val="002E2938"/>
    <w:rsid w:val="002F18B5"/>
    <w:rsid w:val="002F3D7E"/>
    <w:rsid w:val="00300EBA"/>
    <w:rsid w:val="0032329F"/>
    <w:rsid w:val="0033071D"/>
    <w:rsid w:val="003602D9"/>
    <w:rsid w:val="003F6E9C"/>
    <w:rsid w:val="00417AA4"/>
    <w:rsid w:val="004D3EE4"/>
    <w:rsid w:val="004D5093"/>
    <w:rsid w:val="004F2A25"/>
    <w:rsid w:val="004F6F21"/>
    <w:rsid w:val="00503020"/>
    <w:rsid w:val="00542D8C"/>
    <w:rsid w:val="00555DF4"/>
    <w:rsid w:val="005609D7"/>
    <w:rsid w:val="005A6CD2"/>
    <w:rsid w:val="00652CEF"/>
    <w:rsid w:val="006826E8"/>
    <w:rsid w:val="006850A5"/>
    <w:rsid w:val="007153BF"/>
    <w:rsid w:val="00717F15"/>
    <w:rsid w:val="0073760A"/>
    <w:rsid w:val="00785750"/>
    <w:rsid w:val="007E35BF"/>
    <w:rsid w:val="0082313E"/>
    <w:rsid w:val="00830374"/>
    <w:rsid w:val="00857BE3"/>
    <w:rsid w:val="00875292"/>
    <w:rsid w:val="0088295B"/>
    <w:rsid w:val="008A0161"/>
    <w:rsid w:val="008C7E9E"/>
    <w:rsid w:val="00914754"/>
    <w:rsid w:val="00915D3A"/>
    <w:rsid w:val="009C4458"/>
    <w:rsid w:val="00A40856"/>
    <w:rsid w:val="00A43229"/>
    <w:rsid w:val="00A43C2B"/>
    <w:rsid w:val="00A65A7E"/>
    <w:rsid w:val="00A76514"/>
    <w:rsid w:val="00AE1F00"/>
    <w:rsid w:val="00AE27B6"/>
    <w:rsid w:val="00AF1584"/>
    <w:rsid w:val="00B648A8"/>
    <w:rsid w:val="00B76CE5"/>
    <w:rsid w:val="00B86EC0"/>
    <w:rsid w:val="00BC5B29"/>
    <w:rsid w:val="00BE72F9"/>
    <w:rsid w:val="00C060B5"/>
    <w:rsid w:val="00C1534B"/>
    <w:rsid w:val="00C60099"/>
    <w:rsid w:val="00C660D1"/>
    <w:rsid w:val="00CB5BC2"/>
    <w:rsid w:val="00CF5732"/>
    <w:rsid w:val="00D53BA6"/>
    <w:rsid w:val="00D76FEE"/>
    <w:rsid w:val="00D84196"/>
    <w:rsid w:val="00DA664B"/>
    <w:rsid w:val="00E63F4D"/>
    <w:rsid w:val="00EA4551"/>
    <w:rsid w:val="00F351AD"/>
    <w:rsid w:val="00F46DEB"/>
    <w:rsid w:val="00F51A6E"/>
    <w:rsid w:val="00F72812"/>
    <w:rsid w:val="00F869BD"/>
    <w:rsid w:val="00FB0C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4CFA9320A03148E98EF733F7A917AECF">
    <w:name w:val="4CFA9320A03148E98EF733F7A917AECF"/>
  </w:style>
  <w:style w:type="paragraph" w:customStyle="1" w:styleId="638D3FBF853047F4884D2C6F99BBF025">
    <w:name w:val="638D3FBF853047F4884D2C6F99BBF025"/>
    <w:rsid w:val="00915D3A"/>
  </w:style>
  <w:style w:type="paragraph" w:customStyle="1" w:styleId="528060612E6C45EFB01AA622802816BB">
    <w:name w:val="528060612E6C45EFB01AA622802816BB"/>
    <w:rsid w:val="00915D3A"/>
  </w:style>
  <w:style w:type="paragraph" w:customStyle="1" w:styleId="6184F4EE737B4A10A86411EE59B693AC">
    <w:name w:val="6184F4EE737B4A10A86411EE59B693AC"/>
    <w:rsid w:val="00915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NKÚ SR">
      <a:dk1>
        <a:sysClr val="windowText" lastClr="000000"/>
      </a:dk1>
      <a:lt1>
        <a:sysClr val="window" lastClr="FFFFFF"/>
      </a:lt1>
      <a:dk2>
        <a:srgbClr val="314364"/>
      </a:dk2>
      <a:lt2>
        <a:srgbClr val="9CB9EC"/>
      </a:lt2>
      <a:accent1>
        <a:srgbClr val="314364"/>
      </a:accent1>
      <a:accent2>
        <a:srgbClr val="9CB9EC"/>
      </a:accent2>
      <a:accent3>
        <a:srgbClr val="6D87B7"/>
      </a:accent3>
      <a:accent4>
        <a:srgbClr val="B3BECF"/>
      </a:accent4>
      <a:accent5>
        <a:srgbClr val="B7706D"/>
      </a:accent5>
      <a:accent6>
        <a:srgbClr val="F55647"/>
      </a:accent6>
      <a:hlink>
        <a:srgbClr val="314364"/>
      </a:hlink>
      <a:folHlink>
        <a:srgbClr val="3143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KÚ SR">
    <a:dk1>
      <a:sysClr val="windowText" lastClr="000000"/>
    </a:dk1>
    <a:lt1>
      <a:sysClr val="window" lastClr="FFFFFF"/>
    </a:lt1>
    <a:dk2>
      <a:srgbClr val="314364"/>
    </a:dk2>
    <a:lt2>
      <a:srgbClr val="9CB9EC"/>
    </a:lt2>
    <a:accent1>
      <a:srgbClr val="314364"/>
    </a:accent1>
    <a:accent2>
      <a:srgbClr val="9CB9EC"/>
    </a:accent2>
    <a:accent3>
      <a:srgbClr val="6D87B7"/>
    </a:accent3>
    <a:accent4>
      <a:srgbClr val="B3BECF"/>
    </a:accent4>
    <a:accent5>
      <a:srgbClr val="B7706D"/>
    </a:accent5>
    <a:accent6>
      <a:srgbClr val="F55647"/>
    </a:accent6>
    <a:hlink>
      <a:srgbClr val="314364"/>
    </a:hlink>
    <a:folHlink>
      <a:srgbClr val="3143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C953-5FFE-41C9-8BA2-82071E4C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Stanovisko OSA.dotx</Template>
  <TotalTime>3</TotalTime>
  <Pages>37</Pages>
  <Words>14302</Words>
  <Characters>81524</Characters>
  <Application>Microsoft Office Word</Application>
  <DocSecurity>0</DocSecurity>
  <Lines>679</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Onisik Milan</dc:creator>
  <cp:keywords/>
  <dc:description/>
  <cp:lastModifiedBy>Štofan Branislav</cp:lastModifiedBy>
  <cp:revision>3</cp:revision>
  <cp:lastPrinted>2021-11-09T11:10:00Z</cp:lastPrinted>
  <dcterms:created xsi:type="dcterms:W3CDTF">2021-11-09T11:15:00Z</dcterms:created>
  <dcterms:modified xsi:type="dcterms:W3CDTF">2021-11-09T11:29:00Z</dcterms:modified>
</cp:coreProperties>
</file>