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VIII.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2022,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461/2003 Z. z. o sociálnom poistení v znení neskorších predpisov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 a zákona č. 283/2021 Z. z. sa mení a dopĺňa takto: </w:t>
      </w:r>
    </w:p>
    <w:p w:rsidR="00000000" w:rsidDel="00000000" w:rsidP="00000000" w:rsidRDefault="00000000" w:rsidRPr="00000000" w14:paraId="00000013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§ 60 sa dopĺňa odsekom 11, ktorý znie:</w:t>
      </w:r>
    </w:p>
    <w:p w:rsidR="00000000" w:rsidDel="00000000" w:rsidP="00000000" w:rsidRDefault="00000000" w:rsidRPr="00000000" w14:paraId="00000014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„(11) Po dobu registrácie dohody o zdieľaných dôchodkových právach podľa § 64a sa obdobím dôchodkového poistenia každého účastníka tejto dohody rozumie podiel súčtu období dôchodkového poistenia každej z týchto osôb a čísla 2 a osobným mzdovým bodom sa rozumie aritmetický priemer osobných mzdových bodov účastníkov tejto dohody.“.</w:t>
      </w:r>
    </w:p>
    <w:p w:rsidR="00000000" w:rsidDel="00000000" w:rsidP="00000000" w:rsidRDefault="00000000" w:rsidRPr="00000000" w14:paraId="00000015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Za § 64 sa vkladajú nové § 64a a § 64b, ktoré vrátane nadpisov znejú: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„§ 64a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Dohoda o zdieľaných dôchodkových právach</w:t>
      </w:r>
    </w:p>
    <w:p w:rsidR="00000000" w:rsidDel="00000000" w:rsidP="00000000" w:rsidRDefault="00000000" w:rsidRPr="00000000" w14:paraId="00000018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Rodič alebo osvojiteľ, ktorý má v osobnej starostlivosti nezaopatrené d</w:t>
      </w:r>
      <w:r w:rsidDel="00000000" w:rsidR="00000000" w:rsidRPr="00000000">
        <w:rPr>
          <w:highlight w:val="white"/>
          <w:rtl w:val="0"/>
        </w:rPr>
        <w:t xml:space="preserve">ieťa 55ac), môže s inou fyzickou osobou, s ktorou rodič žije v spoločnej </w:t>
      </w:r>
      <w:r w:rsidDel="00000000" w:rsidR="00000000" w:rsidRPr="00000000">
        <w:rPr>
          <w:highlight w:val="white"/>
          <w:rtl w:val="0"/>
        </w:rPr>
        <w:t xml:space="preserve">domácnosti</w:t>
      </w:r>
      <w:r w:rsidDel="00000000" w:rsidR="00000000" w:rsidRPr="00000000">
        <w:rPr>
          <w:highlight w:val="white"/>
          <w:rtl w:val="0"/>
        </w:rPr>
        <w:t xml:space="preserve"> 55ad)</w:t>
      </w:r>
      <w:r w:rsidDel="00000000" w:rsidR="00000000" w:rsidRPr="00000000">
        <w:rPr>
          <w:rtl w:val="0"/>
        </w:rPr>
        <w:t xml:space="preserve">, uzatvoriť dohodu o zdieľaných dôchodkových právach na účel podľa § 60 odseku 11.</w:t>
      </w:r>
    </w:p>
    <w:p w:rsidR="00000000" w:rsidDel="00000000" w:rsidP="00000000" w:rsidRDefault="00000000" w:rsidRPr="00000000" w14:paraId="00000019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Dohoda podľa odseku 1 musí byť písomná a musí obsahovať najmä:</w:t>
      </w:r>
    </w:p>
    <w:p w:rsidR="00000000" w:rsidDel="00000000" w:rsidP="00000000" w:rsidRDefault="00000000" w:rsidRPr="00000000" w14:paraId="0000001A">
      <w:pPr>
        <w:spacing w:after="120" w:before="12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identifikáciu oboch účastníkov dohody v rozsahu meno, priezvisko, dátum narodenia a adresa trvalého pobytu,</w:t>
      </w:r>
    </w:p>
    <w:p w:rsidR="00000000" w:rsidDel="00000000" w:rsidP="00000000" w:rsidRDefault="00000000" w:rsidRPr="00000000" w14:paraId="0000001B">
      <w:pPr>
        <w:spacing w:after="12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identifikáciu nezaopatreného dieťaťa v rozsahu meno, priezvisko, dátum narodenia a adresa trvalého pobytu,</w:t>
      </w:r>
    </w:p>
    <w:p w:rsidR="00000000" w:rsidDel="00000000" w:rsidP="00000000" w:rsidRDefault="00000000" w:rsidRPr="00000000" w14:paraId="0000001C">
      <w:pPr>
        <w:spacing w:after="12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vyhlásenie účastníkov dohody o tom, že spoločne žijú v domácnosti a spoločne sa podieľajú na výchove a starostlivosti o nezaopatrené dieťa,</w:t>
      </w:r>
    </w:p>
    <w:p w:rsidR="00000000" w:rsidDel="00000000" w:rsidP="00000000" w:rsidRDefault="00000000" w:rsidRPr="00000000" w14:paraId="0000001D">
      <w:pPr>
        <w:spacing w:after="12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dobu, na ktorú sa dohoda uzatvára, pokiaľ sa dohoda neuzatvára na dobu neurčitú,</w:t>
      </w:r>
    </w:p>
    <w:p w:rsidR="00000000" w:rsidDel="00000000" w:rsidP="00000000" w:rsidRDefault="00000000" w:rsidRPr="00000000" w14:paraId="0000001E">
      <w:pPr>
        <w:spacing w:after="12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dátum uzatvorenia dohody, a</w:t>
      </w:r>
    </w:p>
    <w:p w:rsidR="00000000" w:rsidDel="00000000" w:rsidP="00000000" w:rsidRDefault="00000000" w:rsidRPr="00000000" w14:paraId="0000001F">
      <w:pPr>
        <w:spacing w:after="240" w:before="240" w:lineRule="auto"/>
        <w:ind w:left="1275" w:hanging="420"/>
        <w:jc w:val="both"/>
        <w:rPr/>
      </w:pPr>
      <w:r w:rsidDel="00000000" w:rsidR="00000000" w:rsidRPr="00000000">
        <w:rPr>
          <w:rtl w:val="0"/>
        </w:rPr>
        <w:t xml:space="preserve">f)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úradne osvedčené podpisy oboch účastníkov dohody.</w:t>
      </w:r>
    </w:p>
    <w:p w:rsidR="00000000" w:rsidDel="00000000" w:rsidP="00000000" w:rsidRDefault="00000000" w:rsidRPr="00000000" w14:paraId="00000020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Právne účinky podľa § 60 ods. 11 nastávajú prvým dňom kalendárneho mesiaca nasledujúceho po kalendárnom mesiaci, v ktorom bola dohoda zaregistrovaná Sociálnou poisťovňou v registri dohôd o zdieľaných dôchodkových právach podľa § 64b ods. 1.</w:t>
      </w:r>
    </w:p>
    <w:p w:rsidR="00000000" w:rsidDel="00000000" w:rsidP="00000000" w:rsidRDefault="00000000" w:rsidRPr="00000000" w14:paraId="00000021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(4)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Dohodu podľa odseku 1 nie sú oprávnené uzatvoriť osoby, ktoré sú príbuznými v priamom rade alebo príbuznými v pobočnom rade, s výnimkou manželov.</w:t>
      </w:r>
    </w:p>
    <w:p w:rsidR="00000000" w:rsidDel="00000000" w:rsidP="00000000" w:rsidRDefault="00000000" w:rsidRPr="00000000" w14:paraId="00000022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(5)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Právne účinky podľa § 60 ods. 11 </w:t>
      </w:r>
      <w:r w:rsidDel="00000000" w:rsidR="00000000" w:rsidRPr="00000000">
        <w:rPr>
          <w:rtl w:val="0"/>
        </w:rPr>
        <w:t xml:space="preserve">zanikajú </w:t>
      </w:r>
      <w:r w:rsidDel="00000000" w:rsidR="00000000" w:rsidRPr="00000000">
        <w:rPr>
          <w:rtl w:val="0"/>
        </w:rPr>
        <w:t xml:space="preserve">posledným dňom kalendárneho mesiaca, v ktorom:</w:t>
      </w:r>
    </w:p>
    <w:p w:rsidR="00000000" w:rsidDel="00000000" w:rsidP="00000000" w:rsidRDefault="00000000" w:rsidRPr="00000000" w14:paraId="00000023">
      <w:pPr>
        <w:spacing w:after="120" w:before="120" w:lineRule="auto"/>
        <w:ind w:left="1280" w:hanging="42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aspoň jeden z účastníkov dohody zomrel alebo bol vyhlásený za mŕtveho;</w:t>
      </w:r>
    </w:p>
    <w:p w:rsidR="00000000" w:rsidDel="00000000" w:rsidP="00000000" w:rsidRDefault="00000000" w:rsidRPr="00000000" w14:paraId="00000024">
      <w:pPr>
        <w:spacing w:after="120" w:before="120" w:lineRule="auto"/>
        <w:ind w:left="1280" w:hanging="42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ktorýkoľvek z účastníkov dohody o zdieľaných dôchodkových právach vypovedal dohodu a v lehote 30 dní odo dňa nadobudnutia právoplatnosti výpovede túto skutočnosť písomne oznámil Sociálnej poisťovni;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1280" w:hanging="420"/>
        <w:jc w:val="both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sz w:val="14"/>
          <w:szCs w:val="14"/>
          <w:rtl w:val="0"/>
        </w:rPr>
        <w:t xml:space="preserve">     </w:t>
        <w:tab/>
      </w:r>
      <w:r w:rsidDel="00000000" w:rsidR="00000000" w:rsidRPr="00000000">
        <w:rPr>
          <w:rtl w:val="0"/>
        </w:rPr>
        <w:t xml:space="preserve">nezaopatrené dieťa, ktorého sa dohoda o zdieľaných dôchodkových právach týka, prestalo byť nezaopatreným dieťaťom.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§ 64b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Registrácia dohody o zdieľaných dôchodkových právach</w:t>
      </w:r>
    </w:p>
    <w:p w:rsidR="00000000" w:rsidDel="00000000" w:rsidP="00000000" w:rsidRDefault="00000000" w:rsidRPr="00000000" w14:paraId="00000028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Sociálna poisťovňa zaregistruje dohodu o zdieľaných dôchodkových právach podľa § 64a v registri dohôd o zdieľaných dôchodkových právach na základe žiadosti o registráciu dohody o zdieľaných dôchodkových právach podanej ktoroukoľvek zo strán dohody.</w:t>
      </w:r>
    </w:p>
    <w:p w:rsidR="00000000" w:rsidDel="00000000" w:rsidP="00000000" w:rsidRDefault="00000000" w:rsidRPr="00000000" w14:paraId="00000029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Prílohou žiadosti o registráciu podľa odseku 1 je dohoda o zdieľaných dôchodkových právach, o ktorej registráciu sa žiada, spĺňajúca požiadavky podľa § 64a ods. 2.</w:t>
      </w:r>
    </w:p>
    <w:p w:rsidR="00000000" w:rsidDel="00000000" w:rsidP="00000000" w:rsidRDefault="00000000" w:rsidRPr="00000000" w14:paraId="0000002A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Ak sú splnené podmienky podľa odseku 2 a podmienky podľa § 64a ods. 1 a 2, Sociálna poisťovňa zaregistruje dohodu o zdieľaných dôchodkových právach </w:t>
      </w:r>
      <w:r w:rsidDel="00000000" w:rsidR="00000000" w:rsidRPr="00000000">
        <w:rPr>
          <w:rtl w:val="0"/>
        </w:rPr>
        <w:t xml:space="preserve">do 90</w:t>
      </w:r>
      <w:r w:rsidDel="00000000" w:rsidR="00000000" w:rsidRPr="00000000">
        <w:rPr>
          <w:rtl w:val="0"/>
        </w:rPr>
        <w:t xml:space="preserve"> dní odo dňa prijatia žiadosti o registráciu dohody o zdieľaných dôchodkových právach. O registrácii dohody upovedomí Sociálna poisťovňa účastníkov dohody písomne najneskôr do 7 dní odo dňa registrácie. V prípade odmietnutia registrácie upovedomí Sociálna poisťovňa účastníkov dohody o dôvodoch odmietnutia registrácie, a to najneskôr do 30 dní odo dňa prijatia žiadosti o registráciu dohody.“.</w:t>
      </w:r>
    </w:p>
    <w:p w:rsidR="00000000" w:rsidDel="00000000" w:rsidP="00000000" w:rsidRDefault="00000000" w:rsidRPr="00000000" w14:paraId="0000002B">
      <w:pPr>
        <w:spacing w:after="240" w:before="240" w:lineRule="auto"/>
        <w:ind w:left="280" w:firstLine="140"/>
        <w:jc w:val="both"/>
        <w:rPr/>
      </w:pPr>
      <w:r w:rsidDel="00000000" w:rsidR="00000000" w:rsidRPr="00000000">
        <w:rPr>
          <w:rtl w:val="0"/>
        </w:rPr>
        <w:t xml:space="preserve">Poznámka pod čiarou k odkazu 55ac) znie:</w:t>
      </w:r>
    </w:p>
    <w:p w:rsidR="00000000" w:rsidDel="00000000" w:rsidP="00000000" w:rsidRDefault="00000000" w:rsidRPr="00000000" w14:paraId="0000002C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55ac</w:t>
      </w:r>
      <w:r w:rsidDel="00000000" w:rsidR="00000000" w:rsidRPr="00000000">
        <w:rPr>
          <w:rtl w:val="0"/>
        </w:rPr>
        <w:t xml:space="preserve">) § 3 zákona č. 600/2003 Z. z. o prídavku na dieťa a o zmene a doplnení zákona č. 461/2003 Z. z. o sociálnom poistení.“.</w:t>
      </w:r>
    </w:p>
    <w:p w:rsidR="00000000" w:rsidDel="00000000" w:rsidP="00000000" w:rsidRDefault="00000000" w:rsidRPr="00000000" w14:paraId="0000002D">
      <w:pPr>
        <w:spacing w:after="240" w:before="240" w:lineRule="auto"/>
        <w:ind w:left="280" w:firstLine="140"/>
        <w:jc w:val="both"/>
        <w:rPr/>
      </w:pPr>
      <w:r w:rsidDel="00000000" w:rsidR="00000000" w:rsidRPr="00000000">
        <w:rPr>
          <w:rtl w:val="0"/>
        </w:rPr>
        <w:t xml:space="preserve">Poznámka pod čiarou k odkazu 55ad) znie:</w:t>
      </w:r>
    </w:p>
    <w:p w:rsidR="00000000" w:rsidDel="00000000" w:rsidP="00000000" w:rsidRDefault="00000000" w:rsidRPr="00000000" w14:paraId="0000002E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„55ad) § 115 Občianskeho zákonníka“.</w:t>
      </w:r>
    </w:p>
    <w:p w:rsidR="00000000" w:rsidDel="00000000" w:rsidP="00000000" w:rsidRDefault="00000000" w:rsidRPr="00000000" w14:paraId="0000002F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§ 138 ods. 13 znie</w:t>
      </w:r>
    </w:p>
    <w:p w:rsidR="00000000" w:rsidDel="00000000" w:rsidP="00000000" w:rsidRDefault="00000000" w:rsidRPr="00000000" w14:paraId="00000030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„(13) Vymeriavací základ, z ktorého štát platí poistné na dôchodkové poistenie za fyzickú osobu uvedenú v § 15 ods. 1 písm. a) a b) v období, v ktorom sa jej poskytuje materské, a za fyzickú osobu uvedenú v § 15 ods. 1 písm. c) a d), je mesačne súčin čísla 30,4167 a denného vymeriavacieho základu podľa § 55 alebo § 57 tejto osoby </w:t>
      </w:r>
      <w:r w:rsidDel="00000000" w:rsidR="00000000" w:rsidRPr="00000000">
        <w:rPr>
          <w:rtl w:val="0"/>
        </w:rPr>
        <w:t xml:space="preserve">zisteného pri vzniku nároku na materské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minimálne však 60 % </w:t>
      </w:r>
      <w:r w:rsidDel="00000000" w:rsidR="00000000" w:rsidRPr="00000000">
        <w:rPr>
          <w:rtl w:val="0"/>
        </w:rPr>
        <w:t xml:space="preserve">jednej dvanástiny všeobecného vymeriavacieho základu, ktorý platil v kalendárnom roku, ktorý dva roky predchádza kalendárnemu roku, za ktorý platí poistné na dôchodkové poistenie. Vymeriavací základ, z ktorého štát platí poistné do rezervného fondu solidarity za fyzickú osobu uvedenú v § 15 ods. 1 písm. a) a b) v období, v ktorom sa jej poskytuje materské, a za fyzickú osobu uvedenú v § 15 ods. 1 písm. c) a d), je mesačne 60 % jednej dvanástiny všeobecného vymeriavacieho základu, ktorý platil v kalendárnom roku, ktorý dva roky predchádza kalendárnemu roku, za ktorý platí poistné do rezervného fondu solidarity.”</w:t>
      </w:r>
    </w:p>
    <w:p w:rsidR="00000000" w:rsidDel="00000000" w:rsidP="00000000" w:rsidRDefault="00000000" w:rsidRPr="00000000" w14:paraId="00000031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 § 226 sa odsek 1 dopĺňa písmenom r) ktoré znie:</w:t>
      </w:r>
    </w:p>
    <w:p w:rsidR="00000000" w:rsidDel="00000000" w:rsidP="00000000" w:rsidRDefault="00000000" w:rsidRPr="00000000" w14:paraId="00000032">
      <w:pPr>
        <w:spacing w:after="240" w:before="240" w:lineRule="auto"/>
        <w:ind w:left="4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) viesť register dohôd o zdieľaných dôchodkových právach podľa § 64b ods. 1.“.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Tento zákon nadobúda účinnosť 1. marca 2022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706D24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706D24"/>
    <w:pPr>
      <w:ind w:left="720"/>
      <w:contextualSpacing w:val="1"/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AFq7tWoCGEW6nbTaU4NgEUJPNQ==">AMUW2mXKOeTjjjAwzeWjWM4UELMKqlSMQw9p0HXbosDrz8qUljWAsC7e2OfiytHxs47tcvHZc/k2NnRwWCRK19+ZCINplKkeOJIKnJADpVaBHXU3ZuLsz9A=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2019-11-08T13:11:00Z</dcterms:created>
  <dc:creator>Petrík, Simona (asistent)</dc:creator>
</cp:coreProperties>
</file>