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poslanec Národnej rady Slovenskej republiky Tomáš Valášek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300/2005 Z.z. Trestný zákon v znení neskorších predpisov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300/2005 Z.z. Trestný zákon v znení neskorších predpisov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before="100" w:line="240" w:lineRule="auto"/>
        <w:jc w:val="both"/>
        <w:rPr>
          <w:rFonts w:ascii="Times New Roman" w:cs="Times New Roman" w:eastAsia="Times New Roman" w:hAnsi="Times New Roman"/>
          <w:color w:val="3c40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43"/>
          <w:sz w:val="24"/>
          <w:szCs w:val="24"/>
          <w:rtl w:val="0"/>
        </w:rPr>
        <w:t xml:space="preserve">Toto opatrenie bude mať pozitívny vplyv na celú spoločnosť, ktorá musí rodovo-podmienené násilie - páchanom na ženách aj mužoch - jasne odsúdiť. Redefinícia znásilnenia jednak zvýši počet nahlasovaných prípadov kompetentným orgánom a zároveň vysiela do spoločnosť jasný odkaz, aké správanie nie je akceptované, čo bude mať preventívny efekt. Zároveň má návrh zákona pozitívny vplyv na postavenie žien v spoločnosti.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70312F"/>
    <w:rPr>
      <w:rFonts w:eastAsia="Arial"/>
      <w:lang w:eastAsia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FD0A3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FD0A35"/>
    <w:rPr>
      <w:rFonts w:ascii="Segoe UI" w:cs="Segoe UI" w:eastAsia="Arial" w:hAnsi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B5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CB50A7"/>
    <w:pPr>
      <w:spacing w:line="240" w:lineRule="auto"/>
    </w:p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CB50A7"/>
    <w:rPr>
      <w:rFonts w:eastAsia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B50A7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B50A7"/>
    <w:rPr>
      <w:rFonts w:eastAsia="Arial"/>
      <w:b w:val="1"/>
      <w:bCs w:val="1"/>
      <w:lang w:eastAsia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3f30mvgH15cJIieOmIaORm5bBw==">AMUW2mU6ozR4ZIzCD3nNhCnKbwrYsbIsSxKbWn7VhFsehwPTKA7zRHJhWDzWXJH3V792mTvEXQf6eoLW5eTdJB2Gr3GshJPTREYniC49mkw7Fq7QECP89lWHYbY9dN6AbfFBQEsKGydY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2021-09-30T22:29:00Z</dcterms:created>
  <dc:creator>Plaváková Lucia</dc:creator>
</cp:coreProperties>
</file>