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C" w:rsidRPr="00E648FE" w:rsidRDefault="00272EEC" w:rsidP="00272EEC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648FE">
        <w:rPr>
          <w:rFonts w:ascii="Times New Roman" w:hAnsi="Times New Roman" w:cs="Times New Roman"/>
          <w:sz w:val="22"/>
          <w:szCs w:val="22"/>
        </w:rPr>
        <w:t>TABUĽKA ZHODY</w:t>
      </w:r>
    </w:p>
    <w:p w:rsidR="00272EEC" w:rsidRPr="00E648FE" w:rsidRDefault="00272EEC" w:rsidP="00272EEC">
      <w:pPr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648FE">
        <w:rPr>
          <w:b/>
          <w:bCs/>
          <w:sz w:val="22"/>
          <w:szCs w:val="22"/>
        </w:rPr>
        <w:t xml:space="preserve">právneho predpisu s právom Európskej únie </w:t>
      </w:r>
    </w:p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89"/>
      </w:tblGrid>
      <w:tr w:rsidR="00272EEC" w:rsidRPr="00E648FE" w:rsidTr="00A16022">
        <w:trPr>
          <w:cantSplit/>
          <w:trHeight w:val="1782"/>
        </w:trPr>
        <w:tc>
          <w:tcPr>
            <w:tcW w:w="5954" w:type="dxa"/>
          </w:tcPr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  <w:r w:rsidRPr="00E648FE">
              <w:rPr>
                <w:b/>
                <w:sz w:val="22"/>
                <w:szCs w:val="22"/>
              </w:rPr>
              <w:t>Smernica</w:t>
            </w:r>
          </w:p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</w:p>
          <w:p w:rsidR="00272EEC" w:rsidRPr="00E648FE" w:rsidRDefault="009C55F7" w:rsidP="00BA273C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9C55F7">
              <w:t>3.</w:t>
            </w:r>
            <w:r w:rsidRPr="009C55F7">
              <w:tab/>
              <w:t>Smernica Európskeho parlamentu a Rady 2001/83/ES zo 6. novembra 2001, ktorou sa ustanovuje zákonník Spoločenstva o humánnych liekoch (Ú. v. ES L 311, 28. 11. 2001; Mimoriadne vydanie Ú. v. EÚ, kap. 13/zv. 27) v platnom znení</w:t>
            </w:r>
          </w:p>
        </w:tc>
        <w:tc>
          <w:tcPr>
            <w:tcW w:w="8789" w:type="dxa"/>
          </w:tcPr>
          <w:p w:rsidR="00272EEC" w:rsidRPr="00E648FE" w:rsidRDefault="00272EEC" w:rsidP="00BA273C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648FE">
              <w:rPr>
                <w:b/>
                <w:bCs/>
                <w:sz w:val="22"/>
                <w:szCs w:val="22"/>
              </w:rPr>
              <w:t>Právne predpisy Slovenskej republiky</w:t>
            </w:r>
          </w:p>
          <w:p w:rsidR="00272EEC" w:rsidRPr="00E648FE" w:rsidRDefault="00272EEC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:rsidR="00272EEC" w:rsidRPr="00E648FE" w:rsidRDefault="009C55F7" w:rsidP="00272EEC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272EEC">
              <w:rPr>
                <w:bCs/>
                <w:sz w:val="22"/>
                <w:szCs w:val="22"/>
              </w:rPr>
              <w:t>Návrh zákona o mediálnych službách</w:t>
            </w:r>
            <w:r w:rsidR="00FA66BA">
              <w:rPr>
                <w:bCs/>
                <w:sz w:val="22"/>
                <w:szCs w:val="22"/>
              </w:rPr>
              <w:t xml:space="preserve"> a o zmene a doplnení niektorých zákonov (zákon o mediálnych službách)</w:t>
            </w:r>
            <w:r>
              <w:rPr>
                <w:bCs/>
                <w:sz w:val="22"/>
                <w:szCs w:val="22"/>
              </w:rPr>
              <w:t xml:space="preserve"> (ZMS)</w:t>
            </w:r>
          </w:p>
        </w:tc>
      </w:tr>
    </w:tbl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029"/>
        <w:gridCol w:w="3899"/>
        <w:gridCol w:w="425"/>
        <w:gridCol w:w="637"/>
        <w:gridCol w:w="1134"/>
        <w:gridCol w:w="947"/>
        <w:gridCol w:w="1785"/>
        <w:gridCol w:w="3505"/>
        <w:gridCol w:w="567"/>
        <w:gridCol w:w="785"/>
      </w:tblGrid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1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4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5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8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O, V, P)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Spôsob transpozície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Číslo 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Zhoda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Poznámky 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Default="00475F54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Č:</w:t>
            </w:r>
            <w:r w:rsidR="0070100A">
              <w:rPr>
                <w:sz w:val="22"/>
                <w:szCs w:val="22"/>
              </w:rPr>
              <w:t xml:space="preserve"> 16g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3</w:t>
            </w:r>
          </w:p>
        </w:tc>
        <w:tc>
          <w:tcPr>
            <w:tcW w:w="4324" w:type="dxa"/>
            <w:gridSpan w:val="2"/>
          </w:tcPr>
          <w:p w:rsidR="00DC414E" w:rsidRPr="00DC414E" w:rsidRDefault="0070100A" w:rsidP="00DC414E">
            <w:pPr>
              <w:spacing w:after="0" w:afterAutospacing="0"/>
            </w:pPr>
            <w:r>
              <w:t xml:space="preserve">Okrem požiadaviek článkov 86 až 99 bude akákoľvek reklama lieku zaregistrovaného na základe tejto kapitoly obsahovať nasledujúce vyhlásenie: </w:t>
            </w:r>
            <w:r>
              <w:rPr>
                <w:rStyle w:val="highlight"/>
                <w:rFonts w:eastAsia="Arial Unicode MS"/>
              </w:rPr>
              <w:t xml:space="preserve">Tradičný </w:t>
            </w:r>
            <w:r>
              <w:t>rastlinný liek určený na špecifikovanú indikáciu (indikácie) založenú výhradne na dlhodobom používaní.</w:t>
            </w:r>
          </w:p>
        </w:tc>
        <w:tc>
          <w:tcPr>
            <w:tcW w:w="63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70100A" w:rsidRPr="0070100A" w:rsidRDefault="009C55F7" w:rsidP="009C55F7">
            <w:pPr>
              <w:jc w:val="center"/>
            </w:pPr>
            <w:r>
              <w:t>1. ZMS</w:t>
            </w:r>
          </w:p>
        </w:tc>
        <w:tc>
          <w:tcPr>
            <w:tcW w:w="947" w:type="dxa"/>
          </w:tcPr>
          <w:p w:rsidR="009C55F7" w:rsidRDefault="00FA66BA" w:rsidP="008631EC">
            <w:r>
              <w:t>§ 75</w:t>
            </w:r>
            <w:r w:rsidR="009C55F7">
              <w:t xml:space="preserve"> </w:t>
            </w:r>
          </w:p>
          <w:p w:rsidR="009C55F7" w:rsidRDefault="009C55F7" w:rsidP="008631EC">
            <w:r>
              <w:t xml:space="preserve">O 4 </w:t>
            </w:r>
          </w:p>
          <w:p w:rsidR="009C55F7" w:rsidRDefault="009C55F7" w:rsidP="008631EC">
            <w:r>
              <w:t>P</w:t>
            </w:r>
            <w:r w:rsidR="0070100A" w:rsidRPr="0070100A">
              <w:t xml:space="preserve"> b) </w:t>
            </w:r>
          </w:p>
          <w:p w:rsidR="0070100A" w:rsidRPr="0070100A" w:rsidRDefault="0070100A" w:rsidP="008631EC">
            <w:r w:rsidRPr="0070100A">
              <w:t>bod 4</w:t>
            </w:r>
          </w:p>
        </w:tc>
        <w:tc>
          <w:tcPr>
            <w:tcW w:w="5290" w:type="dxa"/>
            <w:gridSpan w:val="2"/>
          </w:tcPr>
          <w:p w:rsidR="00FA66BA" w:rsidRDefault="00FA66BA" w:rsidP="00FA66BA">
            <w:pPr>
              <w:pStyle w:val="Odsekzoznamu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</w:pPr>
            <w:r w:rsidRPr="00BF3DBD">
              <w:rPr>
                <w:color w:val="000000"/>
              </w:rPr>
              <w:t xml:space="preserve">Mediálna komerčná komunikácia </w:t>
            </w:r>
            <w:r>
              <w:rPr>
                <w:color w:val="000000"/>
              </w:rPr>
              <w:t xml:space="preserve">týkajúca sa liekov, </w:t>
            </w:r>
            <w:r w:rsidRPr="003C2032">
              <w:t>s výnimkou sponzorstva a  umiestňovania produktov</w:t>
            </w:r>
            <w:r>
              <w:t>, musí</w:t>
            </w:r>
            <w:r w:rsidRPr="003C2032">
              <w:t xml:space="preserve"> </w:t>
            </w:r>
          </w:p>
          <w:p w:rsidR="00FA66BA" w:rsidRDefault="00FA66BA" w:rsidP="00FA66B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</w:pPr>
          </w:p>
          <w:p w:rsidR="00FA66BA" w:rsidRDefault="00FA66BA" w:rsidP="00FA66B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</w:pPr>
            <w:r>
              <w:t>b) obsahovať</w:t>
            </w:r>
          </w:p>
          <w:p w:rsidR="0070100A" w:rsidRPr="0070100A" w:rsidRDefault="00FA66BA" w:rsidP="00FA66BA">
            <w:pPr>
              <w:ind w:left="259" w:hanging="259"/>
            </w:pPr>
            <w:r>
              <w:t xml:space="preserve">4. </w:t>
            </w:r>
            <w:r w:rsidR="0070100A" w:rsidRPr="0070100A">
              <w:t>text: "Tradičný rastlinný liek určený na indikácie overené výhradne dlhodobým používaním", ak je predmetom reklamy tradičný rastlinný liek.</w:t>
            </w:r>
          </w:p>
        </w:tc>
        <w:tc>
          <w:tcPr>
            <w:tcW w:w="56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</w:p>
        </w:tc>
        <w:tc>
          <w:tcPr>
            <w:tcW w:w="785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Default="00475F54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Č:</w:t>
            </w:r>
            <w:r w:rsidR="0070100A">
              <w:rPr>
                <w:sz w:val="22"/>
                <w:szCs w:val="22"/>
              </w:rPr>
              <w:t xml:space="preserve"> 89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1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</w:tcPr>
          <w:p w:rsidR="0070100A" w:rsidRDefault="0070100A" w:rsidP="008631EC">
            <w:r>
              <w:t>Bez toho, aby bol dotknutý článok 88, každá reklama lieku na verejnosti musí:</w:t>
            </w:r>
          </w:p>
          <w:p w:rsidR="00DC414E" w:rsidRDefault="0070100A" w:rsidP="008631EC">
            <w:pPr>
              <w:pStyle w:val="Odsekzoznamu"/>
              <w:numPr>
                <w:ilvl w:val="0"/>
                <w:numId w:val="17"/>
              </w:numPr>
              <w:ind w:left="355"/>
            </w:pPr>
            <w:r>
              <w:t>byť zostavená tak, aby bolo jasné, že správa je reklamou, a aby sa výrobok dal jasne rozpoznať ako liek;</w:t>
            </w:r>
          </w:p>
          <w:p w:rsidR="00DC414E" w:rsidRDefault="00DC414E" w:rsidP="00DC414E">
            <w:pPr>
              <w:pStyle w:val="Odsekzoznamu"/>
              <w:ind w:left="355"/>
            </w:pPr>
          </w:p>
          <w:p w:rsidR="0070100A" w:rsidRDefault="0070100A" w:rsidP="008631EC">
            <w:pPr>
              <w:pStyle w:val="Odsekzoznamu"/>
              <w:numPr>
                <w:ilvl w:val="0"/>
                <w:numId w:val="17"/>
              </w:numPr>
              <w:ind w:left="355"/>
            </w:pPr>
            <w:r>
              <w:t>obsahovať minimálne tieto údaje:</w:t>
            </w:r>
          </w:p>
          <w:p w:rsidR="00DC414E" w:rsidRDefault="0070100A" w:rsidP="008631EC">
            <w:pPr>
              <w:pStyle w:val="Odsekzoznamu"/>
              <w:numPr>
                <w:ilvl w:val="1"/>
                <w:numId w:val="17"/>
              </w:numPr>
              <w:ind w:left="355"/>
            </w:pPr>
            <w:r>
              <w:t>názov lieku, ako aj všeobecný názov, ak liek obsahuje iba jednu účinnú látku,</w:t>
            </w:r>
          </w:p>
          <w:p w:rsidR="00DC414E" w:rsidRDefault="0070100A" w:rsidP="008631EC">
            <w:pPr>
              <w:pStyle w:val="Odsekzoznamu"/>
              <w:numPr>
                <w:ilvl w:val="1"/>
                <w:numId w:val="17"/>
              </w:numPr>
              <w:ind w:left="355"/>
            </w:pPr>
            <w:r>
              <w:t>informácie potreb</w:t>
            </w:r>
            <w:r w:rsidR="00DC414E">
              <w:t>né na správne používanie lieku,</w:t>
            </w:r>
          </w:p>
          <w:p w:rsidR="0070100A" w:rsidRPr="0070100A" w:rsidRDefault="0070100A" w:rsidP="008631EC">
            <w:pPr>
              <w:pStyle w:val="Odsekzoznamu"/>
              <w:numPr>
                <w:ilvl w:val="1"/>
                <w:numId w:val="17"/>
              </w:numPr>
              <w:ind w:left="355"/>
            </w:pPr>
            <w:r>
              <w:t>výslovnú a čitateľnú výzvu na starostlivé prečítanie pokynov na príbalovom letáku, alebo prípadne na vonkajšom obale</w:t>
            </w:r>
          </w:p>
        </w:tc>
        <w:tc>
          <w:tcPr>
            <w:tcW w:w="63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1134" w:type="dxa"/>
          </w:tcPr>
          <w:p w:rsidR="0070100A" w:rsidRPr="0070100A" w:rsidRDefault="009C55F7" w:rsidP="008631EC">
            <w:pPr>
              <w:jc w:val="center"/>
            </w:pPr>
            <w:r>
              <w:t>1. ZMS</w:t>
            </w:r>
          </w:p>
        </w:tc>
        <w:tc>
          <w:tcPr>
            <w:tcW w:w="947" w:type="dxa"/>
          </w:tcPr>
          <w:p w:rsidR="009C55F7" w:rsidRDefault="00FA66BA" w:rsidP="009C55F7">
            <w:r>
              <w:t>§ 75</w:t>
            </w:r>
            <w:r w:rsidR="0070100A" w:rsidRPr="0070100A">
              <w:t xml:space="preserve"> </w:t>
            </w:r>
          </w:p>
          <w:p w:rsidR="009C55F7" w:rsidRDefault="009C55F7" w:rsidP="009C55F7">
            <w:r>
              <w:t xml:space="preserve">O 4 </w:t>
            </w:r>
          </w:p>
          <w:p w:rsidR="009C55F7" w:rsidRDefault="009C55F7" w:rsidP="009C55F7">
            <w:r>
              <w:t xml:space="preserve">P </w:t>
            </w:r>
            <w:r w:rsidR="0070100A" w:rsidRPr="0070100A">
              <w:t xml:space="preserve">a) </w:t>
            </w:r>
          </w:p>
          <w:p w:rsidR="009C55F7" w:rsidRDefault="009C55F7" w:rsidP="009C55F7">
            <w:r>
              <w:lastRenderedPageBreak/>
              <w:t>§ 75</w:t>
            </w:r>
            <w:r w:rsidRPr="0070100A">
              <w:t xml:space="preserve"> </w:t>
            </w:r>
          </w:p>
          <w:p w:rsidR="009C55F7" w:rsidRDefault="009C55F7" w:rsidP="009C55F7">
            <w:r>
              <w:t xml:space="preserve">O 4 </w:t>
            </w:r>
          </w:p>
          <w:p w:rsidR="0070100A" w:rsidRDefault="009C55F7" w:rsidP="009C55F7">
            <w:r>
              <w:t xml:space="preserve">P </w:t>
            </w:r>
            <w:r>
              <w:t>b</w:t>
            </w:r>
            <w:r w:rsidRPr="0070100A">
              <w:t>)</w:t>
            </w:r>
          </w:p>
          <w:p w:rsidR="009C55F7" w:rsidRDefault="009C55F7" w:rsidP="009C55F7">
            <w:r>
              <w:t>Bod</w:t>
            </w:r>
          </w:p>
          <w:p w:rsidR="009C55F7" w:rsidRDefault="009C55F7" w:rsidP="009C55F7">
            <w:r>
              <w:t>1.</w:t>
            </w:r>
          </w:p>
          <w:p w:rsidR="009C55F7" w:rsidRDefault="009C55F7" w:rsidP="009C55F7">
            <w:r>
              <w:t>2.</w:t>
            </w:r>
          </w:p>
          <w:p w:rsidR="009C55F7" w:rsidRPr="0070100A" w:rsidRDefault="009C55F7" w:rsidP="009C55F7">
            <w:r>
              <w:t>3.</w:t>
            </w:r>
          </w:p>
        </w:tc>
        <w:tc>
          <w:tcPr>
            <w:tcW w:w="5290" w:type="dxa"/>
            <w:gridSpan w:val="2"/>
          </w:tcPr>
          <w:p w:rsidR="0070100A" w:rsidRPr="0070100A" w:rsidRDefault="00FA66BA" w:rsidP="00FA66BA">
            <w:pPr>
              <w:ind w:left="400" w:hanging="400"/>
            </w:pPr>
            <w:r>
              <w:lastRenderedPageBreak/>
              <w:t xml:space="preserve">(4) </w:t>
            </w:r>
            <w:r w:rsidR="0070100A" w:rsidRPr="0070100A">
              <w:t>Mediálna komerčná komunikácia týkajúca sa liekov, s výnimkou sponzors</w:t>
            </w:r>
            <w:r w:rsidR="00DC414E">
              <w:t>tva a  umiestňovania produktov</w:t>
            </w:r>
            <w:r w:rsidRPr="0070100A">
              <w:t xml:space="preserve"> musí</w:t>
            </w:r>
          </w:p>
          <w:p w:rsidR="00DC414E" w:rsidRDefault="0070100A" w:rsidP="008631EC">
            <w:pPr>
              <w:pStyle w:val="Odsekzoznamu"/>
              <w:numPr>
                <w:ilvl w:val="0"/>
                <w:numId w:val="21"/>
              </w:numPr>
              <w:ind w:left="400"/>
            </w:pPr>
            <w:r w:rsidRPr="0070100A">
              <w:t xml:space="preserve">byť zostavená tak, aby bolo jednoznačné, že informácia je mediálnou komerčnou </w:t>
            </w:r>
            <w:r w:rsidRPr="0070100A">
              <w:lastRenderedPageBreak/>
              <w:t>komunikáciou a aby sa výrobok, ktorý je predmetom mediálnej komerčnej komunikácie, dal jedn</w:t>
            </w:r>
            <w:r>
              <w:t>označne identifikovať ako liek,</w:t>
            </w:r>
          </w:p>
          <w:p w:rsidR="00DC414E" w:rsidRDefault="00DC414E" w:rsidP="00DC414E">
            <w:pPr>
              <w:pStyle w:val="Odsekzoznamu"/>
              <w:ind w:left="400"/>
            </w:pPr>
          </w:p>
          <w:p w:rsidR="0070100A" w:rsidRDefault="0070100A" w:rsidP="008631EC">
            <w:pPr>
              <w:pStyle w:val="Odsekzoznamu"/>
              <w:numPr>
                <w:ilvl w:val="0"/>
                <w:numId w:val="21"/>
              </w:numPr>
              <w:ind w:left="400"/>
            </w:pPr>
            <w:r w:rsidRPr="0070100A">
              <w:t>obsahovať</w:t>
            </w:r>
          </w:p>
          <w:p w:rsidR="00DC414E" w:rsidRPr="0070100A" w:rsidRDefault="00DC414E" w:rsidP="00DC414E">
            <w:pPr>
              <w:pStyle w:val="Odsekzoznamu"/>
              <w:ind w:left="400"/>
            </w:pPr>
          </w:p>
          <w:p w:rsidR="00DC414E" w:rsidRDefault="0070100A" w:rsidP="008631EC">
            <w:pPr>
              <w:pStyle w:val="Odsekzoznamu"/>
              <w:numPr>
                <w:ilvl w:val="0"/>
                <w:numId w:val="22"/>
              </w:numPr>
              <w:ind w:left="400"/>
            </w:pPr>
            <w:r w:rsidRPr="0070100A">
              <w:t>názov lieku a názov liečiva, len ak obsahuje jedno liečivo,</w:t>
            </w:r>
          </w:p>
          <w:p w:rsidR="00DC414E" w:rsidRDefault="0070100A" w:rsidP="008631EC">
            <w:pPr>
              <w:pStyle w:val="Odsekzoznamu"/>
              <w:numPr>
                <w:ilvl w:val="0"/>
                <w:numId w:val="22"/>
              </w:numPr>
              <w:ind w:left="400"/>
            </w:pPr>
            <w:r w:rsidRPr="0070100A">
              <w:t>nevyhnutné informácie o správnom používaní,</w:t>
            </w:r>
          </w:p>
          <w:p w:rsidR="00DC414E" w:rsidRDefault="0070100A" w:rsidP="008631EC">
            <w:pPr>
              <w:pStyle w:val="Odsekzoznamu"/>
              <w:numPr>
                <w:ilvl w:val="0"/>
                <w:numId w:val="22"/>
              </w:numPr>
              <w:ind w:left="400"/>
            </w:pPr>
            <w:r w:rsidRPr="0070100A">
              <w:t>výslovnú a zrozumiteľnú výzvu na pozorné prečítanie poučenia o správnom používaní lieku obsiahnutého v písomnej informácii pre používateľov liekov, ktorá je pribalená k lieku,</w:t>
            </w:r>
          </w:p>
          <w:p w:rsidR="0070100A" w:rsidRPr="0070100A" w:rsidRDefault="0070100A" w:rsidP="00DC414E">
            <w:pPr>
              <w:pStyle w:val="Odsekzoznamu"/>
              <w:ind w:left="400"/>
            </w:pPr>
          </w:p>
        </w:tc>
        <w:tc>
          <w:tcPr>
            <w:tcW w:w="56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785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Pr="00035BB8" w:rsidRDefault="0070100A" w:rsidP="00BA273C">
            <w:pPr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Č: 90</w:t>
            </w:r>
          </w:p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</w:tcPr>
          <w:p w:rsidR="0070100A" w:rsidRPr="00A16022" w:rsidRDefault="0070100A" w:rsidP="00A16022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16022">
              <w:rPr>
                <w:sz w:val="22"/>
                <w:szCs w:val="22"/>
              </w:rPr>
              <w:t>Reklama lieku pre širokú verejnosť nesmie obsahovať žiadny prvok, ktorý:</w:t>
            </w:r>
          </w:p>
          <w:p w:rsidR="0070100A" w:rsidRPr="00A16022" w:rsidRDefault="0070100A" w:rsidP="00A16022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vyvoláva dojem, že lekárska konzultácia alebo chirurgický zákrok je nepotrebný, najmä ponúknutím diagnózy alebo navrhnutím liečenia poštou;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vyvoláva dojem, že účinky užívania lieku sú zaručené, nie sú sprevádzané žiadnymi nežiaducimi účinkami, alebo sú lepšie alebo rovnaké, ako účinky inej liečby alebo lieku;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tvrdí, že zdravie subjektu je možné zlepšiť užívaním lieku;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 xml:space="preserve">tvrdí, že zdravie subjektu je možné </w:t>
            </w:r>
            <w:r w:rsidRPr="00DC414E">
              <w:rPr>
                <w:sz w:val="22"/>
                <w:szCs w:val="22"/>
              </w:rPr>
              <w:lastRenderedPageBreak/>
              <w:t>ovplyvniť neužívaním lieku; tento zákaz neplatí pre očkovacie kampane uvedené v článku 88 ods. 4;</w:t>
            </w: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je zameraný výlučne alebo hlavne na deti;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týka sa odporúčaní vedcov, odborníkov v oblasti zdravia alebo osôb, ktoré nepatria ani k jednej z týchto skupín, ale pre svoju popularitu môžu podporiť spotrebu liekov;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tvrdí, že liek je potravina, kozmetický alebo iný spotrebný výrobok;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tvrdí, že bezpečnosť alebo účinnosť lieku spočíva v tom, že je prírodný;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môže prostredníctvom opisu alebo podrobnej reprezentácie anamnézy viesť k mylnému samourčeniu diagnózy;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odkazuje neprimerane, alarmujúco alebo klamlivo na tvrdenie vyliečenia;</w:t>
            </w:r>
          </w:p>
          <w:p w:rsidR="00DC414E" w:rsidRDefault="00DC414E" w:rsidP="00DC414E">
            <w:pPr>
              <w:pStyle w:val="Odsekzoznamu"/>
              <w:ind w:left="355"/>
              <w:jc w:val="both"/>
              <w:rPr>
                <w:sz w:val="22"/>
                <w:szCs w:val="22"/>
              </w:rPr>
            </w:pPr>
          </w:p>
          <w:p w:rsidR="0070100A" w:rsidRPr="00DC414E" w:rsidRDefault="0070100A" w:rsidP="00A16022">
            <w:pPr>
              <w:pStyle w:val="Odsekzoznamu"/>
              <w:numPr>
                <w:ilvl w:val="0"/>
                <w:numId w:val="25"/>
              </w:numPr>
              <w:ind w:left="355"/>
              <w:jc w:val="both"/>
              <w:rPr>
                <w:sz w:val="22"/>
                <w:szCs w:val="22"/>
              </w:rPr>
            </w:pPr>
            <w:r w:rsidRPr="00DC414E">
              <w:rPr>
                <w:sz w:val="22"/>
                <w:szCs w:val="22"/>
              </w:rPr>
              <w:t>používa nesprávnym, alarmujúcim alebo zavádzajúcim spôsobom zobrazenia zmien v ľudskom tele, spôsobené ochorením alebo zranením, alebo pôsobením lieku na ľudské telo alebo na jeho časti.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 w:rsidRPr="00E64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0100A" w:rsidRPr="0070100A" w:rsidRDefault="009C55F7" w:rsidP="00BA273C">
            <w:pPr>
              <w:spacing w:before="0" w:beforeAutospacing="0" w:after="0" w:afterAutospacing="0"/>
            </w:pPr>
            <w:r>
              <w:t>1. ZMS</w:t>
            </w:r>
          </w:p>
        </w:tc>
        <w:tc>
          <w:tcPr>
            <w:tcW w:w="947" w:type="dxa"/>
          </w:tcPr>
          <w:p w:rsidR="009C55F7" w:rsidRDefault="00FA66BA" w:rsidP="00FA66BA">
            <w:pPr>
              <w:spacing w:before="0" w:beforeAutospacing="0" w:after="0" w:afterAutospacing="0"/>
            </w:pPr>
            <w:r w:rsidRPr="00FA66BA">
              <w:t>§ 75</w:t>
            </w:r>
            <w:r w:rsidR="0070100A" w:rsidRPr="00FA66BA">
              <w:t xml:space="preserve"> </w:t>
            </w:r>
          </w:p>
          <w:p w:rsidR="0070100A" w:rsidRPr="0070100A" w:rsidRDefault="009C55F7" w:rsidP="00FA66BA">
            <w:pPr>
              <w:spacing w:before="0" w:beforeAutospacing="0" w:after="0" w:afterAutospacing="0"/>
            </w:pPr>
            <w:r>
              <w:t>O</w:t>
            </w:r>
            <w:r w:rsidR="0070100A" w:rsidRPr="00FA66BA">
              <w:t xml:space="preserve"> 3</w:t>
            </w:r>
          </w:p>
          <w:p w:rsidR="0070100A" w:rsidRPr="0070100A" w:rsidRDefault="0070100A" w:rsidP="00BA273C">
            <w:pPr>
              <w:spacing w:before="0" w:beforeAutospacing="0" w:after="0" w:afterAutospacing="0"/>
              <w:jc w:val="both"/>
            </w:pPr>
          </w:p>
          <w:p w:rsidR="0070100A" w:rsidRPr="0070100A" w:rsidRDefault="0070100A" w:rsidP="00BA273C">
            <w:pPr>
              <w:spacing w:before="0" w:beforeAutospacing="0" w:after="0" w:afterAutospacing="0"/>
              <w:jc w:val="both"/>
            </w:pPr>
          </w:p>
          <w:p w:rsidR="0070100A" w:rsidRPr="0070100A" w:rsidRDefault="0070100A" w:rsidP="00BA273C">
            <w:pPr>
              <w:spacing w:before="0" w:beforeAutospacing="0" w:after="0" w:afterAutospacing="0"/>
              <w:jc w:val="both"/>
            </w:pPr>
          </w:p>
          <w:p w:rsidR="0070100A" w:rsidRPr="0070100A" w:rsidRDefault="0070100A" w:rsidP="00BA273C">
            <w:pPr>
              <w:spacing w:before="0" w:beforeAutospacing="0" w:after="0" w:afterAutospacing="0"/>
              <w:jc w:val="both"/>
            </w:pPr>
          </w:p>
          <w:p w:rsidR="0070100A" w:rsidRPr="0070100A" w:rsidRDefault="0070100A" w:rsidP="00BA273C">
            <w:pPr>
              <w:spacing w:before="0" w:beforeAutospacing="0" w:after="0" w:afterAutospacing="0"/>
              <w:jc w:val="both"/>
            </w:pPr>
          </w:p>
        </w:tc>
        <w:tc>
          <w:tcPr>
            <w:tcW w:w="5290" w:type="dxa"/>
            <w:gridSpan w:val="2"/>
          </w:tcPr>
          <w:p w:rsidR="0070100A" w:rsidRPr="0070100A" w:rsidRDefault="0070100A" w:rsidP="00FA66BA">
            <w:pPr>
              <w:pStyle w:val="Odsekzoznamu"/>
              <w:numPr>
                <w:ilvl w:val="0"/>
                <w:numId w:val="30"/>
              </w:numPr>
              <w:ind w:left="400"/>
              <w:contextualSpacing/>
              <w:jc w:val="both"/>
            </w:pPr>
            <w:r w:rsidRPr="0070100A">
              <w:t>Mediálna komerčná komunikácia týkajúca sa liekov nesmie obsahovať žiadny prvok, ktorý</w:t>
            </w:r>
          </w:p>
          <w:p w:rsidR="009C55F7" w:rsidRPr="009777D4" w:rsidRDefault="009C55F7" w:rsidP="009C55F7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contextualSpacing/>
              <w:jc w:val="both"/>
              <w:rPr>
                <w:color w:val="000000"/>
              </w:rPr>
            </w:pPr>
            <w:bookmarkStart w:id="0" w:name="_GoBack"/>
            <w:bookmarkEnd w:id="0"/>
          </w:p>
          <w:p w:rsidR="009C55F7" w:rsidRPr="009777D4" w:rsidRDefault="009C55F7" w:rsidP="009C55F7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425"/>
              <w:contextualSpacing/>
              <w:jc w:val="both"/>
            </w:pPr>
            <w:r w:rsidRPr="009777D4">
              <w:t>vyvoláva dojem, že lekárske vyšetrenie alebo lekársky zákrok sú zbytočné,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425"/>
              <w:contextualSpacing/>
              <w:jc w:val="both"/>
            </w:pPr>
            <w:r w:rsidRPr="009777D4">
              <w:t>ponúka určenie diagnózy alebo spôsob liečby korešpondenciou,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425"/>
              <w:contextualSpacing/>
              <w:jc w:val="both"/>
            </w:pPr>
            <w:r w:rsidRPr="009777D4">
              <w:t xml:space="preserve">vyvoláva dojem, že účinky lieku sú zaručené a nie sú sprevádzané žiadnymi nežiaducimi účinkami alebo sú lepšie alebo rovnaké ako </w:t>
            </w:r>
            <w:r w:rsidRPr="009777D4">
              <w:lastRenderedPageBreak/>
              <w:t>účinky iného lieku alebo inej liečby,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naznačuje, že dobrý zdravotný stav osoby by sa mohol zlepšiť užívaním lieku,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 xml:space="preserve">naznačuje, že dobrý zdravotný stav osoby by mohol byť ovplyvnený neužívaním lieku, 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 xml:space="preserve">oslovuje výlučne alebo </w:t>
            </w:r>
            <w:r>
              <w:t>najmä</w:t>
            </w:r>
            <w:r w:rsidRPr="009777D4">
              <w:t xml:space="preserve"> deti,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obsahuje odporúčanie vedcov, zdravotníckych pracovníkov alebo známych osôb, ktoré svojou popularitou môžu podnietiť spotrebu liekov,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pripodobňuje liek k potravine, kozmetickému výrobku alebo k inému spotrebnému tovaru,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 xml:space="preserve">vyvoláva dojem, že bezpečnosť alebo </w:t>
            </w:r>
            <w:r w:rsidRPr="009777D4">
              <w:lastRenderedPageBreak/>
              <w:t>účinnosť lieku spočíva v tom, že má prírodný pôvod,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môže prostredníctvom opisu alebo podrobným znázornením anamnézy viesť k mylnému samourčeniu diagnózy,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odkazuje nadmerným, hrozivým alebo klamlivým spôsobom na potvrdenie o vyliečení ochorenia,</w:t>
            </w:r>
          </w:p>
          <w:p w:rsidR="009C55F7" w:rsidRPr="009777D4" w:rsidRDefault="009C55F7" w:rsidP="009C5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283"/>
              <w:jc w:val="both"/>
            </w:pPr>
          </w:p>
          <w:p w:rsidR="009C55F7" w:rsidRPr="009777D4" w:rsidRDefault="009C55F7" w:rsidP="009C55F7">
            <w:pPr>
              <w:pStyle w:val="Odsekzoznamu"/>
              <w:widowControl w:val="0"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používa nadmerným, hrozivým alebo zjavne zavádzajúcim spôsobom zobrazenia zmien ľudského organizmu spôsobených chorobou alebo zranením a znázorňuje účinok lieku v ľudskom organizme na tieto zmeny.</w:t>
            </w:r>
          </w:p>
          <w:p w:rsidR="00DC414E" w:rsidRPr="0070100A" w:rsidRDefault="00DC414E" w:rsidP="00DC414E">
            <w:pPr>
              <w:pStyle w:val="Odsekzoznamu"/>
              <w:ind w:left="400"/>
              <w:contextualSpacing/>
              <w:jc w:val="both"/>
            </w:pP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Vysvetlivky  k použitým skratkám v tabuľke: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 – </w:t>
            </w:r>
            <w:r w:rsidRPr="00E648FE">
              <w:rPr>
                <w:bCs/>
                <w:sz w:val="22"/>
                <w:szCs w:val="22"/>
              </w:rPr>
              <w:tab/>
              <w:t xml:space="preserve">bežná transpozícia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Z –       zhoda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670B21">
              <w:rPr>
                <w:bCs/>
                <w:sz w:val="22"/>
                <w:szCs w:val="22"/>
              </w:rPr>
              <w:t xml:space="preserve">n. a. 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670B21">
              <w:rPr>
                <w:bCs/>
                <w:sz w:val="22"/>
                <w:szCs w:val="22"/>
              </w:rPr>
              <w:t xml:space="preserve">neaplikovateľnosť 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  <w:trHeight w:val="28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 </w:t>
            </w:r>
            <w:r w:rsidRPr="00E648FE">
              <w:rPr>
                <w:bCs/>
                <w:sz w:val="22"/>
                <w:szCs w:val="22"/>
              </w:rPr>
              <w:t xml:space="preserve">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s možnosťou voľby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Ú – </w:t>
            </w:r>
            <w:r w:rsidRPr="00E648FE">
              <w:rPr>
                <w:bCs/>
                <w:sz w:val="22"/>
                <w:szCs w:val="22"/>
              </w:rPr>
              <w:tab/>
              <w:t xml:space="preserve">úplná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lastRenderedPageBreak/>
              <w:t xml:space="preserve">D 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podľa úvahy (dobrovoľná)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Č – </w:t>
            </w:r>
            <w:r w:rsidRPr="00E648FE">
              <w:rPr>
                <w:bCs/>
                <w:sz w:val="22"/>
                <w:szCs w:val="22"/>
              </w:rPr>
              <w:tab/>
              <w:t xml:space="preserve">čiastočná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n. a. – </w:t>
            </w:r>
            <w:r w:rsidRPr="00E648FE">
              <w:rPr>
                <w:bCs/>
                <w:sz w:val="22"/>
                <w:szCs w:val="22"/>
              </w:rPr>
              <w:tab/>
              <w:t>transpozícia sa neuskutočňuje</w:t>
            </w:r>
            <w:r w:rsidRPr="00E64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pStyle w:val="Zkladntext2"/>
              <w:rPr>
                <w:rFonts w:ascii="Times New Roman" w:hAnsi="Times New Roman" w:cs="Times New Roman"/>
                <w:b w:val="0"/>
              </w:rPr>
            </w:pPr>
            <w:r w:rsidRPr="00E648FE">
              <w:rPr>
                <w:rFonts w:ascii="Times New Roman" w:hAnsi="Times New Roman" w:cs="Times New Roman"/>
                <w:b w:val="0"/>
              </w:rPr>
              <w:t xml:space="preserve">Ž – </w:t>
            </w:r>
            <w:r w:rsidRPr="00E648FE">
              <w:rPr>
                <w:rFonts w:ascii="Times New Roman" w:hAnsi="Times New Roman" w:cs="Times New Roman"/>
                <w:b w:val="0"/>
              </w:rPr>
              <w:tab/>
              <w:t xml:space="preserve">žiadna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ind w:left="705" w:hanging="705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DD682B" w:rsidRDefault="00DD682B"/>
    <w:p w:rsidR="00AC43CA" w:rsidRDefault="00AC43CA"/>
    <w:p w:rsidR="00353BAA" w:rsidRDefault="00353BAA"/>
    <w:p w:rsidR="00353BAA" w:rsidRDefault="00353BAA"/>
    <w:sectPr w:rsidR="00353BAA" w:rsidSect="00272EE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F1" w:rsidRDefault="002500F1" w:rsidP="006168D0">
      <w:pPr>
        <w:spacing w:before="0" w:after="0"/>
      </w:pPr>
      <w:r>
        <w:separator/>
      </w:r>
    </w:p>
  </w:endnote>
  <w:endnote w:type="continuationSeparator" w:id="0">
    <w:p w:rsidR="002500F1" w:rsidRDefault="002500F1" w:rsidP="006168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782941"/>
      <w:docPartObj>
        <w:docPartGallery w:val="Page Numbers (Bottom of Page)"/>
        <w:docPartUnique/>
      </w:docPartObj>
    </w:sdtPr>
    <w:sdtEndPr/>
    <w:sdtContent>
      <w:p w:rsidR="006168D0" w:rsidRDefault="00616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5F7">
          <w:rPr>
            <w:noProof/>
          </w:rPr>
          <w:t>3</w:t>
        </w:r>
        <w:r>
          <w:fldChar w:fldCharType="end"/>
        </w:r>
      </w:p>
    </w:sdtContent>
  </w:sdt>
  <w:p w:rsidR="006168D0" w:rsidRDefault="006168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F1" w:rsidRDefault="002500F1" w:rsidP="006168D0">
      <w:pPr>
        <w:spacing w:before="0" w:after="0"/>
      </w:pPr>
      <w:r>
        <w:separator/>
      </w:r>
    </w:p>
  </w:footnote>
  <w:footnote w:type="continuationSeparator" w:id="0">
    <w:p w:rsidR="002500F1" w:rsidRDefault="002500F1" w:rsidP="006168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66"/>
    <w:multiLevelType w:val="hybridMultilevel"/>
    <w:tmpl w:val="4DF4E0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3E19"/>
    <w:multiLevelType w:val="hybridMultilevel"/>
    <w:tmpl w:val="97B0D42E"/>
    <w:lvl w:ilvl="0" w:tplc="4F5E30E8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DA2CD2"/>
    <w:multiLevelType w:val="hybridMultilevel"/>
    <w:tmpl w:val="26E68A4E"/>
    <w:lvl w:ilvl="0" w:tplc="4960677A">
      <w:start w:val="1"/>
      <w:numFmt w:val="lowerRoman"/>
      <w:lvlText w:val="%1)"/>
      <w:lvlJc w:val="left"/>
      <w:pPr>
        <w:ind w:left="9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080135DB"/>
    <w:multiLevelType w:val="hybridMultilevel"/>
    <w:tmpl w:val="ABF44F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165A"/>
    <w:multiLevelType w:val="hybridMultilevel"/>
    <w:tmpl w:val="7FC07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41A"/>
    <w:multiLevelType w:val="hybridMultilevel"/>
    <w:tmpl w:val="DB7266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3512E"/>
    <w:multiLevelType w:val="hybridMultilevel"/>
    <w:tmpl w:val="B49C4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04E92"/>
    <w:multiLevelType w:val="hybridMultilevel"/>
    <w:tmpl w:val="1AB853F8"/>
    <w:lvl w:ilvl="0" w:tplc="C0F295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802289"/>
    <w:multiLevelType w:val="hybridMultilevel"/>
    <w:tmpl w:val="91420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34157"/>
    <w:multiLevelType w:val="hybridMultilevel"/>
    <w:tmpl w:val="BAE0A986"/>
    <w:lvl w:ilvl="0" w:tplc="7C0A283E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B6286"/>
    <w:multiLevelType w:val="hybridMultilevel"/>
    <w:tmpl w:val="014AE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33DF4"/>
    <w:multiLevelType w:val="hybridMultilevel"/>
    <w:tmpl w:val="4A0C2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08A2"/>
    <w:multiLevelType w:val="hybridMultilevel"/>
    <w:tmpl w:val="AF90AD80"/>
    <w:lvl w:ilvl="0" w:tplc="C0F29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10CF"/>
    <w:multiLevelType w:val="hybridMultilevel"/>
    <w:tmpl w:val="3B302FE2"/>
    <w:lvl w:ilvl="0" w:tplc="1AC6A3FA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C447F"/>
    <w:multiLevelType w:val="hybridMultilevel"/>
    <w:tmpl w:val="20EECE34"/>
    <w:lvl w:ilvl="0" w:tplc="C0F29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B4D2F"/>
    <w:multiLevelType w:val="hybridMultilevel"/>
    <w:tmpl w:val="92AA1D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0641F"/>
    <w:multiLevelType w:val="hybridMultilevel"/>
    <w:tmpl w:val="7D1AC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13D76"/>
    <w:multiLevelType w:val="hybridMultilevel"/>
    <w:tmpl w:val="3D461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067A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66E89"/>
    <w:multiLevelType w:val="hybridMultilevel"/>
    <w:tmpl w:val="AA4EEC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83A1D"/>
    <w:multiLevelType w:val="hybridMultilevel"/>
    <w:tmpl w:val="326CD532"/>
    <w:lvl w:ilvl="0" w:tplc="712297D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F221F"/>
    <w:multiLevelType w:val="hybridMultilevel"/>
    <w:tmpl w:val="7CA2B48A"/>
    <w:lvl w:ilvl="0" w:tplc="C0F29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374C2"/>
    <w:multiLevelType w:val="hybridMultilevel"/>
    <w:tmpl w:val="2E38A1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A1644"/>
    <w:multiLevelType w:val="multilevel"/>
    <w:tmpl w:val="F9A24B84"/>
    <w:lvl w:ilvl="0">
      <w:start w:val="4"/>
      <w:numFmt w:val="decimal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6AC09F7"/>
    <w:multiLevelType w:val="hybridMultilevel"/>
    <w:tmpl w:val="E7DC8820"/>
    <w:lvl w:ilvl="0" w:tplc="DE364F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0026D"/>
    <w:multiLevelType w:val="hybridMultilevel"/>
    <w:tmpl w:val="543C144A"/>
    <w:lvl w:ilvl="0" w:tplc="BEBE3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E6106"/>
    <w:multiLevelType w:val="hybridMultilevel"/>
    <w:tmpl w:val="6F58EAAA"/>
    <w:lvl w:ilvl="0" w:tplc="C0F29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4B454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77642"/>
    <w:multiLevelType w:val="hybridMultilevel"/>
    <w:tmpl w:val="0BBC869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CB4B72"/>
    <w:multiLevelType w:val="hybridMultilevel"/>
    <w:tmpl w:val="293AE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9057C"/>
    <w:multiLevelType w:val="hybridMultilevel"/>
    <w:tmpl w:val="49A6CC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001DC"/>
    <w:multiLevelType w:val="hybridMultilevel"/>
    <w:tmpl w:val="129675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F300D"/>
    <w:multiLevelType w:val="hybridMultilevel"/>
    <w:tmpl w:val="AB2EB564"/>
    <w:lvl w:ilvl="0" w:tplc="03620B9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4"/>
  </w:num>
  <w:num w:numId="5">
    <w:abstractNumId w:val="15"/>
  </w:num>
  <w:num w:numId="6">
    <w:abstractNumId w:val="28"/>
  </w:num>
  <w:num w:numId="7">
    <w:abstractNumId w:val="19"/>
  </w:num>
  <w:num w:numId="8">
    <w:abstractNumId w:val="16"/>
  </w:num>
  <w:num w:numId="9">
    <w:abstractNumId w:val="6"/>
  </w:num>
  <w:num w:numId="10">
    <w:abstractNumId w:val="21"/>
  </w:num>
  <w:num w:numId="11">
    <w:abstractNumId w:val="5"/>
  </w:num>
  <w:num w:numId="12">
    <w:abstractNumId w:val="29"/>
  </w:num>
  <w:num w:numId="13">
    <w:abstractNumId w:val="11"/>
  </w:num>
  <w:num w:numId="14">
    <w:abstractNumId w:val="0"/>
  </w:num>
  <w:num w:numId="15">
    <w:abstractNumId w:val="13"/>
  </w:num>
  <w:num w:numId="16">
    <w:abstractNumId w:val="8"/>
  </w:num>
  <w:num w:numId="17">
    <w:abstractNumId w:val="25"/>
  </w:num>
  <w:num w:numId="18">
    <w:abstractNumId w:val="20"/>
  </w:num>
  <w:num w:numId="19">
    <w:abstractNumId w:val="27"/>
  </w:num>
  <w:num w:numId="20">
    <w:abstractNumId w:val="12"/>
  </w:num>
  <w:num w:numId="21">
    <w:abstractNumId w:val="17"/>
  </w:num>
  <w:num w:numId="22">
    <w:abstractNumId w:val="10"/>
  </w:num>
  <w:num w:numId="23">
    <w:abstractNumId w:val="4"/>
  </w:num>
  <w:num w:numId="24">
    <w:abstractNumId w:val="14"/>
  </w:num>
  <w:num w:numId="25">
    <w:abstractNumId w:val="7"/>
  </w:num>
  <w:num w:numId="26">
    <w:abstractNumId w:val="3"/>
  </w:num>
  <w:num w:numId="27">
    <w:abstractNumId w:val="18"/>
  </w:num>
  <w:num w:numId="28">
    <w:abstractNumId w:val="22"/>
  </w:num>
  <w:num w:numId="29">
    <w:abstractNumId w:val="23"/>
  </w:num>
  <w:num w:numId="30">
    <w:abstractNumId w:val="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1"/>
    <w:rsid w:val="00035BB8"/>
    <w:rsid w:val="00134B29"/>
    <w:rsid w:val="00201E95"/>
    <w:rsid w:val="002500F1"/>
    <w:rsid w:val="00272EEC"/>
    <w:rsid w:val="00353BAA"/>
    <w:rsid w:val="00475F54"/>
    <w:rsid w:val="006168D0"/>
    <w:rsid w:val="006305CC"/>
    <w:rsid w:val="006D77F7"/>
    <w:rsid w:val="0070100A"/>
    <w:rsid w:val="00746703"/>
    <w:rsid w:val="009C55F7"/>
    <w:rsid w:val="009E6786"/>
    <w:rsid w:val="00A16022"/>
    <w:rsid w:val="00A24E54"/>
    <w:rsid w:val="00A30221"/>
    <w:rsid w:val="00AC43CA"/>
    <w:rsid w:val="00B92BCD"/>
    <w:rsid w:val="00C35A12"/>
    <w:rsid w:val="00DC414E"/>
    <w:rsid w:val="00DD682B"/>
    <w:rsid w:val="00E55EC2"/>
    <w:rsid w:val="00E6607E"/>
    <w:rsid w:val="00FA66BA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Maláková Ivana</dc:creator>
  <cp:lastModifiedBy>Fabušová Mária</cp:lastModifiedBy>
  <cp:revision>7</cp:revision>
  <dcterms:created xsi:type="dcterms:W3CDTF">2021-09-02T11:40:00Z</dcterms:created>
  <dcterms:modified xsi:type="dcterms:W3CDTF">2021-10-29T08:58:00Z</dcterms:modified>
</cp:coreProperties>
</file>