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EC" w:rsidRPr="00E648FE" w:rsidRDefault="00272EEC" w:rsidP="00272EEC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E648FE">
        <w:rPr>
          <w:rFonts w:ascii="Times New Roman" w:hAnsi="Times New Roman" w:cs="Times New Roman"/>
          <w:sz w:val="22"/>
          <w:szCs w:val="22"/>
        </w:rPr>
        <w:t>TABUĽKA ZHODY</w:t>
      </w:r>
    </w:p>
    <w:p w:rsidR="00272EEC" w:rsidRPr="00E648FE" w:rsidRDefault="00272EEC" w:rsidP="00272EEC">
      <w:pPr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E648FE">
        <w:rPr>
          <w:b/>
          <w:bCs/>
          <w:sz w:val="22"/>
          <w:szCs w:val="22"/>
        </w:rPr>
        <w:t xml:space="preserve">právneho predpisu s právom Európskej únie </w:t>
      </w:r>
    </w:p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89"/>
      </w:tblGrid>
      <w:tr w:rsidR="00272EEC" w:rsidRPr="00E648FE" w:rsidTr="00A16022">
        <w:trPr>
          <w:cantSplit/>
          <w:trHeight w:val="1782"/>
        </w:trPr>
        <w:tc>
          <w:tcPr>
            <w:tcW w:w="5954" w:type="dxa"/>
          </w:tcPr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  <w:r w:rsidRPr="00E648FE">
              <w:rPr>
                <w:b/>
                <w:sz w:val="22"/>
                <w:szCs w:val="22"/>
              </w:rPr>
              <w:t>Smernica</w:t>
            </w:r>
          </w:p>
          <w:p w:rsidR="00272EEC" w:rsidRPr="00E648FE" w:rsidRDefault="00272EEC" w:rsidP="00BA273C">
            <w:pPr>
              <w:pStyle w:val="Normlny1"/>
              <w:jc w:val="center"/>
              <w:rPr>
                <w:b/>
                <w:sz w:val="22"/>
                <w:szCs w:val="22"/>
              </w:rPr>
            </w:pPr>
          </w:p>
          <w:p w:rsidR="00272EEC" w:rsidRPr="00E648FE" w:rsidRDefault="00336704" w:rsidP="00305D72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336704">
              <w:t>Smernica Komisie 2006/141/ES z 22. decembra 2006 o počiatočnej dojčenskej výžive a následnej dojčenskej výžive a o zmene a doplnení smernice 1999/21/ES (Ú. v. EÚ L 401, 30.12.2006) v platnom znení</w:t>
            </w:r>
          </w:p>
        </w:tc>
        <w:tc>
          <w:tcPr>
            <w:tcW w:w="8789" w:type="dxa"/>
          </w:tcPr>
          <w:p w:rsidR="00272EEC" w:rsidRPr="00E648FE" w:rsidRDefault="00272EEC" w:rsidP="00BA273C">
            <w:p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648FE">
              <w:rPr>
                <w:b/>
                <w:bCs/>
                <w:sz w:val="22"/>
                <w:szCs w:val="22"/>
              </w:rPr>
              <w:t>Právne predpisy Slovenskej republiky</w:t>
            </w:r>
          </w:p>
          <w:p w:rsidR="00272EEC" w:rsidRPr="00E648FE" w:rsidRDefault="00272EEC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  <w:p w:rsidR="00272EEC" w:rsidRPr="00E648FE" w:rsidRDefault="00336704" w:rsidP="00272EEC">
            <w:pPr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862510">
              <w:rPr>
                <w:bCs/>
                <w:sz w:val="22"/>
                <w:szCs w:val="22"/>
              </w:rPr>
              <w:t>Návrh zákona o mediálnych službách a o zmene a doplnení niektorých zákonov (zákon o mediálnych službách)</w:t>
            </w:r>
            <w:r>
              <w:rPr>
                <w:bCs/>
                <w:sz w:val="22"/>
                <w:szCs w:val="22"/>
              </w:rPr>
              <w:t xml:space="preserve"> (ZMS)</w:t>
            </w:r>
            <w:bookmarkStart w:id="0" w:name="_GoBack"/>
            <w:bookmarkEnd w:id="0"/>
          </w:p>
        </w:tc>
      </w:tr>
    </w:tbl>
    <w:p w:rsidR="00272EEC" w:rsidRPr="00E648FE" w:rsidRDefault="00272EEC" w:rsidP="00272EEC">
      <w:pPr>
        <w:spacing w:before="0" w:beforeAutospacing="0" w:after="0" w:afterAutospacing="0"/>
        <w:rPr>
          <w:sz w:val="22"/>
          <w:szCs w:val="22"/>
        </w:rPr>
      </w:pPr>
    </w:p>
    <w:tbl>
      <w:tblPr>
        <w:tblpPr w:leftFromText="141" w:rightFromText="141" w:vertAnchor="text" w:tblpX="-72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1029"/>
        <w:gridCol w:w="3899"/>
        <w:gridCol w:w="425"/>
        <w:gridCol w:w="637"/>
        <w:gridCol w:w="1134"/>
        <w:gridCol w:w="947"/>
        <w:gridCol w:w="1785"/>
        <w:gridCol w:w="3505"/>
        <w:gridCol w:w="567"/>
        <w:gridCol w:w="785"/>
      </w:tblGrid>
      <w:tr w:rsidR="0070100A" w:rsidRPr="00E648FE" w:rsidTr="0070100A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1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4</w:t>
            </w:r>
          </w:p>
        </w:tc>
        <w:tc>
          <w:tcPr>
            <w:tcW w:w="94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5</w:t>
            </w:r>
          </w:p>
        </w:tc>
        <w:tc>
          <w:tcPr>
            <w:tcW w:w="5290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7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8</w:t>
            </w: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O, V, P)</w:t>
            </w:r>
          </w:p>
        </w:tc>
        <w:tc>
          <w:tcPr>
            <w:tcW w:w="4324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63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Spôsob transpozície</w:t>
            </w:r>
          </w:p>
        </w:tc>
        <w:tc>
          <w:tcPr>
            <w:tcW w:w="1134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Číslo </w:t>
            </w:r>
          </w:p>
        </w:tc>
        <w:tc>
          <w:tcPr>
            <w:tcW w:w="94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5290" w:type="dxa"/>
            <w:gridSpan w:val="2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Text</w:t>
            </w:r>
          </w:p>
        </w:tc>
        <w:tc>
          <w:tcPr>
            <w:tcW w:w="567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>Zhoda</w:t>
            </w:r>
          </w:p>
        </w:tc>
        <w:tc>
          <w:tcPr>
            <w:tcW w:w="785" w:type="dxa"/>
          </w:tcPr>
          <w:p w:rsidR="0070100A" w:rsidRPr="00E648FE" w:rsidRDefault="0070100A" w:rsidP="00BA273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Poznámky </w:t>
            </w:r>
          </w:p>
        </w:tc>
      </w:tr>
      <w:tr w:rsidR="0070100A" w:rsidRPr="00E648FE" w:rsidTr="0070100A">
        <w:tc>
          <w:tcPr>
            <w:tcW w:w="1063" w:type="dxa"/>
            <w:gridSpan w:val="2"/>
          </w:tcPr>
          <w:p w:rsidR="0070100A" w:rsidRDefault="00475F54" w:rsidP="008631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Č:</w:t>
            </w:r>
            <w:r w:rsidR="00305D72">
              <w:rPr>
                <w:sz w:val="22"/>
                <w:szCs w:val="22"/>
              </w:rPr>
              <w:t xml:space="preserve"> 14</w:t>
            </w:r>
          </w:p>
          <w:p w:rsidR="0070100A" w:rsidRDefault="0070100A" w:rsidP="008631EC">
            <w:pPr>
              <w:rPr>
                <w:sz w:val="22"/>
                <w:szCs w:val="22"/>
              </w:rPr>
            </w:pPr>
          </w:p>
        </w:tc>
        <w:tc>
          <w:tcPr>
            <w:tcW w:w="4324" w:type="dxa"/>
            <w:gridSpan w:val="2"/>
          </w:tcPr>
          <w:p w:rsidR="0070100A" w:rsidRDefault="00305D72" w:rsidP="008631EC">
            <w:pPr>
              <w:rPr>
                <w:sz w:val="22"/>
                <w:szCs w:val="22"/>
              </w:rPr>
            </w:pPr>
            <w:r w:rsidRPr="00305D72">
              <w:t>Reklama počiatočnej dojčenskej výživy sa obmedzí na</w:t>
            </w:r>
            <w:r>
              <w:t xml:space="preserve"> </w:t>
            </w:r>
            <w:r w:rsidRPr="00305D72">
              <w:t>publikácie</w:t>
            </w:r>
            <w:r>
              <w:t xml:space="preserve"> </w:t>
            </w:r>
            <w:r w:rsidRPr="00305D72">
              <w:t>špecializujúce sa na starostlivosť</w:t>
            </w:r>
            <w:r>
              <w:t xml:space="preserve"> </w:t>
            </w:r>
            <w:r w:rsidRPr="00305D72">
              <w:t>o dieťa a</w:t>
            </w:r>
            <w:r>
              <w:t> </w:t>
            </w:r>
            <w:r w:rsidRPr="00305D72">
              <w:t>vedecké</w:t>
            </w:r>
            <w:r>
              <w:t xml:space="preserve"> </w:t>
            </w:r>
            <w:r w:rsidRPr="00305D72">
              <w:t>publikácie.</w:t>
            </w:r>
          </w:p>
        </w:tc>
        <w:tc>
          <w:tcPr>
            <w:tcW w:w="63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:rsidR="0070100A" w:rsidRPr="0070100A" w:rsidRDefault="00336704" w:rsidP="008631EC">
            <w:pPr>
              <w:jc w:val="center"/>
            </w:pPr>
            <w:r>
              <w:rPr>
                <w:bCs/>
                <w:sz w:val="22"/>
                <w:szCs w:val="22"/>
              </w:rPr>
              <w:t>1. ZMS</w:t>
            </w:r>
          </w:p>
        </w:tc>
        <w:tc>
          <w:tcPr>
            <w:tcW w:w="947" w:type="dxa"/>
          </w:tcPr>
          <w:p w:rsidR="00336704" w:rsidRDefault="0070100A" w:rsidP="00305D72">
            <w:r w:rsidRPr="0070100A">
              <w:t xml:space="preserve">§ </w:t>
            </w:r>
            <w:r w:rsidR="00862510">
              <w:t>77</w:t>
            </w:r>
            <w:r w:rsidR="00336704">
              <w:t xml:space="preserve">  </w:t>
            </w:r>
          </w:p>
          <w:p w:rsidR="00336704" w:rsidRDefault="00336704" w:rsidP="00305D72">
            <w:r>
              <w:t xml:space="preserve">O 2 </w:t>
            </w:r>
          </w:p>
          <w:p w:rsidR="0070100A" w:rsidRPr="0070100A" w:rsidRDefault="00336704" w:rsidP="00305D72">
            <w:r>
              <w:t>P</w:t>
            </w:r>
            <w:r w:rsidR="00305D72">
              <w:t xml:space="preserve"> b)</w:t>
            </w:r>
          </w:p>
        </w:tc>
        <w:tc>
          <w:tcPr>
            <w:tcW w:w="5290" w:type="dxa"/>
            <w:gridSpan w:val="2"/>
          </w:tcPr>
          <w:p w:rsidR="00862510" w:rsidRPr="00862510" w:rsidRDefault="00862510" w:rsidP="00862510">
            <w:pPr>
              <w:pStyle w:val="Odsekzoznamu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contextualSpacing/>
              <w:jc w:val="both"/>
              <w:rPr>
                <w:color w:val="000000"/>
              </w:rPr>
            </w:pPr>
            <w:r w:rsidRPr="002544A2">
              <w:t xml:space="preserve">Zakazuje sa </w:t>
            </w:r>
            <w:r w:rsidRPr="002544A2">
              <w:rPr>
                <w:color w:val="000000"/>
              </w:rPr>
              <w:t>mediálna komerčná komunikácia</w:t>
            </w:r>
            <w:r w:rsidRPr="002544A2">
              <w:rPr>
                <w:color w:val="4BACC6" w:themeColor="accent5"/>
              </w:rPr>
              <w:t xml:space="preserve"> </w:t>
            </w:r>
          </w:p>
          <w:p w:rsidR="00336704" w:rsidRDefault="00305D72" w:rsidP="00336704">
            <w:pPr>
              <w:ind w:left="400"/>
            </w:pPr>
            <w:r>
              <w:t>b) počiatočnej dojčenskej výživy,</w:t>
            </w:r>
            <w:r w:rsidR="00336704">
              <w:rPr>
                <w:vertAlign w:val="superscript"/>
              </w:rPr>
              <w:t>42</w:t>
            </w:r>
            <w:r w:rsidR="00862510">
              <w:t>)</w:t>
            </w:r>
          </w:p>
          <w:p w:rsidR="00336704" w:rsidRPr="00336704" w:rsidRDefault="00336704" w:rsidP="00336704">
            <w:r>
              <w:t>4</w:t>
            </w:r>
            <w:r w:rsidRPr="00336704">
              <w:rPr>
                <w:color w:val="000000"/>
              </w:rPr>
              <w:t xml:space="preserve">2) </w:t>
            </w:r>
            <w:r w:rsidRPr="00336704">
              <w:rPr>
                <w:color w:val="000000"/>
              </w:rPr>
              <w:t xml:space="preserve">Čl. 2 ods. 2 písm. c) nariadenia Európskeho parlamentu a Rady (EÚ) č. 609/2013 z 12. júna 2013 o potravinách určených pre dojčatá a malé deti, potravinách na osobitné lekárske účely a o celkovej náhrade stravy na účely regulácie hmotnosti a ktorým sa zrušuje smernica Rady 92/52/EHS, smernica Komisie 96/8/ES, 1999/21/ES, 2006/125/ES a 2006/141/ES, smernica Európskeho parlamentu a Rady 2009/39/ES a nariadenie Komisie (ES) č. 41/2009 a (ES) č. 953/2009 (Ú. v. ES L 181, </w:t>
            </w:r>
            <w:r w:rsidRPr="00336704">
              <w:rPr>
                <w:color w:val="000000"/>
              </w:rPr>
              <w:lastRenderedPageBreak/>
              <w:t>29.6.2013) v platnom znení (Ú. v. EÚ L 181, 29.6.2013).</w:t>
            </w:r>
          </w:p>
          <w:p w:rsidR="00336704" w:rsidRPr="0070100A" w:rsidRDefault="00336704" w:rsidP="00336704">
            <w:pPr>
              <w:ind w:left="400"/>
            </w:pPr>
          </w:p>
        </w:tc>
        <w:tc>
          <w:tcPr>
            <w:tcW w:w="567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785" w:type="dxa"/>
          </w:tcPr>
          <w:p w:rsidR="0070100A" w:rsidRDefault="0070100A" w:rsidP="008631EC">
            <w:pPr>
              <w:jc w:val="center"/>
              <w:rPr>
                <w:sz w:val="22"/>
                <w:szCs w:val="22"/>
              </w:rPr>
            </w:pP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</w:p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sz w:val="22"/>
                <w:szCs w:val="22"/>
              </w:rPr>
              <w:t xml:space="preserve">Vysvetlivky  k použitým skratkám v tabuľke: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 – </w:t>
            </w:r>
            <w:r w:rsidRPr="00E648FE">
              <w:rPr>
                <w:bCs/>
                <w:sz w:val="22"/>
                <w:szCs w:val="22"/>
              </w:rPr>
              <w:tab/>
              <w:t xml:space="preserve">bežná transpozícia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Z –       zhoda </w:t>
            </w:r>
            <w:r>
              <w:rPr>
                <w:bCs/>
                <w:sz w:val="22"/>
                <w:szCs w:val="22"/>
              </w:rPr>
              <w:t xml:space="preserve">                   </w:t>
            </w:r>
            <w:r w:rsidRPr="00670B21">
              <w:rPr>
                <w:bCs/>
                <w:sz w:val="22"/>
                <w:szCs w:val="22"/>
              </w:rPr>
              <w:t xml:space="preserve">n. a. </w:t>
            </w:r>
            <w:r>
              <w:rPr>
                <w:bCs/>
                <w:sz w:val="22"/>
                <w:szCs w:val="22"/>
              </w:rPr>
              <w:t xml:space="preserve"> – </w:t>
            </w:r>
            <w:r w:rsidRPr="00670B21">
              <w:rPr>
                <w:bCs/>
                <w:sz w:val="22"/>
                <w:szCs w:val="22"/>
              </w:rPr>
              <w:t xml:space="preserve">neaplikovateľnosť 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  <w:trHeight w:val="28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12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 </w:t>
            </w:r>
            <w:r w:rsidRPr="00E648FE">
              <w:rPr>
                <w:bCs/>
                <w:sz w:val="22"/>
                <w:szCs w:val="22"/>
              </w:rPr>
              <w:t xml:space="preserve">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s možnosťou voľby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Ú – </w:t>
            </w:r>
            <w:r w:rsidRPr="00E648FE">
              <w:rPr>
                <w:bCs/>
                <w:sz w:val="22"/>
                <w:szCs w:val="22"/>
              </w:rPr>
              <w:tab/>
              <w:t xml:space="preserve">úplná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D – </w:t>
            </w:r>
            <w:r w:rsidRPr="00E648FE">
              <w:rPr>
                <w:bCs/>
                <w:sz w:val="22"/>
                <w:szCs w:val="22"/>
              </w:rPr>
              <w:tab/>
              <w:t xml:space="preserve">transpozícia podľa úvahy (dobrovoľná)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Č – </w:t>
            </w:r>
            <w:r w:rsidRPr="00E648FE">
              <w:rPr>
                <w:bCs/>
                <w:sz w:val="22"/>
                <w:szCs w:val="22"/>
              </w:rPr>
              <w:tab/>
              <w:t xml:space="preserve">čiastočná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648FE">
              <w:rPr>
                <w:bCs/>
                <w:sz w:val="22"/>
                <w:szCs w:val="22"/>
              </w:rPr>
              <w:t xml:space="preserve">n. a. – </w:t>
            </w:r>
            <w:r w:rsidRPr="00E648FE">
              <w:rPr>
                <w:bCs/>
                <w:sz w:val="22"/>
                <w:szCs w:val="22"/>
              </w:rPr>
              <w:tab/>
              <w:t>transpozícia sa neuskutočňuje</w:t>
            </w:r>
            <w:r w:rsidRPr="00E64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pStyle w:val="Zkladntext2"/>
              <w:rPr>
                <w:rFonts w:ascii="Times New Roman" w:hAnsi="Times New Roman" w:cs="Times New Roman"/>
                <w:b w:val="0"/>
              </w:rPr>
            </w:pPr>
            <w:r w:rsidRPr="00E648FE">
              <w:rPr>
                <w:rFonts w:ascii="Times New Roman" w:hAnsi="Times New Roman" w:cs="Times New Roman"/>
                <w:b w:val="0"/>
              </w:rPr>
              <w:t xml:space="preserve">Ž – </w:t>
            </w:r>
            <w:r w:rsidRPr="00E648FE">
              <w:rPr>
                <w:rFonts w:ascii="Times New Roman" w:hAnsi="Times New Roman" w:cs="Times New Roman"/>
                <w:b w:val="0"/>
              </w:rPr>
              <w:tab/>
              <w:t xml:space="preserve">žiadna zhoda </w:t>
            </w:r>
          </w:p>
        </w:tc>
      </w:tr>
      <w:tr w:rsidR="0070100A" w:rsidRPr="00E648FE" w:rsidTr="00701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00A" w:rsidRPr="00E648FE" w:rsidRDefault="0070100A" w:rsidP="00BA273C">
            <w:p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gridSpan w:val="5"/>
          </w:tcPr>
          <w:p w:rsidR="0070100A" w:rsidRPr="00E648FE" w:rsidRDefault="0070100A" w:rsidP="00BA273C">
            <w:pPr>
              <w:spacing w:before="0" w:beforeAutospacing="0" w:after="0" w:afterAutospacing="0"/>
              <w:ind w:left="705" w:hanging="705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DD682B" w:rsidRDefault="00DD682B"/>
    <w:p w:rsidR="00AC43CA" w:rsidRDefault="00AC43CA"/>
    <w:p w:rsidR="00353BAA" w:rsidRDefault="00353BAA"/>
    <w:p w:rsidR="00353BAA" w:rsidRDefault="00353BAA"/>
    <w:sectPr w:rsidR="00353BAA" w:rsidSect="00272EEC">
      <w:footerReference w:type="default" r:id="rId9"/>
      <w:footnotePr>
        <w:numStart w:val="38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26" w:rsidRDefault="00530026" w:rsidP="006168D0">
      <w:pPr>
        <w:spacing w:before="0" w:after="0"/>
      </w:pPr>
      <w:r>
        <w:separator/>
      </w:r>
    </w:p>
  </w:endnote>
  <w:endnote w:type="continuationSeparator" w:id="0">
    <w:p w:rsidR="00530026" w:rsidRDefault="00530026" w:rsidP="006168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782941"/>
      <w:docPartObj>
        <w:docPartGallery w:val="Page Numbers (Bottom of Page)"/>
        <w:docPartUnique/>
      </w:docPartObj>
    </w:sdtPr>
    <w:sdtEndPr/>
    <w:sdtContent>
      <w:p w:rsidR="006168D0" w:rsidRDefault="006168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04">
          <w:rPr>
            <w:noProof/>
          </w:rPr>
          <w:t>1</w:t>
        </w:r>
        <w:r>
          <w:fldChar w:fldCharType="end"/>
        </w:r>
      </w:p>
    </w:sdtContent>
  </w:sdt>
  <w:p w:rsidR="006168D0" w:rsidRDefault="006168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26" w:rsidRDefault="00530026" w:rsidP="006168D0">
      <w:pPr>
        <w:spacing w:before="0" w:after="0"/>
      </w:pPr>
      <w:r>
        <w:separator/>
      </w:r>
    </w:p>
  </w:footnote>
  <w:footnote w:type="continuationSeparator" w:id="0">
    <w:p w:rsidR="00530026" w:rsidRDefault="00530026" w:rsidP="006168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766"/>
    <w:multiLevelType w:val="hybridMultilevel"/>
    <w:tmpl w:val="4DF4E0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33E19"/>
    <w:multiLevelType w:val="hybridMultilevel"/>
    <w:tmpl w:val="97B0D42E"/>
    <w:lvl w:ilvl="0" w:tplc="4F5E30E8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5DA2CD2"/>
    <w:multiLevelType w:val="hybridMultilevel"/>
    <w:tmpl w:val="26E68A4E"/>
    <w:lvl w:ilvl="0" w:tplc="4960677A">
      <w:start w:val="1"/>
      <w:numFmt w:val="lowerRoman"/>
      <w:lvlText w:val="%1)"/>
      <w:lvlJc w:val="left"/>
      <w:pPr>
        <w:ind w:left="9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>
    <w:nsid w:val="1C39641A"/>
    <w:multiLevelType w:val="hybridMultilevel"/>
    <w:tmpl w:val="DB7266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3512E"/>
    <w:multiLevelType w:val="hybridMultilevel"/>
    <w:tmpl w:val="B49C4A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02289"/>
    <w:multiLevelType w:val="hybridMultilevel"/>
    <w:tmpl w:val="91420A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33DF4"/>
    <w:multiLevelType w:val="hybridMultilevel"/>
    <w:tmpl w:val="4A0C2B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C10CF"/>
    <w:multiLevelType w:val="hybridMultilevel"/>
    <w:tmpl w:val="3B302FE2"/>
    <w:lvl w:ilvl="0" w:tplc="1AC6A3FA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B4D2F"/>
    <w:multiLevelType w:val="hybridMultilevel"/>
    <w:tmpl w:val="92AA1D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0641F"/>
    <w:multiLevelType w:val="hybridMultilevel"/>
    <w:tmpl w:val="7D1AC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83A1D"/>
    <w:multiLevelType w:val="hybridMultilevel"/>
    <w:tmpl w:val="326CD532"/>
    <w:lvl w:ilvl="0" w:tplc="712297DA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374C2"/>
    <w:multiLevelType w:val="hybridMultilevel"/>
    <w:tmpl w:val="2E38A1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0026D"/>
    <w:multiLevelType w:val="hybridMultilevel"/>
    <w:tmpl w:val="543C144A"/>
    <w:lvl w:ilvl="0" w:tplc="BEBE34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9057C"/>
    <w:multiLevelType w:val="hybridMultilevel"/>
    <w:tmpl w:val="49A6CC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001DC"/>
    <w:multiLevelType w:val="hybridMultilevel"/>
    <w:tmpl w:val="129675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74C5A"/>
    <w:multiLevelType w:val="hybridMultilevel"/>
    <w:tmpl w:val="206C59F6"/>
    <w:lvl w:ilvl="0" w:tplc="4DBC8FC0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B6F300D"/>
    <w:multiLevelType w:val="hybridMultilevel"/>
    <w:tmpl w:val="AB2EB564"/>
    <w:lvl w:ilvl="0" w:tplc="03620B9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2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14"/>
  </w:num>
  <w:num w:numId="13">
    <w:abstractNumId w:val="6"/>
  </w:num>
  <w:num w:numId="14">
    <w:abstractNumId w:val="0"/>
  </w:num>
  <w:num w:numId="15">
    <w:abstractNumId w:val="7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numStart w:val="3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21"/>
    <w:rsid w:val="00035BB8"/>
    <w:rsid w:val="00134B29"/>
    <w:rsid w:val="001A2FBE"/>
    <w:rsid w:val="00272EEC"/>
    <w:rsid w:val="002F55A1"/>
    <w:rsid w:val="00305D72"/>
    <w:rsid w:val="00336704"/>
    <w:rsid w:val="00353BAA"/>
    <w:rsid w:val="00395DCD"/>
    <w:rsid w:val="003E0818"/>
    <w:rsid w:val="00475F54"/>
    <w:rsid w:val="00530026"/>
    <w:rsid w:val="006168D0"/>
    <w:rsid w:val="006305CC"/>
    <w:rsid w:val="00670A87"/>
    <w:rsid w:val="0070100A"/>
    <w:rsid w:val="00746703"/>
    <w:rsid w:val="007D59BE"/>
    <w:rsid w:val="00862510"/>
    <w:rsid w:val="009E6786"/>
    <w:rsid w:val="00A16022"/>
    <w:rsid w:val="00A24E54"/>
    <w:rsid w:val="00A30221"/>
    <w:rsid w:val="00AC43CA"/>
    <w:rsid w:val="00DD682B"/>
    <w:rsid w:val="00E55EC2"/>
    <w:rsid w:val="00E6607E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  <w:style w:type="paragraph" w:styleId="Textpoznmkypodiarou">
    <w:name w:val="footnote text"/>
    <w:basedOn w:val="Normlny"/>
    <w:link w:val="TextpoznmkypodiarouChar"/>
    <w:uiPriority w:val="99"/>
    <w:unhideWhenUsed/>
    <w:rsid w:val="00862510"/>
    <w:pPr>
      <w:spacing w:before="0" w:beforeAutospacing="0" w:after="0" w:afterAutospacing="0"/>
    </w:pPr>
    <w:rPr>
      <w:rFonts w:ascii="Calibri" w:eastAsiaTheme="minorEastAsia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62510"/>
    <w:rPr>
      <w:rFonts w:ascii="Calibri" w:eastAsiaTheme="minorEastAsia" w:hAnsi="Calibri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251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5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51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27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EEC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160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EC"/>
    <w:rPr>
      <w:rFonts w:ascii="Arial" w:eastAsia="Arial Unicode MS" w:hAnsi="Arial" w:cs="Arial"/>
      <w:b/>
      <w:bCs/>
      <w:sz w:val="18"/>
      <w:szCs w:val="18"/>
      <w:lang w:eastAsia="cs-CZ"/>
    </w:rPr>
  </w:style>
  <w:style w:type="paragraph" w:customStyle="1" w:styleId="Normlny1">
    <w:name w:val="Normálny1"/>
    <w:basedOn w:val="Normlny"/>
    <w:rsid w:val="00272EEC"/>
    <w:pPr>
      <w:spacing w:before="0" w:beforeAutospacing="0" w:after="0" w:afterAutospacing="0"/>
    </w:pPr>
    <w:rPr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72EE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2EEC"/>
    <w:rPr>
      <w:rFonts w:ascii="Bookman Old Style" w:eastAsia="Times New Roman" w:hAnsi="Bookman Old Style" w:cs="Bookman Old Style"/>
      <w:b/>
      <w:bCs/>
      <w:lang w:eastAsia="sk-SK"/>
    </w:rPr>
  </w:style>
  <w:style w:type="paragraph" w:styleId="Odsekzoznamu">
    <w:name w:val="List Paragraph"/>
    <w:basedOn w:val="Normlny"/>
    <w:uiPriority w:val="34"/>
    <w:qFormat/>
    <w:rsid w:val="00272EEC"/>
    <w:pPr>
      <w:spacing w:before="0" w:beforeAutospacing="0" w:after="0" w:afterAutospacing="0"/>
      <w:ind w:left="720"/>
    </w:pPr>
  </w:style>
  <w:style w:type="paragraph" w:styleId="Bezriadkovania">
    <w:name w:val="No Spacing"/>
    <w:uiPriority w:val="1"/>
    <w:qFormat/>
    <w:rsid w:val="00272EEC"/>
    <w:pPr>
      <w:spacing w:after="0" w:line="240" w:lineRule="auto"/>
    </w:pPr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68D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6168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highlight">
    <w:name w:val="highlight"/>
    <w:rsid w:val="0070100A"/>
  </w:style>
  <w:style w:type="paragraph" w:styleId="Textpoznmkypodiarou">
    <w:name w:val="footnote text"/>
    <w:basedOn w:val="Normlny"/>
    <w:link w:val="TextpoznmkypodiarouChar"/>
    <w:uiPriority w:val="99"/>
    <w:unhideWhenUsed/>
    <w:rsid w:val="00862510"/>
    <w:pPr>
      <w:spacing w:before="0" w:beforeAutospacing="0" w:after="0" w:afterAutospacing="0"/>
    </w:pPr>
    <w:rPr>
      <w:rFonts w:ascii="Calibri" w:eastAsiaTheme="minorEastAsia" w:hAnsi="Calibr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62510"/>
    <w:rPr>
      <w:rFonts w:ascii="Calibri" w:eastAsiaTheme="minorEastAsia" w:hAnsi="Calibri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251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5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51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5459-0A59-40D8-877F-29DC2EDB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Maláková Ivana</dc:creator>
  <cp:lastModifiedBy>Fabušová Mária</cp:lastModifiedBy>
  <cp:revision>7</cp:revision>
  <dcterms:created xsi:type="dcterms:W3CDTF">2021-09-02T12:22:00Z</dcterms:created>
  <dcterms:modified xsi:type="dcterms:W3CDTF">2021-10-29T08:49:00Z</dcterms:modified>
</cp:coreProperties>
</file>