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riekatabuky"/>
        <w:tblpPr w:leftFromText="141" w:rightFromText="141" w:horzAnchor="margin" w:tblpXSpec="center" w:tblpY="-217"/>
        <w:tblW w:w="14425" w:type="dxa"/>
        <w:tblLayout w:type="fixed"/>
        <w:tblLook w:val="0000" w:firstRow="0" w:lastRow="0" w:firstColumn="0" w:lastColumn="0" w:noHBand="0" w:noVBand="0"/>
      </w:tblPr>
      <w:tblGrid>
        <w:gridCol w:w="710"/>
        <w:gridCol w:w="3813"/>
        <w:gridCol w:w="968"/>
        <w:gridCol w:w="1177"/>
        <w:gridCol w:w="1135"/>
        <w:gridCol w:w="4398"/>
        <w:gridCol w:w="1135"/>
        <w:gridCol w:w="1089"/>
      </w:tblGrid>
      <w:tr w:rsidR="006929FF" w:rsidRPr="009F6C75" w:rsidTr="00C475DC">
        <w:trPr>
          <w:trHeight w:val="105"/>
        </w:trPr>
        <w:tc>
          <w:tcPr>
            <w:tcW w:w="14425" w:type="dxa"/>
            <w:gridSpan w:val="8"/>
          </w:tcPr>
          <w:p w:rsidR="006929FF" w:rsidRDefault="000A6B6B" w:rsidP="004C4E7A">
            <w:pPr>
              <w:jc w:val="center"/>
              <w:rPr>
                <w:rFonts w:ascii="Times New Roman" w:eastAsiaTheme="minorEastAsia" w:hAnsi="Times New Roman"/>
                <w:b/>
                <w:bCs/>
                <w:snapToGrid w:val="0"/>
                <w:sz w:val="18"/>
                <w:szCs w:val="18"/>
                <w:lang w:eastAsia="sk-SK"/>
              </w:rPr>
            </w:pPr>
            <w:bookmarkStart w:id="0" w:name="_GoBack"/>
            <w:bookmarkEnd w:id="0"/>
            <w:r>
              <w:rPr>
                <w:rFonts w:ascii="Times New Roman" w:eastAsiaTheme="minorEastAsia" w:hAnsi="Times New Roman"/>
                <w:b/>
                <w:bCs/>
                <w:snapToGrid w:val="0"/>
                <w:sz w:val="18"/>
                <w:szCs w:val="18"/>
                <w:lang w:eastAsia="sk-SK"/>
              </w:rPr>
              <w:t>TABUĽKA ZHODY</w:t>
            </w:r>
          </w:p>
          <w:p w:rsidR="006929FF" w:rsidRDefault="00475253" w:rsidP="00365F99">
            <w:pPr>
              <w:jc w:val="center"/>
              <w:rPr>
                <w:rFonts w:ascii="Times New Roman" w:eastAsiaTheme="minorEastAsia" w:hAnsi="Times New Roman"/>
                <w:b/>
                <w:bCs/>
                <w:snapToGrid w:val="0"/>
                <w:sz w:val="18"/>
                <w:szCs w:val="18"/>
                <w:lang w:eastAsia="sk-SK"/>
              </w:rPr>
            </w:pPr>
            <w:r w:rsidRPr="00475253">
              <w:rPr>
                <w:rFonts w:ascii="Times New Roman" w:eastAsiaTheme="minorEastAsia" w:hAnsi="Times New Roman"/>
                <w:b/>
                <w:bCs/>
                <w:snapToGrid w:val="0"/>
                <w:sz w:val="18"/>
                <w:szCs w:val="18"/>
                <w:lang w:eastAsia="sk-SK"/>
              </w:rPr>
              <w:t>návrhu právneho predpisu s právom Európskej únie</w:t>
            </w:r>
          </w:p>
        </w:tc>
      </w:tr>
      <w:tr w:rsidR="0086180B" w:rsidRPr="009F6C75" w:rsidTr="00C475DC">
        <w:trPr>
          <w:trHeight w:val="105"/>
        </w:trPr>
        <w:tc>
          <w:tcPr>
            <w:tcW w:w="5491" w:type="dxa"/>
            <w:gridSpan w:val="3"/>
          </w:tcPr>
          <w:p w:rsidR="00365F99" w:rsidRPr="00C475DC" w:rsidRDefault="00365F99" w:rsidP="00C475DC">
            <w:pPr>
              <w:jc w:val="center"/>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Smernica EÚ</w:t>
            </w:r>
          </w:p>
          <w:p w:rsidR="0086180B" w:rsidRPr="00C475DC" w:rsidRDefault="00484580" w:rsidP="00E1471E">
            <w:pPr>
              <w:jc w:val="both"/>
              <w:rPr>
                <w:rFonts w:ascii="Times New Roman" w:eastAsiaTheme="minorEastAsia" w:hAnsi="Times New Roman"/>
                <w:bCs/>
                <w:snapToGrid w:val="0"/>
                <w:sz w:val="18"/>
                <w:szCs w:val="18"/>
                <w:lang w:eastAsia="sk-SK"/>
              </w:rPr>
            </w:pPr>
            <w:r w:rsidRPr="00484580">
              <w:rPr>
                <w:rFonts w:ascii="Times New Roman" w:eastAsiaTheme="minorEastAsia" w:hAnsi="Times New Roman"/>
                <w:bCs/>
                <w:snapToGrid w:val="0"/>
                <w:sz w:val="18"/>
                <w:szCs w:val="18"/>
                <w:lang w:eastAsia="sk-SK"/>
              </w:rPr>
              <w:t>Smernica Európskeho parlamentu a Rady (EÚ) 2018/1972 z 11. decembra 2018, ktorou sa stanovuje európsky kódex elektronických komunikácií (prepracované znenie) (Ú. v. EÚ L 321, 17. 12. 2018).</w:t>
            </w:r>
          </w:p>
        </w:tc>
        <w:tc>
          <w:tcPr>
            <w:tcW w:w="8934" w:type="dxa"/>
            <w:gridSpan w:val="5"/>
          </w:tcPr>
          <w:p w:rsidR="0086180B" w:rsidRDefault="00365F99" w:rsidP="00C475DC">
            <w:pPr>
              <w:jc w:val="center"/>
              <w:rPr>
                <w:rFonts w:ascii="Times New Roman" w:eastAsiaTheme="minorEastAsia" w:hAnsi="Times New Roman"/>
                <w:b/>
                <w:bCs/>
                <w:snapToGrid w:val="0"/>
                <w:sz w:val="18"/>
                <w:szCs w:val="18"/>
                <w:lang w:eastAsia="sk-SK"/>
              </w:rPr>
            </w:pPr>
            <w:r w:rsidRPr="00365F99">
              <w:rPr>
                <w:rFonts w:ascii="Times New Roman" w:eastAsiaTheme="minorEastAsia" w:hAnsi="Times New Roman"/>
                <w:b/>
                <w:bCs/>
                <w:snapToGrid w:val="0"/>
                <w:sz w:val="18"/>
                <w:szCs w:val="18"/>
                <w:lang w:eastAsia="sk-SK"/>
              </w:rPr>
              <w:t>Všeobecne záväzné právne predpisy Slovenskej republiky</w:t>
            </w:r>
          </w:p>
          <w:p w:rsidR="00C475DC" w:rsidRDefault="00C475DC" w:rsidP="00C475DC">
            <w:pPr>
              <w:jc w:val="center"/>
              <w:rPr>
                <w:rFonts w:ascii="Times New Roman" w:eastAsiaTheme="minorEastAsia" w:hAnsi="Times New Roman"/>
                <w:b/>
                <w:bCs/>
                <w:snapToGrid w:val="0"/>
                <w:sz w:val="18"/>
                <w:szCs w:val="18"/>
                <w:lang w:eastAsia="sk-SK"/>
              </w:rPr>
            </w:pPr>
          </w:p>
          <w:p w:rsidR="00AD36CC" w:rsidRPr="00C475DC" w:rsidRDefault="00AD36CC" w:rsidP="00C475DC">
            <w:pPr>
              <w:pStyle w:val="Odsekzoznamu"/>
              <w:numPr>
                <w:ilvl w:val="0"/>
                <w:numId w:val="3"/>
              </w:numPr>
              <w:ind w:right="-1345"/>
              <w:rPr>
                <w:rFonts w:ascii="Times New Roman" w:eastAsiaTheme="minorEastAsia" w:hAnsi="Times New Roman"/>
                <w:bCs/>
                <w:snapToGrid w:val="0"/>
                <w:sz w:val="18"/>
                <w:szCs w:val="18"/>
                <w:lang w:eastAsia="sk-SK"/>
              </w:rPr>
            </w:pPr>
            <w:r w:rsidRPr="00C475DC">
              <w:rPr>
                <w:rFonts w:ascii="Times New Roman" w:eastAsiaTheme="minorEastAsia" w:hAnsi="Times New Roman"/>
                <w:bCs/>
                <w:snapToGrid w:val="0"/>
                <w:sz w:val="18"/>
                <w:szCs w:val="18"/>
                <w:lang w:eastAsia="sk-SK"/>
              </w:rPr>
              <w:t xml:space="preserve">Návrh zákona o mediálnych službách a o zmene a doplnení niektorých zákonov (zákon o mediálnych službách) </w:t>
            </w:r>
          </w:p>
          <w:p w:rsidR="0086180B" w:rsidRPr="00C475DC" w:rsidRDefault="00AD36CC" w:rsidP="00C475DC">
            <w:pPr>
              <w:pStyle w:val="Odsekzoznamu"/>
              <w:ind w:right="-1345"/>
              <w:rPr>
                <w:rFonts w:ascii="Times New Roman" w:eastAsiaTheme="minorEastAsia" w:hAnsi="Times New Roman"/>
                <w:b/>
                <w:bCs/>
                <w:snapToGrid w:val="0"/>
                <w:sz w:val="18"/>
                <w:szCs w:val="18"/>
                <w:lang w:eastAsia="sk-SK"/>
              </w:rPr>
            </w:pPr>
            <w:r w:rsidRPr="00C475DC">
              <w:rPr>
                <w:rFonts w:ascii="Times New Roman" w:eastAsiaTheme="minorEastAsia" w:hAnsi="Times New Roman"/>
                <w:bCs/>
                <w:snapToGrid w:val="0"/>
                <w:sz w:val="18"/>
                <w:szCs w:val="18"/>
                <w:lang w:eastAsia="sk-SK"/>
              </w:rPr>
              <w:t>(ZMS)</w:t>
            </w:r>
          </w:p>
        </w:tc>
      </w:tr>
      <w:tr w:rsidR="0086180B" w:rsidRPr="009F6C75" w:rsidTr="00C475DC">
        <w:trPr>
          <w:trHeight w:val="441"/>
        </w:trPr>
        <w:tc>
          <w:tcPr>
            <w:tcW w:w="710" w:type="dxa"/>
          </w:tcPr>
          <w:p w:rsidR="0086180B" w:rsidRPr="00C475DC" w:rsidRDefault="0086180B" w:rsidP="00C475DC">
            <w:pPr>
              <w:jc w:val="center"/>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1</w:t>
            </w:r>
          </w:p>
        </w:tc>
        <w:tc>
          <w:tcPr>
            <w:tcW w:w="3813" w:type="dxa"/>
          </w:tcPr>
          <w:p w:rsidR="0086180B" w:rsidRPr="00C475DC" w:rsidRDefault="0086180B" w:rsidP="00C475DC">
            <w:pPr>
              <w:jc w:val="center"/>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2</w:t>
            </w:r>
          </w:p>
        </w:tc>
        <w:tc>
          <w:tcPr>
            <w:tcW w:w="968" w:type="dxa"/>
          </w:tcPr>
          <w:p w:rsidR="0086180B" w:rsidRPr="00C475DC" w:rsidRDefault="0086180B" w:rsidP="00C475DC">
            <w:pPr>
              <w:ind w:hanging="70"/>
              <w:jc w:val="center"/>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3</w:t>
            </w:r>
          </w:p>
        </w:tc>
        <w:tc>
          <w:tcPr>
            <w:tcW w:w="1177" w:type="dxa"/>
          </w:tcPr>
          <w:p w:rsidR="0086180B" w:rsidRPr="00C475DC" w:rsidRDefault="0086180B" w:rsidP="00C475DC">
            <w:pPr>
              <w:jc w:val="center"/>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4</w:t>
            </w:r>
          </w:p>
        </w:tc>
        <w:tc>
          <w:tcPr>
            <w:tcW w:w="1135" w:type="dxa"/>
          </w:tcPr>
          <w:p w:rsidR="0086180B" w:rsidRPr="00C475DC" w:rsidRDefault="0086180B" w:rsidP="00C475DC">
            <w:pPr>
              <w:jc w:val="center"/>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5</w:t>
            </w:r>
          </w:p>
        </w:tc>
        <w:tc>
          <w:tcPr>
            <w:tcW w:w="4398" w:type="dxa"/>
          </w:tcPr>
          <w:p w:rsidR="0086180B" w:rsidRPr="00C475DC" w:rsidRDefault="0086180B" w:rsidP="00C475DC">
            <w:pPr>
              <w:jc w:val="center"/>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6</w:t>
            </w:r>
          </w:p>
        </w:tc>
        <w:tc>
          <w:tcPr>
            <w:tcW w:w="1135" w:type="dxa"/>
          </w:tcPr>
          <w:p w:rsidR="0086180B" w:rsidRPr="00C475DC" w:rsidRDefault="0086180B" w:rsidP="00C475DC">
            <w:pPr>
              <w:ind w:hanging="70"/>
              <w:jc w:val="center"/>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7</w:t>
            </w:r>
          </w:p>
        </w:tc>
        <w:tc>
          <w:tcPr>
            <w:tcW w:w="1089" w:type="dxa"/>
          </w:tcPr>
          <w:p w:rsidR="0086180B" w:rsidRPr="00C475DC" w:rsidRDefault="00C475DC" w:rsidP="00C475DC">
            <w:pPr>
              <w:tabs>
                <w:tab w:val="left" w:pos="480"/>
                <w:tab w:val="center" w:pos="1174"/>
              </w:tabs>
              <w:ind w:left="131" w:right="-1345"/>
              <w:rPr>
                <w:rFonts w:ascii="Times New Roman" w:eastAsiaTheme="minorEastAsia" w:hAnsi="Times New Roman"/>
                <w:b/>
                <w:bCs/>
                <w:snapToGrid w:val="0"/>
                <w:sz w:val="18"/>
                <w:szCs w:val="18"/>
                <w:lang w:eastAsia="sk-SK"/>
              </w:rPr>
            </w:pPr>
            <w:r>
              <w:rPr>
                <w:rFonts w:ascii="Times New Roman" w:eastAsiaTheme="minorEastAsia" w:hAnsi="Times New Roman"/>
                <w:b/>
                <w:bCs/>
                <w:snapToGrid w:val="0"/>
                <w:sz w:val="18"/>
                <w:szCs w:val="18"/>
                <w:lang w:eastAsia="sk-SK"/>
              </w:rPr>
              <w:tab/>
              <w:t>8</w:t>
            </w:r>
            <w:r>
              <w:rPr>
                <w:rFonts w:ascii="Times New Roman" w:eastAsiaTheme="minorEastAsia" w:hAnsi="Times New Roman"/>
                <w:b/>
                <w:bCs/>
                <w:snapToGrid w:val="0"/>
                <w:sz w:val="18"/>
                <w:szCs w:val="18"/>
                <w:lang w:eastAsia="sk-SK"/>
              </w:rPr>
              <w:tab/>
            </w:r>
            <w:r w:rsidR="0086180B" w:rsidRPr="00C475DC">
              <w:rPr>
                <w:rFonts w:ascii="Times New Roman" w:eastAsiaTheme="minorEastAsia" w:hAnsi="Times New Roman"/>
                <w:b/>
                <w:bCs/>
                <w:snapToGrid w:val="0"/>
                <w:sz w:val="18"/>
                <w:szCs w:val="18"/>
                <w:lang w:eastAsia="sk-SK"/>
              </w:rPr>
              <w:t>8</w:t>
            </w:r>
          </w:p>
        </w:tc>
      </w:tr>
      <w:tr w:rsidR="0086180B" w:rsidRPr="009F6C75" w:rsidTr="00C475DC">
        <w:trPr>
          <w:trHeight w:val="1182"/>
        </w:trPr>
        <w:tc>
          <w:tcPr>
            <w:tcW w:w="710" w:type="dxa"/>
          </w:tcPr>
          <w:p w:rsidR="0086180B" w:rsidRPr="00C475DC" w:rsidRDefault="00C475DC" w:rsidP="00C475DC">
            <w:pPr>
              <w:ind w:left="-142"/>
              <w:jc w:val="both"/>
              <w:rPr>
                <w:rFonts w:ascii="Times New Roman" w:eastAsiaTheme="minorEastAsia" w:hAnsi="Times New Roman"/>
                <w:b/>
                <w:bCs/>
                <w:snapToGrid w:val="0"/>
                <w:sz w:val="18"/>
                <w:szCs w:val="18"/>
                <w:lang w:eastAsia="sk-SK"/>
              </w:rPr>
            </w:pPr>
            <w:r>
              <w:rPr>
                <w:rFonts w:ascii="Times New Roman" w:eastAsiaTheme="minorEastAsia" w:hAnsi="Times New Roman"/>
                <w:b/>
                <w:bCs/>
                <w:snapToGrid w:val="0"/>
                <w:sz w:val="18"/>
                <w:szCs w:val="18"/>
                <w:lang w:eastAsia="sk-SK"/>
              </w:rPr>
              <w:t xml:space="preserve"> Článo</w:t>
            </w:r>
            <w:r w:rsidR="0086180B" w:rsidRPr="00C475DC">
              <w:rPr>
                <w:rFonts w:ascii="Times New Roman" w:eastAsiaTheme="minorEastAsia" w:hAnsi="Times New Roman"/>
                <w:b/>
                <w:bCs/>
                <w:snapToGrid w:val="0"/>
                <w:sz w:val="18"/>
                <w:szCs w:val="18"/>
                <w:lang w:eastAsia="sk-SK"/>
              </w:rPr>
              <w:t>k</w:t>
            </w:r>
          </w:p>
          <w:p w:rsidR="00365F99" w:rsidRPr="00C475DC" w:rsidRDefault="00365F99" w:rsidP="00C475DC">
            <w:pPr>
              <w:jc w:val="both"/>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(Č, O,</w:t>
            </w:r>
          </w:p>
          <w:p w:rsidR="0086180B" w:rsidRPr="00C475DC" w:rsidRDefault="00365F99" w:rsidP="00C475DC">
            <w:pPr>
              <w:jc w:val="both"/>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V, P)</w:t>
            </w:r>
          </w:p>
          <w:p w:rsidR="0086180B" w:rsidRPr="00C475DC" w:rsidRDefault="0086180B" w:rsidP="00C475DC">
            <w:pPr>
              <w:jc w:val="center"/>
              <w:rPr>
                <w:rFonts w:ascii="Times New Roman" w:eastAsiaTheme="minorEastAsia" w:hAnsi="Times New Roman"/>
                <w:b/>
                <w:bCs/>
                <w:snapToGrid w:val="0"/>
                <w:sz w:val="18"/>
                <w:szCs w:val="18"/>
                <w:lang w:eastAsia="sk-SK"/>
              </w:rPr>
            </w:pPr>
          </w:p>
        </w:tc>
        <w:tc>
          <w:tcPr>
            <w:tcW w:w="3813" w:type="dxa"/>
          </w:tcPr>
          <w:p w:rsidR="0086180B" w:rsidRPr="00C475DC" w:rsidRDefault="0086180B" w:rsidP="00C475DC">
            <w:pPr>
              <w:jc w:val="center"/>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Text</w:t>
            </w:r>
          </w:p>
          <w:p w:rsidR="0086180B" w:rsidRPr="00C475DC" w:rsidRDefault="0086180B" w:rsidP="00C475DC">
            <w:pPr>
              <w:jc w:val="center"/>
              <w:rPr>
                <w:rFonts w:ascii="Times New Roman" w:eastAsiaTheme="minorEastAsia" w:hAnsi="Times New Roman"/>
                <w:b/>
                <w:bCs/>
                <w:snapToGrid w:val="0"/>
                <w:sz w:val="18"/>
                <w:szCs w:val="18"/>
                <w:lang w:eastAsia="sk-SK"/>
              </w:rPr>
            </w:pPr>
          </w:p>
        </w:tc>
        <w:tc>
          <w:tcPr>
            <w:tcW w:w="968" w:type="dxa"/>
          </w:tcPr>
          <w:p w:rsidR="00B029CC" w:rsidRPr="00C475DC" w:rsidRDefault="0086180B" w:rsidP="00C475DC">
            <w:pPr>
              <w:jc w:val="center"/>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 xml:space="preserve"> Spôsob</w:t>
            </w:r>
          </w:p>
          <w:p w:rsidR="0086180B" w:rsidRPr="00C475DC" w:rsidRDefault="0086180B" w:rsidP="00C475DC">
            <w:pPr>
              <w:jc w:val="center"/>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transpozície</w:t>
            </w:r>
          </w:p>
          <w:p w:rsidR="00365F99" w:rsidRPr="00C475DC" w:rsidRDefault="00365F99" w:rsidP="00C475DC">
            <w:pPr>
              <w:jc w:val="center"/>
              <w:rPr>
                <w:rFonts w:ascii="Times New Roman" w:eastAsiaTheme="minorEastAsia" w:hAnsi="Times New Roman"/>
                <w:bCs/>
                <w:snapToGrid w:val="0"/>
                <w:sz w:val="18"/>
                <w:szCs w:val="18"/>
                <w:lang w:eastAsia="sk-SK"/>
              </w:rPr>
            </w:pPr>
            <w:r w:rsidRPr="00C475DC">
              <w:rPr>
                <w:rFonts w:ascii="Times New Roman" w:eastAsiaTheme="minorEastAsia" w:hAnsi="Times New Roman"/>
                <w:bCs/>
                <w:snapToGrid w:val="0"/>
                <w:sz w:val="18"/>
                <w:szCs w:val="18"/>
                <w:lang w:eastAsia="sk-SK"/>
              </w:rPr>
              <w:t xml:space="preserve">(N, O, </w:t>
            </w:r>
            <w:r w:rsidRPr="00C475DC">
              <w:rPr>
                <w:rFonts w:ascii="Times New Roman" w:eastAsiaTheme="minorEastAsia" w:hAnsi="Times New Roman"/>
                <w:bCs/>
                <w:snapToGrid w:val="0"/>
                <w:sz w:val="18"/>
                <w:szCs w:val="18"/>
                <w:lang w:eastAsia="sk-SK"/>
              </w:rPr>
              <w:br/>
              <w:t>D, n. a.)</w:t>
            </w:r>
          </w:p>
        </w:tc>
        <w:tc>
          <w:tcPr>
            <w:tcW w:w="1177" w:type="dxa"/>
          </w:tcPr>
          <w:p w:rsidR="0086180B" w:rsidRPr="00C475DC" w:rsidRDefault="0086180B" w:rsidP="00C475DC">
            <w:pPr>
              <w:jc w:val="center"/>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Číslo</w:t>
            </w:r>
          </w:p>
        </w:tc>
        <w:tc>
          <w:tcPr>
            <w:tcW w:w="1135" w:type="dxa"/>
          </w:tcPr>
          <w:p w:rsidR="0086180B" w:rsidRPr="00C475DC" w:rsidRDefault="0086180B" w:rsidP="00C475DC">
            <w:pPr>
              <w:jc w:val="center"/>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Článok</w:t>
            </w:r>
          </w:p>
          <w:p w:rsidR="0086180B" w:rsidRPr="00C475DC" w:rsidRDefault="00365F99" w:rsidP="00C475DC">
            <w:pPr>
              <w:jc w:val="center"/>
              <w:rPr>
                <w:rFonts w:ascii="Times New Roman" w:eastAsiaTheme="minorEastAsia" w:hAnsi="Times New Roman"/>
                <w:bCs/>
                <w:snapToGrid w:val="0"/>
                <w:sz w:val="18"/>
                <w:szCs w:val="18"/>
                <w:lang w:eastAsia="sk-SK"/>
              </w:rPr>
            </w:pPr>
            <w:r w:rsidRPr="00C475DC">
              <w:rPr>
                <w:rFonts w:ascii="Times New Roman" w:eastAsiaTheme="minorEastAsia" w:hAnsi="Times New Roman"/>
                <w:bCs/>
                <w:snapToGrid w:val="0"/>
                <w:sz w:val="18"/>
                <w:szCs w:val="18"/>
                <w:lang w:eastAsia="sk-SK"/>
              </w:rPr>
              <w:t>(Č, §, O, V, P)</w:t>
            </w:r>
          </w:p>
          <w:p w:rsidR="0086180B" w:rsidRPr="00C475DC" w:rsidRDefault="0086180B" w:rsidP="00C475DC">
            <w:pPr>
              <w:jc w:val="center"/>
              <w:rPr>
                <w:rFonts w:ascii="Times New Roman" w:eastAsiaTheme="minorEastAsia" w:hAnsi="Times New Roman"/>
                <w:b/>
                <w:bCs/>
                <w:snapToGrid w:val="0"/>
                <w:sz w:val="18"/>
                <w:szCs w:val="18"/>
                <w:lang w:eastAsia="sk-SK"/>
              </w:rPr>
            </w:pPr>
          </w:p>
        </w:tc>
        <w:tc>
          <w:tcPr>
            <w:tcW w:w="4398" w:type="dxa"/>
          </w:tcPr>
          <w:p w:rsidR="0086180B" w:rsidRPr="00C475DC" w:rsidRDefault="0086180B" w:rsidP="00C475DC">
            <w:pPr>
              <w:jc w:val="center"/>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Text</w:t>
            </w:r>
          </w:p>
        </w:tc>
        <w:tc>
          <w:tcPr>
            <w:tcW w:w="1135" w:type="dxa"/>
          </w:tcPr>
          <w:p w:rsidR="0086180B" w:rsidRPr="00C475DC" w:rsidRDefault="0086180B" w:rsidP="00C475DC">
            <w:pPr>
              <w:jc w:val="center"/>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 xml:space="preserve"> Zhoda</w:t>
            </w:r>
          </w:p>
          <w:p w:rsidR="00365F99" w:rsidRPr="00C475DC" w:rsidRDefault="00365F99" w:rsidP="00C475DC">
            <w:pPr>
              <w:jc w:val="center"/>
              <w:rPr>
                <w:rFonts w:ascii="Times New Roman" w:eastAsiaTheme="minorEastAsia" w:hAnsi="Times New Roman"/>
                <w:bCs/>
                <w:snapToGrid w:val="0"/>
                <w:sz w:val="18"/>
                <w:szCs w:val="18"/>
                <w:lang w:eastAsia="sk-SK"/>
              </w:rPr>
            </w:pPr>
            <w:r w:rsidRPr="00C475DC">
              <w:rPr>
                <w:rFonts w:ascii="Times New Roman" w:eastAsiaTheme="minorEastAsia" w:hAnsi="Times New Roman"/>
                <w:bCs/>
                <w:snapToGrid w:val="0"/>
                <w:sz w:val="18"/>
                <w:szCs w:val="18"/>
                <w:lang w:eastAsia="sk-SK"/>
              </w:rPr>
              <w:t>(Ú, Č, Ž, n. a.)</w:t>
            </w:r>
          </w:p>
          <w:p w:rsidR="0086180B" w:rsidRPr="00C475DC" w:rsidRDefault="0086180B" w:rsidP="00C475DC">
            <w:pPr>
              <w:jc w:val="center"/>
              <w:rPr>
                <w:rFonts w:ascii="Times New Roman" w:eastAsiaTheme="minorEastAsia" w:hAnsi="Times New Roman"/>
                <w:b/>
                <w:bCs/>
                <w:snapToGrid w:val="0"/>
                <w:sz w:val="18"/>
                <w:szCs w:val="18"/>
                <w:lang w:eastAsia="sk-SK"/>
              </w:rPr>
            </w:pPr>
          </w:p>
          <w:p w:rsidR="0086180B" w:rsidRPr="00C475DC" w:rsidRDefault="0086180B" w:rsidP="00C475DC">
            <w:pPr>
              <w:jc w:val="center"/>
              <w:rPr>
                <w:rFonts w:ascii="Times New Roman" w:eastAsiaTheme="minorEastAsia" w:hAnsi="Times New Roman"/>
                <w:b/>
                <w:bCs/>
                <w:snapToGrid w:val="0"/>
                <w:sz w:val="18"/>
                <w:szCs w:val="18"/>
                <w:lang w:eastAsia="sk-SK"/>
              </w:rPr>
            </w:pPr>
          </w:p>
        </w:tc>
        <w:tc>
          <w:tcPr>
            <w:tcW w:w="1089" w:type="dxa"/>
          </w:tcPr>
          <w:p w:rsidR="0086180B" w:rsidRPr="00C475DC" w:rsidRDefault="0086180B" w:rsidP="00C475DC">
            <w:pPr>
              <w:jc w:val="center"/>
              <w:rPr>
                <w:rFonts w:ascii="Times New Roman" w:eastAsiaTheme="minorEastAsia" w:hAnsi="Times New Roman"/>
                <w:b/>
                <w:bCs/>
                <w:snapToGrid w:val="0"/>
                <w:sz w:val="18"/>
                <w:szCs w:val="18"/>
                <w:lang w:eastAsia="sk-SK"/>
              </w:rPr>
            </w:pPr>
            <w:r w:rsidRPr="00C475DC">
              <w:rPr>
                <w:rFonts w:ascii="Times New Roman" w:eastAsiaTheme="minorEastAsia" w:hAnsi="Times New Roman"/>
                <w:b/>
                <w:bCs/>
                <w:snapToGrid w:val="0"/>
                <w:sz w:val="18"/>
                <w:szCs w:val="18"/>
                <w:lang w:eastAsia="sk-SK"/>
              </w:rPr>
              <w:t xml:space="preserve"> Poznámky</w:t>
            </w:r>
          </w:p>
          <w:p w:rsidR="0086180B" w:rsidRPr="00C475DC" w:rsidRDefault="0086180B" w:rsidP="00C475DC">
            <w:pPr>
              <w:jc w:val="center"/>
              <w:rPr>
                <w:rFonts w:ascii="Times New Roman" w:eastAsiaTheme="minorEastAsia" w:hAnsi="Times New Roman"/>
                <w:b/>
                <w:bCs/>
                <w:snapToGrid w:val="0"/>
                <w:sz w:val="18"/>
                <w:szCs w:val="18"/>
                <w:lang w:eastAsia="sk-SK"/>
              </w:rPr>
            </w:pPr>
          </w:p>
        </w:tc>
      </w:tr>
      <w:tr w:rsidR="00484580" w:rsidRPr="009F6C75" w:rsidTr="00484580">
        <w:trPr>
          <w:trHeight w:val="561"/>
        </w:trPr>
        <w:tc>
          <w:tcPr>
            <w:tcW w:w="710" w:type="dxa"/>
          </w:tcPr>
          <w:p w:rsidR="00484580" w:rsidRDefault="00484580" w:rsidP="00C475DC">
            <w:pPr>
              <w:ind w:left="-142"/>
              <w:jc w:val="both"/>
              <w:rPr>
                <w:rFonts w:ascii="Times New Roman" w:eastAsiaTheme="minorEastAsia" w:hAnsi="Times New Roman"/>
                <w:b/>
                <w:bCs/>
                <w:snapToGrid w:val="0"/>
                <w:sz w:val="18"/>
                <w:szCs w:val="18"/>
                <w:lang w:eastAsia="sk-SK"/>
              </w:rPr>
            </w:pPr>
          </w:p>
          <w:p w:rsidR="00484580" w:rsidRPr="00484580" w:rsidRDefault="00484580" w:rsidP="00484580">
            <w:pPr>
              <w:rPr>
                <w:rFonts w:ascii="Times New Roman" w:eastAsiaTheme="minorEastAsia" w:hAnsi="Times New Roman"/>
                <w:sz w:val="18"/>
                <w:szCs w:val="18"/>
                <w:lang w:eastAsia="sk-SK"/>
              </w:rPr>
            </w:pPr>
            <w:r>
              <w:rPr>
                <w:rFonts w:ascii="Times New Roman" w:eastAsiaTheme="minorEastAsia" w:hAnsi="Times New Roman"/>
                <w:sz w:val="18"/>
                <w:szCs w:val="18"/>
                <w:lang w:eastAsia="sk-SK"/>
              </w:rPr>
              <w:t>Č: 114</w:t>
            </w:r>
          </w:p>
        </w:tc>
        <w:tc>
          <w:tcPr>
            <w:tcW w:w="3813" w:type="dxa"/>
          </w:tcPr>
          <w:p w:rsidR="00484580" w:rsidRDefault="00484580" w:rsidP="00484580">
            <w:pPr>
              <w:jc w:val="both"/>
              <w:rPr>
                <w:rFonts w:ascii="Times New Roman" w:eastAsiaTheme="minorEastAsia" w:hAnsi="Times New Roman"/>
                <w:b/>
                <w:bCs/>
                <w:snapToGrid w:val="0"/>
                <w:sz w:val="18"/>
                <w:szCs w:val="18"/>
                <w:lang w:eastAsia="sk-SK"/>
              </w:rPr>
            </w:pPr>
          </w:p>
          <w:p w:rsidR="00484580" w:rsidRPr="00C475DC" w:rsidRDefault="00484580" w:rsidP="00484580">
            <w:pPr>
              <w:jc w:val="both"/>
              <w:rPr>
                <w:rFonts w:ascii="Times New Roman" w:eastAsiaTheme="minorEastAsia" w:hAnsi="Times New Roman"/>
                <w:b/>
                <w:bCs/>
                <w:snapToGrid w:val="0"/>
                <w:sz w:val="18"/>
                <w:szCs w:val="18"/>
                <w:lang w:eastAsia="sk-SK"/>
              </w:rPr>
            </w:pPr>
            <w:r>
              <w:rPr>
                <w:rFonts w:ascii="Times New Roman" w:eastAsiaTheme="minorEastAsia" w:hAnsi="Times New Roman"/>
                <w:b/>
                <w:bCs/>
                <w:snapToGrid w:val="0"/>
                <w:sz w:val="18"/>
                <w:szCs w:val="18"/>
                <w:lang w:eastAsia="sk-SK"/>
              </w:rPr>
              <w:t>Povinnosti prenosu</w:t>
            </w:r>
          </w:p>
        </w:tc>
        <w:tc>
          <w:tcPr>
            <w:tcW w:w="968" w:type="dxa"/>
          </w:tcPr>
          <w:p w:rsidR="00484580" w:rsidRPr="00C475DC" w:rsidRDefault="00484580" w:rsidP="00C475DC">
            <w:pPr>
              <w:jc w:val="center"/>
              <w:rPr>
                <w:rFonts w:ascii="Times New Roman" w:eastAsiaTheme="minorEastAsia" w:hAnsi="Times New Roman"/>
                <w:b/>
                <w:bCs/>
                <w:snapToGrid w:val="0"/>
                <w:sz w:val="18"/>
                <w:szCs w:val="18"/>
                <w:lang w:eastAsia="sk-SK"/>
              </w:rPr>
            </w:pPr>
          </w:p>
        </w:tc>
        <w:tc>
          <w:tcPr>
            <w:tcW w:w="1177" w:type="dxa"/>
          </w:tcPr>
          <w:p w:rsidR="00484580" w:rsidRPr="00C475DC" w:rsidRDefault="00484580" w:rsidP="00C475DC">
            <w:pPr>
              <w:jc w:val="center"/>
              <w:rPr>
                <w:rFonts w:ascii="Times New Roman" w:eastAsiaTheme="minorEastAsia" w:hAnsi="Times New Roman"/>
                <w:b/>
                <w:bCs/>
                <w:snapToGrid w:val="0"/>
                <w:sz w:val="18"/>
                <w:szCs w:val="18"/>
                <w:lang w:eastAsia="sk-SK"/>
              </w:rPr>
            </w:pPr>
          </w:p>
        </w:tc>
        <w:tc>
          <w:tcPr>
            <w:tcW w:w="1135" w:type="dxa"/>
          </w:tcPr>
          <w:p w:rsidR="00484580" w:rsidRPr="00C475DC" w:rsidRDefault="00484580" w:rsidP="00C475DC">
            <w:pPr>
              <w:jc w:val="center"/>
              <w:rPr>
                <w:rFonts w:ascii="Times New Roman" w:eastAsiaTheme="minorEastAsia" w:hAnsi="Times New Roman"/>
                <w:b/>
                <w:bCs/>
                <w:snapToGrid w:val="0"/>
                <w:sz w:val="18"/>
                <w:szCs w:val="18"/>
                <w:lang w:eastAsia="sk-SK"/>
              </w:rPr>
            </w:pPr>
          </w:p>
        </w:tc>
        <w:tc>
          <w:tcPr>
            <w:tcW w:w="4398" w:type="dxa"/>
          </w:tcPr>
          <w:p w:rsidR="00484580" w:rsidRPr="00C475DC" w:rsidRDefault="00484580" w:rsidP="00C475DC">
            <w:pPr>
              <w:jc w:val="center"/>
              <w:rPr>
                <w:rFonts w:ascii="Times New Roman" w:eastAsiaTheme="minorEastAsia" w:hAnsi="Times New Roman"/>
                <w:b/>
                <w:bCs/>
                <w:snapToGrid w:val="0"/>
                <w:sz w:val="18"/>
                <w:szCs w:val="18"/>
                <w:lang w:eastAsia="sk-SK"/>
              </w:rPr>
            </w:pPr>
          </w:p>
        </w:tc>
        <w:tc>
          <w:tcPr>
            <w:tcW w:w="1135" w:type="dxa"/>
          </w:tcPr>
          <w:p w:rsidR="00484580" w:rsidRPr="00C475DC" w:rsidRDefault="00484580" w:rsidP="00C475DC">
            <w:pPr>
              <w:jc w:val="center"/>
              <w:rPr>
                <w:rFonts w:ascii="Times New Roman" w:eastAsiaTheme="minorEastAsia" w:hAnsi="Times New Roman"/>
                <w:b/>
                <w:bCs/>
                <w:snapToGrid w:val="0"/>
                <w:sz w:val="18"/>
                <w:szCs w:val="18"/>
                <w:lang w:eastAsia="sk-SK"/>
              </w:rPr>
            </w:pPr>
          </w:p>
        </w:tc>
        <w:tc>
          <w:tcPr>
            <w:tcW w:w="1089" w:type="dxa"/>
          </w:tcPr>
          <w:p w:rsidR="00484580" w:rsidRPr="00C475DC" w:rsidRDefault="00484580" w:rsidP="00C475DC">
            <w:pPr>
              <w:jc w:val="center"/>
              <w:rPr>
                <w:rFonts w:ascii="Times New Roman" w:eastAsiaTheme="minorEastAsia" w:hAnsi="Times New Roman"/>
                <w:b/>
                <w:bCs/>
                <w:snapToGrid w:val="0"/>
                <w:sz w:val="18"/>
                <w:szCs w:val="18"/>
                <w:lang w:eastAsia="sk-SK"/>
              </w:rPr>
            </w:pPr>
          </w:p>
        </w:tc>
      </w:tr>
      <w:tr w:rsidR="00C475DC" w:rsidRPr="009F6C75" w:rsidTr="00C475DC">
        <w:trPr>
          <w:trHeight w:val="1182"/>
        </w:trPr>
        <w:tc>
          <w:tcPr>
            <w:tcW w:w="710" w:type="dxa"/>
          </w:tcPr>
          <w:p w:rsidR="00C475DC" w:rsidRPr="009F6C75" w:rsidRDefault="00C475DC" w:rsidP="00C475DC">
            <w:pPr>
              <w:keepNext/>
              <w:outlineLvl w:val="7"/>
              <w:rPr>
                <w:rFonts w:ascii="Times New Roman" w:eastAsiaTheme="minorEastAsia" w:hAnsi="Times New Roman"/>
                <w:b/>
                <w:bCs/>
                <w:sz w:val="18"/>
                <w:szCs w:val="18"/>
                <w:lang w:eastAsia="sk-SK"/>
              </w:rPr>
            </w:pPr>
            <w:r>
              <w:rPr>
                <w:rFonts w:ascii="Times New Roman" w:eastAsiaTheme="minorEastAsia" w:hAnsi="Times New Roman"/>
                <w:b/>
                <w:bCs/>
                <w:sz w:val="18"/>
                <w:szCs w:val="18"/>
                <w:lang w:eastAsia="sk-SK"/>
              </w:rPr>
              <w:t>Č:</w:t>
            </w:r>
            <w:r w:rsidR="00484580">
              <w:rPr>
                <w:rFonts w:ascii="Times New Roman" w:eastAsiaTheme="minorEastAsia" w:hAnsi="Times New Roman"/>
                <w:b/>
                <w:bCs/>
                <w:sz w:val="18"/>
                <w:szCs w:val="18"/>
                <w:lang w:eastAsia="sk-SK"/>
              </w:rPr>
              <w:t>114</w:t>
            </w:r>
          </w:p>
          <w:p w:rsidR="00C475DC" w:rsidRDefault="00C475DC" w:rsidP="00C475DC">
            <w:pPr>
              <w:keepNext/>
              <w:spacing w:line="240" w:lineRule="exact"/>
              <w:outlineLvl w:val="8"/>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 xml:space="preserve">O: </w:t>
            </w:r>
            <w:r w:rsidR="00484580">
              <w:rPr>
                <w:rFonts w:ascii="Times New Roman" w:eastAsiaTheme="minorEastAsia" w:hAnsi="Times New Roman"/>
                <w:sz w:val="18"/>
                <w:szCs w:val="18"/>
                <w:lang w:eastAsia="sk-SK"/>
              </w:rPr>
              <w:t>1</w:t>
            </w:r>
          </w:p>
          <w:p w:rsidR="00C475DC" w:rsidRPr="00C475DC" w:rsidRDefault="00C475DC" w:rsidP="00C475DC">
            <w:pPr>
              <w:rPr>
                <w:rFonts w:ascii="Times New Roman" w:eastAsiaTheme="minorEastAsia" w:hAnsi="Times New Roman"/>
                <w:sz w:val="18"/>
                <w:szCs w:val="18"/>
                <w:lang w:eastAsia="sk-SK"/>
              </w:rPr>
            </w:pPr>
          </w:p>
        </w:tc>
        <w:tc>
          <w:tcPr>
            <w:tcW w:w="3813" w:type="dxa"/>
          </w:tcPr>
          <w:p w:rsidR="00C475DC" w:rsidRPr="009F6C75" w:rsidRDefault="00484580" w:rsidP="00C475DC">
            <w:pPr>
              <w:widowControl w:val="0"/>
              <w:ind w:left="20"/>
              <w:rPr>
                <w:rFonts w:ascii="Times New Roman" w:eastAsiaTheme="minorEastAsia" w:hAnsi="Times New Roman"/>
                <w:sz w:val="18"/>
                <w:szCs w:val="18"/>
                <w:lang w:eastAsia="sk-SK"/>
              </w:rPr>
            </w:pPr>
            <w:r>
              <w:rPr>
                <w:rFonts w:ascii="Times New Roman" w:eastAsiaTheme="minorEastAsia" w:hAnsi="Times New Roman"/>
                <w:sz w:val="18"/>
                <w:szCs w:val="18"/>
                <w:lang w:eastAsia="sk-SK"/>
              </w:rPr>
              <w:t>Č</w:t>
            </w:r>
            <w:r w:rsidRPr="00484580">
              <w:rPr>
                <w:rFonts w:ascii="Times New Roman" w:eastAsiaTheme="minorEastAsia" w:hAnsi="Times New Roman"/>
                <w:sz w:val="18"/>
                <w:szCs w:val="18"/>
                <w:lang w:eastAsia="sk-SK"/>
              </w:rPr>
              <w:t>lenské štáty môžu v rámci svojej jurisdikcie uložiť podnikom, ktoré poskytujú elektronické komunikačné siete a služby používané na šírenie rozhlasových alebo televíznych vysielacích kanálov pre verejnosť, primerané povinnosti prenosu týkajúce sa vysielania určených rozhlasových a televíznych vysielacích kanálov a súvisiacich doplnkových služieb, najmä služieb umožňujúcich primeraný prístup koncovým používateľom so zdravotným postihnutím, ako aj dát podporujúcich služby televízie s internetom a elektronických programových sprievodcov, a to v prípade, ak značný počet koncových používateľov takýchto sietí a služieb ich používa ako hlavný prostriedok na príjem rozhlasového a televízneho vysielania. Takéto povinnosti sa uložia len vtedy, keď je to potrebné na splnenie cieľov všeobecného záujmu, ktoré jasne vymedzí každý členský štát, pričom uvedené povinnosti musia byť primerané a transparentné</w:t>
            </w:r>
            <w:r w:rsidR="00C475DC" w:rsidRPr="00AD36CC">
              <w:rPr>
                <w:rFonts w:ascii="Times New Roman" w:eastAsiaTheme="minorEastAsia" w:hAnsi="Times New Roman"/>
                <w:sz w:val="18"/>
                <w:szCs w:val="18"/>
                <w:lang w:eastAsia="sk-SK"/>
              </w:rPr>
              <w:t xml:space="preserve"> </w:t>
            </w:r>
          </w:p>
        </w:tc>
        <w:tc>
          <w:tcPr>
            <w:tcW w:w="968" w:type="dxa"/>
          </w:tcPr>
          <w:p w:rsidR="00C475DC" w:rsidRPr="00C475DC" w:rsidRDefault="00484580" w:rsidP="00C475DC">
            <w:pPr>
              <w:jc w:val="center"/>
              <w:rPr>
                <w:rFonts w:ascii="Times New Roman" w:eastAsiaTheme="minorEastAsia" w:hAnsi="Times New Roman"/>
                <w:b/>
                <w:bCs/>
                <w:snapToGrid w:val="0"/>
                <w:sz w:val="18"/>
                <w:szCs w:val="18"/>
                <w:lang w:eastAsia="sk-SK"/>
              </w:rPr>
            </w:pPr>
            <w:r>
              <w:rPr>
                <w:rFonts w:ascii="Times New Roman" w:eastAsiaTheme="minorEastAsia" w:hAnsi="Times New Roman"/>
                <w:b/>
                <w:bCs/>
                <w:snapToGrid w:val="0"/>
                <w:sz w:val="18"/>
                <w:szCs w:val="18"/>
                <w:lang w:eastAsia="sk-SK"/>
              </w:rPr>
              <w:t>D</w:t>
            </w:r>
          </w:p>
        </w:tc>
        <w:tc>
          <w:tcPr>
            <w:tcW w:w="1177" w:type="dxa"/>
          </w:tcPr>
          <w:p w:rsidR="00C475DC" w:rsidRPr="00C475DC" w:rsidRDefault="00C475DC" w:rsidP="00C475DC">
            <w:pPr>
              <w:jc w:val="center"/>
              <w:rPr>
                <w:rFonts w:ascii="Times New Roman" w:eastAsiaTheme="minorEastAsia" w:hAnsi="Times New Roman"/>
                <w:b/>
                <w:bCs/>
                <w:snapToGrid w:val="0"/>
                <w:sz w:val="18"/>
                <w:szCs w:val="18"/>
                <w:lang w:eastAsia="sk-SK"/>
              </w:rPr>
            </w:pPr>
            <w:r>
              <w:rPr>
                <w:rFonts w:ascii="Times New Roman" w:eastAsiaTheme="minorEastAsia" w:hAnsi="Times New Roman"/>
                <w:b/>
                <w:bCs/>
                <w:snapToGrid w:val="0"/>
                <w:sz w:val="18"/>
                <w:szCs w:val="18"/>
                <w:lang w:eastAsia="sk-SK"/>
              </w:rPr>
              <w:t>1.</w:t>
            </w:r>
          </w:p>
        </w:tc>
        <w:tc>
          <w:tcPr>
            <w:tcW w:w="1135" w:type="dxa"/>
          </w:tcPr>
          <w:p w:rsidR="00C475DC" w:rsidRPr="00FB52F0" w:rsidRDefault="00484580" w:rsidP="00C475DC">
            <w:pPr>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30</w:t>
            </w:r>
          </w:p>
          <w:p w:rsidR="00C475DC" w:rsidRDefault="00C475DC" w:rsidP="00C475DC">
            <w:pPr>
              <w:rPr>
                <w:rFonts w:ascii="Times New Roman" w:eastAsiaTheme="minorEastAsia" w:hAnsi="Times New Roman"/>
                <w:sz w:val="18"/>
                <w:szCs w:val="18"/>
                <w:lang w:eastAsia="sk-SK"/>
              </w:rPr>
            </w:pPr>
            <w:r w:rsidRPr="00FB52F0">
              <w:rPr>
                <w:rFonts w:ascii="Times New Roman" w:eastAsiaTheme="minorEastAsia" w:hAnsi="Times New Roman"/>
                <w:sz w:val="18"/>
                <w:szCs w:val="18"/>
                <w:lang w:eastAsia="sk-SK"/>
              </w:rPr>
              <w:t>O 1</w:t>
            </w:r>
            <w:r>
              <w:rPr>
                <w:rFonts w:ascii="Times New Roman" w:eastAsiaTheme="minorEastAsia" w:hAnsi="Times New Roman"/>
                <w:sz w:val="18"/>
                <w:szCs w:val="18"/>
                <w:lang w:eastAsia="sk-SK"/>
              </w:rPr>
              <w:t xml:space="preserve"> </w:t>
            </w: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484580" w:rsidRDefault="00484580" w:rsidP="00C475DC">
            <w:pPr>
              <w:rPr>
                <w:rFonts w:ascii="Times New Roman" w:eastAsiaTheme="minorEastAsia" w:hAnsi="Times New Roman"/>
                <w:sz w:val="18"/>
                <w:szCs w:val="18"/>
                <w:lang w:eastAsia="sk-SK"/>
              </w:rPr>
            </w:pPr>
          </w:p>
          <w:p w:rsidR="00484580" w:rsidRDefault="00484580" w:rsidP="00C475DC">
            <w:pPr>
              <w:rPr>
                <w:rFonts w:ascii="Times New Roman" w:eastAsiaTheme="minorEastAsia" w:hAnsi="Times New Roman"/>
                <w:sz w:val="18"/>
                <w:szCs w:val="18"/>
                <w:lang w:eastAsia="sk-SK"/>
              </w:rPr>
            </w:pPr>
          </w:p>
          <w:p w:rsidR="00484580" w:rsidRDefault="00484580" w:rsidP="00C475DC">
            <w:pPr>
              <w:rPr>
                <w:rFonts w:ascii="Times New Roman" w:eastAsiaTheme="minorEastAsia" w:hAnsi="Times New Roman"/>
                <w:sz w:val="18"/>
                <w:szCs w:val="18"/>
                <w:lang w:eastAsia="sk-SK"/>
              </w:rPr>
            </w:pPr>
          </w:p>
          <w:p w:rsidR="00484580" w:rsidRDefault="00484580" w:rsidP="00C475DC">
            <w:pPr>
              <w:rPr>
                <w:rFonts w:ascii="Times New Roman" w:eastAsiaTheme="minorEastAsia" w:hAnsi="Times New Roman"/>
                <w:sz w:val="18"/>
                <w:szCs w:val="18"/>
                <w:lang w:eastAsia="sk-SK"/>
              </w:rPr>
            </w:pPr>
          </w:p>
          <w:p w:rsidR="00484580" w:rsidRDefault="00484580"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sz w:val="18"/>
                <w:szCs w:val="18"/>
                <w:lang w:eastAsia="sk-SK"/>
              </w:rPr>
            </w:pPr>
          </w:p>
          <w:p w:rsidR="00C475DC" w:rsidRDefault="00C475DC"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Pr="00FB52F0" w:rsidRDefault="00484580" w:rsidP="00484580">
            <w:pPr>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30</w:t>
            </w:r>
          </w:p>
          <w:p w:rsidR="00484580" w:rsidRDefault="00484580" w:rsidP="00484580">
            <w:pPr>
              <w:rPr>
                <w:rFonts w:ascii="Times New Roman" w:eastAsiaTheme="minorEastAsia" w:hAnsi="Times New Roman"/>
                <w:sz w:val="18"/>
                <w:szCs w:val="18"/>
                <w:lang w:eastAsia="sk-SK"/>
              </w:rPr>
            </w:pPr>
            <w:r w:rsidRPr="00FB52F0">
              <w:rPr>
                <w:rFonts w:ascii="Times New Roman" w:eastAsiaTheme="minorEastAsia" w:hAnsi="Times New Roman"/>
                <w:sz w:val="18"/>
                <w:szCs w:val="18"/>
                <w:lang w:eastAsia="sk-SK"/>
              </w:rPr>
              <w:t>O </w:t>
            </w:r>
            <w:r>
              <w:rPr>
                <w:rFonts w:ascii="Times New Roman" w:eastAsiaTheme="minorEastAsia" w:hAnsi="Times New Roman"/>
                <w:sz w:val="18"/>
                <w:szCs w:val="18"/>
                <w:lang w:eastAsia="sk-SK"/>
              </w:rPr>
              <w:t>4</w:t>
            </w: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Default="00484580" w:rsidP="00C475DC">
            <w:pPr>
              <w:rPr>
                <w:rFonts w:ascii="Times New Roman" w:eastAsiaTheme="minorEastAsia" w:hAnsi="Times New Roman"/>
                <w:b/>
                <w:bCs/>
                <w:snapToGrid w:val="0"/>
                <w:sz w:val="18"/>
                <w:szCs w:val="18"/>
                <w:lang w:eastAsia="sk-SK"/>
              </w:rPr>
            </w:pPr>
          </w:p>
          <w:p w:rsidR="00484580" w:rsidRPr="00484580" w:rsidRDefault="00484580" w:rsidP="00C475DC">
            <w:pPr>
              <w:rPr>
                <w:rFonts w:ascii="Times New Roman" w:eastAsiaTheme="minorEastAsia" w:hAnsi="Times New Roman"/>
                <w:bCs/>
                <w:snapToGrid w:val="0"/>
                <w:sz w:val="18"/>
                <w:szCs w:val="18"/>
                <w:lang w:eastAsia="sk-SK"/>
              </w:rPr>
            </w:pPr>
            <w:r w:rsidRPr="00484580">
              <w:rPr>
                <w:rFonts w:ascii="Times New Roman" w:eastAsiaTheme="minorEastAsia" w:hAnsi="Times New Roman"/>
                <w:bCs/>
                <w:snapToGrid w:val="0"/>
                <w:sz w:val="18"/>
                <w:szCs w:val="18"/>
                <w:lang w:eastAsia="sk-SK"/>
              </w:rPr>
              <w:t>§ 30</w:t>
            </w:r>
          </w:p>
          <w:p w:rsidR="00484580" w:rsidRPr="00C475DC" w:rsidRDefault="00484580" w:rsidP="00C475DC">
            <w:pPr>
              <w:rPr>
                <w:rFonts w:ascii="Times New Roman" w:eastAsiaTheme="minorEastAsia" w:hAnsi="Times New Roman"/>
                <w:b/>
                <w:bCs/>
                <w:snapToGrid w:val="0"/>
                <w:sz w:val="18"/>
                <w:szCs w:val="18"/>
                <w:lang w:eastAsia="sk-SK"/>
              </w:rPr>
            </w:pPr>
            <w:r w:rsidRPr="00484580">
              <w:rPr>
                <w:rFonts w:ascii="Times New Roman" w:eastAsiaTheme="minorEastAsia" w:hAnsi="Times New Roman"/>
                <w:bCs/>
                <w:snapToGrid w:val="0"/>
                <w:sz w:val="18"/>
                <w:szCs w:val="18"/>
                <w:lang w:eastAsia="sk-SK"/>
              </w:rPr>
              <w:t>O 5</w:t>
            </w:r>
          </w:p>
        </w:tc>
        <w:tc>
          <w:tcPr>
            <w:tcW w:w="4398" w:type="dxa"/>
          </w:tcPr>
          <w:p w:rsidR="00484580" w:rsidRPr="00484580" w:rsidRDefault="00484580" w:rsidP="00484580">
            <w:pPr>
              <w:widowControl w:val="0"/>
              <w:numPr>
                <w:ilvl w:val="2"/>
                <w:numId w:val="5"/>
              </w:numPr>
              <w:ind w:left="426" w:hanging="426"/>
              <w:jc w:val="both"/>
              <w:rPr>
                <w:rFonts w:ascii="Times New Roman" w:eastAsiaTheme="minorEastAsia" w:hAnsi="Times New Roman"/>
                <w:sz w:val="18"/>
                <w:szCs w:val="18"/>
                <w:lang w:eastAsia="sk-SK"/>
              </w:rPr>
            </w:pPr>
            <w:r w:rsidRPr="00484580">
              <w:rPr>
                <w:rFonts w:ascii="Times New Roman" w:eastAsiaTheme="minorEastAsia" w:hAnsi="Times New Roman"/>
                <w:sz w:val="18"/>
                <w:szCs w:val="18"/>
                <w:lang w:eastAsia="sk-SK"/>
              </w:rPr>
              <w:lastRenderedPageBreak/>
              <w:t xml:space="preserve">Prevádzkovateľ retransmisie je povinný </w:t>
            </w:r>
          </w:p>
          <w:p w:rsidR="00484580" w:rsidRPr="00484580" w:rsidRDefault="00484580" w:rsidP="00484580">
            <w:pPr>
              <w:widowControl w:val="0"/>
              <w:jc w:val="both"/>
              <w:rPr>
                <w:rFonts w:ascii="Times New Roman" w:eastAsiaTheme="minorEastAsia" w:hAnsi="Times New Roman"/>
                <w:sz w:val="18"/>
                <w:szCs w:val="18"/>
                <w:lang w:eastAsia="sk-SK"/>
              </w:rPr>
            </w:pPr>
            <w:r w:rsidRPr="00484580">
              <w:rPr>
                <w:rFonts w:ascii="Times New Roman" w:eastAsiaTheme="minorEastAsia" w:hAnsi="Times New Roman"/>
                <w:sz w:val="18"/>
                <w:szCs w:val="18"/>
                <w:lang w:eastAsia="sk-SK"/>
              </w:rPr>
              <w:t xml:space="preserve"> </w:t>
            </w:r>
          </w:p>
          <w:p w:rsidR="00484580" w:rsidRPr="00484580" w:rsidRDefault="00484580" w:rsidP="00484580">
            <w:pPr>
              <w:widowControl w:val="0"/>
              <w:numPr>
                <w:ilvl w:val="0"/>
                <w:numId w:val="6"/>
              </w:numPr>
              <w:ind w:left="709"/>
              <w:jc w:val="both"/>
              <w:rPr>
                <w:rFonts w:ascii="Times New Roman" w:eastAsiaTheme="minorEastAsia" w:hAnsi="Times New Roman"/>
                <w:sz w:val="18"/>
                <w:szCs w:val="18"/>
                <w:lang w:eastAsia="sk-SK"/>
              </w:rPr>
            </w:pPr>
            <w:r w:rsidRPr="00484580">
              <w:rPr>
                <w:rFonts w:ascii="Times New Roman" w:eastAsiaTheme="minorEastAsia" w:hAnsi="Times New Roman"/>
                <w:sz w:val="18"/>
                <w:szCs w:val="18"/>
                <w:lang w:eastAsia="sk-SK"/>
              </w:rPr>
              <w:t xml:space="preserve">zabezpečiť, aby do základnej programovej ponuky boli obojstranne bezplatne zaradené programové služby </w:t>
            </w:r>
          </w:p>
          <w:p w:rsidR="00484580" w:rsidRPr="00484580" w:rsidRDefault="00484580" w:rsidP="00484580">
            <w:pPr>
              <w:pStyle w:val="Odsekzoznamu"/>
              <w:widowControl w:val="0"/>
              <w:numPr>
                <w:ilvl w:val="3"/>
                <w:numId w:val="6"/>
              </w:numPr>
              <w:ind w:left="1134"/>
              <w:jc w:val="both"/>
              <w:rPr>
                <w:rFonts w:ascii="Times New Roman" w:eastAsiaTheme="minorEastAsia" w:hAnsi="Times New Roman"/>
                <w:sz w:val="18"/>
                <w:szCs w:val="18"/>
                <w:lang w:eastAsia="sk-SK"/>
              </w:rPr>
            </w:pPr>
            <w:r w:rsidRPr="00484580">
              <w:rPr>
                <w:rFonts w:ascii="Times New Roman" w:eastAsiaTheme="minorEastAsia" w:hAnsi="Times New Roman"/>
                <w:sz w:val="18"/>
                <w:szCs w:val="18"/>
                <w:lang w:eastAsia="sk-SK"/>
              </w:rPr>
              <w:t>verejnoprávneho vysielateľa, okrem monotypových programových služieb, vysielania programových služieb prostredníctvom internetu, vysielania programovej služby do zahraničia a digitálneho vysielania rozhlasovej programovej služby,</w:t>
            </w:r>
          </w:p>
          <w:p w:rsidR="00484580" w:rsidRPr="00484580" w:rsidRDefault="00484580" w:rsidP="00484580">
            <w:pPr>
              <w:pStyle w:val="Odsekzoznamu"/>
              <w:widowControl w:val="0"/>
              <w:numPr>
                <w:ilvl w:val="3"/>
                <w:numId w:val="6"/>
              </w:numPr>
              <w:ind w:left="1134"/>
              <w:jc w:val="both"/>
              <w:rPr>
                <w:rFonts w:ascii="Times New Roman" w:eastAsiaTheme="minorEastAsia" w:hAnsi="Times New Roman"/>
                <w:sz w:val="18"/>
                <w:szCs w:val="18"/>
                <w:lang w:eastAsia="sk-SK"/>
              </w:rPr>
            </w:pPr>
            <w:r w:rsidRPr="00484580">
              <w:rPr>
                <w:rFonts w:ascii="Times New Roman" w:eastAsiaTheme="minorEastAsia" w:hAnsi="Times New Roman"/>
                <w:sz w:val="18"/>
                <w:szCs w:val="18"/>
                <w:lang w:eastAsia="sk-SK"/>
              </w:rPr>
              <w:t>oprávnených vysielateľov, ktoré možno prijímať bežným prijímacím zariadením v mieste príjmu, okrem digitálneho vysielania,</w:t>
            </w:r>
          </w:p>
          <w:p w:rsidR="00484580" w:rsidRPr="00484580" w:rsidRDefault="00484580" w:rsidP="00484580">
            <w:pPr>
              <w:pStyle w:val="Odsekzoznamu"/>
              <w:widowControl w:val="0"/>
              <w:ind w:left="1134"/>
              <w:jc w:val="both"/>
              <w:rPr>
                <w:rFonts w:ascii="Times New Roman" w:eastAsiaTheme="minorEastAsia" w:hAnsi="Times New Roman"/>
                <w:sz w:val="18"/>
                <w:szCs w:val="18"/>
                <w:lang w:eastAsia="sk-SK"/>
              </w:rPr>
            </w:pPr>
          </w:p>
          <w:p w:rsidR="00484580" w:rsidRPr="00484580" w:rsidRDefault="00484580" w:rsidP="00484580">
            <w:pPr>
              <w:widowControl w:val="0"/>
              <w:numPr>
                <w:ilvl w:val="0"/>
                <w:numId w:val="6"/>
              </w:numPr>
              <w:ind w:left="709"/>
              <w:jc w:val="both"/>
              <w:rPr>
                <w:rFonts w:ascii="Times New Roman" w:eastAsiaTheme="minorEastAsia" w:hAnsi="Times New Roman"/>
                <w:sz w:val="18"/>
                <w:szCs w:val="18"/>
                <w:lang w:eastAsia="sk-SK"/>
              </w:rPr>
            </w:pPr>
            <w:r w:rsidRPr="00484580">
              <w:rPr>
                <w:rFonts w:ascii="Times New Roman" w:eastAsiaTheme="minorEastAsia" w:hAnsi="Times New Roman"/>
                <w:sz w:val="18"/>
                <w:szCs w:val="18"/>
                <w:lang w:eastAsia="sk-SK"/>
              </w:rPr>
              <w:t xml:space="preserve">zabezpečiť , aby do základnej programovej ponuky bola bezplatne zaradená programová služba oprávneného vysielateľa na lokálne digitálne vysielanie televíznej programovej služby, pre ktorej vysielanie bola v miestnom multiplexe dostupnom v mieste príjmu vyhradená verejná kapacita, ak s týmto zaradením vysielateľ súhlasí, a tam, kde to zabezpečiť nie je možné, je prevádzkovateľ </w:t>
            </w:r>
            <w:r w:rsidRPr="00484580">
              <w:rPr>
                <w:rFonts w:ascii="Times New Roman" w:eastAsiaTheme="minorEastAsia" w:hAnsi="Times New Roman"/>
                <w:sz w:val="18"/>
                <w:szCs w:val="18"/>
                <w:lang w:eastAsia="sk-SK"/>
              </w:rPr>
              <w:lastRenderedPageBreak/>
              <w:t>povinný  technickyzabezpečiť, aby bol bezplatne vyhradený jeden kanál prístupný verejnosti v základnej programovej ponuke pre vysielanie komunitného média; ak bola verejná kapacita v miestnom multiplexe dostupnom v mieste príjmu vyhradená pre viacero programových služieb bezplatne alebo pre viacero programových služieb, z ktorých ani jednej nebola verejná kapacita vyhradená bezplatne, môže prevádzkovateľ retransmisie rozhodnúť, ktorú z nich zaradí do základnej programovej ponuky, inak do základnej programovej ponuky zaradí tú programovú službu, pre ktorej vysielanie bola v miestnom multiplexe dostupnom v mieste príjmu vyhradená verejná kapacita bezplatne,</w:t>
            </w:r>
          </w:p>
          <w:p w:rsidR="00484580" w:rsidRPr="00484580" w:rsidRDefault="00484580" w:rsidP="00484580">
            <w:pPr>
              <w:rPr>
                <w:rFonts w:ascii="Times New Roman" w:eastAsiaTheme="minorEastAsia" w:hAnsi="Times New Roman"/>
                <w:sz w:val="18"/>
                <w:szCs w:val="18"/>
                <w:lang w:eastAsia="sk-SK"/>
              </w:rPr>
            </w:pPr>
          </w:p>
          <w:p w:rsidR="00484580" w:rsidRPr="00484580" w:rsidRDefault="00484580" w:rsidP="00484580">
            <w:pPr>
              <w:widowControl w:val="0"/>
              <w:numPr>
                <w:ilvl w:val="0"/>
                <w:numId w:val="6"/>
              </w:numPr>
              <w:ind w:left="709"/>
              <w:jc w:val="both"/>
              <w:rPr>
                <w:rFonts w:ascii="Times New Roman" w:eastAsiaTheme="minorEastAsia" w:hAnsi="Times New Roman"/>
                <w:sz w:val="18"/>
                <w:szCs w:val="18"/>
                <w:lang w:eastAsia="sk-SK"/>
              </w:rPr>
            </w:pPr>
            <w:r w:rsidRPr="00484580">
              <w:rPr>
                <w:rFonts w:ascii="Times New Roman" w:eastAsiaTheme="minorEastAsia" w:hAnsi="Times New Roman"/>
                <w:sz w:val="18"/>
                <w:szCs w:val="18"/>
                <w:lang w:eastAsia="sk-SK"/>
              </w:rPr>
              <w:t>poskytovať retransmisiu multimodálneho prístupu k programovej službe, ak tvorí súčasť vysielania televíznej programovej služby,</w:t>
            </w:r>
          </w:p>
          <w:p w:rsidR="00484580" w:rsidRPr="00484580" w:rsidRDefault="00484580" w:rsidP="00484580">
            <w:pPr>
              <w:widowControl w:val="0"/>
              <w:ind w:left="709"/>
              <w:jc w:val="both"/>
              <w:rPr>
                <w:rFonts w:ascii="Times New Roman" w:eastAsiaTheme="minorEastAsia" w:hAnsi="Times New Roman"/>
                <w:sz w:val="18"/>
                <w:szCs w:val="18"/>
                <w:lang w:eastAsia="sk-SK"/>
              </w:rPr>
            </w:pPr>
          </w:p>
          <w:p w:rsidR="00484580" w:rsidRPr="00484580" w:rsidRDefault="00484580" w:rsidP="00484580">
            <w:pPr>
              <w:widowControl w:val="0"/>
              <w:numPr>
                <w:ilvl w:val="0"/>
                <w:numId w:val="6"/>
              </w:numPr>
              <w:ind w:left="709"/>
              <w:jc w:val="both"/>
              <w:rPr>
                <w:rFonts w:ascii="Times New Roman" w:eastAsiaTheme="minorEastAsia" w:hAnsi="Times New Roman"/>
                <w:sz w:val="18"/>
                <w:szCs w:val="18"/>
                <w:lang w:eastAsia="sk-SK"/>
              </w:rPr>
            </w:pPr>
            <w:r w:rsidRPr="00484580">
              <w:rPr>
                <w:rFonts w:ascii="Times New Roman" w:eastAsiaTheme="minorEastAsia" w:hAnsi="Times New Roman"/>
                <w:sz w:val="18"/>
                <w:szCs w:val="18"/>
                <w:lang w:eastAsia="sk-SK"/>
              </w:rPr>
              <w:t>zapísať činnosť vykonávanú podľa tohto zákona ako predmet činnosti do obchodného registra ak je právnickou osobou; návrh na zápis činnosti je prevádzkovateľ retransmisie povinný podať najneskôr do 60 dní odo dňa registrácie  retransmisie.</w:t>
            </w:r>
          </w:p>
          <w:p w:rsidR="00C475DC" w:rsidRDefault="00C475DC" w:rsidP="00484580">
            <w:pPr>
              <w:tabs>
                <w:tab w:val="left" w:pos="284"/>
                <w:tab w:val="left" w:pos="2835"/>
              </w:tabs>
              <w:jc w:val="both"/>
              <w:rPr>
                <w:rFonts w:ascii="Times New Roman" w:eastAsiaTheme="minorEastAsia" w:hAnsi="Times New Roman"/>
                <w:sz w:val="18"/>
                <w:szCs w:val="18"/>
                <w:lang w:eastAsia="sk-SK"/>
              </w:rPr>
            </w:pPr>
          </w:p>
          <w:p w:rsidR="00C475DC" w:rsidRDefault="00C475DC" w:rsidP="00C475DC">
            <w:pPr>
              <w:tabs>
                <w:tab w:val="left" w:pos="284"/>
                <w:tab w:val="left" w:pos="2835"/>
              </w:tabs>
              <w:jc w:val="both"/>
              <w:rPr>
                <w:rFonts w:ascii="Times New Roman" w:eastAsiaTheme="minorEastAsia" w:hAnsi="Times New Roman"/>
                <w:sz w:val="18"/>
                <w:szCs w:val="18"/>
                <w:lang w:eastAsia="sk-SK"/>
              </w:rPr>
            </w:pPr>
          </w:p>
          <w:p w:rsidR="00484580" w:rsidRPr="00484580" w:rsidRDefault="00484580" w:rsidP="00484580">
            <w:pPr>
              <w:widowControl w:val="0"/>
              <w:jc w:val="both"/>
              <w:rPr>
                <w:rFonts w:ascii="Times New Roman" w:eastAsiaTheme="minorEastAsia" w:hAnsi="Times New Roman"/>
                <w:b/>
                <w:bCs/>
                <w:snapToGrid w:val="0"/>
                <w:sz w:val="18"/>
                <w:szCs w:val="18"/>
                <w:lang w:eastAsia="sk-SK"/>
              </w:rPr>
            </w:pPr>
          </w:p>
          <w:p w:rsidR="00C475DC" w:rsidRDefault="00484580" w:rsidP="00484580">
            <w:pPr>
              <w:widowControl w:val="0"/>
              <w:jc w:val="both"/>
              <w:rPr>
                <w:rFonts w:ascii="Times New Roman" w:eastAsiaTheme="minorEastAsia" w:hAnsi="Times New Roman"/>
                <w:bCs/>
                <w:snapToGrid w:val="0"/>
                <w:sz w:val="18"/>
                <w:szCs w:val="18"/>
                <w:lang w:eastAsia="sk-SK"/>
              </w:rPr>
            </w:pPr>
            <w:r>
              <w:rPr>
                <w:rFonts w:ascii="Times New Roman" w:eastAsiaTheme="minorEastAsia" w:hAnsi="Times New Roman"/>
                <w:bCs/>
                <w:snapToGrid w:val="0"/>
                <w:sz w:val="18"/>
                <w:szCs w:val="18"/>
                <w:lang w:eastAsia="sk-SK"/>
              </w:rPr>
              <w:t xml:space="preserve">(4) </w:t>
            </w:r>
            <w:r w:rsidRPr="00484580">
              <w:rPr>
                <w:rFonts w:ascii="Times New Roman" w:eastAsiaTheme="minorEastAsia" w:hAnsi="Times New Roman"/>
                <w:bCs/>
                <w:snapToGrid w:val="0"/>
                <w:sz w:val="18"/>
                <w:szCs w:val="18"/>
                <w:lang w:eastAsia="sk-SK"/>
              </w:rPr>
              <w:t xml:space="preserve">Povinnosť podľa odseku 1 písm. c) sa nevzťahuje na poskytovanie multimodálneho prístupu k programovej službe prevádzkovateľom retransmisie koncovému užívateľovi, ak to z technických dôvodov neumožňuje technické zariadenie, ktoré prevádzkovateľ retransmisie poskytuje tomuto koncovému užívateľovi na príjem programovej služby. Na základe písomnej žiadosti koncového užívateľa je prevádzkovateľ retransmisie povinný poskytnúť mu technické zariadenie na príjem programovej služby, ktoré bude umožňovať retransmisiu programovej služby vrátane multimodálneho prístupu, a to v lehote 30 dní odo dňa doručenia žiadosti. Také technické zariadenie je prevádzkovateľ retransmisie </w:t>
            </w:r>
            <w:r w:rsidRPr="00484580">
              <w:rPr>
                <w:rFonts w:ascii="Times New Roman" w:eastAsiaTheme="minorEastAsia" w:hAnsi="Times New Roman"/>
                <w:bCs/>
                <w:snapToGrid w:val="0"/>
                <w:sz w:val="18"/>
                <w:szCs w:val="18"/>
                <w:lang w:eastAsia="sk-SK"/>
              </w:rPr>
              <w:lastRenderedPageBreak/>
              <w:t>povinný poskytnúť koncovému užívateľovi za rovnakých podmienok, za akých mu poskytol pôvodné technické zariadenie.</w:t>
            </w:r>
          </w:p>
          <w:p w:rsidR="00484580" w:rsidRDefault="00484580" w:rsidP="00484580">
            <w:pPr>
              <w:widowControl w:val="0"/>
              <w:jc w:val="both"/>
              <w:rPr>
                <w:rFonts w:ascii="Times New Roman" w:eastAsiaTheme="minorEastAsia" w:hAnsi="Times New Roman"/>
                <w:bCs/>
                <w:snapToGrid w:val="0"/>
                <w:sz w:val="18"/>
                <w:szCs w:val="18"/>
                <w:lang w:eastAsia="sk-SK"/>
              </w:rPr>
            </w:pPr>
          </w:p>
          <w:p w:rsidR="00484580" w:rsidRPr="00484580" w:rsidRDefault="00484580" w:rsidP="00484580">
            <w:pPr>
              <w:widowControl w:val="0"/>
              <w:jc w:val="both"/>
              <w:rPr>
                <w:rFonts w:ascii="Times New Roman" w:eastAsiaTheme="minorEastAsia" w:hAnsi="Times New Roman"/>
                <w:b/>
                <w:bCs/>
                <w:snapToGrid w:val="0"/>
                <w:sz w:val="18"/>
                <w:szCs w:val="18"/>
                <w:lang w:eastAsia="sk-SK"/>
              </w:rPr>
            </w:pPr>
          </w:p>
          <w:p w:rsidR="00484580" w:rsidRPr="00484580" w:rsidRDefault="00484580" w:rsidP="00484580">
            <w:pPr>
              <w:widowControl w:val="0"/>
              <w:jc w:val="both"/>
              <w:rPr>
                <w:rFonts w:ascii="Times New Roman" w:eastAsiaTheme="minorEastAsia" w:hAnsi="Times New Roman"/>
                <w:bCs/>
                <w:snapToGrid w:val="0"/>
                <w:sz w:val="18"/>
                <w:szCs w:val="18"/>
                <w:lang w:eastAsia="sk-SK"/>
              </w:rPr>
            </w:pPr>
            <w:r w:rsidRPr="00484580">
              <w:rPr>
                <w:rFonts w:ascii="Times New Roman" w:eastAsiaTheme="minorEastAsia" w:hAnsi="Times New Roman"/>
                <w:bCs/>
                <w:snapToGrid w:val="0"/>
                <w:sz w:val="18"/>
                <w:szCs w:val="18"/>
                <w:lang w:eastAsia="sk-SK"/>
              </w:rPr>
              <w:t>(5)</w:t>
            </w:r>
            <w:r w:rsidRPr="00484580">
              <w:rPr>
                <w:rFonts w:ascii="Times New Roman" w:eastAsiaTheme="minorEastAsia" w:hAnsi="Times New Roman"/>
                <w:bCs/>
                <w:snapToGrid w:val="0"/>
                <w:sz w:val="18"/>
                <w:szCs w:val="18"/>
                <w:lang w:eastAsia="sk-SK"/>
              </w:rPr>
              <w:tab/>
              <w:t xml:space="preserve">Regulátor môže podľa princípov transparentnosti a primeranosti rozhodnúť na žiadosť prevádzkovateľa retransmisie, že sa naňho povinnosť podľa odseku 1 nevzťahuje alebo vzťahuje len čiastočne, ak zistí, že </w:t>
            </w:r>
          </w:p>
          <w:p w:rsidR="00484580" w:rsidRPr="00484580" w:rsidRDefault="00484580" w:rsidP="00484580">
            <w:pPr>
              <w:widowControl w:val="0"/>
              <w:jc w:val="both"/>
              <w:rPr>
                <w:rFonts w:ascii="Times New Roman" w:eastAsiaTheme="minorEastAsia" w:hAnsi="Times New Roman"/>
                <w:bCs/>
                <w:snapToGrid w:val="0"/>
                <w:sz w:val="18"/>
                <w:szCs w:val="18"/>
                <w:lang w:eastAsia="sk-SK"/>
              </w:rPr>
            </w:pPr>
            <w:r w:rsidRPr="00484580">
              <w:rPr>
                <w:rFonts w:ascii="Times New Roman" w:eastAsiaTheme="minorEastAsia" w:hAnsi="Times New Roman"/>
                <w:bCs/>
                <w:snapToGrid w:val="0"/>
                <w:sz w:val="18"/>
                <w:szCs w:val="18"/>
                <w:lang w:eastAsia="sk-SK"/>
              </w:rPr>
              <w:t xml:space="preserve"> </w:t>
            </w:r>
          </w:p>
          <w:p w:rsidR="00484580" w:rsidRPr="00484580" w:rsidRDefault="00484580" w:rsidP="00484580">
            <w:pPr>
              <w:widowControl w:val="0"/>
              <w:jc w:val="both"/>
              <w:rPr>
                <w:rFonts w:ascii="Times New Roman" w:eastAsiaTheme="minorEastAsia" w:hAnsi="Times New Roman"/>
                <w:bCs/>
                <w:snapToGrid w:val="0"/>
                <w:sz w:val="18"/>
                <w:szCs w:val="18"/>
                <w:lang w:eastAsia="sk-SK"/>
              </w:rPr>
            </w:pPr>
            <w:r w:rsidRPr="00484580">
              <w:rPr>
                <w:rFonts w:ascii="Times New Roman" w:eastAsiaTheme="minorEastAsia" w:hAnsi="Times New Roman"/>
                <w:bCs/>
                <w:snapToGrid w:val="0"/>
                <w:sz w:val="18"/>
                <w:szCs w:val="18"/>
                <w:lang w:eastAsia="sk-SK"/>
              </w:rPr>
              <w:t>a)</w:t>
            </w:r>
            <w:r w:rsidRPr="00484580">
              <w:rPr>
                <w:rFonts w:ascii="Times New Roman" w:eastAsiaTheme="minorEastAsia" w:hAnsi="Times New Roman"/>
                <w:bCs/>
                <w:snapToGrid w:val="0"/>
                <w:sz w:val="18"/>
                <w:szCs w:val="18"/>
                <w:lang w:eastAsia="sk-SK"/>
              </w:rPr>
              <w:tab/>
              <w:t xml:space="preserve">značná časť koncových užívateľov siete nepoužíva túto sieť ako hlavný prostriedok príjmu vysielania rozhlasovej programovej služby alebo vysielania televíznej programovej služby, alebo </w:t>
            </w:r>
          </w:p>
          <w:p w:rsidR="00484580" w:rsidRPr="00484580" w:rsidRDefault="00484580" w:rsidP="00484580">
            <w:pPr>
              <w:widowControl w:val="0"/>
              <w:jc w:val="both"/>
              <w:rPr>
                <w:rFonts w:ascii="Times New Roman" w:eastAsiaTheme="minorEastAsia" w:hAnsi="Times New Roman"/>
                <w:bCs/>
                <w:snapToGrid w:val="0"/>
                <w:sz w:val="18"/>
                <w:szCs w:val="18"/>
                <w:lang w:eastAsia="sk-SK"/>
              </w:rPr>
            </w:pPr>
            <w:r w:rsidRPr="00484580">
              <w:rPr>
                <w:rFonts w:ascii="Times New Roman" w:eastAsiaTheme="minorEastAsia" w:hAnsi="Times New Roman"/>
                <w:bCs/>
                <w:snapToGrid w:val="0"/>
                <w:sz w:val="18"/>
                <w:szCs w:val="18"/>
                <w:lang w:eastAsia="sk-SK"/>
              </w:rPr>
              <w:tab/>
            </w:r>
            <w:r w:rsidRPr="00484580">
              <w:rPr>
                <w:rFonts w:ascii="Times New Roman" w:eastAsiaTheme="minorEastAsia" w:hAnsi="Times New Roman"/>
                <w:bCs/>
                <w:snapToGrid w:val="0"/>
                <w:sz w:val="18"/>
                <w:szCs w:val="18"/>
                <w:lang w:eastAsia="sk-SK"/>
              </w:rPr>
              <w:tab/>
            </w:r>
          </w:p>
          <w:p w:rsidR="00484580" w:rsidRPr="00C475DC" w:rsidRDefault="00484580" w:rsidP="00484580">
            <w:pPr>
              <w:widowControl w:val="0"/>
              <w:jc w:val="both"/>
              <w:rPr>
                <w:rFonts w:ascii="Times New Roman" w:eastAsiaTheme="minorEastAsia" w:hAnsi="Times New Roman"/>
                <w:b/>
                <w:bCs/>
                <w:snapToGrid w:val="0"/>
                <w:sz w:val="18"/>
                <w:szCs w:val="18"/>
                <w:lang w:eastAsia="sk-SK"/>
              </w:rPr>
            </w:pPr>
            <w:r w:rsidRPr="00484580">
              <w:rPr>
                <w:rFonts w:ascii="Times New Roman" w:eastAsiaTheme="minorEastAsia" w:hAnsi="Times New Roman"/>
                <w:bCs/>
                <w:snapToGrid w:val="0"/>
                <w:sz w:val="18"/>
                <w:szCs w:val="18"/>
                <w:lang w:eastAsia="sk-SK"/>
              </w:rPr>
              <w:t>b)</w:t>
            </w:r>
            <w:r w:rsidRPr="00484580">
              <w:rPr>
                <w:rFonts w:ascii="Times New Roman" w:eastAsiaTheme="minorEastAsia" w:hAnsi="Times New Roman"/>
                <w:bCs/>
                <w:snapToGrid w:val="0"/>
                <w:sz w:val="18"/>
                <w:szCs w:val="18"/>
                <w:lang w:eastAsia="sk-SK"/>
              </w:rPr>
              <w:tab/>
              <w:t>úplné alebo čiastočné plnenie tejto povinnosti nie je nevyhnutné na zabezpečenie prístupu verejnosti k informáciám, najmä podujatiam významným pre verejnosť a krátkemu spravodajstvu, ako aj k vysielaniu programových služieb  verejnoprávneho vysielateľa.</w:t>
            </w:r>
          </w:p>
        </w:tc>
        <w:tc>
          <w:tcPr>
            <w:tcW w:w="1135" w:type="dxa"/>
          </w:tcPr>
          <w:p w:rsidR="00C475DC" w:rsidRPr="00C475DC" w:rsidRDefault="00C475DC" w:rsidP="00C475DC">
            <w:pPr>
              <w:jc w:val="center"/>
              <w:rPr>
                <w:rFonts w:ascii="Times New Roman" w:eastAsiaTheme="minorEastAsia" w:hAnsi="Times New Roman"/>
                <w:b/>
                <w:bCs/>
                <w:snapToGrid w:val="0"/>
                <w:sz w:val="18"/>
                <w:szCs w:val="18"/>
                <w:lang w:eastAsia="sk-SK"/>
              </w:rPr>
            </w:pPr>
            <w:r>
              <w:rPr>
                <w:rFonts w:ascii="Times New Roman" w:eastAsiaTheme="minorEastAsia" w:hAnsi="Times New Roman"/>
                <w:b/>
                <w:bCs/>
                <w:snapToGrid w:val="0"/>
                <w:sz w:val="18"/>
                <w:szCs w:val="18"/>
                <w:lang w:eastAsia="sk-SK"/>
              </w:rPr>
              <w:lastRenderedPageBreak/>
              <w:t>Ú</w:t>
            </w:r>
          </w:p>
        </w:tc>
        <w:tc>
          <w:tcPr>
            <w:tcW w:w="1089" w:type="dxa"/>
          </w:tcPr>
          <w:p w:rsidR="00C475DC" w:rsidRPr="00C475DC" w:rsidRDefault="00C475DC" w:rsidP="00C475DC">
            <w:pPr>
              <w:jc w:val="center"/>
              <w:rPr>
                <w:rFonts w:ascii="Times New Roman" w:eastAsiaTheme="minorEastAsia" w:hAnsi="Times New Roman"/>
                <w:b/>
                <w:bCs/>
                <w:snapToGrid w:val="0"/>
                <w:sz w:val="18"/>
                <w:szCs w:val="18"/>
                <w:lang w:eastAsia="sk-SK"/>
              </w:rPr>
            </w:pPr>
          </w:p>
        </w:tc>
      </w:tr>
      <w:tr w:rsidR="00130FFD" w:rsidRPr="009F6C75" w:rsidTr="00C475DC">
        <w:trPr>
          <w:trHeight w:val="1182"/>
        </w:trPr>
        <w:tc>
          <w:tcPr>
            <w:tcW w:w="710" w:type="dxa"/>
          </w:tcPr>
          <w:p w:rsidR="00130FFD" w:rsidRDefault="00130FFD" w:rsidP="00C475DC">
            <w:pPr>
              <w:keepNext/>
              <w:outlineLvl w:val="7"/>
              <w:rPr>
                <w:rFonts w:ascii="Times New Roman" w:eastAsiaTheme="minorEastAsia" w:hAnsi="Times New Roman"/>
                <w:b/>
                <w:bCs/>
                <w:sz w:val="18"/>
                <w:szCs w:val="18"/>
                <w:lang w:eastAsia="sk-SK"/>
              </w:rPr>
            </w:pPr>
            <w:r>
              <w:rPr>
                <w:rFonts w:ascii="Times New Roman" w:eastAsiaTheme="minorEastAsia" w:hAnsi="Times New Roman"/>
                <w:b/>
                <w:bCs/>
                <w:sz w:val="18"/>
                <w:szCs w:val="18"/>
                <w:lang w:eastAsia="sk-SK"/>
              </w:rPr>
              <w:lastRenderedPageBreak/>
              <w:t>Č:114</w:t>
            </w:r>
            <w:r w:rsidRPr="00130FFD">
              <w:rPr>
                <w:rFonts w:ascii="Times New Roman" w:eastAsiaTheme="minorEastAsia" w:hAnsi="Times New Roman"/>
                <w:b/>
                <w:bCs/>
                <w:sz w:val="18"/>
                <w:szCs w:val="18"/>
                <w:lang w:eastAsia="sk-SK"/>
              </w:rPr>
              <w:t>O:</w:t>
            </w:r>
            <w:r>
              <w:rPr>
                <w:rFonts w:ascii="Times New Roman" w:eastAsiaTheme="minorEastAsia" w:hAnsi="Times New Roman"/>
                <w:b/>
                <w:bCs/>
                <w:sz w:val="18"/>
                <w:szCs w:val="18"/>
                <w:lang w:eastAsia="sk-SK"/>
              </w:rPr>
              <w:t xml:space="preserve"> </w:t>
            </w:r>
            <w:r w:rsidRPr="00130FFD">
              <w:rPr>
                <w:rFonts w:ascii="Times New Roman" w:eastAsiaTheme="minorEastAsia" w:hAnsi="Times New Roman"/>
                <w:b/>
                <w:bCs/>
                <w:sz w:val="18"/>
                <w:szCs w:val="18"/>
                <w:lang w:eastAsia="sk-SK"/>
              </w:rPr>
              <w:t>2</w:t>
            </w:r>
          </w:p>
        </w:tc>
        <w:tc>
          <w:tcPr>
            <w:tcW w:w="3813" w:type="dxa"/>
          </w:tcPr>
          <w:p w:rsidR="00130FFD" w:rsidRDefault="00130FFD" w:rsidP="00C475DC">
            <w:pPr>
              <w:widowControl w:val="0"/>
              <w:ind w:left="20"/>
              <w:rPr>
                <w:rFonts w:ascii="Times New Roman" w:eastAsiaTheme="minorEastAsia" w:hAnsi="Times New Roman"/>
                <w:sz w:val="18"/>
                <w:szCs w:val="18"/>
                <w:lang w:eastAsia="sk-SK"/>
              </w:rPr>
            </w:pPr>
            <w:r w:rsidRPr="00130FFD">
              <w:rPr>
                <w:rFonts w:ascii="Times New Roman" w:eastAsiaTheme="minorEastAsia" w:hAnsi="Times New Roman"/>
                <w:sz w:val="18"/>
                <w:szCs w:val="18"/>
                <w:lang w:eastAsia="sk-SK"/>
              </w:rPr>
              <w:t>Členské štáty preskúmajú povinnosti uvedené v odseku 1 do 21. decembra 2019 a každých päť rokov po tomto dátume s výnimkou prípadov, keď členské štáty vykonali takéto preskúmanie v priebehu predchádzajúcich štyroch rokov</w:t>
            </w:r>
          </w:p>
        </w:tc>
        <w:tc>
          <w:tcPr>
            <w:tcW w:w="968" w:type="dxa"/>
          </w:tcPr>
          <w:p w:rsidR="00130FFD" w:rsidRDefault="00130FFD" w:rsidP="00C475DC">
            <w:pPr>
              <w:jc w:val="center"/>
              <w:rPr>
                <w:rFonts w:ascii="Times New Roman" w:eastAsiaTheme="minorEastAsia" w:hAnsi="Times New Roman"/>
                <w:b/>
                <w:bCs/>
                <w:snapToGrid w:val="0"/>
                <w:sz w:val="18"/>
                <w:szCs w:val="18"/>
                <w:lang w:eastAsia="sk-SK"/>
              </w:rPr>
            </w:pPr>
            <w:r>
              <w:rPr>
                <w:rFonts w:ascii="Times New Roman" w:eastAsiaTheme="minorEastAsia" w:hAnsi="Times New Roman"/>
                <w:b/>
                <w:bCs/>
                <w:snapToGrid w:val="0"/>
                <w:sz w:val="18"/>
                <w:szCs w:val="18"/>
                <w:lang w:eastAsia="sk-SK"/>
              </w:rPr>
              <w:t>D</w:t>
            </w:r>
          </w:p>
        </w:tc>
        <w:tc>
          <w:tcPr>
            <w:tcW w:w="1177" w:type="dxa"/>
          </w:tcPr>
          <w:p w:rsidR="00130FFD" w:rsidRDefault="00130FFD" w:rsidP="00C475DC">
            <w:pPr>
              <w:jc w:val="center"/>
              <w:rPr>
                <w:rFonts w:ascii="Times New Roman" w:eastAsiaTheme="minorEastAsia" w:hAnsi="Times New Roman"/>
                <w:b/>
                <w:bCs/>
                <w:snapToGrid w:val="0"/>
                <w:sz w:val="18"/>
                <w:szCs w:val="18"/>
                <w:lang w:eastAsia="sk-SK"/>
              </w:rPr>
            </w:pPr>
          </w:p>
        </w:tc>
        <w:tc>
          <w:tcPr>
            <w:tcW w:w="1135" w:type="dxa"/>
          </w:tcPr>
          <w:p w:rsidR="00130FFD" w:rsidRDefault="00130FFD" w:rsidP="00C475DC">
            <w:pPr>
              <w:rPr>
                <w:rFonts w:ascii="Times New Roman" w:eastAsiaTheme="minorEastAsia" w:hAnsi="Times New Roman"/>
                <w:sz w:val="18"/>
                <w:szCs w:val="18"/>
                <w:lang w:eastAsia="sk-SK"/>
              </w:rPr>
            </w:pPr>
          </w:p>
        </w:tc>
        <w:tc>
          <w:tcPr>
            <w:tcW w:w="4398" w:type="dxa"/>
          </w:tcPr>
          <w:p w:rsidR="00130FFD" w:rsidRPr="00484580" w:rsidRDefault="00130FFD" w:rsidP="00130FFD">
            <w:pPr>
              <w:widowControl w:val="0"/>
              <w:ind w:left="426"/>
              <w:jc w:val="both"/>
              <w:rPr>
                <w:rFonts w:ascii="Times New Roman" w:eastAsiaTheme="minorEastAsia" w:hAnsi="Times New Roman"/>
                <w:sz w:val="18"/>
                <w:szCs w:val="18"/>
                <w:lang w:eastAsia="sk-SK"/>
              </w:rPr>
            </w:pPr>
          </w:p>
        </w:tc>
        <w:tc>
          <w:tcPr>
            <w:tcW w:w="1135" w:type="dxa"/>
          </w:tcPr>
          <w:p w:rsidR="00130FFD" w:rsidRDefault="00130FFD" w:rsidP="00C475DC">
            <w:pPr>
              <w:jc w:val="center"/>
              <w:rPr>
                <w:rFonts w:ascii="Times New Roman" w:eastAsiaTheme="minorEastAsia" w:hAnsi="Times New Roman"/>
                <w:b/>
                <w:bCs/>
                <w:snapToGrid w:val="0"/>
                <w:sz w:val="18"/>
                <w:szCs w:val="18"/>
                <w:lang w:eastAsia="sk-SK"/>
              </w:rPr>
            </w:pPr>
            <w:r>
              <w:rPr>
                <w:rFonts w:ascii="Times New Roman" w:eastAsiaTheme="minorEastAsia" w:hAnsi="Times New Roman"/>
                <w:b/>
                <w:bCs/>
                <w:snapToGrid w:val="0"/>
                <w:sz w:val="18"/>
                <w:szCs w:val="18"/>
                <w:lang w:eastAsia="sk-SK"/>
              </w:rPr>
              <w:t>n.a.</w:t>
            </w:r>
          </w:p>
        </w:tc>
        <w:tc>
          <w:tcPr>
            <w:tcW w:w="1089" w:type="dxa"/>
          </w:tcPr>
          <w:p w:rsidR="00130FFD" w:rsidRPr="00C475DC" w:rsidRDefault="00130FFD" w:rsidP="00C475DC">
            <w:pPr>
              <w:jc w:val="center"/>
              <w:rPr>
                <w:rFonts w:ascii="Times New Roman" w:eastAsiaTheme="minorEastAsia" w:hAnsi="Times New Roman"/>
                <w:b/>
                <w:bCs/>
                <w:snapToGrid w:val="0"/>
                <w:sz w:val="18"/>
                <w:szCs w:val="18"/>
                <w:lang w:eastAsia="sk-SK"/>
              </w:rPr>
            </w:pPr>
          </w:p>
        </w:tc>
      </w:tr>
      <w:tr w:rsidR="00130FFD" w:rsidRPr="009F6C75" w:rsidTr="00C475DC">
        <w:trPr>
          <w:trHeight w:val="1182"/>
        </w:trPr>
        <w:tc>
          <w:tcPr>
            <w:tcW w:w="710" w:type="dxa"/>
          </w:tcPr>
          <w:p w:rsidR="00130FFD" w:rsidRDefault="00130FFD" w:rsidP="00C475DC">
            <w:pPr>
              <w:keepNext/>
              <w:outlineLvl w:val="7"/>
              <w:rPr>
                <w:rFonts w:ascii="Times New Roman" w:eastAsiaTheme="minorEastAsia" w:hAnsi="Times New Roman"/>
                <w:b/>
                <w:bCs/>
                <w:sz w:val="18"/>
                <w:szCs w:val="18"/>
                <w:lang w:eastAsia="sk-SK"/>
              </w:rPr>
            </w:pPr>
            <w:r>
              <w:rPr>
                <w:rFonts w:ascii="Times New Roman" w:eastAsiaTheme="minorEastAsia" w:hAnsi="Times New Roman"/>
                <w:b/>
                <w:bCs/>
                <w:sz w:val="18"/>
                <w:szCs w:val="18"/>
                <w:lang w:eastAsia="sk-SK"/>
              </w:rPr>
              <w:t>Č:114O: 3</w:t>
            </w:r>
          </w:p>
        </w:tc>
        <w:tc>
          <w:tcPr>
            <w:tcW w:w="3813" w:type="dxa"/>
          </w:tcPr>
          <w:p w:rsidR="00130FFD" w:rsidRPr="00130FFD" w:rsidRDefault="00130FFD" w:rsidP="00130FFD">
            <w:pPr>
              <w:widowControl w:val="0"/>
              <w:ind w:left="20"/>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w:t>
            </w:r>
            <w:r w:rsidRPr="00130FFD">
              <w:rPr>
                <w:rFonts w:ascii="Times New Roman" w:eastAsiaTheme="minorEastAsia" w:hAnsi="Times New Roman"/>
                <w:sz w:val="18"/>
                <w:szCs w:val="18"/>
                <w:lang w:eastAsia="sk-SK"/>
              </w:rPr>
              <w:t>ni odsekom 1 tohto článku, ani článkom 59 ods. 2 nie je dotknutá možnosť členských štátov stanoviť prípadné primerané odmeňovanie vzťahujúce sa k opatreniam prijatým v súlade s týmto článkom, pričom sa zaručí, že za podobných okolností nedôjde k diskriminácii pri zaobchádzaní s poskytovateľmi elektronických komunikačných sietí a služieb. Ak sa stanovuje odplata, členské štáty zabezpečia, aby sa povinnosť odplaty jasne stanovila vo vnútroštátnych právnych predpisoch vrátane prípadných kritérií na výpočet takejto odplaty. Členské štáty tiež zabezpečia, aby sa uplatňovala primeraným a transparentným spôsobom</w:t>
            </w:r>
          </w:p>
        </w:tc>
        <w:tc>
          <w:tcPr>
            <w:tcW w:w="968" w:type="dxa"/>
          </w:tcPr>
          <w:p w:rsidR="00130FFD" w:rsidRDefault="00130FFD" w:rsidP="00C475DC">
            <w:pPr>
              <w:jc w:val="center"/>
              <w:rPr>
                <w:rFonts w:ascii="Times New Roman" w:eastAsiaTheme="minorEastAsia" w:hAnsi="Times New Roman"/>
                <w:b/>
                <w:bCs/>
                <w:snapToGrid w:val="0"/>
                <w:sz w:val="18"/>
                <w:szCs w:val="18"/>
                <w:lang w:eastAsia="sk-SK"/>
              </w:rPr>
            </w:pPr>
            <w:r>
              <w:rPr>
                <w:rFonts w:ascii="Times New Roman" w:eastAsiaTheme="minorEastAsia" w:hAnsi="Times New Roman"/>
                <w:b/>
                <w:bCs/>
                <w:snapToGrid w:val="0"/>
                <w:sz w:val="18"/>
                <w:szCs w:val="18"/>
                <w:lang w:eastAsia="sk-SK"/>
              </w:rPr>
              <w:t>D</w:t>
            </w:r>
          </w:p>
        </w:tc>
        <w:tc>
          <w:tcPr>
            <w:tcW w:w="1177" w:type="dxa"/>
          </w:tcPr>
          <w:p w:rsidR="00130FFD" w:rsidRDefault="00130FFD" w:rsidP="00C475DC">
            <w:pPr>
              <w:jc w:val="center"/>
              <w:rPr>
                <w:rFonts w:ascii="Times New Roman" w:eastAsiaTheme="minorEastAsia" w:hAnsi="Times New Roman"/>
                <w:b/>
                <w:bCs/>
                <w:snapToGrid w:val="0"/>
                <w:sz w:val="18"/>
                <w:szCs w:val="18"/>
                <w:lang w:eastAsia="sk-SK"/>
              </w:rPr>
            </w:pPr>
          </w:p>
        </w:tc>
        <w:tc>
          <w:tcPr>
            <w:tcW w:w="1135" w:type="dxa"/>
          </w:tcPr>
          <w:p w:rsidR="00130FFD" w:rsidRDefault="00130FFD" w:rsidP="00C475DC">
            <w:pPr>
              <w:rPr>
                <w:rFonts w:ascii="Times New Roman" w:eastAsiaTheme="minorEastAsia" w:hAnsi="Times New Roman"/>
                <w:sz w:val="18"/>
                <w:szCs w:val="18"/>
                <w:lang w:eastAsia="sk-SK"/>
              </w:rPr>
            </w:pPr>
          </w:p>
        </w:tc>
        <w:tc>
          <w:tcPr>
            <w:tcW w:w="4398" w:type="dxa"/>
          </w:tcPr>
          <w:p w:rsidR="00130FFD" w:rsidRPr="00484580" w:rsidRDefault="00130FFD" w:rsidP="00130FFD">
            <w:pPr>
              <w:widowControl w:val="0"/>
              <w:ind w:left="426"/>
              <w:jc w:val="both"/>
              <w:rPr>
                <w:rFonts w:ascii="Times New Roman" w:eastAsiaTheme="minorEastAsia" w:hAnsi="Times New Roman"/>
                <w:sz w:val="18"/>
                <w:szCs w:val="18"/>
                <w:lang w:eastAsia="sk-SK"/>
              </w:rPr>
            </w:pPr>
          </w:p>
        </w:tc>
        <w:tc>
          <w:tcPr>
            <w:tcW w:w="1135" w:type="dxa"/>
          </w:tcPr>
          <w:p w:rsidR="00130FFD" w:rsidRDefault="00130FFD" w:rsidP="00C475DC">
            <w:pPr>
              <w:jc w:val="center"/>
              <w:rPr>
                <w:rFonts w:ascii="Times New Roman" w:eastAsiaTheme="minorEastAsia" w:hAnsi="Times New Roman"/>
                <w:b/>
                <w:bCs/>
                <w:snapToGrid w:val="0"/>
                <w:sz w:val="18"/>
                <w:szCs w:val="18"/>
                <w:lang w:eastAsia="sk-SK"/>
              </w:rPr>
            </w:pPr>
            <w:r>
              <w:rPr>
                <w:rFonts w:ascii="Times New Roman" w:eastAsiaTheme="minorEastAsia" w:hAnsi="Times New Roman"/>
                <w:b/>
                <w:bCs/>
                <w:snapToGrid w:val="0"/>
                <w:sz w:val="18"/>
                <w:szCs w:val="18"/>
                <w:lang w:eastAsia="sk-SK"/>
              </w:rPr>
              <w:t>n.a.</w:t>
            </w:r>
          </w:p>
        </w:tc>
        <w:tc>
          <w:tcPr>
            <w:tcW w:w="1089" w:type="dxa"/>
          </w:tcPr>
          <w:p w:rsidR="00130FFD" w:rsidRPr="00C475DC" w:rsidRDefault="00130FFD" w:rsidP="00C475DC">
            <w:pPr>
              <w:jc w:val="center"/>
              <w:rPr>
                <w:rFonts w:ascii="Times New Roman" w:eastAsiaTheme="minorEastAsia" w:hAnsi="Times New Roman"/>
                <w:b/>
                <w:bCs/>
                <w:snapToGrid w:val="0"/>
                <w:sz w:val="18"/>
                <w:szCs w:val="18"/>
                <w:lang w:eastAsia="sk-SK"/>
              </w:rPr>
            </w:pPr>
          </w:p>
        </w:tc>
      </w:tr>
    </w:tbl>
    <w:p w:rsidR="004800A6" w:rsidRDefault="004800A6"/>
    <w:sectPr w:rsidR="004800A6" w:rsidSect="00FB52F0">
      <w:pgSz w:w="16838" w:h="11906" w:orient="landscape"/>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5A3" w:rsidRDefault="00F625A3" w:rsidP="00556C01">
      <w:pPr>
        <w:spacing w:after="0" w:line="240" w:lineRule="auto"/>
      </w:pPr>
      <w:r>
        <w:separator/>
      </w:r>
    </w:p>
  </w:endnote>
  <w:endnote w:type="continuationSeparator" w:id="0">
    <w:p w:rsidR="00F625A3" w:rsidRDefault="00F625A3" w:rsidP="0055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5A3" w:rsidRDefault="00F625A3" w:rsidP="00556C01">
      <w:pPr>
        <w:spacing w:after="0" w:line="240" w:lineRule="auto"/>
      </w:pPr>
      <w:r>
        <w:separator/>
      </w:r>
    </w:p>
  </w:footnote>
  <w:footnote w:type="continuationSeparator" w:id="0">
    <w:p w:rsidR="00F625A3" w:rsidRDefault="00F625A3" w:rsidP="00556C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D5EE2"/>
    <w:multiLevelType w:val="hybridMultilevel"/>
    <w:tmpl w:val="6D2A5DF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29D934E0"/>
    <w:multiLevelType w:val="multilevel"/>
    <w:tmpl w:val="5F7EFAC8"/>
    <w:lvl w:ilvl="0">
      <w:start w:val="1"/>
      <w:numFmt w:val="decimal"/>
      <w:lvlText w:val="(%1)"/>
      <w:lvlJc w:val="left"/>
      <w:pPr>
        <w:ind w:left="603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36C5720F"/>
    <w:multiLevelType w:val="singleLevel"/>
    <w:tmpl w:val="041B0017"/>
    <w:lvl w:ilvl="0">
      <w:start w:val="1"/>
      <w:numFmt w:val="lowerLetter"/>
      <w:lvlText w:val="%1)"/>
      <w:lvlJc w:val="left"/>
      <w:pPr>
        <w:tabs>
          <w:tab w:val="num" w:pos="360"/>
        </w:tabs>
        <w:ind w:left="360" w:hanging="360"/>
      </w:pPr>
      <w:rPr>
        <w:rFonts w:cs="Times New Roman" w:hint="default"/>
      </w:rPr>
    </w:lvl>
  </w:abstractNum>
  <w:abstractNum w:abstractNumId="3">
    <w:nsid w:val="600A177B"/>
    <w:multiLevelType w:val="multilevel"/>
    <w:tmpl w:val="13E8135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626054FF"/>
    <w:multiLevelType w:val="singleLevel"/>
    <w:tmpl w:val="037855C4"/>
    <w:lvl w:ilvl="0">
      <w:start w:val="1"/>
      <w:numFmt w:val="bullet"/>
      <w:lvlText w:val="-"/>
      <w:lvlJc w:val="left"/>
      <w:pPr>
        <w:tabs>
          <w:tab w:val="num" w:pos="360"/>
        </w:tabs>
        <w:ind w:left="360" w:hanging="360"/>
      </w:pPr>
      <w:rPr>
        <w:rFonts w:ascii="Times New Roman" w:hAnsi="Times New Roman" w:hint="default"/>
      </w:rPr>
    </w:lvl>
  </w:abstractNum>
  <w:abstractNum w:abstractNumId="5">
    <w:nsid w:val="66D366A2"/>
    <w:multiLevelType w:val="multilevel"/>
    <w:tmpl w:val="4CE677E6"/>
    <w:lvl w:ilvl="0">
      <w:start w:val="1"/>
      <w:numFmt w:val="lowerLetter"/>
      <w:lvlText w:val="%1)"/>
      <w:lvlJc w:val="left"/>
      <w:pPr>
        <w:ind w:left="1440" w:hanging="360"/>
      </w:pPr>
      <w:rPr>
        <w:rFonts w:cs="Times New Roman"/>
        <w:color w:val="000000"/>
      </w:rPr>
    </w:lvl>
    <w:lvl w:ilvl="1">
      <w:start w:val="1"/>
      <w:numFmt w:val="lowerLetter"/>
      <w:lvlText w:val="%2."/>
      <w:lvlJc w:val="left"/>
      <w:pPr>
        <w:ind w:left="-458" w:hanging="360"/>
      </w:pPr>
      <w:rPr>
        <w:rFonts w:cs="Times New Roman"/>
      </w:rPr>
    </w:lvl>
    <w:lvl w:ilvl="2">
      <w:start w:val="1"/>
      <w:numFmt w:val="lowerRoman"/>
      <w:lvlText w:val="%3."/>
      <w:lvlJc w:val="right"/>
      <w:pPr>
        <w:ind w:left="262" w:hanging="180"/>
      </w:pPr>
      <w:rPr>
        <w:rFonts w:cs="Times New Roman"/>
      </w:rPr>
    </w:lvl>
    <w:lvl w:ilvl="3">
      <w:start w:val="1"/>
      <w:numFmt w:val="decimal"/>
      <w:lvlText w:val="%4."/>
      <w:lvlJc w:val="left"/>
      <w:pPr>
        <w:ind w:left="982" w:hanging="360"/>
      </w:pPr>
      <w:rPr>
        <w:rFonts w:cs="Times New Roman"/>
      </w:rPr>
    </w:lvl>
    <w:lvl w:ilvl="4">
      <w:start w:val="1"/>
      <w:numFmt w:val="lowerLetter"/>
      <w:lvlText w:val="%5."/>
      <w:lvlJc w:val="left"/>
      <w:pPr>
        <w:ind w:left="1702" w:hanging="360"/>
      </w:pPr>
      <w:rPr>
        <w:rFonts w:cs="Times New Roman"/>
      </w:rPr>
    </w:lvl>
    <w:lvl w:ilvl="5">
      <w:start w:val="1"/>
      <w:numFmt w:val="lowerRoman"/>
      <w:lvlText w:val="%6."/>
      <w:lvlJc w:val="right"/>
      <w:pPr>
        <w:ind w:left="2422" w:hanging="180"/>
      </w:pPr>
      <w:rPr>
        <w:rFonts w:cs="Times New Roman"/>
      </w:rPr>
    </w:lvl>
    <w:lvl w:ilvl="6">
      <w:start w:val="1"/>
      <w:numFmt w:val="decimal"/>
      <w:lvlText w:val="%7."/>
      <w:lvlJc w:val="left"/>
      <w:pPr>
        <w:ind w:left="3142" w:hanging="360"/>
      </w:pPr>
      <w:rPr>
        <w:rFonts w:cs="Times New Roman"/>
      </w:rPr>
    </w:lvl>
    <w:lvl w:ilvl="7">
      <w:start w:val="1"/>
      <w:numFmt w:val="lowerLetter"/>
      <w:lvlText w:val="%8."/>
      <w:lvlJc w:val="left"/>
      <w:pPr>
        <w:ind w:left="3862" w:hanging="360"/>
      </w:pPr>
      <w:rPr>
        <w:rFonts w:cs="Times New Roman"/>
      </w:rPr>
    </w:lvl>
    <w:lvl w:ilvl="8">
      <w:start w:val="1"/>
      <w:numFmt w:val="lowerRoman"/>
      <w:lvlText w:val="%9."/>
      <w:lvlJc w:val="right"/>
      <w:pPr>
        <w:ind w:left="4582" w:hanging="180"/>
      </w:pPr>
      <w:rPr>
        <w:rFonts w:cs="Times New Roman"/>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C75"/>
    <w:rsid w:val="0000738C"/>
    <w:rsid w:val="000229E6"/>
    <w:rsid w:val="00090C15"/>
    <w:rsid w:val="000A6B6B"/>
    <w:rsid w:val="000B1359"/>
    <w:rsid w:val="000C4FFF"/>
    <w:rsid w:val="000F0B8A"/>
    <w:rsid w:val="000F2850"/>
    <w:rsid w:val="00105D6D"/>
    <w:rsid w:val="001303DB"/>
    <w:rsid w:val="00130FFD"/>
    <w:rsid w:val="0013392E"/>
    <w:rsid w:val="00147E3A"/>
    <w:rsid w:val="00162E76"/>
    <w:rsid w:val="001A4C8F"/>
    <w:rsid w:val="001B4149"/>
    <w:rsid w:val="001B6C01"/>
    <w:rsid w:val="001B7620"/>
    <w:rsid w:val="00204FD4"/>
    <w:rsid w:val="00220E28"/>
    <w:rsid w:val="0022198A"/>
    <w:rsid w:val="00254121"/>
    <w:rsid w:val="00255DA9"/>
    <w:rsid w:val="00290C54"/>
    <w:rsid w:val="002A27CB"/>
    <w:rsid w:val="002A6507"/>
    <w:rsid w:val="002F1CCC"/>
    <w:rsid w:val="003137EF"/>
    <w:rsid w:val="00330FE8"/>
    <w:rsid w:val="00365F99"/>
    <w:rsid w:val="00387B4F"/>
    <w:rsid w:val="003B0B79"/>
    <w:rsid w:val="003B1235"/>
    <w:rsid w:val="0040751A"/>
    <w:rsid w:val="0042494F"/>
    <w:rsid w:val="004412BE"/>
    <w:rsid w:val="00443059"/>
    <w:rsid w:val="00475253"/>
    <w:rsid w:val="004800A6"/>
    <w:rsid w:val="00484580"/>
    <w:rsid w:val="004969A4"/>
    <w:rsid w:val="004B538C"/>
    <w:rsid w:val="004C4E7A"/>
    <w:rsid w:val="004C6D50"/>
    <w:rsid w:val="004F69C7"/>
    <w:rsid w:val="00556C01"/>
    <w:rsid w:val="005865D0"/>
    <w:rsid w:val="005A3D95"/>
    <w:rsid w:val="005D1AF0"/>
    <w:rsid w:val="005F491E"/>
    <w:rsid w:val="00612DEB"/>
    <w:rsid w:val="00624FA0"/>
    <w:rsid w:val="0063712F"/>
    <w:rsid w:val="006514C0"/>
    <w:rsid w:val="006929FF"/>
    <w:rsid w:val="00692A18"/>
    <w:rsid w:val="006D15B0"/>
    <w:rsid w:val="006D4C6F"/>
    <w:rsid w:val="006F32F7"/>
    <w:rsid w:val="007026AE"/>
    <w:rsid w:val="007315C0"/>
    <w:rsid w:val="007516FA"/>
    <w:rsid w:val="00783BA7"/>
    <w:rsid w:val="007A3673"/>
    <w:rsid w:val="007B1527"/>
    <w:rsid w:val="007E25E1"/>
    <w:rsid w:val="007F161B"/>
    <w:rsid w:val="007F6E32"/>
    <w:rsid w:val="00806396"/>
    <w:rsid w:val="0083367E"/>
    <w:rsid w:val="0086180B"/>
    <w:rsid w:val="00864BB7"/>
    <w:rsid w:val="0087405C"/>
    <w:rsid w:val="008C6812"/>
    <w:rsid w:val="008C74CD"/>
    <w:rsid w:val="008D1B37"/>
    <w:rsid w:val="00910A58"/>
    <w:rsid w:val="00926BBF"/>
    <w:rsid w:val="009528CC"/>
    <w:rsid w:val="00963D43"/>
    <w:rsid w:val="00967763"/>
    <w:rsid w:val="00973C01"/>
    <w:rsid w:val="00985B1B"/>
    <w:rsid w:val="009B1A89"/>
    <w:rsid w:val="009D5406"/>
    <w:rsid w:val="009F59D7"/>
    <w:rsid w:val="009F6C75"/>
    <w:rsid w:val="00A04EEB"/>
    <w:rsid w:val="00A47EA9"/>
    <w:rsid w:val="00A7259B"/>
    <w:rsid w:val="00A828E9"/>
    <w:rsid w:val="00A839EA"/>
    <w:rsid w:val="00AB33C5"/>
    <w:rsid w:val="00AD36CC"/>
    <w:rsid w:val="00AF7326"/>
    <w:rsid w:val="00B029CC"/>
    <w:rsid w:val="00B14E01"/>
    <w:rsid w:val="00B40763"/>
    <w:rsid w:val="00B471D6"/>
    <w:rsid w:val="00B82B3B"/>
    <w:rsid w:val="00B910B5"/>
    <w:rsid w:val="00BC4A59"/>
    <w:rsid w:val="00BE64DC"/>
    <w:rsid w:val="00C475DC"/>
    <w:rsid w:val="00C47EB4"/>
    <w:rsid w:val="00C80E0F"/>
    <w:rsid w:val="00C91528"/>
    <w:rsid w:val="00CB32B9"/>
    <w:rsid w:val="00CC2198"/>
    <w:rsid w:val="00DC3A66"/>
    <w:rsid w:val="00DC6262"/>
    <w:rsid w:val="00E1471E"/>
    <w:rsid w:val="00E51C86"/>
    <w:rsid w:val="00E5603A"/>
    <w:rsid w:val="00E74349"/>
    <w:rsid w:val="00E82CF6"/>
    <w:rsid w:val="00EC0D65"/>
    <w:rsid w:val="00EC6CD6"/>
    <w:rsid w:val="00ED455B"/>
    <w:rsid w:val="00EF052B"/>
    <w:rsid w:val="00F625A3"/>
    <w:rsid w:val="00FB52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cs="Times New Roman"/>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556C0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locked/>
    <w:rsid w:val="00556C01"/>
    <w:rPr>
      <w:rFonts w:cs="Times New Roman"/>
      <w:sz w:val="20"/>
      <w:szCs w:val="20"/>
    </w:rPr>
  </w:style>
  <w:style w:type="character" w:styleId="Odkaznapoznmkupodiarou">
    <w:name w:val="footnote reference"/>
    <w:basedOn w:val="Predvolenpsmoodseku"/>
    <w:uiPriority w:val="99"/>
    <w:semiHidden/>
    <w:unhideWhenUsed/>
    <w:rsid w:val="00556C01"/>
    <w:rPr>
      <w:rFonts w:cs="Times New Roman"/>
      <w:vertAlign w:val="superscript"/>
    </w:rPr>
  </w:style>
  <w:style w:type="paragraph" w:styleId="Odsekzoznamu">
    <w:name w:val="List Paragraph"/>
    <w:basedOn w:val="Normlny"/>
    <w:uiPriority w:val="34"/>
    <w:qFormat/>
    <w:rsid w:val="006D15B0"/>
    <w:pPr>
      <w:ind w:left="720"/>
      <w:contextualSpacing/>
    </w:pPr>
  </w:style>
  <w:style w:type="table" w:styleId="Svetlpodfarbenie">
    <w:name w:val="Light Shading"/>
    <w:basedOn w:val="Normlnatabuka"/>
    <w:uiPriority w:val="60"/>
    <w:rsid w:val="00FB52F0"/>
    <w:pPr>
      <w:spacing w:after="0" w:line="240" w:lineRule="auto"/>
    </w:pPr>
    <w:rPr>
      <w:rFonts w:cs="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table" w:styleId="Mriekatabuky">
    <w:name w:val="Table Grid"/>
    <w:basedOn w:val="Normlnatabuka"/>
    <w:uiPriority w:val="59"/>
    <w:rsid w:val="00FB52F0"/>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C475D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C475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cs="Times New Roman"/>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556C0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locked/>
    <w:rsid w:val="00556C01"/>
    <w:rPr>
      <w:rFonts w:cs="Times New Roman"/>
      <w:sz w:val="20"/>
      <w:szCs w:val="20"/>
    </w:rPr>
  </w:style>
  <w:style w:type="character" w:styleId="Odkaznapoznmkupodiarou">
    <w:name w:val="footnote reference"/>
    <w:basedOn w:val="Predvolenpsmoodseku"/>
    <w:uiPriority w:val="99"/>
    <w:semiHidden/>
    <w:unhideWhenUsed/>
    <w:rsid w:val="00556C01"/>
    <w:rPr>
      <w:rFonts w:cs="Times New Roman"/>
      <w:vertAlign w:val="superscript"/>
    </w:rPr>
  </w:style>
  <w:style w:type="paragraph" w:styleId="Odsekzoznamu">
    <w:name w:val="List Paragraph"/>
    <w:basedOn w:val="Normlny"/>
    <w:uiPriority w:val="34"/>
    <w:qFormat/>
    <w:rsid w:val="006D15B0"/>
    <w:pPr>
      <w:ind w:left="720"/>
      <w:contextualSpacing/>
    </w:pPr>
  </w:style>
  <w:style w:type="table" w:styleId="Svetlpodfarbenie">
    <w:name w:val="Light Shading"/>
    <w:basedOn w:val="Normlnatabuka"/>
    <w:uiPriority w:val="60"/>
    <w:rsid w:val="00FB52F0"/>
    <w:pPr>
      <w:spacing w:after="0" w:line="240" w:lineRule="auto"/>
    </w:pPr>
    <w:rPr>
      <w:rFonts w:cs="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table" w:styleId="Mriekatabuky">
    <w:name w:val="Table Grid"/>
    <w:basedOn w:val="Normlnatabuka"/>
    <w:uiPriority w:val="59"/>
    <w:rsid w:val="00FB52F0"/>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C475D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C47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016369">
      <w:marLeft w:val="0"/>
      <w:marRight w:val="0"/>
      <w:marTop w:val="0"/>
      <w:marBottom w:val="0"/>
      <w:divBdr>
        <w:top w:val="none" w:sz="0" w:space="0" w:color="auto"/>
        <w:left w:val="none" w:sz="0" w:space="0" w:color="auto"/>
        <w:bottom w:val="none" w:sz="0" w:space="0" w:color="auto"/>
        <w:right w:val="none" w:sz="0" w:space="0" w:color="auto"/>
      </w:divBdr>
      <w:divsChild>
        <w:div w:id="507016377">
          <w:marLeft w:val="0"/>
          <w:marRight w:val="0"/>
          <w:marTop w:val="0"/>
          <w:marBottom w:val="0"/>
          <w:divBdr>
            <w:top w:val="none" w:sz="0" w:space="0" w:color="auto"/>
            <w:left w:val="none" w:sz="0" w:space="0" w:color="auto"/>
            <w:bottom w:val="none" w:sz="0" w:space="0" w:color="auto"/>
            <w:right w:val="none" w:sz="0" w:space="0" w:color="auto"/>
          </w:divBdr>
          <w:divsChild>
            <w:div w:id="507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373">
      <w:marLeft w:val="0"/>
      <w:marRight w:val="0"/>
      <w:marTop w:val="0"/>
      <w:marBottom w:val="0"/>
      <w:divBdr>
        <w:top w:val="none" w:sz="0" w:space="0" w:color="auto"/>
        <w:left w:val="none" w:sz="0" w:space="0" w:color="auto"/>
        <w:bottom w:val="none" w:sz="0" w:space="0" w:color="auto"/>
        <w:right w:val="none" w:sz="0" w:space="0" w:color="auto"/>
      </w:divBdr>
      <w:divsChild>
        <w:div w:id="507016370">
          <w:marLeft w:val="0"/>
          <w:marRight w:val="0"/>
          <w:marTop w:val="0"/>
          <w:marBottom w:val="0"/>
          <w:divBdr>
            <w:top w:val="none" w:sz="0" w:space="0" w:color="auto"/>
            <w:left w:val="none" w:sz="0" w:space="0" w:color="auto"/>
            <w:bottom w:val="none" w:sz="0" w:space="0" w:color="auto"/>
            <w:right w:val="none" w:sz="0" w:space="0" w:color="auto"/>
          </w:divBdr>
          <w:divsChild>
            <w:div w:id="507016374">
              <w:marLeft w:val="0"/>
              <w:marRight w:val="0"/>
              <w:marTop w:val="0"/>
              <w:marBottom w:val="0"/>
              <w:divBdr>
                <w:top w:val="none" w:sz="0" w:space="0" w:color="auto"/>
                <w:left w:val="none" w:sz="0" w:space="0" w:color="auto"/>
                <w:bottom w:val="none" w:sz="0" w:space="0" w:color="auto"/>
                <w:right w:val="none" w:sz="0" w:space="0" w:color="auto"/>
              </w:divBdr>
              <w:divsChild>
                <w:div w:id="507016376">
                  <w:marLeft w:val="0"/>
                  <w:marRight w:val="0"/>
                  <w:marTop w:val="0"/>
                  <w:marBottom w:val="0"/>
                  <w:divBdr>
                    <w:top w:val="none" w:sz="0" w:space="0" w:color="auto"/>
                    <w:left w:val="none" w:sz="0" w:space="0" w:color="auto"/>
                    <w:bottom w:val="none" w:sz="0" w:space="0" w:color="auto"/>
                    <w:right w:val="none" w:sz="0" w:space="0" w:color="auto"/>
                  </w:divBdr>
                  <w:divsChild>
                    <w:div w:id="507016379">
                      <w:marLeft w:val="0"/>
                      <w:marRight w:val="0"/>
                      <w:marTop w:val="0"/>
                      <w:marBottom w:val="0"/>
                      <w:divBdr>
                        <w:top w:val="none" w:sz="0" w:space="0" w:color="auto"/>
                        <w:left w:val="none" w:sz="0" w:space="0" w:color="auto"/>
                        <w:bottom w:val="none" w:sz="0" w:space="0" w:color="auto"/>
                        <w:right w:val="none" w:sz="0" w:space="0" w:color="auto"/>
                      </w:divBdr>
                      <w:divsChild>
                        <w:div w:id="5070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378">
                  <w:marLeft w:val="0"/>
                  <w:marRight w:val="0"/>
                  <w:marTop w:val="0"/>
                  <w:marBottom w:val="0"/>
                  <w:divBdr>
                    <w:top w:val="none" w:sz="0" w:space="0" w:color="auto"/>
                    <w:left w:val="none" w:sz="0" w:space="0" w:color="auto"/>
                    <w:bottom w:val="none" w:sz="0" w:space="0" w:color="auto"/>
                    <w:right w:val="none" w:sz="0" w:space="0" w:color="auto"/>
                  </w:divBdr>
                  <w:divsChild>
                    <w:div w:id="507016368">
                      <w:marLeft w:val="0"/>
                      <w:marRight w:val="0"/>
                      <w:marTop w:val="0"/>
                      <w:marBottom w:val="0"/>
                      <w:divBdr>
                        <w:top w:val="none" w:sz="0" w:space="0" w:color="auto"/>
                        <w:left w:val="none" w:sz="0" w:space="0" w:color="auto"/>
                        <w:bottom w:val="none" w:sz="0" w:space="0" w:color="auto"/>
                        <w:right w:val="none" w:sz="0" w:space="0" w:color="auto"/>
                      </w:divBdr>
                    </w:div>
                    <w:div w:id="5070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16371">
          <w:marLeft w:val="0"/>
          <w:marRight w:val="0"/>
          <w:marTop w:val="0"/>
          <w:marBottom w:val="0"/>
          <w:divBdr>
            <w:top w:val="none" w:sz="0" w:space="0" w:color="auto"/>
            <w:left w:val="none" w:sz="0" w:space="0" w:color="auto"/>
            <w:bottom w:val="none" w:sz="0" w:space="0" w:color="auto"/>
            <w:right w:val="none" w:sz="0" w:space="0" w:color="auto"/>
          </w:divBdr>
        </w:div>
      </w:divsChild>
    </w:div>
    <w:div w:id="507016380">
      <w:marLeft w:val="0"/>
      <w:marRight w:val="0"/>
      <w:marTop w:val="0"/>
      <w:marBottom w:val="0"/>
      <w:divBdr>
        <w:top w:val="none" w:sz="0" w:space="0" w:color="auto"/>
        <w:left w:val="none" w:sz="0" w:space="0" w:color="auto"/>
        <w:bottom w:val="none" w:sz="0" w:space="0" w:color="auto"/>
        <w:right w:val="none" w:sz="0" w:space="0" w:color="auto"/>
      </w:divBdr>
    </w:div>
    <w:div w:id="507016381">
      <w:marLeft w:val="0"/>
      <w:marRight w:val="0"/>
      <w:marTop w:val="0"/>
      <w:marBottom w:val="0"/>
      <w:divBdr>
        <w:top w:val="none" w:sz="0" w:space="0" w:color="auto"/>
        <w:left w:val="none" w:sz="0" w:space="0" w:color="auto"/>
        <w:bottom w:val="none" w:sz="0" w:space="0" w:color="auto"/>
        <w:right w:val="none" w:sz="0" w:space="0" w:color="auto"/>
      </w:divBdr>
    </w:div>
    <w:div w:id="507016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871AB-75A5-4F91-B525-990C0958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5020</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MKSR</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Slovák Jakub</dc:creator>
  <cp:lastModifiedBy>Knappová Viktória</cp:lastModifiedBy>
  <cp:revision>2</cp:revision>
  <dcterms:created xsi:type="dcterms:W3CDTF">2021-10-29T08:52:00Z</dcterms:created>
  <dcterms:modified xsi:type="dcterms:W3CDTF">2021-10-29T08:52:00Z</dcterms:modified>
</cp:coreProperties>
</file>