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pPr w:leftFromText="141" w:rightFromText="141" w:horzAnchor="margin" w:tblpXSpec="center" w:tblpY="-217"/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10"/>
        <w:gridCol w:w="3810"/>
        <w:gridCol w:w="967"/>
        <w:gridCol w:w="1176"/>
        <w:gridCol w:w="1134"/>
        <w:gridCol w:w="4395"/>
        <w:gridCol w:w="1134"/>
        <w:gridCol w:w="1276"/>
      </w:tblGrid>
      <w:tr>
        <w:tblPrEx>
          <w:tblW w:w="146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14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29FF" w:rsidP="00C27E2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="000A6B6B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TABUĽ</w:t>
            </w:r>
            <w:r w:rsidR="000A6B6B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KA ZHODY</w:t>
            </w:r>
          </w:p>
          <w:p w:rsidR="006929FF" w:rsidP="00C27E2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 ná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vrhu </w:t>
            </w:r>
            <w:r w:rsidR="00C27E27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prá</w:t>
            </w:r>
            <w:r w:rsidR="00C27E27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vneho predpisu 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s prá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vom Euró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pskej ú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nie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F99" w:rsidP="00365F99">
            <w:pPr>
              <w:keepNext/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C27E27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 xml:space="preserve">Smernica </w:t>
            </w:r>
          </w:p>
          <w:p w:rsidR="0086180B" w:rsidRPr="00365F99" w:rsidP="00365F99">
            <w:pPr>
              <w:keepNext/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Smernica Rady č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. 93/83/EHS z 27. septembra 1993 o koordiná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cii niektorý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pravidiel tý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kajú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cich sa autorské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ho prá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 a prá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prí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buzný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autorské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mu prá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vu, vzť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ahujú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cich sa na satelitné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vysielanie a ká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blovú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retransmisiu</w:t>
            </w:r>
            <w:r w:rsidR="00C27E27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EC4C55" w:rsidR="00C27E27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>(</w:t>
            </w:r>
            <w:r w:rsidRPr="00EC4C55" w:rsidR="00EC4C55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Ú</w:t>
            </w:r>
            <w:r w:rsidRPr="00EC4C55" w:rsidR="00EC4C55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. v. ES L 248, 6.10.1993; Mimoriadne vydanie Ú</w:t>
            </w:r>
            <w:r w:rsidRPr="00EC4C55" w:rsidR="00EC4C55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. v. EÚ</w:t>
            </w:r>
            <w:r w:rsidRPr="00EC4C55" w:rsidR="00EC4C55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, kap. 17/zv. 1</w:t>
            </w:r>
            <w:r w:rsidR="00EC4C55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9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eobecne zá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vä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zné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prá</w:t>
            </w:r>
            <w:r w:rsidRPr="00365F99" w:rsid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vne predpisy Slovenskej republiky</w:t>
            </w:r>
          </w:p>
          <w:p w:rsidR="00195EBF" w:rsidRPr="00195EBF" w:rsidP="00195EBF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</w:pP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1. Ná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vrh zá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kona, ktorý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m sa mení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 xml:space="preserve"> a dopĺň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a zá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kon č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. 185/2015 Z. z. Autorský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 xml:space="preserve"> zá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kon v znení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 xml:space="preserve"> neskorší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ch predpisov (NAZ)</w:t>
            </w:r>
          </w:p>
          <w:p w:rsidR="00195EBF" w:rsidRPr="00195EBF" w:rsidP="00195EBF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</w:pP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2. Zá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kon č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. 185/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2015 Z. z. Autorský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 xml:space="preserve"> zá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kon v 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znení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 xml:space="preserve"> neskorší</w:t>
            </w:r>
            <w:r w:rsidRPr="00195EBF">
              <w:rPr>
                <w:rFonts w:ascii="Times New Roman" w:hAnsi="Times New Roman" w:eastAsiaTheme="minorEastAsia" w:hint="default"/>
                <w:bCs/>
                <w:sz w:val="20"/>
                <w:szCs w:val="20"/>
                <w:lang w:eastAsia="sk-SK"/>
              </w:rPr>
              <w:t>ch predpisov (AZ)</w:t>
            </w:r>
          </w:p>
          <w:p w:rsidR="0086180B" w:rsidP="00C27E2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40751A" w:rsidP="006929FF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40751A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40751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40751A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left="-70" w:right="-1345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365F99" w:rsidP="006929FF">
            <w:pPr>
              <w:keepNext/>
              <w:bidi w:val="0"/>
              <w:spacing w:after="0" w:line="240" w:lineRule="exact"/>
              <w:ind w:left="-284" w:firstLine="284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vertAlign w:val="superscript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lá</w:t>
            </w:r>
            <w:r w:rsidRPr="00365F9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nok</w:t>
            </w:r>
          </w:p>
          <w:p w:rsidR="00365F99" w:rsidRPr="00365F99" w:rsidP="00365F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(Č</w:t>
            </w:r>
            <w:r w:rsidRP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O,</w:t>
            </w:r>
          </w:p>
          <w:p w:rsidR="0086180B" w:rsidRPr="00365F99" w:rsidP="00365F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P)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Text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Spô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sob</w:t>
            </w:r>
          </w:p>
          <w:p w:rsidR="0086180B" w:rsidP="006929FF">
            <w:pPr>
              <w:bidi w:val="0"/>
              <w:spacing w:after="0" w:line="240" w:lineRule="auto"/>
              <w:ind w:left="-70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transpozí</w:t>
            </w:r>
            <w:r w:rsidRPr="009F6C75"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  <w:t>cie</w:t>
            </w:r>
          </w:p>
          <w:p w:rsidR="00365F99" w:rsidRPr="00365F99" w:rsidP="00365F99">
            <w:pPr>
              <w:bidi w:val="0"/>
              <w:spacing w:after="0" w:line="240" w:lineRule="auto"/>
              <w:ind w:left="-70"/>
              <w:jc w:val="center"/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</w:pPr>
            <w:r w:rsidRPr="00365F99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 xml:space="preserve">(N, O, </w:t>
            </w:r>
            <w:r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br/>
            </w:r>
            <w:r w:rsidRPr="00365F99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>D, n.</w:t>
            </w:r>
            <w:r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 xml:space="preserve"> </w:t>
            </w:r>
            <w:r w:rsidRPr="00365F99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>a.)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Čí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vertAlign w:val="superscript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lá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nok</w:t>
            </w:r>
          </w:p>
          <w:p w:rsidR="0086180B" w:rsidRPr="00365F9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</w:pPr>
            <w:r w:rsidRPr="00365F99" w:rsidR="00365F99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(Č</w:t>
            </w:r>
            <w:r w:rsidRPr="00365F99" w:rsidR="00365F99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, §</w:t>
            </w:r>
            <w:r w:rsidRPr="00365F99" w:rsidR="00365F99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, O, V, P)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 xml:space="preserve"> Zhoda</w:t>
            </w:r>
          </w:p>
          <w:p w:rsidR="00365F99" w:rsidRPr="00365F99" w:rsidP="006929F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</w:pP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(Ú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Č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Ž</w:t>
            </w:r>
            <w:r w:rsidRPr="00365F99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n. a.)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Pozná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mky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EBF" w:rsidRP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</w:pPr>
            <w:r w:rsidRPr="00195EBF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195EBF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 3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zariadiť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sa kolektí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vna dohoda medzi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zom a vysielacou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ciou, tý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sa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diel, rozší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rila na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tej istej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rie, ktorí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zom, za predpokladu, 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e: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- satelitné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pre ver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ejnosť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uskutočň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asne s pozemný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vysielaní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tej istej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vysielacej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a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- nezastú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bude mať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kedykoľ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mož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kolektí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dohody na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svoje diela a 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alebo individuá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lne, alebo kolektí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6C0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95EB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95EBF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DD0A77"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79</w:t>
            </w: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DD0A77" w:rsidR="008C681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80</w:t>
            </w:r>
            <w:r w:rsidRP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5865D0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865D0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865D0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</w:t>
            </w: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 w:rsid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k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6812" w:rsidRPr="00DD0A77" w:rsidP="008C681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 najviac nositeľ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Pr="00DD0A77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podľ</w:t>
            </w:r>
            <w:r w:rsidRPr="00DD0A77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DD0A77" w:rsidR="005865D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 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môž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uzavrieť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nadobú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rozší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hromadnú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licenč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zmluvu, ktorou udeľ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</w:t>
            </w:r>
            <w:r w:rsidRPr="00DD0A77" w:rsidR="00EC0D65">
              <w:t xml:space="preserve"> </w:t>
            </w:r>
            <w:r w:rsidRPr="00DD0A77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DD0A77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DD0A77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</w:p>
          <w:p w:rsidR="008C6812" w:rsidRPr="00DD0A77" w:rsidP="008C681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C6812" w:rsidRPr="00DD0A77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D0A77" w:rsidR="00EC0D6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164, ku ktorý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</w:t>
            </w:r>
          </w:p>
          <w:p w:rsidR="008C6812" w:rsidRPr="00DD0A77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C6812" w:rsidRPr="00DD0A77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D0A77" w:rsidR="00EC0D6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b) 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touto organizá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a nevyl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ili kolektí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predmetom ochrany podľ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8C6812" w:rsidRPr="00DD0A77" w:rsidP="008C681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C6812" w:rsidRPr="00DD0A77" w:rsidP="008C681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ods. 1 pí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je oprá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vylúč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svojich majetkový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ku vš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alebo </w:t>
            </w:r>
            <w:r w:rsidRPr="00DD0A77" w:rsidR="008C74C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k 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niektoré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zo svojich predmetov ochrany prostrední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rozší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renej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hromadnej licenč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 pí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ozná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ktorá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tom bez zbytoč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informuje nadobú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DD0A77" w:rsidR="00EC0D6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licencie</w:t>
            </w:r>
            <w:r w:rsidRP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rozší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renou hromadnou licenč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poskytnúť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nadobú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ateľ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sú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hlas </w:t>
            </w:r>
            <w:r w:rsidRPr="00DD0A77" w:rsid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len </w:t>
            </w:r>
            <w:r w:rsidRP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</w:t>
            </w: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DD0A77" w:rsid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vysielanie diel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vrá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vysielania prostrední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satelitu,</w:t>
            </w:r>
          </w:p>
          <w:p w:rsidR="00985B1B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 obsiahnutý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 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doplnkovej on-line služ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 vyhotovení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rozmnož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a 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verejný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prenosom. </w:t>
            </w:r>
          </w:p>
          <w:p w:rsidR="00DD0A77" w:rsidRP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satelitné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 pre verejnosť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umelcov,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robcov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znamov a vysielací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chrá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ustanoveniam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nkov 6, 7, 8 a 10 smernice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92/100/EHS.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95EB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71B1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NAZ 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AZ 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NAZ 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5B1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 w:rsid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9F6C75" w:rsidR="0086180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97</w:t>
            </w:r>
            <w:r w:rsidR="00090C1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090C1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  <w:p w:rsidR="00090C1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90C1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865D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71B1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99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10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0639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110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118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1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3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0639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119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125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125</w:t>
            </w:r>
          </w:p>
          <w:p w:rsidR="0042494F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umelec má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 umelecký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a 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 použ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umelecké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 w:rsid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konu.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umelecké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na ktoré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udeľ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vý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umelec sú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806396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verejný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nezaznamenané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 okrem vysielania,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vyhotovenie originá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zá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konu,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vyhotovenie rozmnož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zá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konu,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0B8A" w:rsidR="000F0B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d) </w:t>
            </w:r>
            <w:r w:rsidRPr="00AF7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zá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alebo jeho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prevodom vlastní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alebo </w:t>
            </w:r>
          </w:p>
          <w:p w:rsidR="000F0B8A" w:rsidP="00AF73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vypož</w:t>
            </w: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AF7326" w:rsid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</w:p>
          <w:p w:rsidR="00AF7326" w:rsidRPr="000F0B8A" w:rsidP="00AF73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sprí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zá</w:t>
            </w:r>
            <w:r w:rsidRPr="000F0B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umelecké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verejnosti,</w:t>
            </w:r>
          </w:p>
          <w:p w:rsidR="00DD0A77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retransmisia zá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umelecké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okrem ká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0F0B8A" w:rsidRPr="000F0B8A" w:rsidP="000F0B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umelec má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primeranú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odmenu za použ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</w:t>
            </w: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zaznamenané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technický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predvedení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m, </w:t>
            </w: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zaznamenané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verejný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prenosom okrem 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97 ods. 3 psí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m. e) a f) </w:t>
            </w:r>
            <w:r w:rsidRPr="00EC0D6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a </w:t>
            </w: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C0D65" w:rsidRPr="00EC0D65" w:rsidP="00EC0D6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nezaznamenané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umelecké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vysielaní</w:t>
            </w:r>
            <w:r w:rsidRPr="00EC0D6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m. </w:t>
            </w:r>
          </w:p>
          <w:p w:rsidR="0042494F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 zvukový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 a 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znamu.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zvukové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na ktoré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vý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zvukové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sú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vyhotovenie rozmnož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AF732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verejné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zvukové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alebo jeho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</w:t>
            </w:r>
          </w:p>
          <w:p w:rsidR="00AF732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prevodom vlastní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va, </w:t>
            </w:r>
          </w:p>
          <w:p w:rsidR="00806396" w:rsidRPr="00AF7326" w:rsidP="00AF73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ná</w:t>
            </w: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</w:t>
            </w:r>
            <w:r w:rsidRP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alebo</w:t>
            </w:r>
            <w:r w:rsidRPr="00AF7326"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3.</w:t>
            </w:r>
            <w:r w:rsidRP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vysielanie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sprí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zvukové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 verejnosti, </w:t>
            </w:r>
          </w:p>
          <w:p w:rsidR="00DD0A77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retransmisia zvukové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okrem ká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retransmisie.</w:t>
            </w:r>
          </w:p>
          <w:p w:rsidR="0086180B" w:rsidP="006929FF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zvukové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primeranú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odmenu za 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zvukové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</w:t>
            </w: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technický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predvedení</w:t>
            </w:r>
            <w:r w:rsid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162E76" w:rsidRP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b) 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verejný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o</w:t>
            </w:r>
            <w:r w:rsidR="00A71B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krem §</w:t>
            </w:r>
            <w:r w:rsidR="00A71B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109 ods. 3 pí</w:t>
            </w:r>
            <w:r w:rsidR="00A71B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c) až</w:t>
            </w:r>
            <w:r w:rsidRPr="00DD0A77" w:rsid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e).</w:t>
            </w:r>
          </w:p>
          <w:p w:rsidR="00DD0A77" w:rsidRPr="0042494F" w:rsidP="00162E76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 a 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znamu.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audiovizuá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80639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na ktoré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vý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audiovizuá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sú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vyhotovenie rozmnož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AF732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verejné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audiovizuá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AF732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alebo jeho rozmnož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</w:t>
            </w:r>
          </w:p>
          <w:p w:rsidR="00162E76" w:rsidRPr="00AF732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AF7326" w:rsidR="00AF73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1. prevodom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vlastní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AF73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ná</w:t>
            </w:r>
            <w:r w:rsidRPr="00AF7326"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alebo</w:t>
            </w:r>
            <w:r w:rsidRPr="00162E76" w:rsid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3. 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ypož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technické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predvedenie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vysielanie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</w:t>
            </w:r>
            <w:r w:rsidR="00DD0A7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sprí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audiovizuá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</w:t>
            </w:r>
            <w:r w:rsidRPr="00162E7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verejnosti,</w:t>
            </w:r>
          </w:p>
          <w:p w:rsidR="00DD0A77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f) 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retransmisia audiovizuá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okrem ká</w:t>
            </w:r>
            <w:r w:rsidRP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retransmisie.</w:t>
            </w:r>
          </w:p>
          <w:p w:rsidR="00DD0A77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robca audiovizuá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má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primeranú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odmenu za použ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audiovizuá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verejný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okrem §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118 ods. 3 pí</w:t>
            </w:r>
            <w:r w:rsidRPr="00DD0A77"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d), e) a f)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162E76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Vysielateľ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vysielanie a 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svojho vysielania.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80639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vysielania, na kto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ré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vysielateľ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podľ</w:t>
            </w:r>
            <w:r w:rsidRPr="008063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</w:t>
            </w:r>
            <w:r w:rsidR="008D1B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Pr="0080639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verejný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vysielania, ak sa uskutočň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 miestach, ktoré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verejnosti 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stupné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vstupný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poplatok,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vyhotovenie zá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 vysielania,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vyhoto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venie rozmnož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zá</w:t>
            </w:r>
            <w:r w:rsidR="008D1B3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vysielania,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verejné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zá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vysielania alebo jeho rozmnož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eniny </w:t>
            </w:r>
            <w:r w:rsidRPr="009528CC" w:rsidR="009528C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prevodom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vlastní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9528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e) retransmisiu vysielania, </w:t>
            </w:r>
          </w:p>
          <w:p w:rsidR="00162E76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sprí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="00DD0A7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znamu vysielania verejnosti, </w:t>
            </w:r>
          </w:p>
          <w:p w:rsidR="00DD0A77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0A77" w:rsidRPr="00162E76" w:rsidP="00162E7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verejný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vysielania pomocou priameho vstupu. </w:t>
            </w:r>
          </w:p>
          <w:p w:rsidR="0042494F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5B1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KAPITOLA III</w:t>
            </w:r>
          </w:p>
          <w:p w:rsidR="002A27C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KÁ</w:t>
            </w: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BLOVÁ</w:t>
            </w:r>
            <w:r w:rsidRPr="002A27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27C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8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v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keď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programy z i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ich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ší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bli, bolo dodrž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platné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aby sa taká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retransmisia uskutočň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ovala na z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individuá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alebo kol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ektí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zmluvný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dohô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 medzi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vlastní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kmi autorský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prevá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rozvodov.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65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O.1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V.1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162E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612DE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77</w:t>
            </w: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78</w:t>
            </w: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79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</w:t>
            </w:r>
            <w:r w:rsidR="00612DE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 f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 g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147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Licenč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udeľ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autor nadobú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sú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(ď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licencia“</w:t>
            </w:r>
            <w:r w:rsidRPr="002F1CC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).</w:t>
            </w: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F1CC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uzavrieť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licenč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zmluvu s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vnickou osobou, ktorá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združ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použí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predmetov ochrany.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vnou licenč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organizá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udeľ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nositeľ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ku ktoré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vykoná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E64DC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Hromadnou licenč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môž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udeliť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nadobú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sú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viacerý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 nositeľ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164, ku ktorý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majetkový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v. </w:t>
            </w:r>
          </w:p>
          <w:p w:rsid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 najviac nositeľ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 na 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môž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uzavrieť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nadobú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rozší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hromadnú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licenč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zmluvu, ktorou udeľ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</w:t>
            </w:r>
            <w:r w:rsidRPr="000F2850" w:rsidR="000C4F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F2850" w:rsidR="000C4F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F2850" w:rsidR="000C4F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zastupovaný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4, ku ktorý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</w:t>
            </w:r>
          </w:p>
          <w:p w:rsidR="000F2850" w:rsidRPr="000F2850" w:rsidP="000F285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612DEB" w:rsidP="000F285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ktorí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touto organizá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a nevylúč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ili kolektí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predmetom ochrany podľ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0F285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12DEB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svojich majetkový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12DEB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d) </w:t>
            </w:r>
            <w:r w:rsidRPr="000F2850" w:rsidR="000F2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primeranej odmeny za ká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umelec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 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ktorý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originá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lom 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diela,</w:t>
            </w:r>
          </w:p>
          <w:p w:rsidR="000F2850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uvedení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retransmisiou,</w:t>
            </w:r>
          </w:p>
          <w:p w:rsidR="00F92570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612DEB" w:rsidP="00612DE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použ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umelecké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 audiovizuá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ich uvedení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retransmisiou okrem ká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retransmisie,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ktorú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uplatní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smeno d).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majetkové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pí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m. d), f), g), 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alebo i) sa považ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tohto 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aj vo vzť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nositeľ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1.</w:t>
            </w:r>
          </w:p>
          <w:p w:rsidR="00F92570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odbore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blovou retransmisiou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viacero 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nositeľ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mož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urč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tý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sa považ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jeho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ká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blovou retransmisiou. </w:t>
            </w:r>
          </w:p>
          <w:p w:rsidR="00290C54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E64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9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vnenie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majiteľ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autorské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</w:p>
          <w:p w:rsidR="0086180B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udeľ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odmietať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prevá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rozvodov povol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na ká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sa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mohlo 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iba prostrední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ochranné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zu.</w:t>
            </w:r>
          </w:p>
          <w:p w:rsidR="0086180B" w:rsidRPr="009F6C75" w:rsidP="006929FF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12D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  <w:r w:rsidR="00290C5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90C54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A3673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d, f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 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svojich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d) 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primeranej odmeny za ká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umelecké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 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ktorý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originá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lom audiovizuá</w:t>
            </w:r>
            <w:r w:rsidRPr="000F2850" w:rsid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diela,</w:t>
            </w:r>
          </w:p>
          <w:p w:rsidR="000F2850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 uvedení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na 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verejnosti retransmisiou, </w:t>
            </w:r>
          </w:p>
          <w:p w:rsidR="00F92570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použ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umelecké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 audiovizuá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ich uvedení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retransmisiou okrem ká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retransmisie,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ktorú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uplatní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smeno d).</w:t>
            </w:r>
          </w:p>
          <w:p w:rsidR="00BC4A59" w:rsidRPr="009F6C75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90C5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Kde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nepreviedol spravovanie svojich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z, sa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</w:t>
            </w:r>
          </w:p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spravujú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rovnakej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poverený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spravovaní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jeho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Kde spravuje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tejto kategó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viac ako jeden 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z,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má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beru, ktorý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tý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chto sa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z, ktorý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poverený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spravovaní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jeho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uvedený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tomto odseku má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isté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povinnosti vyplý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z dohody medzi prevá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rozvodov a 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zom, ktorý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považ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poverený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spravovaní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jeho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ako tí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drž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itelia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ktorí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poverili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zvä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 a bude mô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uplatň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as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obdobia, ktoré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t, ktoré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nebude kratš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ako tri roky od dá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tumu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retransmisie, ktorá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zahŕň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jeho dielo alebo iný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chrá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 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147</w:t>
            </w: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C4A59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(1) 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pí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d), f), g),  h) alebo i) sa považ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tohto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aj vo vzť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1. 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Ak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v odbore 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jeho uvedení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retransmisiou vykoná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viacero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urč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tý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sa považ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za vykoná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jeho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použ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tie predmetu ochrany jeho uvedení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na verejnosti retransmisiou. 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Ak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majetkové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aj vo vzť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1, patria tý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rovnaké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povinnosti ako tý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touto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1. 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poverená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175 ods. 1 c) rozdelí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vybratý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med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zi úč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kov dohody o spoloč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ve. Ak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odbore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pí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d), f) a g) k urč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druhu predmetu ochrany vykoná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viacero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platí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vo vzť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1, poverená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vyplatí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tý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vý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tej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 najviac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 na 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Slovenskej republiky a je takto uvedená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evidencii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152 ods. 4; tý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nie je obmedzená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urč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9F59D7" w:rsidP="00F9257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(5) Organizá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uvedená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evidencii podľ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4, prerozdelí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vý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vyplatený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poverenej organizá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uhradí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ktorú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urč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 podľ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 alebo ktorá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 nositeľ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r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vnaké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druhu predmetu ochrany na zá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§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1, zodpovedajú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č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vý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 tý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F92570"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F92570" w:rsidRPr="009F6C75" w:rsidP="00F9257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môž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zariadiť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keď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povolí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svojom 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prenos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svojho diela alebo iné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chrá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predmetu 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ujmu, bude sa predpok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ladať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tý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m, aby sa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nevykoná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vali na individuá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lnej bá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ze, ale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 ustanoveniami tejto </w:t>
            </w:r>
            <w:r w:rsidRPr="0013392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smernice.</w:t>
            </w:r>
          </w:p>
          <w:p w:rsidR="00BC4A59" w:rsidRPr="009F6C75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D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</w:p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A3673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d, f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 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svojich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3673" w:rsidRPr="007A3673" w:rsidP="007A367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0F2850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d) 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primeranej odmeny za ká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blovú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retransmisiu umelecké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 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ktorý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originá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lom audiovizuá</w:t>
            </w:r>
            <w:r w:rsidRPr="000F285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diela,</w:t>
            </w:r>
          </w:p>
          <w:p w:rsidR="000F2850" w:rsidP="007A367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 uvedení</w:t>
            </w:r>
            <w:r w:rsidRPr="007A3673" w:rsidR="007A367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retrans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misiou, 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použ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umelecké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 audiovizuá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ich uvedení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retransmisiou okrem ká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retransmisie, na ktorú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uplatní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smeno d).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10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9 neplatil pre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vykoná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vysielacou organizá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vo</w:t>
            </w:r>
          </w:p>
          <w:p w:rsidR="0086180B" w:rsidRPr="009F6C75" w:rsidP="006929FF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vzť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jej vlastné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vysielaniu bez ohľ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to,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vlastné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boli na ň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u 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prenesené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majiteľ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autorský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a/alebo drž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buzný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AZ</w:t>
            </w: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4A59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9F59D7" w:rsid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</w:t>
            </w:r>
            <w:r w:rsidR="009F59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F59D7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9F59D7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f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 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nie je oprá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individuá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svojich majetkový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odboroch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</w:t>
            </w: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F59D7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odboroch kolektí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vy:</w:t>
            </w:r>
          </w:p>
          <w:p w:rsid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použ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jeho uvedení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</w:t>
            </w:r>
            <w:r w:rsidRPr="009F59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rejnosti retransmisiou.</w:t>
            </w:r>
          </w:p>
          <w:p w:rsidR="00F92570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7A3673" w:rsidP="00F9257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použ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umelecké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 audiovizuá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ich uvedení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verejnosti retransmisiou okrem ká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retransmisie,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ktorú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uplatní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smeno d).</w:t>
            </w:r>
          </w:p>
          <w:p w:rsidR="00F92570" w:rsidRPr="009F59D7" w:rsidP="009F59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F9257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§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 ods. 2 pí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f)</w:t>
            </w: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ani g)</w:t>
            </w:r>
            <w:r w:rsidR="004B538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 je uvedené</w:t>
            </w:r>
            <w:r w:rsid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vysielanie ako predmet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ochrany, teda zo samotnej textá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ustanovenia je zrejmé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neplatí</w:t>
            </w:r>
            <w:r w:rsidR="004B538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vysielanie ako predmet ochrany. </w:t>
            </w:r>
          </w:p>
        </w:tc>
      </w:tr>
      <w:tr>
        <w:tblPrEx>
          <w:tblW w:w="14602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9F6C75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11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13392E" w:rsidP="006929F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Kde nie je uzavretá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dohoda o povolení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blovej retransmisie urč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vysielania, 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</w:t>
            </w:r>
          </w:p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zabezpeč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si ktorá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strana mohla vyž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pomoc jedné</w:t>
            </w:r>
            <w:r w:rsidRPr="0013392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ale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 viacerý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sprostredkovateľ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</w:t>
            </w: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F6C7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25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</w:pPr>
            <w:r w:rsidR="007A3673">
              <w:rPr>
                <w:rFonts w:ascii="Times New Roman" w:hAnsi="Times New Roman" w:eastAsiaTheme="minorEastAsia" w:hint="default"/>
                <w:sz w:val="16"/>
                <w:szCs w:val="16"/>
                <w:lang w:eastAsia="sk-SK"/>
              </w:rPr>
              <w:t>§</w:t>
            </w:r>
            <w:r w:rsidR="007A3673">
              <w:rPr>
                <w:rFonts w:ascii="Times New Roman" w:hAnsi="Times New Roman" w:eastAsiaTheme="minorEastAsia" w:hint="default"/>
                <w:sz w:val="16"/>
                <w:szCs w:val="16"/>
                <w:lang w:eastAsia="sk-SK"/>
              </w:rPr>
              <w:t xml:space="preserve"> 176</w:t>
            </w:r>
          </w:p>
          <w:p w:rsidR="00BC4A59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  <w:t xml:space="preserve">O. 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využ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rieš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sporov s inou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použí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alebo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vnickou osobou združ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cou použí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postupy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  <w:r w:rsidRPr="002C7002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26c)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iniciuje na rieš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sporov s prá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vnickou osobou združ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cou použí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mediá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podľ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predpisu.</w:t>
            </w:r>
            <w:r w:rsidRPr="002C7002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30a)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26c)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244/2002 Z. z. o rozhodcovskom konaní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o mediá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o doplnení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v znení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predpisov. </w:t>
            </w: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F92570" w:rsidRPr="00F92570" w:rsidP="00F9257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30a) Zá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v znení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F925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predpisov. </w:t>
            </w:r>
          </w:p>
          <w:p w:rsidR="00254121" w:rsidRPr="00254121" w:rsidP="0025412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C4A5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80B" w:rsidRPr="009F6C75" w:rsidP="006929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</w:tbl>
    <w:p w:rsidR="004800A6" w:rsidP="00195EBF">
      <w:pPr>
        <w:bidi w:val="0"/>
      </w:pPr>
    </w:p>
    <w:sectPr w:rsidSect="009F6C75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72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626054FF"/>
    <w:multiLevelType w:val="singleLevel"/>
    <w:tmpl w:val="037855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9F6C75"/>
    <w:rsid w:val="0000738C"/>
    <w:rsid w:val="000229E6"/>
    <w:rsid w:val="00090C15"/>
    <w:rsid w:val="000A6B6B"/>
    <w:rsid w:val="000B1359"/>
    <w:rsid w:val="000C4FFF"/>
    <w:rsid w:val="000F0B8A"/>
    <w:rsid w:val="000F2850"/>
    <w:rsid w:val="0013392E"/>
    <w:rsid w:val="00162E76"/>
    <w:rsid w:val="00195EBF"/>
    <w:rsid w:val="001A4C8F"/>
    <w:rsid w:val="001B4149"/>
    <w:rsid w:val="001B6C01"/>
    <w:rsid w:val="001B7620"/>
    <w:rsid w:val="00204FD4"/>
    <w:rsid w:val="00220E28"/>
    <w:rsid w:val="00254121"/>
    <w:rsid w:val="00290C54"/>
    <w:rsid w:val="002A27CB"/>
    <w:rsid w:val="002C7002"/>
    <w:rsid w:val="002F1CCC"/>
    <w:rsid w:val="00365F99"/>
    <w:rsid w:val="003B0B79"/>
    <w:rsid w:val="003B1235"/>
    <w:rsid w:val="0040751A"/>
    <w:rsid w:val="0042494F"/>
    <w:rsid w:val="004800A6"/>
    <w:rsid w:val="004B538C"/>
    <w:rsid w:val="004C6D50"/>
    <w:rsid w:val="00556C01"/>
    <w:rsid w:val="005865D0"/>
    <w:rsid w:val="00590E9E"/>
    <w:rsid w:val="005D1AF0"/>
    <w:rsid w:val="00612DEB"/>
    <w:rsid w:val="00624FA0"/>
    <w:rsid w:val="006254B4"/>
    <w:rsid w:val="006514C0"/>
    <w:rsid w:val="006929FF"/>
    <w:rsid w:val="007026AE"/>
    <w:rsid w:val="007315C0"/>
    <w:rsid w:val="00783BA7"/>
    <w:rsid w:val="007A3673"/>
    <w:rsid w:val="007F6E32"/>
    <w:rsid w:val="00806396"/>
    <w:rsid w:val="0086180B"/>
    <w:rsid w:val="00864BB7"/>
    <w:rsid w:val="0087405C"/>
    <w:rsid w:val="008875EE"/>
    <w:rsid w:val="008C6812"/>
    <w:rsid w:val="008C74CD"/>
    <w:rsid w:val="008D1B37"/>
    <w:rsid w:val="00910A58"/>
    <w:rsid w:val="00926BBF"/>
    <w:rsid w:val="009528CC"/>
    <w:rsid w:val="00973C01"/>
    <w:rsid w:val="00985B1B"/>
    <w:rsid w:val="009F59D7"/>
    <w:rsid w:val="009F6C75"/>
    <w:rsid w:val="00A04EEB"/>
    <w:rsid w:val="00A47EA9"/>
    <w:rsid w:val="00A71B16"/>
    <w:rsid w:val="00A7259B"/>
    <w:rsid w:val="00A839EA"/>
    <w:rsid w:val="00A8413B"/>
    <w:rsid w:val="00AB33C5"/>
    <w:rsid w:val="00AF7326"/>
    <w:rsid w:val="00B40763"/>
    <w:rsid w:val="00B82B3B"/>
    <w:rsid w:val="00BC4A59"/>
    <w:rsid w:val="00BE64DC"/>
    <w:rsid w:val="00C27E27"/>
    <w:rsid w:val="00C80E0F"/>
    <w:rsid w:val="00C91528"/>
    <w:rsid w:val="00CC2198"/>
    <w:rsid w:val="00D26C2D"/>
    <w:rsid w:val="00DC6262"/>
    <w:rsid w:val="00DD0A77"/>
    <w:rsid w:val="00E74349"/>
    <w:rsid w:val="00EB1F9C"/>
    <w:rsid w:val="00EB6E53"/>
    <w:rsid w:val="00EC0D65"/>
    <w:rsid w:val="00EC4C55"/>
    <w:rsid w:val="00EC6CD6"/>
    <w:rsid w:val="00EF052B"/>
    <w:rsid w:val="00F925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7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56C01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56C01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556C01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E6C1-D3B7-441F-95CB-63FA4E5B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9</Pages>
  <Words>2387</Words>
  <Characters>13612</Characters>
  <Application>Microsoft Office Word</Application>
  <DocSecurity>0</DocSecurity>
  <Lines>0</Lines>
  <Paragraphs>0</Paragraphs>
  <ScaleCrop>false</ScaleCrop>
  <Company>MKSR</Company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 Jakub</dc:creator>
  <cp:lastModifiedBy>Wiedemann Miroslav</cp:lastModifiedBy>
  <cp:revision>8</cp:revision>
  <cp:lastPrinted>2021-11-04T12:54:00Z</cp:lastPrinted>
  <dcterms:created xsi:type="dcterms:W3CDTF">2021-10-20T13:50:00Z</dcterms:created>
  <dcterms:modified xsi:type="dcterms:W3CDTF">2021-11-04T12:54:00Z</dcterms:modified>
</cp:coreProperties>
</file>