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10"/>
        <w:gridCol w:w="3810"/>
        <w:gridCol w:w="967"/>
        <w:gridCol w:w="1176"/>
        <w:gridCol w:w="1134"/>
        <w:gridCol w:w="4395"/>
        <w:gridCol w:w="850"/>
        <w:gridCol w:w="1701"/>
      </w:tblGrid>
      <w:tr>
        <w:tblPrEx>
          <w:tblW w:w="14743" w:type="dxa"/>
          <w:tblInd w:w="-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2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733" w:rsidRPr="00804733" w:rsidP="0006729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="00A54B0F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                                                                </w:t>
            </w:r>
            <w:r w:rsidR="00A54B0F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                                                                     </w:t>
            </w:r>
            <w:r w:rsidR="0006729C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        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TABUĽ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KA  ZHODY</w:t>
            </w:r>
          </w:p>
          <w:p w:rsidR="00B17CF7" w:rsidP="0006729C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ná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vrhu </w:t>
            </w:r>
            <w:r w:rsidR="0006729C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prá</w:t>
            </w:r>
            <w:r w:rsidR="0006729C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vneho predpisu 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s prá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vom Euró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pskej ú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nie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7CF7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06729C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 xml:space="preserve">Smernica </w:t>
            </w:r>
          </w:p>
          <w:p w:rsidR="00804733" w:rsidRPr="003F549F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Euró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pskeho Parlamentu a Rady 2014/26/EÚ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z 26. februá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ra 2014 o kolektí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vnej sprá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ve autorský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a 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sú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visiacich s autorský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m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vom a o 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poskytovaní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multiteritoriá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lnych licencií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na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 na hudobné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diela na online využí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vanie na vnú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tornom trhu</w:t>
            </w:r>
            <w:r w:rsidR="0006729C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3F549F" w:rsidR="0006729C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(</w:t>
            </w:r>
            <w:r w:rsidRPr="003F549F" w:rsidR="003F549F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Ú</w:t>
            </w:r>
            <w:r w:rsidRPr="003F549F" w:rsidR="003F549F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v. EÚ</w:t>
            </w:r>
            <w:r w:rsidRPr="003F549F" w:rsidR="003F549F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L 84, 20.3.2014</w:t>
            </w:r>
            <w:r w:rsidR="003F549F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)</w:t>
            </w:r>
            <w:r w:rsidR="0006729C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:rsidR="00804733" w:rsidRPr="00791CC3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2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733" w:rsidRPr="00804733" w:rsidP="00804733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eobecne zá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vä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zné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prá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vne predpisy Slovenskej republiky</w:t>
            </w:r>
          </w:p>
          <w:p w:rsidR="0006729C" w:rsidRPr="0006729C" w:rsidP="0006729C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  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1. Ná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zá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kona, ktorý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sa mení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dopĺň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zá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č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185/2015 Z. z. Autorský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v znení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neskorší</w:t>
            </w:r>
            <w:r w:rsidRP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predpisov (NAZ)</w:t>
            </w:r>
          </w:p>
          <w:p w:rsidR="00B17CF7" w:rsidP="0006729C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2. Zá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č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185/2015 Z. z. Autorský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v znení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neskorší</w:t>
            </w:r>
            <w:r w:rsidRPr="0006729C" w:rsidR="0006729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predpisov (AZ)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948" w:rsidP="00791CC3">
            <w:pPr>
              <w:keepNext/>
              <w:bidi w:val="0"/>
              <w:spacing w:after="0" w:line="240" w:lineRule="exact"/>
              <w:ind w:left="-284" w:firstLine="284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lá</w:t>
            </w: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no</w:t>
            </w:r>
            <w:r w:rsidR="00774820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>k</w:t>
            </w:r>
          </w:p>
          <w:p w:rsidR="00B87948" w:rsidRPr="00B87948" w:rsidP="00B87948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(Č</w:t>
            </w:r>
            <w:r w:rsidRP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O,</w:t>
            </w:r>
          </w:p>
          <w:p w:rsidR="00774820" w:rsidRPr="00B87948" w:rsidP="00B87948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B87948" w:rsid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P)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C4823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Text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Spô</w:t>
            </w: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sob</w:t>
            </w:r>
          </w:p>
          <w:p w:rsidR="00774820" w:rsidP="00791CC3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transpozí</w:t>
            </w:r>
            <w:r w:rsidRPr="00791CC3"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  <w:t>cie</w:t>
            </w:r>
          </w:p>
          <w:p w:rsidR="00B87948" w:rsidRPr="00B87948" w:rsidP="00B87948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(N, O,</w:t>
            </w:r>
          </w:p>
          <w:p w:rsidR="00B87948" w:rsidRPr="00791CC3" w:rsidP="00B87948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B87948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D, n. a.)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91CC3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Čí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Č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lá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nok</w:t>
            </w:r>
          </w:p>
          <w:p w:rsidR="00B87948" w:rsidRPr="00B87948" w:rsidP="00B8794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(Č</w:t>
            </w: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§</w:t>
            </w: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, O, </w:t>
            </w: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B87948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V, P)</w:t>
            </w:r>
          </w:p>
          <w:p w:rsidR="00B87948" w:rsidRPr="0094359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91CC3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B87948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87948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Zhoda</w:t>
            </w:r>
          </w:p>
          <w:p w:rsidR="00774820" w:rsidRPr="00B87948" w:rsidP="00B87948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(Ú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Č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, </w:t>
              <w:br/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Ž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n. a.)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B87948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87948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Pozná</w:t>
            </w:r>
            <w:r w:rsidRPr="00B87948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mky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33A28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133A28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:2</w:t>
            </w:r>
          </w:p>
          <w:p w:rsidR="00133A28" w:rsidRP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O:4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BB5B49">
            <w:pPr>
              <w:widowControl w:val="0"/>
              <w:bidi w:val="0"/>
              <w:spacing w:after="0" w:line="230" w:lineRule="atLeast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16 ods. 1,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18,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20,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21 ods. 1 pí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a), b), c), e), f) a g) a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nky 36 a 42 sa uplatň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nezá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subjekty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 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nii.</w:t>
            </w:r>
          </w:p>
          <w:p w:rsidR="00133A28" w:rsidRPr="00791CC3" w:rsidP="00BB5B49">
            <w:pPr>
              <w:widowControl w:val="0"/>
              <w:bidi w:val="0"/>
              <w:spacing w:after="0" w:line="230" w:lineRule="atLeast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33A28" w:rsidRPr="00791CC3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142</w:t>
            </w: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2</w:t>
            </w: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BB5B4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142 </w:t>
            </w:r>
          </w:p>
          <w:p w:rsidR="00133A28" w:rsidRPr="00791CC3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BB5B4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nezá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vzť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povinnosti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ustanovení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2,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178, 180 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181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c) a f) až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h). Dohľ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 nad plnení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povinností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 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min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isterstvo; ustanovenia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 sa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primerane.</w:t>
            </w:r>
          </w:p>
          <w:p w:rsidR="002024DF" w:rsidP="00BB5B4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024DF" w:rsidP="00BB5B4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Nezá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 sprá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ozná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ministerstvu informá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o vý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sprá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najneskô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do konca tretieho mesiaca od zač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iatku svojej č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innosti. Ministerstvo na svojom webovom s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dle vedie evidenciu nezá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subjektov sprá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vety.</w:t>
            </w:r>
          </w:p>
          <w:p w:rsidR="002024DF" w:rsidRPr="00791CC3" w:rsidP="00BB5B4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BB5B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0B7255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0B7255">
            <w:pPr>
              <w:widowControl w:val="0"/>
              <w:bidi w:val="0"/>
              <w:spacing w:after="0" w:line="230" w:lineRule="atLeast"/>
              <w:ind w:left="3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sa uplatň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vymedzenia pojmov: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vanish/>
                <w:sz w:val="18"/>
                <w:szCs w:val="18"/>
                <w:lang w:eastAsia="sk-SK"/>
              </w:rPr>
              <w:t>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widowControl w:val="0"/>
              <w:bidi w:val="0"/>
              <w:spacing w:after="0" w:line="240" w:lineRule="auto"/>
              <w:ind w:firstLine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repertoá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ku ktorý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spravuje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</w:t>
            </w:r>
          </w:p>
          <w:p w:rsidR="00133A28" w:rsidRPr="00791CC3" w:rsidP="004D44A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141</w:t>
            </w:r>
          </w:p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sa na úč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tohto 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rozumie sprá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vý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dielu, umelecké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vý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audiovizuá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lnemu 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periodiku, vysielaniu a databá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 podľ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131 (ď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"predmet ochrany")</w:t>
            </w:r>
            <w:r w:rsidR="002024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B75F9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8</w:t>
            </w:r>
          </w:p>
          <w:p w:rsidR="00133A28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sa 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konalo v sú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stanovený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odsekoch 2 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10.</w:t>
            </w:r>
          </w:p>
          <w:p w:rsidR="00133A28" w:rsidRPr="00C807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BE1F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(1) Valné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je najvyšší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orgá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zasadá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najmenej raz roč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ne.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(2) Valné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v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s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zmeny 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tu,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b) volí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odvolá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va 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1. orgá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riadenia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2. orgá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c) schva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beru, prerozdelenia a vyplatenia licenč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nositeľ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vybraný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prí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bezdô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obohatenia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kody (ď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jem 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v“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osobitné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použ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licenč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2024DF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vybraný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 pri ktorý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nie je mož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urč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iť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alebo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jsť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ktoré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priná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(ď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neidentifikované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odmeny“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použ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itie neidentifikovaný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f) rozhoduje o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vytvorení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fondu na podporu sociá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lnych, kultú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rnych a vzdelá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vací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potrieb v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prospech 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a nositeľ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vrá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transparent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nediskriminač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podmienok poskytovania finanč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prostriedkov z tohto fondu,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g)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 zohľ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adň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ce zhodnocovanie 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luč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v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ujme nositeľ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s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primeraný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zabezpeč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m, likviditou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predchá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dzaní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od jediné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zdroja 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nosov,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uplatnenia úč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za poskytnutie služ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by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nadobudnutie alebo prevod vlastní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ckeho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k nehnuteľ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majetku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prijatie 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veru alebo poskytnutie pôž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alebo poskytnutie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ruky na 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 alebo pôž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ku,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splynutie, zlúč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alebo rozdelenie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l)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založ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 zriadenie inej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 alebo na majetkovú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úč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asť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inej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osobe,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m) na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klade stanoviska orgá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 schvaľ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 a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úč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tovnú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vierku organ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n) rozhoduje o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dobrovoľ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skonč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podľ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tohto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o) berie na vedomie vyhlá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senie podľ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161 ods. 4 a §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162 ods.  4,</w:t>
            </w:r>
          </w:p>
          <w:p w:rsidR="00133A28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2024DF" w:rsidRPr="002024DF" w:rsidP="002024D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p) rozhoduje o výš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ke podielu podľ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36 ods. 4,</w:t>
            </w:r>
          </w:p>
          <w:p w:rsidR="002024DF" w:rsidRPr="002024DF" w:rsidP="002024D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2024DF" w:rsidRPr="002024DF" w:rsidP="002024D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r) rozhoduje o vytvoren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rezervné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fondu z vybraný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 a prí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 bezdô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obohatenia tak, aby sa zabezpeč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il dostatoč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rozsah rezervné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fondu na uspokojenie ná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rokov vrá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transparentný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 nediskriminač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podmienok vyplá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cania 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f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inanč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prostriedkov z tohto fondu,</w:t>
            </w:r>
          </w:p>
          <w:p w:rsidR="002024DF" w:rsidRPr="002024DF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2024DF" w:rsidR="002024DF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s</w:t>
            </w:r>
            <w:r w:rsidRPr="002024DF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) rozhoduje o 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ď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alší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zá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itostiach ustanovený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š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2024D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tom.</w:t>
            </w: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(3)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poveriť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vomocí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odseku 2 pí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b) prvé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bodu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i) 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l). </w:t>
            </w: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(4)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hlasovací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 je kaž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vy. </w:t>
            </w:r>
          </w:p>
          <w:p w:rsidR="00133A28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33A28" w:rsidRPr="00791CC3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(5) Podrobnosti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kone hlasovací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určí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t.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obmedziť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adiska dĺž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trvania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alebo výš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odmien priná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iacich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lenovi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nemôž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zaká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na valnom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prostrední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splnomocnené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stupcu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denia. Splnomocnený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stupca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zastupovať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vž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dy iba na jednom zasadnutí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denia.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34</w:t>
            </w:r>
          </w:p>
          <w:p w:rsidR="00133A28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ustanoviť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spory medzi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použí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tejto smernice,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podliehať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chlemu, nezá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 nestranné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postupu alternatí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vneho rieš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sporov.</w:t>
            </w:r>
          </w:p>
          <w:p w:rsidR="00133A28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</w:t>
            </w:r>
          </w:p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</w:pP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využ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rieš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 inou organizá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použí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alebo 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 združ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cou použí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postupy podľ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osobitný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  <w:r w:rsidR="002024DF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26c</w:t>
            </w:r>
            <w:r w:rsidRPr="002024DF" w:rsidR="002024DF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)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iniciuje na rieš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 prá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 združ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cou použí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mediá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podľ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2024DF" w:rsidR="002024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predpisu.</w:t>
            </w:r>
            <w:r w:rsidRPr="002024DF" w:rsidR="002024DF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30a</w:t>
            </w:r>
            <w:r w:rsidR="002024DF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)</w:t>
            </w:r>
          </w:p>
          <w:p w:rsidR="002024DF" w:rsidRPr="002024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D1795" w:rsidRPr="006D1795" w:rsidP="006D179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2024DF" w:rsidR="002024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26c)</w:t>
            </w:r>
            <w:r w:rsidR="002024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</w:p>
          <w:p w:rsidR="002024DF" w:rsidP="006D179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  <w:r w:rsidR="006D179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2024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024DF" w:rsidRPr="002024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highlight w:val="yellow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30a)</w:t>
            </w:r>
            <w:r w:rsidR="006D179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6D1795"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420/2004 Z. </w:t>
            </w:r>
            <w:r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z. v znení</w:t>
            </w:r>
            <w:r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="006D179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predpisov. </w:t>
            </w:r>
          </w:p>
          <w:p w:rsidR="00133A28" w:rsidP="002024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024DF" w:rsidRPr="0096145E" w:rsidP="002024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36</w:t>
            </w:r>
          </w:p>
          <w:p w:rsidR="00133A28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zaistia, aby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na ich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s ustanoveniami vnú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stanovený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tejto smernici, bol monitorovaný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nmi urč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na tento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el.</w:t>
            </w:r>
          </w:p>
          <w:p w:rsidR="00133A28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</w:t>
            </w:r>
          </w:p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1</w:t>
            </w:r>
          </w:p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Ministerstvo vykoná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dohľ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 nad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preverovaní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plnenia povinností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163, 164 ods. 1 a 2, 165 ods. 1 a 3, 169 ods. 1, 170 ods. 1, 171, 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172 ods. 1, 173 ods. 1, 174 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 (ď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dohľ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adu“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z vlastné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podnetu, ak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157 ods. 2 neustanovuje inak.</w:t>
            </w:r>
          </w:p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3A2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</w:tbl>
    <w:p w:rsidR="002759AC" w:rsidRPr="006F748D" w:rsidP="006F748D">
      <w:pPr>
        <w:bidi w:val="0"/>
        <w:rPr>
          <w:lang w:eastAsia="sk-SK"/>
        </w:rPr>
      </w:pPr>
    </w:p>
    <w:sectPr w:rsidSect="00791CC3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72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626054FF"/>
    <w:multiLevelType w:val="singleLevel"/>
    <w:tmpl w:val="037855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791CC3"/>
    <w:rsid w:val="0002455F"/>
    <w:rsid w:val="00026623"/>
    <w:rsid w:val="0002738A"/>
    <w:rsid w:val="0006729C"/>
    <w:rsid w:val="000753CA"/>
    <w:rsid w:val="00081270"/>
    <w:rsid w:val="00084943"/>
    <w:rsid w:val="00085530"/>
    <w:rsid w:val="000977C7"/>
    <w:rsid w:val="000A16A3"/>
    <w:rsid w:val="000B7255"/>
    <w:rsid w:val="000C0ABE"/>
    <w:rsid w:val="000E386E"/>
    <w:rsid w:val="000E3DBA"/>
    <w:rsid w:val="001116D5"/>
    <w:rsid w:val="00132FDD"/>
    <w:rsid w:val="00133A28"/>
    <w:rsid w:val="00143353"/>
    <w:rsid w:val="0018632A"/>
    <w:rsid w:val="001B2292"/>
    <w:rsid w:val="001D5800"/>
    <w:rsid w:val="001E40F8"/>
    <w:rsid w:val="002024DF"/>
    <w:rsid w:val="002200D8"/>
    <w:rsid w:val="00220C6F"/>
    <w:rsid w:val="00223A23"/>
    <w:rsid w:val="00226E52"/>
    <w:rsid w:val="00256DA2"/>
    <w:rsid w:val="00265D11"/>
    <w:rsid w:val="00266AFF"/>
    <w:rsid w:val="002759AC"/>
    <w:rsid w:val="00283B24"/>
    <w:rsid w:val="002B37AB"/>
    <w:rsid w:val="002D0DFF"/>
    <w:rsid w:val="002D6BC9"/>
    <w:rsid w:val="002D6CDF"/>
    <w:rsid w:val="002E779E"/>
    <w:rsid w:val="00314D63"/>
    <w:rsid w:val="00317E92"/>
    <w:rsid w:val="00340FDC"/>
    <w:rsid w:val="003679B5"/>
    <w:rsid w:val="00375571"/>
    <w:rsid w:val="00386701"/>
    <w:rsid w:val="00397A43"/>
    <w:rsid w:val="003C127F"/>
    <w:rsid w:val="003D3BCA"/>
    <w:rsid w:val="003E0398"/>
    <w:rsid w:val="003F050A"/>
    <w:rsid w:val="003F549F"/>
    <w:rsid w:val="004022FC"/>
    <w:rsid w:val="0043359A"/>
    <w:rsid w:val="0043638C"/>
    <w:rsid w:val="00456D60"/>
    <w:rsid w:val="0046767E"/>
    <w:rsid w:val="004800A6"/>
    <w:rsid w:val="0049677E"/>
    <w:rsid w:val="004C30C6"/>
    <w:rsid w:val="004D1106"/>
    <w:rsid w:val="004D44A4"/>
    <w:rsid w:val="004E30BF"/>
    <w:rsid w:val="00507BEE"/>
    <w:rsid w:val="00534410"/>
    <w:rsid w:val="005358E0"/>
    <w:rsid w:val="0055279F"/>
    <w:rsid w:val="00552C2A"/>
    <w:rsid w:val="00553E7B"/>
    <w:rsid w:val="005671A3"/>
    <w:rsid w:val="00567E5F"/>
    <w:rsid w:val="00573529"/>
    <w:rsid w:val="005C59A7"/>
    <w:rsid w:val="005E01C6"/>
    <w:rsid w:val="00661BE7"/>
    <w:rsid w:val="00667CCE"/>
    <w:rsid w:val="00697CF1"/>
    <w:rsid w:val="006B0F49"/>
    <w:rsid w:val="006D1795"/>
    <w:rsid w:val="006D212C"/>
    <w:rsid w:val="006E1323"/>
    <w:rsid w:val="006F2B1C"/>
    <w:rsid w:val="006F6557"/>
    <w:rsid w:val="006F748D"/>
    <w:rsid w:val="007144D7"/>
    <w:rsid w:val="00726299"/>
    <w:rsid w:val="00726457"/>
    <w:rsid w:val="00750526"/>
    <w:rsid w:val="00753E73"/>
    <w:rsid w:val="00774820"/>
    <w:rsid w:val="00774BF6"/>
    <w:rsid w:val="00775074"/>
    <w:rsid w:val="00780BA6"/>
    <w:rsid w:val="00791CC3"/>
    <w:rsid w:val="007A0AE8"/>
    <w:rsid w:val="007A621A"/>
    <w:rsid w:val="007C4823"/>
    <w:rsid w:val="007C5416"/>
    <w:rsid w:val="007E1BA4"/>
    <w:rsid w:val="007E208B"/>
    <w:rsid w:val="00804733"/>
    <w:rsid w:val="00813B63"/>
    <w:rsid w:val="00825D57"/>
    <w:rsid w:val="008523B4"/>
    <w:rsid w:val="0085720C"/>
    <w:rsid w:val="00873311"/>
    <w:rsid w:val="0087405C"/>
    <w:rsid w:val="0088565C"/>
    <w:rsid w:val="00895730"/>
    <w:rsid w:val="008A287B"/>
    <w:rsid w:val="008A322B"/>
    <w:rsid w:val="008A5188"/>
    <w:rsid w:val="008B1E6A"/>
    <w:rsid w:val="00910145"/>
    <w:rsid w:val="00921F92"/>
    <w:rsid w:val="00943474"/>
    <w:rsid w:val="0094357F"/>
    <w:rsid w:val="00943591"/>
    <w:rsid w:val="0094630D"/>
    <w:rsid w:val="00946B13"/>
    <w:rsid w:val="0096145E"/>
    <w:rsid w:val="00966B78"/>
    <w:rsid w:val="00971374"/>
    <w:rsid w:val="00985E7D"/>
    <w:rsid w:val="00992104"/>
    <w:rsid w:val="0099574A"/>
    <w:rsid w:val="00996749"/>
    <w:rsid w:val="009C20B9"/>
    <w:rsid w:val="009D1069"/>
    <w:rsid w:val="009D7D9C"/>
    <w:rsid w:val="009F535C"/>
    <w:rsid w:val="00A17252"/>
    <w:rsid w:val="00A455BA"/>
    <w:rsid w:val="00A541BF"/>
    <w:rsid w:val="00A54B0F"/>
    <w:rsid w:val="00A563D8"/>
    <w:rsid w:val="00A60B84"/>
    <w:rsid w:val="00A675F4"/>
    <w:rsid w:val="00A91E16"/>
    <w:rsid w:val="00A9432A"/>
    <w:rsid w:val="00AB4F97"/>
    <w:rsid w:val="00AC6A48"/>
    <w:rsid w:val="00AE1DAA"/>
    <w:rsid w:val="00B004B8"/>
    <w:rsid w:val="00B17AEA"/>
    <w:rsid w:val="00B17CF7"/>
    <w:rsid w:val="00B21B60"/>
    <w:rsid w:val="00B25303"/>
    <w:rsid w:val="00B52ABD"/>
    <w:rsid w:val="00B54D0F"/>
    <w:rsid w:val="00B75F96"/>
    <w:rsid w:val="00B87948"/>
    <w:rsid w:val="00B924FC"/>
    <w:rsid w:val="00B97160"/>
    <w:rsid w:val="00BA5037"/>
    <w:rsid w:val="00BB5B49"/>
    <w:rsid w:val="00BD218B"/>
    <w:rsid w:val="00BE1F2A"/>
    <w:rsid w:val="00C24D59"/>
    <w:rsid w:val="00C27709"/>
    <w:rsid w:val="00C27EEB"/>
    <w:rsid w:val="00C3109E"/>
    <w:rsid w:val="00C4397B"/>
    <w:rsid w:val="00C45629"/>
    <w:rsid w:val="00C506EF"/>
    <w:rsid w:val="00C55DA0"/>
    <w:rsid w:val="00C73111"/>
    <w:rsid w:val="00C80774"/>
    <w:rsid w:val="00CA0A73"/>
    <w:rsid w:val="00CF3FBC"/>
    <w:rsid w:val="00D00697"/>
    <w:rsid w:val="00D0713F"/>
    <w:rsid w:val="00D265F8"/>
    <w:rsid w:val="00D27C18"/>
    <w:rsid w:val="00D40E4B"/>
    <w:rsid w:val="00D61763"/>
    <w:rsid w:val="00D714F8"/>
    <w:rsid w:val="00DA42BD"/>
    <w:rsid w:val="00DD3823"/>
    <w:rsid w:val="00DF3C44"/>
    <w:rsid w:val="00DF464A"/>
    <w:rsid w:val="00DF6546"/>
    <w:rsid w:val="00E36063"/>
    <w:rsid w:val="00E70CD7"/>
    <w:rsid w:val="00E756A3"/>
    <w:rsid w:val="00E8135F"/>
    <w:rsid w:val="00E83709"/>
    <w:rsid w:val="00EB73CB"/>
    <w:rsid w:val="00EF59D1"/>
    <w:rsid w:val="00F121D7"/>
    <w:rsid w:val="00F16B61"/>
    <w:rsid w:val="00F5257A"/>
    <w:rsid w:val="00F670AA"/>
    <w:rsid w:val="00F7630E"/>
    <w:rsid w:val="00F80482"/>
    <w:rsid w:val="00F96D39"/>
    <w:rsid w:val="00FA332A"/>
    <w:rsid w:val="00FA65AB"/>
    <w:rsid w:val="00FE189E"/>
    <w:rsid w:val="00FF53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791CC3"/>
    <w:pPr>
      <w:keepNext/>
      <w:spacing w:after="0" w:line="240" w:lineRule="auto"/>
      <w:jc w:val="left"/>
      <w:outlineLvl w:val="2"/>
    </w:pPr>
    <w:rPr>
      <w:rFonts w:ascii="Times New Roman" w:hAnsi="Times New Roman" w:eastAsiaTheme="minorEastAsia"/>
      <w:b/>
      <w:bCs/>
      <w:color w:val="000000"/>
      <w:sz w:val="16"/>
      <w:szCs w:val="16"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/>
      <w:color w:val="404040" w:themeColor="tx1" w:themeShade="FF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91CC3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791CC3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791CC3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791CC3"/>
    <w:rPr>
      <w:rFonts w:asciiTheme="majorHAnsi" w:eastAsiaTheme="majorEastAsia" w:hAnsiTheme="majorHAnsi" w:cs="Times New Roman"/>
      <w:color w:val="404040" w:themeColor="tx1" w:themeShade="FF" w:themeTint="BF"/>
      <w:sz w:val="20"/>
      <w:szCs w:val="20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791CC3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customStyle="1" w:styleId="CM1">
    <w:name w:val="CM1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3109E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3109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3109E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014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0145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6729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6729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7013-27D1-4D14-B48A-99C7295F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4</Pages>
  <Words>1095</Words>
  <Characters>6243</Characters>
  <Application>Microsoft Office Word</Application>
  <DocSecurity>0</DocSecurity>
  <Lines>0</Lines>
  <Paragraphs>0</Paragraphs>
  <ScaleCrop>false</ScaleCrop>
  <Company>MKSR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 Jakub</dc:creator>
  <cp:lastModifiedBy>Wiedemann Miroslav</cp:lastModifiedBy>
  <cp:revision>6</cp:revision>
  <cp:lastPrinted>2021-11-04T12:54:00Z</cp:lastPrinted>
  <dcterms:created xsi:type="dcterms:W3CDTF">2021-10-19T23:30:00Z</dcterms:created>
  <dcterms:modified xsi:type="dcterms:W3CDTF">2021-11-04T12:54:00Z</dcterms:modified>
</cp:coreProperties>
</file>