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D5EB" w14:textId="77777777" w:rsidR="007D5748" w:rsidRPr="006C79A2" w:rsidRDefault="007D5748" w:rsidP="007D5748">
      <w:pPr>
        <w:spacing w:after="0" w:line="240" w:lineRule="auto"/>
        <w:jc w:val="center"/>
        <w:rPr>
          <w:rFonts w:ascii="Times New Roman" w:eastAsia="Times New Roman" w:hAnsi="Times New Roman" w:cs="Times New Roman"/>
          <w:b/>
          <w:bCs/>
          <w:sz w:val="28"/>
          <w:szCs w:val="28"/>
          <w:lang w:eastAsia="sk-SK"/>
        </w:rPr>
      </w:pPr>
      <w:r w:rsidRPr="006C79A2">
        <w:rPr>
          <w:rFonts w:ascii="Times New Roman" w:eastAsia="Times New Roman" w:hAnsi="Times New Roman" w:cs="Times New Roman"/>
          <w:b/>
          <w:bCs/>
          <w:sz w:val="28"/>
          <w:szCs w:val="28"/>
          <w:lang w:eastAsia="sk-SK"/>
        </w:rPr>
        <w:t>Analýza vplyvov na rozpočet verejnej správy,</w:t>
      </w:r>
    </w:p>
    <w:p w14:paraId="684844F4" w14:textId="77777777" w:rsidR="007D5748" w:rsidRPr="006C79A2" w:rsidRDefault="007D5748" w:rsidP="007D5748">
      <w:pPr>
        <w:spacing w:after="0" w:line="240" w:lineRule="auto"/>
        <w:jc w:val="center"/>
        <w:rPr>
          <w:rFonts w:ascii="Times New Roman" w:eastAsia="Times New Roman" w:hAnsi="Times New Roman" w:cs="Times New Roman"/>
          <w:b/>
          <w:bCs/>
          <w:sz w:val="28"/>
          <w:szCs w:val="28"/>
          <w:lang w:eastAsia="sk-SK"/>
        </w:rPr>
      </w:pPr>
      <w:r w:rsidRPr="006C79A2">
        <w:rPr>
          <w:rFonts w:ascii="Times New Roman" w:eastAsia="Times New Roman" w:hAnsi="Times New Roman" w:cs="Times New Roman"/>
          <w:b/>
          <w:bCs/>
          <w:sz w:val="28"/>
          <w:szCs w:val="28"/>
          <w:lang w:eastAsia="sk-SK"/>
        </w:rPr>
        <w:t>na zamestnanosť vo verejnej správe a financovanie návrhu</w:t>
      </w:r>
    </w:p>
    <w:p w14:paraId="378A2167" w14:textId="77777777" w:rsidR="00E963A3" w:rsidRPr="006C79A2" w:rsidRDefault="00E963A3" w:rsidP="007D5748">
      <w:pPr>
        <w:spacing w:after="0" w:line="240" w:lineRule="auto"/>
        <w:jc w:val="right"/>
        <w:rPr>
          <w:rFonts w:ascii="Times New Roman" w:eastAsia="Times New Roman" w:hAnsi="Times New Roman" w:cs="Times New Roman"/>
          <w:b/>
          <w:bCs/>
          <w:sz w:val="24"/>
          <w:szCs w:val="24"/>
          <w:lang w:eastAsia="sk-SK"/>
        </w:rPr>
      </w:pPr>
    </w:p>
    <w:p w14:paraId="49304150" w14:textId="77777777" w:rsidR="00E963A3" w:rsidRPr="006C79A2" w:rsidRDefault="00E963A3" w:rsidP="00212894">
      <w:pPr>
        <w:spacing w:after="0" w:line="240" w:lineRule="auto"/>
        <w:rPr>
          <w:rFonts w:ascii="Times New Roman" w:eastAsia="Times New Roman" w:hAnsi="Times New Roman" w:cs="Times New Roman"/>
          <w:b/>
          <w:bCs/>
          <w:sz w:val="24"/>
          <w:szCs w:val="24"/>
          <w:lang w:eastAsia="sk-SK"/>
        </w:rPr>
      </w:pPr>
    </w:p>
    <w:p w14:paraId="5B466C2F" w14:textId="77777777" w:rsidR="00E963A3" w:rsidRPr="006C79A2" w:rsidRDefault="00E963A3" w:rsidP="00212894">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2.1 Zhrnutie vplyvov na rozpočet verejnej správy v návrhu</w:t>
      </w:r>
    </w:p>
    <w:p w14:paraId="37B123E9" w14:textId="77777777" w:rsidR="00E963A3" w:rsidRPr="006C79A2" w:rsidRDefault="00E963A3" w:rsidP="007D5748">
      <w:pPr>
        <w:spacing w:after="0" w:line="240" w:lineRule="auto"/>
        <w:jc w:val="right"/>
        <w:rPr>
          <w:rFonts w:ascii="Times New Roman" w:eastAsia="Times New Roman" w:hAnsi="Times New Roman" w:cs="Times New Roman"/>
          <w:sz w:val="20"/>
          <w:szCs w:val="20"/>
          <w:lang w:eastAsia="sk-SK"/>
        </w:rPr>
      </w:pPr>
    </w:p>
    <w:p w14:paraId="21BB7D82" w14:textId="77777777" w:rsidR="007D5748" w:rsidRPr="006C79A2" w:rsidRDefault="007D5748" w:rsidP="007D5748">
      <w:pPr>
        <w:spacing w:after="0" w:line="240" w:lineRule="auto"/>
        <w:jc w:val="right"/>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Tabuľka č. 1 </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gridCol w:w="1488"/>
        <w:gridCol w:w="1488"/>
        <w:gridCol w:w="1267"/>
        <w:gridCol w:w="1267"/>
      </w:tblGrid>
      <w:tr w:rsidR="00047843" w:rsidRPr="006C79A2" w14:paraId="678FFA7F" w14:textId="77777777" w:rsidTr="00047843">
        <w:trPr>
          <w:gridAfter w:val="3"/>
          <w:wAfter w:w="4022" w:type="dxa"/>
          <w:cantSplit/>
          <w:trHeight w:val="194"/>
          <w:jc w:val="center"/>
        </w:trPr>
        <w:tc>
          <w:tcPr>
            <w:tcW w:w="4440" w:type="dxa"/>
            <w:vMerge w:val="restart"/>
            <w:shd w:val="clear" w:color="auto" w:fill="BFBFBF" w:themeFill="background1" w:themeFillShade="BF"/>
            <w:vAlign w:val="center"/>
          </w:tcPr>
          <w:p w14:paraId="30CAB23A" w14:textId="77777777" w:rsidR="00047843" w:rsidRPr="006C79A2" w:rsidRDefault="00047843"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6C79A2">
              <w:rPr>
                <w:rFonts w:ascii="Times New Roman" w:eastAsia="Times New Roman" w:hAnsi="Times New Roman" w:cs="Times New Roman"/>
                <w:b/>
                <w:bCs/>
                <w:sz w:val="24"/>
                <w:szCs w:val="24"/>
                <w:lang w:eastAsia="sk-SK"/>
              </w:rPr>
              <w:t>Vplyvy na rozpočet verejnej správy</w:t>
            </w:r>
          </w:p>
        </w:tc>
        <w:tc>
          <w:tcPr>
            <w:tcW w:w="1488" w:type="dxa"/>
            <w:shd w:val="clear" w:color="auto" w:fill="BFBFBF" w:themeFill="background1" w:themeFillShade="BF"/>
          </w:tcPr>
          <w:p w14:paraId="3C61AFE4" w14:textId="77777777" w:rsidR="00047843" w:rsidRPr="006C79A2" w:rsidRDefault="00047843" w:rsidP="007D5748">
            <w:pPr>
              <w:spacing w:after="0" w:line="240" w:lineRule="auto"/>
              <w:jc w:val="center"/>
              <w:rPr>
                <w:rFonts w:ascii="Times New Roman" w:eastAsia="Times New Roman" w:hAnsi="Times New Roman" w:cs="Times New Roman"/>
                <w:b/>
                <w:bCs/>
                <w:sz w:val="24"/>
                <w:szCs w:val="24"/>
                <w:lang w:eastAsia="sk-SK"/>
              </w:rPr>
            </w:pPr>
          </w:p>
        </w:tc>
      </w:tr>
      <w:tr w:rsidR="00047843" w:rsidRPr="006C79A2" w14:paraId="0FE413F8" w14:textId="77777777" w:rsidTr="00047843">
        <w:trPr>
          <w:cantSplit/>
          <w:trHeight w:val="70"/>
          <w:jc w:val="center"/>
        </w:trPr>
        <w:tc>
          <w:tcPr>
            <w:tcW w:w="4440" w:type="dxa"/>
            <w:vMerge/>
            <w:shd w:val="clear" w:color="auto" w:fill="BFBFBF" w:themeFill="background1" w:themeFillShade="BF"/>
            <w:vAlign w:val="center"/>
          </w:tcPr>
          <w:p w14:paraId="1989B9F9" w14:textId="77777777" w:rsidR="00047843" w:rsidRPr="006C79A2" w:rsidRDefault="00047843" w:rsidP="007D5748">
            <w:pPr>
              <w:spacing w:after="0" w:line="240" w:lineRule="auto"/>
              <w:jc w:val="center"/>
              <w:rPr>
                <w:rFonts w:ascii="Times New Roman" w:eastAsia="Times New Roman" w:hAnsi="Times New Roman" w:cs="Times New Roman"/>
                <w:b/>
                <w:bCs/>
                <w:sz w:val="24"/>
                <w:szCs w:val="24"/>
                <w:lang w:eastAsia="sk-SK"/>
              </w:rPr>
            </w:pPr>
          </w:p>
        </w:tc>
        <w:tc>
          <w:tcPr>
            <w:tcW w:w="1488" w:type="dxa"/>
            <w:shd w:val="clear" w:color="auto" w:fill="BFBFBF" w:themeFill="background1" w:themeFillShade="BF"/>
          </w:tcPr>
          <w:p w14:paraId="0F0B7D89" w14:textId="333263B8" w:rsidR="00047843" w:rsidRPr="006C79A2" w:rsidRDefault="00047843" w:rsidP="004C7FD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w:t>
            </w:r>
            <w:r w:rsidR="00F04A7F" w:rsidRPr="006C79A2">
              <w:rPr>
                <w:rFonts w:ascii="Times New Roman" w:eastAsia="Times New Roman" w:hAnsi="Times New Roman" w:cs="Times New Roman"/>
                <w:b/>
                <w:bCs/>
                <w:sz w:val="24"/>
                <w:szCs w:val="24"/>
                <w:lang w:eastAsia="sk-SK"/>
              </w:rPr>
              <w:t>21</w:t>
            </w:r>
          </w:p>
        </w:tc>
        <w:tc>
          <w:tcPr>
            <w:tcW w:w="1488" w:type="dxa"/>
            <w:shd w:val="clear" w:color="auto" w:fill="BFBFBF" w:themeFill="background1" w:themeFillShade="BF"/>
            <w:vAlign w:val="center"/>
          </w:tcPr>
          <w:p w14:paraId="53B04525" w14:textId="2F28681B" w:rsidR="00047843" w:rsidRPr="006C79A2" w:rsidRDefault="00047843" w:rsidP="004C7FD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w:t>
            </w:r>
            <w:r w:rsidR="00F04A7F" w:rsidRPr="006C79A2">
              <w:rPr>
                <w:rFonts w:ascii="Times New Roman" w:eastAsia="Times New Roman" w:hAnsi="Times New Roman" w:cs="Times New Roman"/>
                <w:b/>
                <w:bCs/>
                <w:sz w:val="24"/>
                <w:szCs w:val="24"/>
                <w:lang w:eastAsia="sk-SK"/>
              </w:rPr>
              <w:t>22</w:t>
            </w:r>
          </w:p>
        </w:tc>
        <w:tc>
          <w:tcPr>
            <w:tcW w:w="1267" w:type="dxa"/>
            <w:shd w:val="clear" w:color="auto" w:fill="BFBFBF" w:themeFill="background1" w:themeFillShade="BF"/>
            <w:vAlign w:val="center"/>
          </w:tcPr>
          <w:p w14:paraId="2C59856B" w14:textId="3C2E9A9E" w:rsidR="00047843" w:rsidRPr="006C79A2" w:rsidRDefault="00047843" w:rsidP="004C7FD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04A7F" w:rsidRPr="006C79A2">
              <w:rPr>
                <w:rFonts w:ascii="Times New Roman" w:eastAsia="Times New Roman" w:hAnsi="Times New Roman" w:cs="Times New Roman"/>
                <w:b/>
                <w:bCs/>
                <w:sz w:val="24"/>
                <w:szCs w:val="24"/>
                <w:lang w:eastAsia="sk-SK"/>
              </w:rPr>
              <w:t>3</w:t>
            </w:r>
          </w:p>
        </w:tc>
        <w:tc>
          <w:tcPr>
            <w:tcW w:w="1267" w:type="dxa"/>
            <w:shd w:val="clear" w:color="auto" w:fill="BFBFBF" w:themeFill="background1" w:themeFillShade="BF"/>
            <w:vAlign w:val="center"/>
          </w:tcPr>
          <w:p w14:paraId="01601FB5" w14:textId="62EE6BD3" w:rsidR="00047843" w:rsidRPr="006C79A2" w:rsidRDefault="00047843" w:rsidP="004C7FD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04A7F" w:rsidRPr="006C79A2">
              <w:rPr>
                <w:rFonts w:ascii="Times New Roman" w:eastAsia="Times New Roman" w:hAnsi="Times New Roman" w:cs="Times New Roman"/>
                <w:b/>
                <w:bCs/>
                <w:sz w:val="24"/>
                <w:szCs w:val="24"/>
                <w:lang w:eastAsia="sk-SK"/>
              </w:rPr>
              <w:t>4</w:t>
            </w:r>
          </w:p>
        </w:tc>
      </w:tr>
      <w:tr w:rsidR="00047843" w:rsidRPr="006C79A2" w14:paraId="57AD2AB3" w14:textId="77777777" w:rsidTr="00047843">
        <w:trPr>
          <w:trHeight w:val="70"/>
          <w:jc w:val="center"/>
        </w:trPr>
        <w:tc>
          <w:tcPr>
            <w:tcW w:w="4440" w:type="dxa"/>
            <w:shd w:val="clear" w:color="auto" w:fill="C0C0C0"/>
            <w:noWrap/>
            <w:vAlign w:val="center"/>
          </w:tcPr>
          <w:p w14:paraId="3BDED37B" w14:textId="77777777" w:rsidR="00047843" w:rsidRPr="006C79A2" w:rsidRDefault="00047843"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b/>
                <w:bCs/>
                <w:sz w:val="24"/>
                <w:szCs w:val="24"/>
                <w:lang w:eastAsia="sk-SK"/>
              </w:rPr>
              <w:t>Príjmy verejnej správy celkom</w:t>
            </w:r>
          </w:p>
        </w:tc>
        <w:tc>
          <w:tcPr>
            <w:tcW w:w="1488" w:type="dxa"/>
            <w:shd w:val="clear" w:color="auto" w:fill="C0C0C0"/>
          </w:tcPr>
          <w:p w14:paraId="7504C1DD" w14:textId="77777777" w:rsidR="00047843" w:rsidRPr="006C79A2" w:rsidRDefault="00047843" w:rsidP="007D5748">
            <w:pPr>
              <w:spacing w:after="0" w:line="240" w:lineRule="auto"/>
              <w:jc w:val="right"/>
              <w:rPr>
                <w:rFonts w:ascii="Times New Roman" w:eastAsia="Times New Roman" w:hAnsi="Times New Roman" w:cs="Times New Roman"/>
                <w:b/>
                <w:bCs/>
                <w:sz w:val="24"/>
                <w:szCs w:val="24"/>
                <w:lang w:eastAsia="sk-SK"/>
              </w:rPr>
            </w:pPr>
          </w:p>
        </w:tc>
        <w:tc>
          <w:tcPr>
            <w:tcW w:w="1488" w:type="dxa"/>
            <w:shd w:val="clear" w:color="auto" w:fill="C0C0C0"/>
            <w:vAlign w:val="center"/>
          </w:tcPr>
          <w:p w14:paraId="6E63ECF9" w14:textId="46DBB03C" w:rsidR="00047843" w:rsidRPr="006C79A2" w:rsidRDefault="00047843" w:rsidP="007D5748">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A86FDC1" w14:textId="77777777" w:rsidR="00047843" w:rsidRPr="006C79A2" w:rsidRDefault="00047843" w:rsidP="007D5748">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77C17ACD" w14:textId="77777777" w:rsidR="00047843" w:rsidRPr="006C79A2" w:rsidRDefault="00047843" w:rsidP="007D5748">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r>
      <w:tr w:rsidR="00047843" w:rsidRPr="006C79A2" w14:paraId="42E4690C" w14:textId="77777777" w:rsidTr="00047843">
        <w:trPr>
          <w:trHeight w:val="132"/>
          <w:jc w:val="center"/>
        </w:trPr>
        <w:tc>
          <w:tcPr>
            <w:tcW w:w="4440" w:type="dxa"/>
            <w:noWrap/>
            <w:vAlign w:val="center"/>
          </w:tcPr>
          <w:p w14:paraId="294BF8FC" w14:textId="77777777" w:rsidR="00047843" w:rsidRPr="006C79A2" w:rsidRDefault="00047843"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v tom: za každý subjekt verejnej správy zvlášť</w:t>
            </w:r>
          </w:p>
        </w:tc>
        <w:tc>
          <w:tcPr>
            <w:tcW w:w="1488" w:type="dxa"/>
          </w:tcPr>
          <w:p w14:paraId="3467C959" w14:textId="77777777"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p>
        </w:tc>
        <w:tc>
          <w:tcPr>
            <w:tcW w:w="1488" w:type="dxa"/>
            <w:noWrap/>
            <w:vAlign w:val="center"/>
          </w:tcPr>
          <w:p w14:paraId="629B9ADC" w14:textId="528E33D8"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267" w:type="dxa"/>
            <w:noWrap/>
            <w:vAlign w:val="center"/>
          </w:tcPr>
          <w:p w14:paraId="0690D66C" w14:textId="77777777"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267" w:type="dxa"/>
            <w:noWrap/>
            <w:vAlign w:val="center"/>
          </w:tcPr>
          <w:p w14:paraId="7D7EA14E" w14:textId="77777777"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r>
      <w:tr w:rsidR="00047843" w:rsidRPr="006C79A2" w14:paraId="1D04587C" w14:textId="77777777" w:rsidTr="00047843">
        <w:trPr>
          <w:trHeight w:val="70"/>
          <w:jc w:val="center"/>
        </w:trPr>
        <w:tc>
          <w:tcPr>
            <w:tcW w:w="4440" w:type="dxa"/>
            <w:noWrap/>
            <w:vAlign w:val="center"/>
          </w:tcPr>
          <w:p w14:paraId="4F9ED098" w14:textId="77777777" w:rsidR="00047843" w:rsidRPr="006C79A2" w:rsidRDefault="00047843" w:rsidP="007D5748">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xml:space="preserve">z toho:  </w:t>
            </w:r>
          </w:p>
        </w:tc>
        <w:tc>
          <w:tcPr>
            <w:tcW w:w="1488" w:type="dxa"/>
          </w:tcPr>
          <w:p w14:paraId="13538241"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1AB52BE4" w14:textId="0CA43A0B"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361870C"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F869A32"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r>
      <w:tr w:rsidR="00047843" w:rsidRPr="006C79A2" w14:paraId="1796A991" w14:textId="77777777" w:rsidTr="00047843">
        <w:trPr>
          <w:trHeight w:val="125"/>
          <w:jc w:val="center"/>
        </w:trPr>
        <w:tc>
          <w:tcPr>
            <w:tcW w:w="4440" w:type="dxa"/>
            <w:noWrap/>
            <w:vAlign w:val="center"/>
          </w:tcPr>
          <w:p w14:paraId="4AC35B59" w14:textId="77777777" w:rsidR="00047843" w:rsidRPr="006C79A2" w:rsidRDefault="00047843" w:rsidP="007D5748">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ŠR</w:t>
            </w:r>
          </w:p>
        </w:tc>
        <w:tc>
          <w:tcPr>
            <w:tcW w:w="1488" w:type="dxa"/>
          </w:tcPr>
          <w:p w14:paraId="189102A4"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4394380E" w14:textId="05B8AB51"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283738F2"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699056CE"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24C33A10" w14:textId="77777777" w:rsidTr="00047843">
        <w:trPr>
          <w:trHeight w:val="125"/>
          <w:jc w:val="center"/>
        </w:trPr>
        <w:tc>
          <w:tcPr>
            <w:tcW w:w="4440" w:type="dxa"/>
            <w:noWrap/>
            <w:vAlign w:val="center"/>
          </w:tcPr>
          <w:p w14:paraId="09F3ECA1" w14:textId="77777777" w:rsidR="00047843" w:rsidRPr="006C79A2" w:rsidRDefault="00047843" w:rsidP="00212894">
            <w:pPr>
              <w:spacing w:after="0" w:line="240" w:lineRule="auto"/>
              <w:ind w:left="259"/>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Cs/>
                <w:i/>
                <w:iCs/>
                <w:sz w:val="24"/>
                <w:szCs w:val="24"/>
                <w:lang w:eastAsia="sk-SK"/>
              </w:rPr>
              <w:t>Rozpočtové prostriedky</w:t>
            </w:r>
          </w:p>
        </w:tc>
        <w:tc>
          <w:tcPr>
            <w:tcW w:w="1488" w:type="dxa"/>
          </w:tcPr>
          <w:p w14:paraId="5A4C7BA8"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6DC9A4DE" w14:textId="0E1F1A9C"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6BC6C451"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43665861"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54E069E0" w14:textId="77777777" w:rsidTr="00047843">
        <w:trPr>
          <w:trHeight w:val="125"/>
          <w:jc w:val="center"/>
        </w:trPr>
        <w:tc>
          <w:tcPr>
            <w:tcW w:w="4440" w:type="dxa"/>
            <w:noWrap/>
            <w:vAlign w:val="center"/>
          </w:tcPr>
          <w:p w14:paraId="709745A9" w14:textId="77777777" w:rsidR="00047843" w:rsidRPr="006C79A2" w:rsidRDefault="00047843" w:rsidP="00212894">
            <w:pPr>
              <w:spacing w:after="0" w:line="240" w:lineRule="auto"/>
              <w:ind w:left="259"/>
              <w:rPr>
                <w:rFonts w:ascii="Times New Roman" w:eastAsia="Times New Roman" w:hAnsi="Times New Roman" w:cs="Times New Roman"/>
                <w:bCs/>
                <w:i/>
                <w:iCs/>
                <w:sz w:val="24"/>
                <w:szCs w:val="24"/>
                <w:lang w:eastAsia="sk-SK"/>
              </w:rPr>
            </w:pPr>
            <w:r w:rsidRPr="006C79A2">
              <w:rPr>
                <w:rFonts w:ascii="Times New Roman" w:eastAsia="Times New Roman" w:hAnsi="Times New Roman" w:cs="Times New Roman"/>
                <w:bCs/>
                <w:i/>
                <w:iCs/>
                <w:sz w:val="24"/>
                <w:szCs w:val="24"/>
                <w:lang w:eastAsia="sk-SK"/>
              </w:rPr>
              <w:t>EÚ zdroje</w:t>
            </w:r>
          </w:p>
        </w:tc>
        <w:tc>
          <w:tcPr>
            <w:tcW w:w="1488" w:type="dxa"/>
          </w:tcPr>
          <w:p w14:paraId="40CC0604" w14:textId="77777777"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p>
        </w:tc>
        <w:tc>
          <w:tcPr>
            <w:tcW w:w="1488" w:type="dxa"/>
            <w:noWrap/>
            <w:vAlign w:val="center"/>
          </w:tcPr>
          <w:p w14:paraId="76585A07" w14:textId="4330C395"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267" w:type="dxa"/>
            <w:noWrap/>
            <w:vAlign w:val="center"/>
          </w:tcPr>
          <w:p w14:paraId="3682C5A4" w14:textId="77777777"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267" w:type="dxa"/>
            <w:noWrap/>
            <w:vAlign w:val="center"/>
          </w:tcPr>
          <w:p w14:paraId="51E4EB3C" w14:textId="77777777" w:rsidR="00047843" w:rsidRPr="006C79A2" w:rsidRDefault="00047843" w:rsidP="007D5748">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r>
      <w:tr w:rsidR="00047843" w:rsidRPr="006C79A2" w14:paraId="31064179" w14:textId="77777777" w:rsidTr="00047843">
        <w:trPr>
          <w:trHeight w:val="125"/>
          <w:jc w:val="center"/>
        </w:trPr>
        <w:tc>
          <w:tcPr>
            <w:tcW w:w="4440" w:type="dxa"/>
            <w:noWrap/>
            <w:vAlign w:val="center"/>
          </w:tcPr>
          <w:p w14:paraId="404A97C8" w14:textId="77777777" w:rsidR="00047843" w:rsidRPr="006C79A2" w:rsidRDefault="00047843" w:rsidP="007D5748">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obce</w:t>
            </w:r>
          </w:p>
        </w:tc>
        <w:tc>
          <w:tcPr>
            <w:tcW w:w="1488" w:type="dxa"/>
          </w:tcPr>
          <w:p w14:paraId="6A91560F"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08ADB298" w14:textId="6E0FADF4"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0AA92A05"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16BDA928"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7D9AA557" w14:textId="77777777" w:rsidTr="00047843">
        <w:trPr>
          <w:trHeight w:val="125"/>
          <w:jc w:val="center"/>
        </w:trPr>
        <w:tc>
          <w:tcPr>
            <w:tcW w:w="4440" w:type="dxa"/>
            <w:noWrap/>
            <w:vAlign w:val="center"/>
          </w:tcPr>
          <w:p w14:paraId="580A9D37" w14:textId="77777777" w:rsidR="00047843" w:rsidRPr="006C79A2" w:rsidRDefault="00047843" w:rsidP="007D5748">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vyššie územné celky</w:t>
            </w:r>
          </w:p>
        </w:tc>
        <w:tc>
          <w:tcPr>
            <w:tcW w:w="1488" w:type="dxa"/>
          </w:tcPr>
          <w:p w14:paraId="54B2CC34"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2A3E3427" w14:textId="649F775B"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2F638899"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187C138D"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14BCE4D5" w14:textId="77777777" w:rsidTr="00047843">
        <w:trPr>
          <w:trHeight w:val="125"/>
          <w:jc w:val="center"/>
        </w:trPr>
        <w:tc>
          <w:tcPr>
            <w:tcW w:w="4440" w:type="dxa"/>
            <w:noWrap/>
            <w:vAlign w:val="center"/>
          </w:tcPr>
          <w:p w14:paraId="30C5FD5B" w14:textId="77777777" w:rsidR="00047843" w:rsidRPr="006C79A2" w:rsidRDefault="00047843" w:rsidP="007D5748">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ostatné subjekty verejnej správy</w:t>
            </w:r>
          </w:p>
        </w:tc>
        <w:tc>
          <w:tcPr>
            <w:tcW w:w="1488" w:type="dxa"/>
          </w:tcPr>
          <w:p w14:paraId="370FD6D5"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3695648D" w14:textId="6A50C12D"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1C3F3C8F"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4102EA6E" w14:textId="77777777" w:rsidR="00047843" w:rsidRPr="006C79A2" w:rsidRDefault="00047843" w:rsidP="007D5748">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1526D9B8" w14:textId="77777777" w:rsidTr="00047843">
        <w:trPr>
          <w:trHeight w:val="125"/>
          <w:jc w:val="center"/>
        </w:trPr>
        <w:tc>
          <w:tcPr>
            <w:tcW w:w="4440" w:type="dxa"/>
            <w:shd w:val="clear" w:color="auto" w:fill="C0C0C0"/>
            <w:noWrap/>
            <w:vAlign w:val="center"/>
          </w:tcPr>
          <w:p w14:paraId="2DA37E9F" w14:textId="77777777" w:rsidR="00047843" w:rsidRPr="006C79A2" w:rsidRDefault="00047843" w:rsidP="00B7152D">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Výdavky verejnej správy celkom</w:t>
            </w:r>
          </w:p>
        </w:tc>
        <w:tc>
          <w:tcPr>
            <w:tcW w:w="1488" w:type="dxa"/>
            <w:shd w:val="clear" w:color="auto" w:fill="C0C0C0"/>
          </w:tcPr>
          <w:p w14:paraId="323DF878" w14:textId="77777777" w:rsidR="00047843" w:rsidRPr="006C79A2" w:rsidRDefault="00047843" w:rsidP="00A60410">
            <w:pPr>
              <w:spacing w:after="0" w:line="240" w:lineRule="auto"/>
              <w:jc w:val="right"/>
              <w:rPr>
                <w:rFonts w:ascii="Times New Roman" w:eastAsia="Times New Roman" w:hAnsi="Times New Roman" w:cs="Times New Roman"/>
                <w:b/>
                <w:bCs/>
                <w:sz w:val="24"/>
                <w:szCs w:val="24"/>
                <w:lang w:eastAsia="sk-SK"/>
              </w:rPr>
            </w:pPr>
          </w:p>
        </w:tc>
        <w:tc>
          <w:tcPr>
            <w:tcW w:w="1488" w:type="dxa"/>
            <w:shd w:val="clear" w:color="auto" w:fill="C0C0C0"/>
            <w:noWrap/>
            <w:vAlign w:val="center"/>
          </w:tcPr>
          <w:p w14:paraId="743D58EC" w14:textId="2626F68A" w:rsidR="00047843" w:rsidRPr="006C79A2" w:rsidRDefault="00A37144" w:rsidP="00A60410">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1 000 000</w:t>
            </w:r>
          </w:p>
        </w:tc>
        <w:tc>
          <w:tcPr>
            <w:tcW w:w="1267" w:type="dxa"/>
            <w:shd w:val="clear" w:color="auto" w:fill="C0C0C0"/>
            <w:noWrap/>
            <w:vAlign w:val="center"/>
          </w:tcPr>
          <w:p w14:paraId="70895AA8" w14:textId="479E02FC" w:rsidR="00047843" w:rsidRPr="006C79A2" w:rsidRDefault="00A37144" w:rsidP="00A60410">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1 000 000</w:t>
            </w:r>
          </w:p>
        </w:tc>
        <w:tc>
          <w:tcPr>
            <w:tcW w:w="1267" w:type="dxa"/>
            <w:shd w:val="clear" w:color="auto" w:fill="C0C0C0"/>
            <w:noWrap/>
            <w:vAlign w:val="center"/>
          </w:tcPr>
          <w:p w14:paraId="6067C1DC" w14:textId="7E395D4A" w:rsidR="00047843" w:rsidRPr="006C79A2" w:rsidRDefault="00A824AD" w:rsidP="00A60410">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4</w:t>
            </w:r>
            <w:r w:rsidR="00F04A7F" w:rsidRPr="006C79A2">
              <w:rPr>
                <w:rFonts w:ascii="Times New Roman" w:eastAsia="Times New Roman" w:hAnsi="Times New Roman" w:cs="Times New Roman"/>
                <w:b/>
                <w:bCs/>
                <w:sz w:val="24"/>
                <w:szCs w:val="24"/>
                <w:lang w:eastAsia="sk-SK"/>
              </w:rPr>
              <w:t> 699 199</w:t>
            </w:r>
          </w:p>
        </w:tc>
      </w:tr>
      <w:tr w:rsidR="00047843" w:rsidRPr="006C79A2" w14:paraId="789D1BE6" w14:textId="77777777" w:rsidTr="00047843">
        <w:trPr>
          <w:trHeight w:val="70"/>
          <w:jc w:val="center"/>
        </w:trPr>
        <w:tc>
          <w:tcPr>
            <w:tcW w:w="4440" w:type="dxa"/>
            <w:noWrap/>
            <w:vAlign w:val="center"/>
          </w:tcPr>
          <w:p w14:paraId="7DC1C068"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xml:space="preserve">z toho: </w:t>
            </w:r>
          </w:p>
        </w:tc>
        <w:tc>
          <w:tcPr>
            <w:tcW w:w="1488" w:type="dxa"/>
          </w:tcPr>
          <w:p w14:paraId="442D074E"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0CFF5084" w14:textId="0E71F0BC"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9C09FCF"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DBFA975"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r>
      <w:tr w:rsidR="00047843" w:rsidRPr="006C79A2" w14:paraId="624FD211" w14:textId="77777777" w:rsidTr="00047843">
        <w:trPr>
          <w:trHeight w:val="70"/>
          <w:jc w:val="center"/>
        </w:trPr>
        <w:tc>
          <w:tcPr>
            <w:tcW w:w="4440" w:type="dxa"/>
            <w:noWrap/>
            <w:vAlign w:val="center"/>
          </w:tcPr>
          <w:p w14:paraId="3E4439DF"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ŠR</w:t>
            </w:r>
          </w:p>
        </w:tc>
        <w:tc>
          <w:tcPr>
            <w:tcW w:w="1488" w:type="dxa"/>
          </w:tcPr>
          <w:p w14:paraId="17805FB1"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5A6CE877" w14:textId="0E7E1F38"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1F1F0FE0" w14:textId="2E57E1AB"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05B0B468" w14:textId="7C793B01"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0D6709FB" w14:textId="77777777" w:rsidTr="00047843">
        <w:trPr>
          <w:trHeight w:val="70"/>
          <w:jc w:val="center"/>
        </w:trPr>
        <w:tc>
          <w:tcPr>
            <w:tcW w:w="4440" w:type="dxa"/>
            <w:noWrap/>
            <w:vAlign w:val="center"/>
          </w:tcPr>
          <w:p w14:paraId="2B3AB988" w14:textId="77777777" w:rsidR="00047843" w:rsidRPr="006C79A2" w:rsidRDefault="00047843" w:rsidP="00B7152D">
            <w:pPr>
              <w:spacing w:after="0" w:line="240" w:lineRule="auto"/>
              <w:ind w:left="259"/>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Cs/>
                <w:i/>
                <w:iCs/>
                <w:sz w:val="24"/>
                <w:szCs w:val="24"/>
                <w:lang w:eastAsia="sk-SK"/>
              </w:rPr>
              <w:t>Rozpočtové prostriedky</w:t>
            </w:r>
          </w:p>
        </w:tc>
        <w:tc>
          <w:tcPr>
            <w:tcW w:w="1488" w:type="dxa"/>
          </w:tcPr>
          <w:p w14:paraId="6937C8A6" w14:textId="77777777" w:rsidR="00047843" w:rsidRPr="006C79A2" w:rsidRDefault="00047843" w:rsidP="00B7152D">
            <w:pPr>
              <w:spacing w:after="0" w:line="240" w:lineRule="auto"/>
              <w:jc w:val="right"/>
              <w:rPr>
                <w:rFonts w:ascii="Times New Roman" w:eastAsia="Times New Roman" w:hAnsi="Times New Roman" w:cs="Times New Roman"/>
                <w:bCs/>
                <w:iCs/>
                <w:sz w:val="24"/>
                <w:szCs w:val="24"/>
                <w:lang w:eastAsia="sk-SK"/>
              </w:rPr>
            </w:pPr>
          </w:p>
        </w:tc>
        <w:tc>
          <w:tcPr>
            <w:tcW w:w="1488" w:type="dxa"/>
            <w:noWrap/>
            <w:vAlign w:val="center"/>
          </w:tcPr>
          <w:p w14:paraId="06EC6AB4" w14:textId="32E3D38E" w:rsidR="00047843" w:rsidRPr="006C79A2" w:rsidRDefault="00047843" w:rsidP="00B7152D">
            <w:pPr>
              <w:spacing w:after="0" w:line="240" w:lineRule="auto"/>
              <w:jc w:val="right"/>
              <w:rPr>
                <w:rFonts w:ascii="Times New Roman" w:eastAsia="Times New Roman" w:hAnsi="Times New Roman" w:cs="Times New Roman"/>
                <w:bCs/>
                <w:iCs/>
                <w:sz w:val="24"/>
                <w:szCs w:val="24"/>
                <w:lang w:eastAsia="sk-SK"/>
              </w:rPr>
            </w:pPr>
            <w:r w:rsidRPr="006C79A2">
              <w:rPr>
                <w:rFonts w:ascii="Times New Roman" w:eastAsia="Times New Roman" w:hAnsi="Times New Roman" w:cs="Times New Roman"/>
                <w:bCs/>
                <w:iCs/>
                <w:sz w:val="24"/>
                <w:szCs w:val="24"/>
                <w:lang w:eastAsia="sk-SK"/>
              </w:rPr>
              <w:t>0</w:t>
            </w:r>
          </w:p>
        </w:tc>
        <w:tc>
          <w:tcPr>
            <w:tcW w:w="1267" w:type="dxa"/>
            <w:noWrap/>
            <w:vAlign w:val="center"/>
          </w:tcPr>
          <w:p w14:paraId="36C63C21" w14:textId="7E56695A" w:rsidR="00047843" w:rsidRPr="006C79A2" w:rsidRDefault="00047843" w:rsidP="00B7152D">
            <w:pPr>
              <w:spacing w:after="0" w:line="240" w:lineRule="auto"/>
              <w:jc w:val="right"/>
              <w:rPr>
                <w:rFonts w:ascii="Times New Roman" w:eastAsia="Times New Roman" w:hAnsi="Times New Roman" w:cs="Times New Roman"/>
                <w:bCs/>
                <w:iCs/>
                <w:sz w:val="24"/>
                <w:szCs w:val="24"/>
                <w:lang w:eastAsia="sk-SK"/>
              </w:rPr>
            </w:pPr>
            <w:r w:rsidRPr="006C79A2">
              <w:rPr>
                <w:rFonts w:ascii="Times New Roman" w:eastAsia="Times New Roman" w:hAnsi="Times New Roman" w:cs="Times New Roman"/>
                <w:bCs/>
                <w:iCs/>
                <w:sz w:val="24"/>
                <w:szCs w:val="24"/>
                <w:lang w:eastAsia="sk-SK"/>
              </w:rPr>
              <w:t>0</w:t>
            </w:r>
          </w:p>
        </w:tc>
        <w:tc>
          <w:tcPr>
            <w:tcW w:w="1267" w:type="dxa"/>
            <w:noWrap/>
            <w:vAlign w:val="center"/>
          </w:tcPr>
          <w:p w14:paraId="6DFD956D" w14:textId="54149575" w:rsidR="00047843" w:rsidRPr="006C79A2" w:rsidRDefault="00047843" w:rsidP="00B7152D">
            <w:pPr>
              <w:spacing w:after="0" w:line="240" w:lineRule="auto"/>
              <w:jc w:val="right"/>
              <w:rPr>
                <w:rFonts w:ascii="Times New Roman" w:eastAsia="Times New Roman" w:hAnsi="Times New Roman" w:cs="Times New Roman"/>
                <w:bCs/>
                <w:iCs/>
                <w:sz w:val="24"/>
                <w:szCs w:val="24"/>
                <w:lang w:eastAsia="sk-SK"/>
              </w:rPr>
            </w:pPr>
            <w:r w:rsidRPr="006C79A2">
              <w:rPr>
                <w:rFonts w:ascii="Times New Roman" w:eastAsia="Times New Roman" w:hAnsi="Times New Roman" w:cs="Times New Roman"/>
                <w:bCs/>
                <w:iCs/>
                <w:sz w:val="24"/>
                <w:szCs w:val="24"/>
                <w:lang w:eastAsia="sk-SK"/>
              </w:rPr>
              <w:t>0</w:t>
            </w:r>
          </w:p>
        </w:tc>
      </w:tr>
      <w:tr w:rsidR="00047843" w:rsidRPr="006C79A2" w14:paraId="71E5C779" w14:textId="77777777" w:rsidTr="00047843">
        <w:trPr>
          <w:trHeight w:val="70"/>
          <w:jc w:val="center"/>
        </w:trPr>
        <w:tc>
          <w:tcPr>
            <w:tcW w:w="4440" w:type="dxa"/>
            <w:noWrap/>
            <w:vAlign w:val="center"/>
          </w:tcPr>
          <w:p w14:paraId="44F68BFE" w14:textId="337BFD31" w:rsidR="00047843" w:rsidRPr="006C79A2" w:rsidRDefault="00047843" w:rsidP="007820C7">
            <w:pPr>
              <w:spacing w:after="0" w:line="240" w:lineRule="auto"/>
              <w:rPr>
                <w:rFonts w:ascii="Times New Roman" w:eastAsia="Times New Roman" w:hAnsi="Times New Roman" w:cs="Times New Roman"/>
                <w:bCs/>
                <w:i/>
                <w:iCs/>
                <w:sz w:val="24"/>
                <w:szCs w:val="24"/>
                <w:lang w:eastAsia="sk-SK"/>
              </w:rPr>
            </w:pPr>
            <w:r w:rsidRPr="006C79A2">
              <w:rPr>
                <w:rFonts w:ascii="Times New Roman" w:eastAsia="Times New Roman" w:hAnsi="Times New Roman" w:cs="Times New Roman"/>
                <w:bCs/>
                <w:i/>
                <w:iCs/>
                <w:sz w:val="24"/>
                <w:szCs w:val="24"/>
                <w:lang w:eastAsia="sk-SK"/>
              </w:rPr>
              <w:t xml:space="preserve">    EÚ zdroje </w:t>
            </w:r>
          </w:p>
        </w:tc>
        <w:tc>
          <w:tcPr>
            <w:tcW w:w="1488" w:type="dxa"/>
          </w:tcPr>
          <w:p w14:paraId="16BFA121" w14:textId="77777777" w:rsidR="00047843" w:rsidRPr="006C79A2" w:rsidRDefault="00047843" w:rsidP="007820C7">
            <w:pPr>
              <w:spacing w:after="0" w:line="240" w:lineRule="auto"/>
              <w:jc w:val="right"/>
              <w:rPr>
                <w:rFonts w:ascii="Times New Roman" w:eastAsia="Times New Roman" w:hAnsi="Times New Roman" w:cs="Times New Roman"/>
                <w:bCs/>
                <w:iCs/>
                <w:sz w:val="24"/>
                <w:szCs w:val="24"/>
                <w:lang w:eastAsia="sk-SK"/>
              </w:rPr>
            </w:pPr>
          </w:p>
        </w:tc>
        <w:tc>
          <w:tcPr>
            <w:tcW w:w="1488" w:type="dxa"/>
            <w:noWrap/>
            <w:vAlign w:val="center"/>
          </w:tcPr>
          <w:p w14:paraId="416576C0" w14:textId="1C196EE2" w:rsidR="00047843" w:rsidRPr="006C79A2" w:rsidRDefault="00047843" w:rsidP="007820C7">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bCs/>
                <w:iCs/>
                <w:sz w:val="24"/>
                <w:szCs w:val="24"/>
                <w:lang w:eastAsia="sk-SK"/>
              </w:rPr>
              <w:t>0</w:t>
            </w:r>
          </w:p>
        </w:tc>
        <w:tc>
          <w:tcPr>
            <w:tcW w:w="1267" w:type="dxa"/>
            <w:noWrap/>
            <w:vAlign w:val="center"/>
          </w:tcPr>
          <w:p w14:paraId="6C8977AB" w14:textId="00B4B381" w:rsidR="00047843" w:rsidRPr="006C79A2" w:rsidRDefault="00047843" w:rsidP="007820C7">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bCs/>
                <w:iCs/>
                <w:sz w:val="24"/>
                <w:szCs w:val="24"/>
                <w:lang w:eastAsia="sk-SK"/>
              </w:rPr>
              <w:t>0</w:t>
            </w:r>
          </w:p>
        </w:tc>
        <w:tc>
          <w:tcPr>
            <w:tcW w:w="1267" w:type="dxa"/>
            <w:noWrap/>
            <w:vAlign w:val="center"/>
          </w:tcPr>
          <w:p w14:paraId="70C0C5BE" w14:textId="3B7B3CB1" w:rsidR="00047843" w:rsidRPr="006C79A2" w:rsidRDefault="00047843" w:rsidP="007820C7">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bCs/>
                <w:iCs/>
                <w:sz w:val="24"/>
                <w:szCs w:val="24"/>
                <w:lang w:eastAsia="sk-SK"/>
              </w:rPr>
              <w:t>0</w:t>
            </w:r>
          </w:p>
        </w:tc>
      </w:tr>
      <w:tr w:rsidR="00047843" w:rsidRPr="006C79A2" w14:paraId="482151AA" w14:textId="77777777" w:rsidTr="00047843">
        <w:trPr>
          <w:trHeight w:val="70"/>
          <w:jc w:val="center"/>
        </w:trPr>
        <w:tc>
          <w:tcPr>
            <w:tcW w:w="4440" w:type="dxa"/>
            <w:noWrap/>
            <w:vAlign w:val="center"/>
          </w:tcPr>
          <w:p w14:paraId="17226B97" w14:textId="36AD0A02" w:rsidR="00047843" w:rsidRPr="006C79A2" w:rsidRDefault="00047843" w:rsidP="007820C7">
            <w:pPr>
              <w:spacing w:after="0" w:line="240" w:lineRule="auto"/>
              <w:rPr>
                <w:rFonts w:ascii="Times New Roman" w:eastAsia="Times New Roman" w:hAnsi="Times New Roman" w:cs="Times New Roman"/>
                <w:bCs/>
                <w:i/>
                <w:iCs/>
                <w:sz w:val="24"/>
                <w:szCs w:val="24"/>
                <w:lang w:eastAsia="sk-SK"/>
              </w:rPr>
            </w:pPr>
            <w:r w:rsidRPr="006C79A2">
              <w:rPr>
                <w:rFonts w:ascii="Times New Roman" w:eastAsia="Times New Roman" w:hAnsi="Times New Roman" w:cs="Times New Roman"/>
                <w:bCs/>
                <w:i/>
                <w:iCs/>
                <w:sz w:val="24"/>
                <w:szCs w:val="24"/>
                <w:lang w:eastAsia="sk-SK"/>
              </w:rPr>
              <w:t xml:space="preserve">    Spolufinancovanie zo ŠR </w:t>
            </w:r>
          </w:p>
        </w:tc>
        <w:tc>
          <w:tcPr>
            <w:tcW w:w="1488" w:type="dxa"/>
          </w:tcPr>
          <w:p w14:paraId="088550CC" w14:textId="77777777" w:rsidR="00047843" w:rsidRPr="006C79A2" w:rsidRDefault="00047843" w:rsidP="007820C7">
            <w:pPr>
              <w:spacing w:after="0" w:line="240" w:lineRule="auto"/>
              <w:jc w:val="right"/>
              <w:rPr>
                <w:rFonts w:ascii="Times New Roman" w:eastAsia="Times New Roman" w:hAnsi="Times New Roman" w:cs="Times New Roman"/>
                <w:bCs/>
                <w:iCs/>
                <w:sz w:val="24"/>
                <w:szCs w:val="24"/>
                <w:lang w:eastAsia="sk-SK"/>
              </w:rPr>
            </w:pPr>
          </w:p>
        </w:tc>
        <w:tc>
          <w:tcPr>
            <w:tcW w:w="1488" w:type="dxa"/>
            <w:noWrap/>
            <w:vAlign w:val="center"/>
          </w:tcPr>
          <w:p w14:paraId="1E86326F" w14:textId="50953E56" w:rsidR="00047843" w:rsidRPr="006C79A2" w:rsidRDefault="00047843" w:rsidP="007820C7">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bCs/>
                <w:iCs/>
                <w:sz w:val="24"/>
                <w:szCs w:val="24"/>
                <w:lang w:eastAsia="sk-SK"/>
              </w:rPr>
              <w:t>0</w:t>
            </w:r>
          </w:p>
        </w:tc>
        <w:tc>
          <w:tcPr>
            <w:tcW w:w="1267" w:type="dxa"/>
            <w:noWrap/>
            <w:vAlign w:val="center"/>
          </w:tcPr>
          <w:p w14:paraId="1D49971B" w14:textId="6FB94347" w:rsidR="00047843" w:rsidRPr="006C79A2" w:rsidRDefault="00047843" w:rsidP="007820C7">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bCs/>
                <w:iCs/>
                <w:sz w:val="24"/>
                <w:szCs w:val="24"/>
                <w:lang w:eastAsia="sk-SK"/>
              </w:rPr>
              <w:t>0</w:t>
            </w:r>
          </w:p>
        </w:tc>
        <w:tc>
          <w:tcPr>
            <w:tcW w:w="1267" w:type="dxa"/>
            <w:noWrap/>
            <w:vAlign w:val="center"/>
          </w:tcPr>
          <w:p w14:paraId="2B36A4ED" w14:textId="7088FEB9" w:rsidR="00047843" w:rsidRPr="006C79A2" w:rsidRDefault="00047843" w:rsidP="007820C7">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bCs/>
                <w:iCs/>
                <w:sz w:val="24"/>
                <w:szCs w:val="24"/>
                <w:lang w:eastAsia="sk-SK"/>
              </w:rPr>
              <w:t>0</w:t>
            </w:r>
          </w:p>
        </w:tc>
      </w:tr>
      <w:tr w:rsidR="00047843" w:rsidRPr="006C79A2" w14:paraId="2B77DBA1" w14:textId="77777777" w:rsidTr="00047843">
        <w:trPr>
          <w:trHeight w:val="125"/>
          <w:jc w:val="center"/>
        </w:trPr>
        <w:tc>
          <w:tcPr>
            <w:tcW w:w="4440" w:type="dxa"/>
            <w:noWrap/>
            <w:vAlign w:val="center"/>
          </w:tcPr>
          <w:p w14:paraId="4146C3D2" w14:textId="6A6D59E8"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xml:space="preserve">- vplyv na obce </w:t>
            </w:r>
          </w:p>
        </w:tc>
        <w:tc>
          <w:tcPr>
            <w:tcW w:w="1488" w:type="dxa"/>
          </w:tcPr>
          <w:p w14:paraId="32FD6B5B"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52D319B1" w14:textId="7D7956A1"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078D834E" w14:textId="2EDE29C0"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5AF2FF4E" w14:textId="79C25259"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191CB0E4" w14:textId="77777777" w:rsidTr="00047843">
        <w:trPr>
          <w:trHeight w:val="125"/>
          <w:jc w:val="center"/>
        </w:trPr>
        <w:tc>
          <w:tcPr>
            <w:tcW w:w="4440" w:type="dxa"/>
            <w:noWrap/>
            <w:vAlign w:val="center"/>
          </w:tcPr>
          <w:p w14:paraId="30316DD4"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vyššie územné celky</w:t>
            </w:r>
          </w:p>
        </w:tc>
        <w:tc>
          <w:tcPr>
            <w:tcW w:w="1488" w:type="dxa"/>
          </w:tcPr>
          <w:p w14:paraId="55377A5E"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734F3CA6" w14:textId="3F0C481E" w:rsidR="00047843" w:rsidRPr="006C79A2" w:rsidRDefault="00047843" w:rsidP="00B7152D">
            <w:pPr>
              <w:spacing w:after="0" w:line="240" w:lineRule="auto"/>
              <w:jc w:val="right"/>
              <w:rPr>
                <w:rFonts w:ascii="Times New Roman" w:eastAsia="Times New Roman" w:hAnsi="Times New Roman" w:cs="Times New Roman"/>
                <w:b/>
                <w:bCs/>
                <w:iCs/>
                <w:strike/>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41D695F4"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60438FF9"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120A70DB" w14:textId="77777777" w:rsidTr="00047843">
        <w:trPr>
          <w:trHeight w:val="70"/>
          <w:jc w:val="center"/>
        </w:trPr>
        <w:tc>
          <w:tcPr>
            <w:tcW w:w="4440" w:type="dxa"/>
            <w:noWrap/>
            <w:vAlign w:val="center"/>
          </w:tcPr>
          <w:p w14:paraId="7CBAD92A" w14:textId="747BE05F" w:rsidR="00047843" w:rsidRPr="006C79A2" w:rsidRDefault="00E269D6" w:rsidP="007820C7">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i/>
                <w:iCs/>
                <w:sz w:val="24"/>
                <w:szCs w:val="24"/>
                <w:lang w:eastAsia="sk-SK"/>
              </w:rPr>
              <w:t xml:space="preserve"> – vplyv na ostatné subjekty verejnej správy</w:t>
            </w:r>
            <w:r w:rsidR="00576800" w:rsidRPr="006C79A2">
              <w:rPr>
                <w:rFonts w:ascii="Times New Roman" w:eastAsia="Times New Roman" w:hAnsi="Times New Roman" w:cs="Times New Roman"/>
                <w:b/>
                <w:bCs/>
                <w:i/>
                <w:iCs/>
                <w:sz w:val="24"/>
                <w:szCs w:val="24"/>
                <w:lang w:eastAsia="sk-SK"/>
              </w:rPr>
              <w:t xml:space="preserve"> – Environmentálny fond</w:t>
            </w:r>
          </w:p>
        </w:tc>
        <w:tc>
          <w:tcPr>
            <w:tcW w:w="1488" w:type="dxa"/>
          </w:tcPr>
          <w:p w14:paraId="59160190" w14:textId="77777777" w:rsidR="00047843" w:rsidRPr="006C79A2" w:rsidRDefault="00047843" w:rsidP="00A60410">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272A2542" w14:textId="06A52DF4" w:rsidR="00047843" w:rsidRPr="006C79A2" w:rsidRDefault="00A37144" w:rsidP="00A60410">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1 000 000</w:t>
            </w:r>
          </w:p>
        </w:tc>
        <w:tc>
          <w:tcPr>
            <w:tcW w:w="1267" w:type="dxa"/>
            <w:noWrap/>
            <w:vAlign w:val="center"/>
          </w:tcPr>
          <w:p w14:paraId="16E41857" w14:textId="2A7C6204" w:rsidR="00047843" w:rsidRPr="006C79A2" w:rsidRDefault="00A37144" w:rsidP="00A60410">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1 000 000</w:t>
            </w:r>
          </w:p>
        </w:tc>
        <w:tc>
          <w:tcPr>
            <w:tcW w:w="1267" w:type="dxa"/>
            <w:noWrap/>
            <w:vAlign w:val="center"/>
          </w:tcPr>
          <w:p w14:paraId="47868065" w14:textId="3F2CE018" w:rsidR="00047843" w:rsidRPr="006C79A2" w:rsidRDefault="00A37144" w:rsidP="00A60410">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1 000 000</w:t>
            </w:r>
          </w:p>
        </w:tc>
      </w:tr>
      <w:tr w:rsidR="00047843" w:rsidRPr="006C79A2" w14:paraId="7A7CAA1A" w14:textId="77777777" w:rsidTr="00047843">
        <w:trPr>
          <w:trHeight w:val="70"/>
          <w:jc w:val="center"/>
        </w:trPr>
        <w:tc>
          <w:tcPr>
            <w:tcW w:w="4440" w:type="dxa"/>
            <w:shd w:val="clear" w:color="auto" w:fill="BFBFBF" w:themeFill="background1" w:themeFillShade="BF"/>
            <w:noWrap/>
            <w:vAlign w:val="center"/>
          </w:tcPr>
          <w:p w14:paraId="35983BA1" w14:textId="77777777" w:rsidR="00047843" w:rsidRPr="006C79A2" w:rsidRDefault="00047843" w:rsidP="00B7152D">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xml:space="preserve">Vplyv na počet zamestnancov </w:t>
            </w:r>
          </w:p>
        </w:tc>
        <w:tc>
          <w:tcPr>
            <w:tcW w:w="1488" w:type="dxa"/>
            <w:shd w:val="clear" w:color="auto" w:fill="BFBFBF" w:themeFill="background1" w:themeFillShade="BF"/>
          </w:tcPr>
          <w:p w14:paraId="0228F1A3"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p>
        </w:tc>
        <w:tc>
          <w:tcPr>
            <w:tcW w:w="1488" w:type="dxa"/>
            <w:shd w:val="clear" w:color="auto" w:fill="BFBFBF" w:themeFill="background1" w:themeFillShade="BF"/>
            <w:noWrap/>
            <w:vAlign w:val="center"/>
          </w:tcPr>
          <w:p w14:paraId="2C346090" w14:textId="3C46C60F"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70693C51"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103BDE9F"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r>
      <w:tr w:rsidR="00047843" w:rsidRPr="006C79A2" w14:paraId="702943CF" w14:textId="77777777" w:rsidTr="00047843">
        <w:trPr>
          <w:trHeight w:val="70"/>
          <w:jc w:val="center"/>
        </w:trPr>
        <w:tc>
          <w:tcPr>
            <w:tcW w:w="4440" w:type="dxa"/>
            <w:noWrap/>
            <w:vAlign w:val="center"/>
          </w:tcPr>
          <w:p w14:paraId="1B9693B8"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ŠR</w:t>
            </w:r>
          </w:p>
        </w:tc>
        <w:tc>
          <w:tcPr>
            <w:tcW w:w="1488" w:type="dxa"/>
          </w:tcPr>
          <w:p w14:paraId="37255D94"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7AADBF73" w14:textId="77CAB8ED"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76969529"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09E545CD"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739B2F73" w14:textId="77777777" w:rsidTr="00047843">
        <w:trPr>
          <w:trHeight w:val="70"/>
          <w:jc w:val="center"/>
        </w:trPr>
        <w:tc>
          <w:tcPr>
            <w:tcW w:w="4440" w:type="dxa"/>
            <w:noWrap/>
            <w:vAlign w:val="center"/>
          </w:tcPr>
          <w:p w14:paraId="7A1B4B2A"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obce</w:t>
            </w:r>
          </w:p>
        </w:tc>
        <w:tc>
          <w:tcPr>
            <w:tcW w:w="1488" w:type="dxa"/>
          </w:tcPr>
          <w:p w14:paraId="6BE43EA3"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041F8AEA" w14:textId="2F83BC86"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4920E1D6"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0D84BCBE"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23C1D11E" w14:textId="77777777" w:rsidTr="00047843">
        <w:trPr>
          <w:trHeight w:val="70"/>
          <w:jc w:val="center"/>
        </w:trPr>
        <w:tc>
          <w:tcPr>
            <w:tcW w:w="4440" w:type="dxa"/>
            <w:noWrap/>
            <w:vAlign w:val="center"/>
          </w:tcPr>
          <w:p w14:paraId="2378350E"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vyššie územné celky</w:t>
            </w:r>
          </w:p>
        </w:tc>
        <w:tc>
          <w:tcPr>
            <w:tcW w:w="1488" w:type="dxa"/>
          </w:tcPr>
          <w:p w14:paraId="7E96705C"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559831AD" w14:textId="2E43EAE0"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4AB6A0A6"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5B3DE23C"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617462C4" w14:textId="77777777" w:rsidTr="00047843">
        <w:trPr>
          <w:trHeight w:val="70"/>
          <w:jc w:val="center"/>
        </w:trPr>
        <w:tc>
          <w:tcPr>
            <w:tcW w:w="4440" w:type="dxa"/>
            <w:noWrap/>
            <w:vAlign w:val="center"/>
          </w:tcPr>
          <w:p w14:paraId="5D803C4C" w14:textId="73981FD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ostatné subjekty verejnej správy</w:t>
            </w:r>
          </w:p>
        </w:tc>
        <w:tc>
          <w:tcPr>
            <w:tcW w:w="1488" w:type="dxa"/>
          </w:tcPr>
          <w:p w14:paraId="6F284776"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1B9605A1" w14:textId="6C616338"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8</w:t>
            </w:r>
          </w:p>
        </w:tc>
        <w:tc>
          <w:tcPr>
            <w:tcW w:w="1267" w:type="dxa"/>
            <w:noWrap/>
            <w:vAlign w:val="center"/>
          </w:tcPr>
          <w:p w14:paraId="6562B90B" w14:textId="1245C785"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8</w:t>
            </w:r>
          </w:p>
        </w:tc>
        <w:tc>
          <w:tcPr>
            <w:tcW w:w="1267" w:type="dxa"/>
            <w:noWrap/>
            <w:vAlign w:val="center"/>
          </w:tcPr>
          <w:p w14:paraId="1761C6BF" w14:textId="1A0402F9"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8</w:t>
            </w:r>
          </w:p>
        </w:tc>
      </w:tr>
      <w:tr w:rsidR="00047843" w:rsidRPr="006C79A2" w14:paraId="1A3298B2" w14:textId="77777777" w:rsidTr="00047843">
        <w:trPr>
          <w:trHeight w:val="70"/>
          <w:jc w:val="center"/>
        </w:trPr>
        <w:tc>
          <w:tcPr>
            <w:tcW w:w="4440" w:type="dxa"/>
            <w:shd w:val="clear" w:color="auto" w:fill="BFBFBF" w:themeFill="background1" w:themeFillShade="BF"/>
            <w:noWrap/>
            <w:vAlign w:val="center"/>
          </w:tcPr>
          <w:p w14:paraId="48FDD43E" w14:textId="77777777" w:rsidR="00047843" w:rsidRPr="006C79A2" w:rsidRDefault="00047843" w:rsidP="00B7152D">
            <w:pPr>
              <w:spacing w:after="0" w:line="240" w:lineRule="auto"/>
              <w:rPr>
                <w:rFonts w:ascii="Times New Roman" w:eastAsia="Times New Roman" w:hAnsi="Times New Roman" w:cs="Times New Roman"/>
                <w:b/>
                <w:sz w:val="24"/>
                <w:szCs w:val="24"/>
                <w:lang w:eastAsia="sk-SK"/>
              </w:rPr>
            </w:pPr>
            <w:r w:rsidRPr="006C79A2">
              <w:rPr>
                <w:rFonts w:ascii="Times New Roman" w:eastAsia="Times New Roman" w:hAnsi="Times New Roman" w:cs="Times New Roman"/>
                <w:b/>
                <w:sz w:val="24"/>
                <w:szCs w:val="24"/>
                <w:lang w:eastAsia="sk-SK"/>
              </w:rPr>
              <w:t>Vplyv na mzdové výdavky</w:t>
            </w:r>
          </w:p>
        </w:tc>
        <w:tc>
          <w:tcPr>
            <w:tcW w:w="1488" w:type="dxa"/>
            <w:shd w:val="clear" w:color="auto" w:fill="BFBFBF" w:themeFill="background1" w:themeFillShade="BF"/>
          </w:tcPr>
          <w:p w14:paraId="7FDACF0A" w14:textId="77777777" w:rsidR="00047843" w:rsidRPr="006C79A2" w:rsidRDefault="00047843" w:rsidP="00B7152D">
            <w:pPr>
              <w:spacing w:after="0" w:line="240" w:lineRule="auto"/>
              <w:jc w:val="right"/>
              <w:rPr>
                <w:rFonts w:ascii="Times New Roman" w:eastAsia="Times New Roman" w:hAnsi="Times New Roman" w:cs="Times New Roman"/>
                <w:b/>
                <w:sz w:val="24"/>
                <w:szCs w:val="24"/>
                <w:lang w:eastAsia="sk-SK"/>
              </w:rPr>
            </w:pPr>
          </w:p>
        </w:tc>
        <w:tc>
          <w:tcPr>
            <w:tcW w:w="1488" w:type="dxa"/>
            <w:shd w:val="clear" w:color="auto" w:fill="BFBFBF" w:themeFill="background1" w:themeFillShade="BF"/>
            <w:noWrap/>
            <w:vAlign w:val="center"/>
          </w:tcPr>
          <w:p w14:paraId="4CC41C99" w14:textId="2E0A6DD2" w:rsidR="00047843" w:rsidRPr="006C79A2" w:rsidRDefault="00F04A7F" w:rsidP="00B7152D">
            <w:pPr>
              <w:spacing w:after="0" w:line="240" w:lineRule="auto"/>
              <w:jc w:val="right"/>
              <w:rPr>
                <w:rFonts w:ascii="Times New Roman" w:eastAsia="Times New Roman" w:hAnsi="Times New Roman" w:cs="Times New Roman"/>
                <w:b/>
                <w:sz w:val="24"/>
                <w:szCs w:val="24"/>
                <w:lang w:eastAsia="sk-SK"/>
              </w:rPr>
            </w:pPr>
            <w:r w:rsidRPr="006C79A2">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1A89FDC4" w14:textId="6123EEB9" w:rsidR="00047843" w:rsidRPr="006C79A2" w:rsidRDefault="00F04A7F" w:rsidP="00B7152D">
            <w:pPr>
              <w:spacing w:after="0" w:line="240" w:lineRule="auto"/>
              <w:jc w:val="right"/>
              <w:rPr>
                <w:rFonts w:ascii="Times New Roman" w:eastAsia="Times New Roman" w:hAnsi="Times New Roman" w:cs="Times New Roman"/>
                <w:b/>
                <w:sz w:val="24"/>
                <w:szCs w:val="24"/>
                <w:lang w:eastAsia="sk-SK"/>
              </w:rPr>
            </w:pPr>
            <w:r w:rsidRPr="006C79A2">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14:paraId="3AD8F60F" w14:textId="4214A4FA" w:rsidR="00047843" w:rsidRPr="006C79A2" w:rsidRDefault="00F04A7F" w:rsidP="00B7152D">
            <w:pPr>
              <w:spacing w:after="0" w:line="240" w:lineRule="auto"/>
              <w:jc w:val="right"/>
              <w:rPr>
                <w:rFonts w:ascii="Times New Roman" w:eastAsia="Times New Roman" w:hAnsi="Times New Roman" w:cs="Times New Roman"/>
                <w:b/>
                <w:sz w:val="24"/>
                <w:szCs w:val="24"/>
                <w:lang w:eastAsia="sk-SK"/>
              </w:rPr>
            </w:pPr>
            <w:r w:rsidRPr="006C79A2">
              <w:rPr>
                <w:rFonts w:ascii="Times New Roman" w:eastAsia="Times New Roman" w:hAnsi="Times New Roman" w:cs="Times New Roman"/>
                <w:b/>
                <w:sz w:val="24"/>
                <w:szCs w:val="24"/>
                <w:lang w:eastAsia="sk-SK"/>
              </w:rPr>
              <w:t>0</w:t>
            </w:r>
          </w:p>
        </w:tc>
      </w:tr>
      <w:tr w:rsidR="00047843" w:rsidRPr="006C79A2" w14:paraId="73228A04" w14:textId="77777777" w:rsidTr="00047843">
        <w:trPr>
          <w:trHeight w:val="70"/>
          <w:jc w:val="center"/>
        </w:trPr>
        <w:tc>
          <w:tcPr>
            <w:tcW w:w="4440" w:type="dxa"/>
            <w:noWrap/>
            <w:vAlign w:val="center"/>
          </w:tcPr>
          <w:p w14:paraId="221896CB"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ŠR</w:t>
            </w:r>
          </w:p>
        </w:tc>
        <w:tc>
          <w:tcPr>
            <w:tcW w:w="1488" w:type="dxa"/>
          </w:tcPr>
          <w:p w14:paraId="75D08324"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245DB114" w14:textId="0845B8D5"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395F231C"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11D2B0A8"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56E5DC36" w14:textId="77777777" w:rsidTr="00047843">
        <w:trPr>
          <w:trHeight w:val="70"/>
          <w:jc w:val="center"/>
        </w:trPr>
        <w:tc>
          <w:tcPr>
            <w:tcW w:w="4440" w:type="dxa"/>
            <w:noWrap/>
            <w:vAlign w:val="center"/>
          </w:tcPr>
          <w:p w14:paraId="0F15A0FC"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obce</w:t>
            </w:r>
          </w:p>
        </w:tc>
        <w:tc>
          <w:tcPr>
            <w:tcW w:w="1488" w:type="dxa"/>
          </w:tcPr>
          <w:p w14:paraId="57C2640A"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4BCD9BD1" w14:textId="5B43EC05"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29DF8A94"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7FD40795"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5CB72EB0" w14:textId="77777777" w:rsidTr="00047843">
        <w:trPr>
          <w:trHeight w:val="70"/>
          <w:jc w:val="center"/>
        </w:trPr>
        <w:tc>
          <w:tcPr>
            <w:tcW w:w="4440" w:type="dxa"/>
            <w:noWrap/>
            <w:vAlign w:val="center"/>
          </w:tcPr>
          <w:p w14:paraId="4B3DE792" w14:textId="77777777" w:rsidR="00047843" w:rsidRPr="006C79A2" w:rsidRDefault="00047843" w:rsidP="00B7152D">
            <w:pPr>
              <w:spacing w:after="0" w:line="240" w:lineRule="auto"/>
              <w:rPr>
                <w:rFonts w:ascii="Times New Roman" w:eastAsia="Times New Roman" w:hAnsi="Times New Roman" w:cs="Times New Roman"/>
                <w:b/>
                <w:bCs/>
                <w:i/>
                <w:iCs/>
                <w:sz w:val="24"/>
                <w:szCs w:val="24"/>
                <w:lang w:eastAsia="sk-SK"/>
              </w:rPr>
            </w:pPr>
            <w:r w:rsidRPr="006C79A2">
              <w:rPr>
                <w:rFonts w:ascii="Times New Roman" w:eastAsia="Times New Roman" w:hAnsi="Times New Roman" w:cs="Times New Roman"/>
                <w:b/>
                <w:bCs/>
                <w:i/>
                <w:iCs/>
                <w:sz w:val="24"/>
                <w:szCs w:val="24"/>
                <w:lang w:eastAsia="sk-SK"/>
              </w:rPr>
              <w:t>- vplyv na vyššie územné celky</w:t>
            </w:r>
          </w:p>
        </w:tc>
        <w:tc>
          <w:tcPr>
            <w:tcW w:w="1488" w:type="dxa"/>
          </w:tcPr>
          <w:p w14:paraId="1BCE40CA"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20E9B1B8" w14:textId="5784C6DF"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4053A5FA"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64134242"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2E87E60A" w14:textId="77777777" w:rsidTr="00047843">
        <w:trPr>
          <w:trHeight w:val="70"/>
          <w:jc w:val="center"/>
        </w:trPr>
        <w:tc>
          <w:tcPr>
            <w:tcW w:w="4440" w:type="dxa"/>
            <w:noWrap/>
            <w:vAlign w:val="center"/>
          </w:tcPr>
          <w:p w14:paraId="7A870D85" w14:textId="2D09ED5A" w:rsidR="00047843" w:rsidRPr="006C79A2" w:rsidRDefault="00047843" w:rsidP="00B7152D">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i/>
                <w:iCs/>
                <w:sz w:val="24"/>
                <w:szCs w:val="24"/>
                <w:lang w:eastAsia="sk-SK"/>
              </w:rPr>
              <w:t xml:space="preserve">- vplyv na ostatné subjekty verejnej správy </w:t>
            </w:r>
          </w:p>
        </w:tc>
        <w:tc>
          <w:tcPr>
            <w:tcW w:w="1488" w:type="dxa"/>
          </w:tcPr>
          <w:p w14:paraId="38145BB4" w14:textId="77777777" w:rsidR="00047843" w:rsidRPr="006C79A2" w:rsidRDefault="00047843" w:rsidP="00B7152D">
            <w:pPr>
              <w:spacing w:after="0" w:line="240" w:lineRule="auto"/>
              <w:jc w:val="right"/>
              <w:rPr>
                <w:rFonts w:ascii="Times New Roman" w:eastAsia="Times New Roman" w:hAnsi="Times New Roman" w:cs="Times New Roman"/>
                <w:b/>
                <w:bCs/>
                <w:iCs/>
                <w:sz w:val="24"/>
                <w:szCs w:val="24"/>
                <w:lang w:eastAsia="sk-SK"/>
              </w:rPr>
            </w:pPr>
          </w:p>
        </w:tc>
        <w:tc>
          <w:tcPr>
            <w:tcW w:w="1488" w:type="dxa"/>
            <w:noWrap/>
            <w:vAlign w:val="center"/>
          </w:tcPr>
          <w:p w14:paraId="2A1EA3A0" w14:textId="70E36A10" w:rsidR="00047843" w:rsidRPr="006C79A2" w:rsidRDefault="00F04A7F"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7477F1C9" w14:textId="5F68D5E1" w:rsidR="00047843" w:rsidRPr="006C79A2" w:rsidRDefault="00F04A7F"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c>
          <w:tcPr>
            <w:tcW w:w="1267" w:type="dxa"/>
            <w:noWrap/>
            <w:vAlign w:val="center"/>
          </w:tcPr>
          <w:p w14:paraId="3883A2DB" w14:textId="53E2127F" w:rsidR="00047843" w:rsidRPr="006C79A2" w:rsidRDefault="00F04A7F" w:rsidP="00B7152D">
            <w:pPr>
              <w:spacing w:after="0" w:line="240" w:lineRule="auto"/>
              <w:jc w:val="right"/>
              <w:rPr>
                <w:rFonts w:ascii="Times New Roman" w:eastAsia="Times New Roman" w:hAnsi="Times New Roman" w:cs="Times New Roman"/>
                <w:b/>
                <w:bCs/>
                <w:iCs/>
                <w:sz w:val="24"/>
                <w:szCs w:val="24"/>
                <w:lang w:eastAsia="sk-SK"/>
              </w:rPr>
            </w:pPr>
            <w:r w:rsidRPr="006C79A2">
              <w:rPr>
                <w:rFonts w:ascii="Times New Roman" w:eastAsia="Times New Roman" w:hAnsi="Times New Roman" w:cs="Times New Roman"/>
                <w:b/>
                <w:bCs/>
                <w:iCs/>
                <w:sz w:val="24"/>
                <w:szCs w:val="24"/>
                <w:lang w:eastAsia="sk-SK"/>
              </w:rPr>
              <w:t>0</w:t>
            </w:r>
          </w:p>
        </w:tc>
      </w:tr>
      <w:tr w:rsidR="00047843" w:rsidRPr="006C79A2" w14:paraId="09BE5165" w14:textId="77777777" w:rsidTr="00047843">
        <w:trPr>
          <w:trHeight w:val="70"/>
          <w:jc w:val="center"/>
        </w:trPr>
        <w:tc>
          <w:tcPr>
            <w:tcW w:w="4440" w:type="dxa"/>
            <w:shd w:val="clear" w:color="auto" w:fill="C0C0C0"/>
            <w:noWrap/>
            <w:vAlign w:val="center"/>
          </w:tcPr>
          <w:p w14:paraId="2E90CB26" w14:textId="0F035188" w:rsidR="00047843" w:rsidRPr="006C79A2" w:rsidRDefault="00047843" w:rsidP="00B7152D">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Financovanie zabezpečené v</w:t>
            </w:r>
            <w:r w:rsidR="00012F48" w:rsidRPr="006C79A2">
              <w:rPr>
                <w:rFonts w:ascii="Times New Roman" w:eastAsia="Times New Roman" w:hAnsi="Times New Roman" w:cs="Times New Roman"/>
                <w:b/>
                <w:bCs/>
                <w:sz w:val="24"/>
                <w:szCs w:val="24"/>
                <w:lang w:eastAsia="sk-SK"/>
              </w:rPr>
              <w:t> </w:t>
            </w:r>
            <w:r w:rsidRPr="006C79A2">
              <w:rPr>
                <w:rFonts w:ascii="Times New Roman" w:eastAsia="Times New Roman" w:hAnsi="Times New Roman" w:cs="Times New Roman"/>
                <w:b/>
                <w:bCs/>
                <w:sz w:val="24"/>
                <w:szCs w:val="24"/>
                <w:lang w:eastAsia="sk-SK"/>
              </w:rPr>
              <w:t>rozpočte</w:t>
            </w:r>
          </w:p>
        </w:tc>
        <w:tc>
          <w:tcPr>
            <w:tcW w:w="1488" w:type="dxa"/>
            <w:shd w:val="clear" w:color="auto" w:fill="C0C0C0"/>
          </w:tcPr>
          <w:p w14:paraId="533E034F"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p>
        </w:tc>
        <w:tc>
          <w:tcPr>
            <w:tcW w:w="1488" w:type="dxa"/>
            <w:shd w:val="clear" w:color="auto" w:fill="C0C0C0"/>
            <w:noWrap/>
            <w:vAlign w:val="center"/>
          </w:tcPr>
          <w:p w14:paraId="03CE4F85" w14:textId="0D5B881B" w:rsidR="00047843" w:rsidRPr="006C79A2" w:rsidRDefault="00012F48"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1CCD4536" w14:textId="0B81220B" w:rsidR="00047843" w:rsidRPr="006C79A2" w:rsidRDefault="00012F48"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14:paraId="09E4DC52" w14:textId="7403B63E" w:rsidR="00047843" w:rsidRPr="006C79A2" w:rsidRDefault="00012F48"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r>
      <w:tr w:rsidR="00047843" w:rsidRPr="006C79A2" w14:paraId="761C20FC" w14:textId="77777777" w:rsidTr="00047843">
        <w:trPr>
          <w:trHeight w:val="70"/>
          <w:jc w:val="center"/>
        </w:trPr>
        <w:tc>
          <w:tcPr>
            <w:tcW w:w="4440" w:type="dxa"/>
            <w:noWrap/>
            <w:vAlign w:val="center"/>
          </w:tcPr>
          <w:p w14:paraId="654538AD" w14:textId="70EC5B66" w:rsidR="00047843" w:rsidRPr="006C79A2" w:rsidRDefault="00E269D6" w:rsidP="00B7152D">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v tom: za každý subjekt verejnej správy / program zvlášť</w:t>
            </w:r>
          </w:p>
        </w:tc>
        <w:tc>
          <w:tcPr>
            <w:tcW w:w="1488" w:type="dxa"/>
          </w:tcPr>
          <w:p w14:paraId="7C9CC9E6" w14:textId="77777777" w:rsidR="00047843" w:rsidRPr="006C79A2" w:rsidRDefault="00047843" w:rsidP="00A60410">
            <w:pPr>
              <w:spacing w:after="0" w:line="240" w:lineRule="auto"/>
              <w:jc w:val="right"/>
              <w:rPr>
                <w:rFonts w:ascii="Times New Roman" w:eastAsia="Times New Roman" w:hAnsi="Times New Roman" w:cs="Times New Roman"/>
                <w:sz w:val="24"/>
                <w:szCs w:val="24"/>
                <w:lang w:eastAsia="sk-SK"/>
              </w:rPr>
            </w:pPr>
          </w:p>
        </w:tc>
        <w:tc>
          <w:tcPr>
            <w:tcW w:w="1488" w:type="dxa"/>
            <w:noWrap/>
            <w:vAlign w:val="center"/>
          </w:tcPr>
          <w:p w14:paraId="2B9C2C66" w14:textId="5CB119E8" w:rsidR="00047843" w:rsidRPr="006C79A2" w:rsidRDefault="00012F48" w:rsidP="00A60410">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267" w:type="dxa"/>
            <w:noWrap/>
            <w:vAlign w:val="center"/>
          </w:tcPr>
          <w:p w14:paraId="21601FF2" w14:textId="3BB50E07" w:rsidR="00047843" w:rsidRPr="006C79A2" w:rsidRDefault="00012F48" w:rsidP="00A60410">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267" w:type="dxa"/>
            <w:noWrap/>
            <w:vAlign w:val="center"/>
          </w:tcPr>
          <w:p w14:paraId="7FB6470D" w14:textId="7C7F7C24" w:rsidR="00047843" w:rsidRPr="006C79A2" w:rsidRDefault="00012F48" w:rsidP="00A60410">
            <w:pPr>
              <w:spacing w:after="0" w:line="240" w:lineRule="auto"/>
              <w:jc w:val="right"/>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r>
      <w:tr w:rsidR="00047843" w:rsidRPr="006C79A2" w14:paraId="0758000B" w14:textId="77777777" w:rsidTr="00047843">
        <w:trPr>
          <w:trHeight w:val="70"/>
          <w:jc w:val="center"/>
        </w:trPr>
        <w:tc>
          <w:tcPr>
            <w:tcW w:w="4440" w:type="dxa"/>
            <w:shd w:val="clear" w:color="auto" w:fill="BFBFBF" w:themeFill="background1" w:themeFillShade="BF"/>
            <w:noWrap/>
            <w:vAlign w:val="center"/>
          </w:tcPr>
          <w:p w14:paraId="302A51B1" w14:textId="77777777" w:rsidR="00047843" w:rsidRPr="006C79A2" w:rsidRDefault="00047843" w:rsidP="00B7152D">
            <w:pPr>
              <w:spacing w:after="0" w:line="240" w:lineRule="auto"/>
              <w:rPr>
                <w:rFonts w:ascii="Times New Roman" w:eastAsia="Times New Roman" w:hAnsi="Times New Roman" w:cs="Times New Roman"/>
                <w:b/>
                <w:sz w:val="24"/>
                <w:szCs w:val="24"/>
                <w:lang w:eastAsia="sk-SK"/>
              </w:rPr>
            </w:pPr>
            <w:r w:rsidRPr="006C79A2">
              <w:rPr>
                <w:rFonts w:ascii="Times New Roman" w:eastAsia="Times New Roman" w:hAnsi="Times New Roman" w:cs="Times New Roman"/>
                <w:b/>
                <w:sz w:val="24"/>
                <w:szCs w:val="24"/>
                <w:lang w:eastAsia="sk-SK"/>
              </w:rPr>
              <w:t>Iné ako rozpočtové zdroje</w:t>
            </w:r>
          </w:p>
        </w:tc>
        <w:tc>
          <w:tcPr>
            <w:tcW w:w="1488" w:type="dxa"/>
            <w:shd w:val="clear" w:color="auto" w:fill="BFBFBF" w:themeFill="background1" w:themeFillShade="BF"/>
          </w:tcPr>
          <w:p w14:paraId="12F8EE07"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p>
        </w:tc>
        <w:tc>
          <w:tcPr>
            <w:tcW w:w="1488" w:type="dxa"/>
            <w:shd w:val="clear" w:color="auto" w:fill="BFBFBF" w:themeFill="background1" w:themeFillShade="BF"/>
            <w:noWrap/>
            <w:vAlign w:val="center"/>
          </w:tcPr>
          <w:p w14:paraId="628CCDBD" w14:textId="25FA6B73"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4EBDAEB7"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14:paraId="5DE48143"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r>
      <w:tr w:rsidR="00047843" w:rsidRPr="006C79A2" w14:paraId="321762A7" w14:textId="77777777" w:rsidTr="00047843">
        <w:trPr>
          <w:trHeight w:val="70"/>
          <w:jc w:val="center"/>
        </w:trPr>
        <w:tc>
          <w:tcPr>
            <w:tcW w:w="4440" w:type="dxa"/>
            <w:shd w:val="clear" w:color="auto" w:fill="A6A6A6" w:themeFill="background1" w:themeFillShade="A6"/>
            <w:noWrap/>
            <w:vAlign w:val="center"/>
          </w:tcPr>
          <w:p w14:paraId="56066695" w14:textId="4A4675AB" w:rsidR="00047843" w:rsidRPr="006C79A2" w:rsidRDefault="00047843" w:rsidP="00B7152D">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Rozpočtovo nekrytý vplyv / úspora</w:t>
            </w:r>
            <w:r w:rsidR="004D0A79" w:rsidRPr="006C79A2">
              <w:rPr>
                <w:rFonts w:ascii="Times New Roman" w:eastAsia="Times New Roman" w:hAnsi="Times New Roman" w:cs="Times New Roman"/>
                <w:b/>
                <w:bCs/>
                <w:sz w:val="24"/>
                <w:szCs w:val="24"/>
                <w:lang w:eastAsia="sk-SK"/>
              </w:rPr>
              <w:t xml:space="preserve"> – Environmentálny fond</w:t>
            </w:r>
          </w:p>
        </w:tc>
        <w:tc>
          <w:tcPr>
            <w:tcW w:w="1488" w:type="dxa"/>
            <w:shd w:val="clear" w:color="auto" w:fill="A6A6A6" w:themeFill="background1" w:themeFillShade="A6"/>
          </w:tcPr>
          <w:p w14:paraId="3792DC8D" w14:textId="77777777" w:rsidR="00047843" w:rsidRPr="006C79A2" w:rsidRDefault="00047843" w:rsidP="00B7152D">
            <w:pPr>
              <w:spacing w:after="0" w:line="240" w:lineRule="auto"/>
              <w:jc w:val="right"/>
              <w:rPr>
                <w:rFonts w:ascii="Times New Roman" w:eastAsia="Times New Roman" w:hAnsi="Times New Roman" w:cs="Times New Roman"/>
                <w:b/>
                <w:bCs/>
                <w:sz w:val="24"/>
                <w:szCs w:val="24"/>
                <w:lang w:eastAsia="sk-SK"/>
              </w:rPr>
            </w:pPr>
          </w:p>
        </w:tc>
        <w:tc>
          <w:tcPr>
            <w:tcW w:w="1488" w:type="dxa"/>
            <w:shd w:val="clear" w:color="auto" w:fill="A6A6A6" w:themeFill="background1" w:themeFillShade="A6"/>
            <w:noWrap/>
            <w:vAlign w:val="center"/>
          </w:tcPr>
          <w:p w14:paraId="4E9A51FF" w14:textId="4A01ED67" w:rsidR="00047843" w:rsidRPr="006C79A2" w:rsidRDefault="00A37144"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1 000 000</w:t>
            </w:r>
          </w:p>
        </w:tc>
        <w:tc>
          <w:tcPr>
            <w:tcW w:w="1267" w:type="dxa"/>
            <w:shd w:val="clear" w:color="auto" w:fill="A6A6A6" w:themeFill="background1" w:themeFillShade="A6"/>
            <w:noWrap/>
            <w:vAlign w:val="center"/>
          </w:tcPr>
          <w:p w14:paraId="114884BF" w14:textId="528C1E9B" w:rsidR="00047843" w:rsidRPr="006C79A2" w:rsidRDefault="00A37144"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1 000 000</w:t>
            </w:r>
          </w:p>
        </w:tc>
        <w:tc>
          <w:tcPr>
            <w:tcW w:w="1267" w:type="dxa"/>
            <w:shd w:val="clear" w:color="auto" w:fill="A6A6A6" w:themeFill="background1" w:themeFillShade="A6"/>
            <w:noWrap/>
            <w:vAlign w:val="center"/>
          </w:tcPr>
          <w:p w14:paraId="26195673" w14:textId="4E5132B6" w:rsidR="00047843" w:rsidRPr="006C79A2" w:rsidRDefault="00A37144" w:rsidP="00B7152D">
            <w:pPr>
              <w:spacing w:after="0" w:line="240" w:lineRule="auto"/>
              <w:jc w:val="right"/>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1 000 000</w:t>
            </w:r>
          </w:p>
        </w:tc>
      </w:tr>
      <w:bookmarkEnd w:id="0"/>
    </w:tbl>
    <w:p w14:paraId="46307018"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p>
    <w:p w14:paraId="6F1F472B" w14:textId="564F9C73" w:rsidR="001D1F07" w:rsidRPr="006C79A2" w:rsidRDefault="001D1F07">
      <w:pPr>
        <w:rPr>
          <w:rFonts w:ascii="Times New Roman" w:eastAsia="Times New Roman" w:hAnsi="Times New Roman" w:cs="Times New Roman"/>
          <w:bCs/>
          <w:sz w:val="20"/>
          <w:szCs w:val="20"/>
          <w:lang w:eastAsia="sk-SK"/>
        </w:rPr>
      </w:pPr>
      <w:r w:rsidRPr="006C79A2">
        <w:rPr>
          <w:rFonts w:ascii="Times New Roman" w:eastAsia="Times New Roman" w:hAnsi="Times New Roman" w:cs="Times New Roman"/>
          <w:bCs/>
          <w:sz w:val="20"/>
          <w:szCs w:val="20"/>
          <w:lang w:eastAsia="sk-SK"/>
        </w:rPr>
        <w:t>*</w:t>
      </w:r>
    </w:p>
    <w:p w14:paraId="2E94EC0C" w14:textId="77777777" w:rsidR="003950D4" w:rsidRPr="006C79A2" w:rsidRDefault="003950D4">
      <w:pPr>
        <w:rPr>
          <w:rFonts w:ascii="Times New Roman" w:eastAsia="Times New Roman" w:hAnsi="Times New Roman" w:cs="Times New Roman"/>
          <w:b/>
          <w:bCs/>
          <w:sz w:val="24"/>
          <w:szCs w:val="24"/>
          <w:lang w:eastAsia="sk-SK"/>
        </w:rPr>
      </w:pPr>
    </w:p>
    <w:p w14:paraId="4D193824" w14:textId="4731D626" w:rsidR="007D5748" w:rsidRPr="006C79A2" w:rsidRDefault="007D5748" w:rsidP="007D5748">
      <w:pPr>
        <w:spacing w:after="0" w:line="240" w:lineRule="auto"/>
        <w:jc w:val="both"/>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lastRenderedPageBreak/>
        <w:t xml:space="preserve">2.1.1. Financovanie návrhu </w:t>
      </w:r>
      <w:r w:rsidR="003950D4" w:rsidRPr="006C79A2">
        <w:rPr>
          <w:rFonts w:ascii="Times New Roman" w:eastAsia="Times New Roman" w:hAnsi="Times New Roman" w:cs="Times New Roman"/>
          <w:b/>
          <w:bCs/>
          <w:sz w:val="24"/>
          <w:szCs w:val="24"/>
          <w:lang w:eastAsia="sk-SK"/>
        </w:rPr>
        <w:t>–</w:t>
      </w:r>
      <w:r w:rsidRPr="006C79A2">
        <w:rPr>
          <w:rFonts w:ascii="Times New Roman" w:eastAsia="Times New Roman" w:hAnsi="Times New Roman" w:cs="Times New Roman"/>
          <w:b/>
          <w:bCs/>
          <w:sz w:val="24"/>
          <w:szCs w:val="24"/>
          <w:lang w:eastAsia="sk-SK"/>
        </w:rPr>
        <w:t xml:space="preserve"> </w:t>
      </w:r>
      <w:r w:rsidR="003950D4" w:rsidRPr="006C79A2">
        <w:rPr>
          <w:rFonts w:ascii="Times New Roman" w:eastAsia="Times New Roman" w:hAnsi="Times New Roman" w:cs="Times New Roman"/>
          <w:b/>
          <w:bCs/>
          <w:sz w:val="24"/>
          <w:szCs w:val="24"/>
          <w:lang w:eastAsia="sk-SK"/>
        </w:rPr>
        <w:t xml:space="preserve">Novela zákona č. 587/2004 Z. z. o Environmentálnom fonde a o zmene a doplnení niektorých zákonov </w:t>
      </w:r>
      <w:r w:rsidRPr="006C79A2">
        <w:rPr>
          <w:rFonts w:ascii="Times New Roman" w:eastAsia="Times New Roman" w:hAnsi="Times New Roman" w:cs="Times New Roman"/>
          <w:b/>
          <w:bCs/>
          <w:sz w:val="24"/>
          <w:szCs w:val="24"/>
          <w:lang w:eastAsia="sk-SK"/>
        </w:rPr>
        <w:t>:</w:t>
      </w:r>
    </w:p>
    <w:p w14:paraId="5B8BA3F4" w14:textId="77777777" w:rsidR="007D5748" w:rsidRPr="006C79A2" w:rsidRDefault="007D5748" w:rsidP="007D5748">
      <w:pPr>
        <w:spacing w:after="0" w:line="240" w:lineRule="auto"/>
        <w:jc w:val="both"/>
        <w:rPr>
          <w:rFonts w:ascii="Times New Roman" w:eastAsia="Times New Roman" w:hAnsi="Times New Roman" w:cs="Times New Roman"/>
          <w:b/>
          <w:bCs/>
          <w:sz w:val="12"/>
          <w:szCs w:val="24"/>
          <w:lang w:eastAsia="sk-SK"/>
        </w:rPr>
      </w:pPr>
    </w:p>
    <w:p w14:paraId="171DB08B" w14:textId="2A61662A" w:rsidR="007D5748" w:rsidRPr="006C79A2" w:rsidRDefault="009426BA" w:rsidP="009426BA">
      <w:pPr>
        <w:pBdr>
          <w:top w:val="single" w:sz="4" w:space="1" w:color="000000"/>
          <w:left w:val="single" w:sz="4" w:space="4" w:color="000000"/>
          <w:bottom w:val="single" w:sz="4" w:space="1" w:color="000000"/>
          <w:right w:val="single" w:sz="4" w:space="4" w:color="000000"/>
        </w:pBdr>
        <w:jc w:val="both"/>
        <w:rPr>
          <w:rFonts w:ascii="Times New Roman" w:eastAsia="Times New Roman" w:hAnsi="Times New Roman" w:cs="Times New Roman"/>
          <w:b/>
          <w:bCs/>
          <w:sz w:val="24"/>
          <w:szCs w:val="24"/>
          <w:lang w:eastAsia="sk-SK"/>
        </w:rPr>
      </w:pPr>
      <w:r w:rsidRPr="006C79A2">
        <w:rPr>
          <w:rFonts w:ascii="Times New Roman" w:hAnsi="Times New Roman" w:cs="Times New Roman"/>
        </w:rPr>
        <w:t xml:space="preserve">Výdavky vyplývajúce z materiálu </w:t>
      </w:r>
      <w:r w:rsidR="00B37C16" w:rsidRPr="006C79A2">
        <w:rPr>
          <w:rFonts w:ascii="Times New Roman" w:hAnsi="Times New Roman" w:cs="Times New Roman"/>
        </w:rPr>
        <w:t xml:space="preserve">sú rozpočtovo nezabezpečené, </w:t>
      </w:r>
      <w:r w:rsidRPr="006C79A2">
        <w:rPr>
          <w:rFonts w:ascii="Times New Roman" w:hAnsi="Times New Roman" w:cs="Times New Roman"/>
        </w:rPr>
        <w:t>navrhujú</w:t>
      </w:r>
      <w:r w:rsidR="00B37C16" w:rsidRPr="006C79A2">
        <w:rPr>
          <w:rFonts w:ascii="Times New Roman" w:hAnsi="Times New Roman" w:cs="Times New Roman"/>
        </w:rPr>
        <w:t xml:space="preserve"> sa</w:t>
      </w:r>
      <w:r w:rsidRPr="006C79A2">
        <w:rPr>
          <w:rFonts w:ascii="Times New Roman" w:hAnsi="Times New Roman" w:cs="Times New Roman"/>
        </w:rPr>
        <w:t xml:space="preserve"> </w:t>
      </w:r>
      <w:r w:rsidR="00B84B75" w:rsidRPr="006C79A2">
        <w:rPr>
          <w:rFonts w:ascii="Times New Roman" w:hAnsi="Times New Roman" w:cs="Times New Roman"/>
        </w:rPr>
        <w:t xml:space="preserve">v zmysle charakteru výdavkov </w:t>
      </w:r>
      <w:r w:rsidRPr="006C79A2">
        <w:rPr>
          <w:rFonts w:ascii="Times New Roman" w:hAnsi="Times New Roman" w:cs="Times New Roman"/>
        </w:rPr>
        <w:t xml:space="preserve">vykryť </w:t>
      </w:r>
      <w:r w:rsidR="00183E45" w:rsidRPr="006C79A2">
        <w:rPr>
          <w:rFonts w:ascii="Times New Roman" w:hAnsi="Times New Roman" w:cs="Times New Roman"/>
        </w:rPr>
        <w:t>z </w:t>
      </w:r>
      <w:r w:rsidR="00C64C89" w:rsidRPr="006C79A2">
        <w:rPr>
          <w:rFonts w:ascii="Times New Roman" w:hAnsi="Times New Roman" w:cs="Times New Roman"/>
        </w:rPr>
        <w:t>finančných</w:t>
      </w:r>
      <w:r w:rsidR="00183E45" w:rsidRPr="006C79A2">
        <w:rPr>
          <w:rFonts w:ascii="Times New Roman" w:hAnsi="Times New Roman" w:cs="Times New Roman"/>
        </w:rPr>
        <w:t xml:space="preserve"> prostriedkov Environmentálneho fondu </w:t>
      </w:r>
      <w:r w:rsidR="003950D4" w:rsidRPr="006C79A2">
        <w:rPr>
          <w:rFonts w:ascii="Times New Roman" w:hAnsi="Times New Roman" w:cs="Times New Roman"/>
        </w:rPr>
        <w:t>zo zostatku z prostriedkov z prechádzajúceho roka v hospodárení Environmentálneho fondu</w:t>
      </w:r>
      <w:r w:rsidR="00B37C16" w:rsidRPr="006C79A2">
        <w:rPr>
          <w:rFonts w:ascii="Times New Roman" w:hAnsi="Times New Roman" w:cs="Times New Roman"/>
        </w:rPr>
        <w:t xml:space="preserve"> (príjmové finančné operácie)</w:t>
      </w:r>
      <w:r w:rsidR="00B84B75" w:rsidRPr="006C79A2">
        <w:rPr>
          <w:rFonts w:ascii="Times New Roman" w:hAnsi="Times New Roman" w:cs="Times New Roman"/>
        </w:rPr>
        <w:t>, resp. z príjmov z pokút za porušenie starostlivosti o životné prostredie</w:t>
      </w:r>
      <w:r w:rsidR="00393364" w:rsidRPr="006C79A2">
        <w:rPr>
          <w:rFonts w:ascii="Times New Roman" w:hAnsi="Times New Roman" w:cs="Times New Roman"/>
        </w:rPr>
        <w:t>.</w:t>
      </w:r>
    </w:p>
    <w:p w14:paraId="690A835C"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2.2. Popis a charakteristika návrhu</w:t>
      </w:r>
    </w:p>
    <w:p w14:paraId="535E4978"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633573C2" w14:textId="77777777" w:rsidR="007D5748" w:rsidRPr="006C79A2" w:rsidRDefault="007D5748" w:rsidP="007D5748">
      <w:pPr>
        <w:spacing w:after="0" w:line="240" w:lineRule="auto"/>
        <w:jc w:val="both"/>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2.2.1. Popis návrhu:</w:t>
      </w:r>
    </w:p>
    <w:p w14:paraId="14A6BA49" w14:textId="77777777" w:rsidR="007D5748" w:rsidRPr="006C79A2" w:rsidRDefault="007D5748" w:rsidP="007D5748">
      <w:pPr>
        <w:spacing w:after="0" w:line="240" w:lineRule="auto"/>
        <w:jc w:val="both"/>
        <w:rPr>
          <w:rFonts w:ascii="Times New Roman" w:eastAsia="Times New Roman" w:hAnsi="Times New Roman" w:cs="Times New Roman"/>
          <w:b/>
          <w:bCs/>
          <w:sz w:val="24"/>
          <w:szCs w:val="24"/>
          <w:lang w:eastAsia="sk-SK"/>
        </w:rPr>
      </w:pPr>
    </w:p>
    <w:p w14:paraId="5B455012" w14:textId="77777777" w:rsidR="007D5748" w:rsidRPr="006C79A2"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Akú problematiku návrh rieši? Kto bude návrh implementovať? Kde sa budú služby poskytovať?</w:t>
      </w:r>
    </w:p>
    <w:p w14:paraId="0D1D9C4E"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723F0C39" w14:textId="77777777" w:rsidR="002D0D7E" w:rsidRPr="006C79A2" w:rsidRDefault="002D0D7E" w:rsidP="002D0D7E">
      <w:pPr>
        <w:pStyle w:val="Default"/>
        <w:spacing w:line="23" w:lineRule="atLeast"/>
        <w:ind w:firstLine="708"/>
        <w:jc w:val="both"/>
      </w:pPr>
      <w:r w:rsidRPr="006C79A2">
        <w:t>Materiál obsahuje podklady k novele zákona č. 587/2004 Z. z. o Environmentálnom fonde a o zmene a doplnení niektorých zákonov,  ktorým sa navrhuje zjednodušiť a zefektívniť poskytovanie podpory formou dotácie a/alebo úveru žiadateľom, sprehľadnenie a zefektívnenie postupov poskytovania podpory Environmentálnym fondom a zabezpečenie možnosti Environmentálneho fondu operatívne reagovať na požiadavky zo strany žiadateľov ako aj Ministerstva životného prostredia Slovenskej republiky a prijímať operatívne opatrenia. Súčasťou tejto zmeny by mal byť aj implementačný proces zriadenia elektronickej schránky pre Environmentálny fond ako orgán verejnej moci (ďalej len „elektronická schránka OVM“) podľa zákona č. 305/2013 Z. z. - o elektronickej podobe výkonu pôsobnosti orgánov verejnej moci a o zmene a doplnení niektorých zákonov (zákon o e-</w:t>
      </w:r>
      <w:proofErr w:type="spellStart"/>
      <w:r w:rsidRPr="006C79A2">
        <w:t>Governmente</w:t>
      </w:r>
      <w:proofErr w:type="spellEnd"/>
      <w:r w:rsidRPr="006C79A2">
        <w:t xml:space="preserve">). </w:t>
      </w:r>
    </w:p>
    <w:p w14:paraId="42371596" w14:textId="77777777" w:rsidR="000A7B78" w:rsidRPr="006C79A2" w:rsidRDefault="000A7B78" w:rsidP="0031736D">
      <w:pPr>
        <w:spacing w:after="0" w:line="240" w:lineRule="auto"/>
        <w:ind w:firstLine="708"/>
        <w:jc w:val="both"/>
        <w:rPr>
          <w:rFonts w:ascii="Times New Roman" w:hAnsi="Times New Roman" w:cs="Times New Roman"/>
          <w:sz w:val="24"/>
          <w:szCs w:val="24"/>
        </w:rPr>
      </w:pPr>
    </w:p>
    <w:p w14:paraId="0D34FC1D" w14:textId="1C78A1B7" w:rsidR="00A00F8C" w:rsidRPr="006C79A2" w:rsidRDefault="000A7B78" w:rsidP="00A00F8C">
      <w:pPr>
        <w:spacing w:after="0" w:line="240" w:lineRule="auto"/>
        <w:ind w:firstLine="708"/>
        <w:jc w:val="both"/>
        <w:rPr>
          <w:rFonts w:ascii="Times New Roman" w:hAnsi="Times New Roman" w:cs="Times New Roman"/>
          <w:sz w:val="24"/>
          <w:szCs w:val="24"/>
        </w:rPr>
      </w:pPr>
      <w:r w:rsidRPr="006C79A2">
        <w:rPr>
          <w:rFonts w:ascii="Times New Roman" w:hAnsi="Times New Roman" w:cs="Times New Roman"/>
          <w:sz w:val="24"/>
          <w:szCs w:val="24"/>
        </w:rPr>
        <w:t xml:space="preserve">Zmeny s vplyvom na rozpočet verejnej správy sa týkajú navýšenia percenta </w:t>
      </w:r>
      <w:r w:rsidR="001C6536" w:rsidRPr="006C79A2">
        <w:rPr>
          <w:rFonts w:ascii="Times New Roman" w:hAnsi="Times New Roman" w:cs="Times New Roman"/>
          <w:sz w:val="24"/>
          <w:szCs w:val="24"/>
        </w:rPr>
        <w:t xml:space="preserve">prostriedkov na správu fondu, ktoré by nesmeli prekročiť 3 % z ročného príjmu fondu. Dôvodom navýšenia percenta z 2 % na 3 % </w:t>
      </w:r>
      <w:r w:rsidR="00B1772D" w:rsidRPr="006C79A2">
        <w:rPr>
          <w:rFonts w:ascii="Times New Roman" w:hAnsi="Times New Roman" w:cs="Times New Roman"/>
          <w:sz w:val="24"/>
          <w:szCs w:val="24"/>
        </w:rPr>
        <w:t xml:space="preserve">je prechod Environmentálneho fondu na plne elektronické podávanie žiadostí o poskytnutie prostriedkov z rozpočtu Environmentálneho fondu v súlade so zámerom elektronizácie verejnej správy, využívanie elektronickej schránky fondu, automatizácia procesov súvisiacich s kontrolnými mechanizmami pri posudzovaní žiadostí o podporu z rozpočtu Environmentálneho fondu a v súvislosti s uvedeným aj zabezpečenie podporných služieb. Na zabezpečenie predmetného cieľa je nevyhnutné financovať investičné aktivity vo väzbe na elektronizáciu v rámci informačného systému fondu; uvedené zabezpečí aj zvýšenie efektivity, transparentnosti a účelnosti pri poskytovaní prostriedkov Environmentálneho fondu. </w:t>
      </w:r>
    </w:p>
    <w:p w14:paraId="07081C7D" w14:textId="3D6D1235" w:rsidR="000A7B78" w:rsidRPr="006C79A2" w:rsidRDefault="00B1772D" w:rsidP="0031736D">
      <w:pPr>
        <w:spacing w:after="0" w:line="240" w:lineRule="auto"/>
        <w:ind w:firstLine="708"/>
        <w:jc w:val="both"/>
        <w:rPr>
          <w:rFonts w:ascii="Times New Roman" w:hAnsi="Times New Roman" w:cs="Times New Roman"/>
          <w:sz w:val="24"/>
          <w:szCs w:val="24"/>
        </w:rPr>
      </w:pPr>
      <w:r w:rsidRPr="006C79A2">
        <w:rPr>
          <w:rFonts w:ascii="Times New Roman" w:hAnsi="Times New Roman" w:cs="Times New Roman"/>
          <w:sz w:val="24"/>
          <w:szCs w:val="24"/>
        </w:rPr>
        <w:t>Navýšenie percenta prostriedkov na správu fondu nemá za následok zníženie výšky finančných prostriedkov určených na poskytovanie nenávratných finančných výpomocí z rozpočtu Environmentálneho fondu oprávneným subjektom z dôvodu, že dopyt po tejto forme pomoci predovšetkým z oblasti územnej samosprávy je enormný a poukazuje na veľký investičný dlh v územnej samospráve, ktorá primárne zabezpečuje a plní potreby obyvateľov Slovenskej republiky.</w:t>
      </w:r>
      <w:r w:rsidR="00B37C16" w:rsidRPr="006C79A2">
        <w:rPr>
          <w:rFonts w:ascii="Times New Roman" w:hAnsi="Times New Roman" w:cs="Times New Roman"/>
          <w:sz w:val="24"/>
          <w:szCs w:val="24"/>
        </w:rPr>
        <w:t xml:space="preserve"> </w:t>
      </w:r>
    </w:p>
    <w:p w14:paraId="38D0B5B7" w14:textId="492C833B" w:rsidR="00B1772D" w:rsidRPr="006C79A2" w:rsidRDefault="00B1772D" w:rsidP="0031736D">
      <w:pPr>
        <w:spacing w:after="0" w:line="240" w:lineRule="auto"/>
        <w:ind w:firstLine="708"/>
        <w:jc w:val="both"/>
        <w:rPr>
          <w:rFonts w:ascii="Times New Roman" w:hAnsi="Times New Roman" w:cs="Times New Roman"/>
          <w:sz w:val="24"/>
          <w:szCs w:val="24"/>
        </w:rPr>
      </w:pPr>
      <w:r w:rsidRPr="006C79A2">
        <w:rPr>
          <w:rFonts w:ascii="Times New Roman" w:hAnsi="Times New Roman" w:cs="Times New Roman"/>
          <w:sz w:val="24"/>
          <w:szCs w:val="24"/>
        </w:rPr>
        <w:t>Navýšenie percenta prostriedkov na správu fondu nesmeruje do navýšenia počtu zamestnancov fondu, naopak nárast elektronizácie v procesoch Environmentálneho fondu zlepší kontrolné mechanizmy existujúcich zamestnancov fondu a zefektívni výkon zamestnancov fondu.</w:t>
      </w:r>
    </w:p>
    <w:p w14:paraId="2AC5492B" w14:textId="2B1527E5" w:rsidR="00B84B75" w:rsidRPr="006C79A2" w:rsidRDefault="00B84B75" w:rsidP="0031736D">
      <w:pPr>
        <w:spacing w:after="0" w:line="240" w:lineRule="auto"/>
        <w:ind w:firstLine="708"/>
        <w:jc w:val="both"/>
        <w:rPr>
          <w:rFonts w:ascii="Times New Roman" w:hAnsi="Times New Roman" w:cs="Times New Roman"/>
          <w:sz w:val="24"/>
          <w:szCs w:val="24"/>
        </w:rPr>
      </w:pPr>
    </w:p>
    <w:p w14:paraId="3A426222" w14:textId="2F075661" w:rsidR="00B84B75" w:rsidRPr="006C79A2" w:rsidRDefault="00B84B75" w:rsidP="00B84B75">
      <w:pPr>
        <w:spacing w:after="0" w:line="240" w:lineRule="auto"/>
        <w:ind w:firstLine="708"/>
        <w:jc w:val="both"/>
        <w:rPr>
          <w:rFonts w:ascii="Times New Roman" w:eastAsia="Times New Roman" w:hAnsi="Times New Roman" w:cs="Times New Roman"/>
          <w:sz w:val="24"/>
          <w:szCs w:val="24"/>
        </w:rPr>
      </w:pPr>
      <w:r w:rsidRPr="006C79A2">
        <w:rPr>
          <w:rFonts w:ascii="Times New Roman" w:hAnsi="Times New Roman" w:cs="Times New Roman"/>
          <w:sz w:val="24"/>
          <w:szCs w:val="24"/>
        </w:rPr>
        <w:t xml:space="preserve">Ďalšia zmena s vplyvom na rozpočet verejnej správy súvisí s § 19 ods. 1 zákona č. 543/2002 Z. z. o ochrane prírody a krajiny v znení neskorších predpisov (ďalej len „zákon č. </w:t>
      </w:r>
      <w:r w:rsidRPr="006C79A2">
        <w:rPr>
          <w:rFonts w:ascii="Times New Roman" w:hAnsi="Times New Roman" w:cs="Times New Roman"/>
          <w:sz w:val="24"/>
          <w:szCs w:val="24"/>
        </w:rPr>
        <w:lastRenderedPageBreak/>
        <w:t xml:space="preserve">543/2002 Z. z.“), pričom národné parky </w:t>
      </w:r>
      <w:r w:rsidRPr="006C79A2">
        <w:rPr>
          <w:rFonts w:ascii="Times New Roman" w:eastAsia="Times New Roman" w:hAnsi="Times New Roman" w:cs="Times New Roman"/>
          <w:sz w:val="24"/>
          <w:szCs w:val="24"/>
        </w:rPr>
        <w:t xml:space="preserve">tvoria najvýznamnejšie prírodné dedičstvo, v ktorom je ochrana prírody nadradená nad ostatné činnosti. </w:t>
      </w:r>
    </w:p>
    <w:p w14:paraId="115FD762" w14:textId="17212F81" w:rsidR="00B84B75" w:rsidRPr="006C79A2" w:rsidRDefault="00B84B75" w:rsidP="00B84B75">
      <w:pPr>
        <w:spacing w:after="0" w:line="240" w:lineRule="auto"/>
        <w:ind w:firstLine="708"/>
        <w:jc w:val="both"/>
        <w:rPr>
          <w:rFonts w:ascii="Times New Roman" w:eastAsia="Times New Roman" w:hAnsi="Times New Roman" w:cs="Times New Roman"/>
          <w:sz w:val="24"/>
          <w:szCs w:val="24"/>
        </w:rPr>
      </w:pPr>
      <w:r w:rsidRPr="006C79A2">
        <w:rPr>
          <w:rFonts w:ascii="Times New Roman" w:eastAsia="Times New Roman" w:hAnsi="Times New Roman" w:cs="Times New Roman"/>
          <w:sz w:val="24"/>
          <w:szCs w:val="24"/>
        </w:rPr>
        <w:t>Obce, ktorých katastrálne územia zasahujú do národných parkov, by mali byť reprezentatívnymi sídlami z hľadiska viacerých aspektov životného prostredia; preto považujeme za veľmi významnú podstatnú podporu aktivít pre zlepšenie kvality životného prostredia na ich území. V rámci podporovaných aktivít by sa malo jednať napr. o podporu infraštruktúry (tzv. zelenej a modrej, t. j. zeleň alebo mokrade v obciach) a vybavenosti obcí, zníženie svetelného znečistenia, podporu spracovania rozvojových dokumentov a štúdií, podporu informačných centier zameraných na národné parky, podporu udržateľných foriem mäkkého turizmu, programy environmentálneho vzdelávania, osvety, praktickú starostlivosť a manažment osobitne chránených časti prírody a krajiny, spolufinancovanie projektov podporených z európskych štrukturálnych fondov a pod.</w:t>
      </w:r>
    </w:p>
    <w:p w14:paraId="5267E5AE" w14:textId="482471A7" w:rsidR="00B84B75" w:rsidRPr="006C79A2" w:rsidRDefault="00A824AD" w:rsidP="00A824AD">
      <w:pPr>
        <w:spacing w:after="0" w:line="240" w:lineRule="auto"/>
        <w:ind w:firstLine="708"/>
        <w:jc w:val="both"/>
        <w:rPr>
          <w:rFonts w:ascii="Times New Roman" w:hAnsi="Times New Roman" w:cs="Times New Roman"/>
          <w:sz w:val="24"/>
          <w:szCs w:val="24"/>
        </w:rPr>
      </w:pPr>
      <w:r w:rsidRPr="006C79A2">
        <w:rPr>
          <w:rFonts w:ascii="Times New Roman" w:eastAsia="Times New Roman" w:hAnsi="Times New Roman" w:cs="Times New Roman"/>
          <w:sz w:val="24"/>
          <w:szCs w:val="24"/>
        </w:rPr>
        <w:t xml:space="preserve">V zmysle </w:t>
      </w:r>
      <w:r w:rsidR="00B84B75" w:rsidRPr="006C79A2">
        <w:rPr>
          <w:rFonts w:ascii="Times New Roman" w:hAnsi="Times New Roman" w:cs="Times New Roman"/>
          <w:sz w:val="24"/>
          <w:szCs w:val="24"/>
        </w:rPr>
        <w:t>štúdie spracovanej Inštitút</w:t>
      </w:r>
      <w:r w:rsidRPr="006C79A2">
        <w:rPr>
          <w:rFonts w:ascii="Times New Roman" w:hAnsi="Times New Roman" w:cs="Times New Roman"/>
          <w:sz w:val="24"/>
          <w:szCs w:val="24"/>
        </w:rPr>
        <w:t>om</w:t>
      </w:r>
      <w:r w:rsidR="00B84B75" w:rsidRPr="006C79A2">
        <w:rPr>
          <w:rFonts w:ascii="Times New Roman" w:hAnsi="Times New Roman" w:cs="Times New Roman"/>
          <w:sz w:val="24"/>
          <w:szCs w:val="24"/>
        </w:rPr>
        <w:t xml:space="preserve"> environmentálnej politiky MŽP SR  </w:t>
      </w:r>
      <w:r w:rsidR="00B84B75" w:rsidRPr="006C79A2">
        <w:rPr>
          <w:rFonts w:ascii="Times New Roman" w:hAnsi="Times New Roman" w:cs="Times New Roman"/>
          <w:i/>
          <w:sz w:val="24"/>
          <w:szCs w:val="24"/>
        </w:rPr>
        <w:t>Koľko stojí divočina</w:t>
      </w:r>
      <w:r w:rsidR="00B84B75" w:rsidRPr="006C79A2">
        <w:rPr>
          <w:rFonts w:ascii="Times New Roman" w:hAnsi="Times New Roman" w:cs="Times New Roman"/>
          <w:sz w:val="24"/>
          <w:szCs w:val="24"/>
          <w:vertAlign w:val="superscript"/>
        </w:rPr>
        <w:footnoteReference w:id="1"/>
      </w:r>
      <w:r w:rsidR="00B84B75" w:rsidRPr="006C79A2">
        <w:rPr>
          <w:rFonts w:ascii="Times New Roman" w:hAnsi="Times New Roman" w:cs="Times New Roman"/>
          <w:i/>
          <w:sz w:val="24"/>
          <w:szCs w:val="24"/>
        </w:rPr>
        <w:t xml:space="preserve"> „</w:t>
      </w:r>
      <w:r w:rsidR="00B84B75" w:rsidRPr="006C79A2">
        <w:rPr>
          <w:rFonts w:ascii="Times New Roman" w:hAnsi="Times New Roman" w:cs="Times New Roman"/>
          <w:sz w:val="24"/>
          <w:szCs w:val="24"/>
        </w:rPr>
        <w:t xml:space="preserve">zvyšovanie výmery </w:t>
      </w:r>
      <w:proofErr w:type="spellStart"/>
      <w:r w:rsidR="00B84B75" w:rsidRPr="006C79A2">
        <w:rPr>
          <w:rFonts w:ascii="Times New Roman" w:hAnsi="Times New Roman" w:cs="Times New Roman"/>
          <w:sz w:val="24"/>
          <w:szCs w:val="24"/>
        </w:rPr>
        <w:t>bezzásahových</w:t>
      </w:r>
      <w:proofErr w:type="spellEnd"/>
      <w:r w:rsidR="00B84B75" w:rsidRPr="006C79A2">
        <w:rPr>
          <w:rFonts w:ascii="Times New Roman" w:hAnsi="Times New Roman" w:cs="Times New Roman"/>
          <w:sz w:val="24"/>
          <w:szCs w:val="24"/>
        </w:rPr>
        <w:t xml:space="preserve"> území v nadväznosti na vyššie uvedené legislatívne podmienky, ako aj politické záväzky, bude znamenať stratu pre rozpočet obcí vo výške 430 tis. eur pri 50 % A zóne a 730 tis. eur pri 75 % A zóne. Časť príjmov miest a obcí je generovaných z daní z nehnuteľností. Ročne ide o takmer 9 mil. eur (priemer za roky 2014-2017) vo všetkých obciach SR. V prípade, že sa budú rozširovať </w:t>
      </w:r>
      <w:proofErr w:type="spellStart"/>
      <w:r w:rsidR="00B84B75" w:rsidRPr="006C79A2">
        <w:rPr>
          <w:rFonts w:ascii="Times New Roman" w:hAnsi="Times New Roman" w:cs="Times New Roman"/>
          <w:sz w:val="24"/>
          <w:szCs w:val="24"/>
        </w:rPr>
        <w:t>bezzásahové</w:t>
      </w:r>
      <w:proofErr w:type="spellEnd"/>
      <w:r w:rsidR="00B84B75" w:rsidRPr="006C79A2">
        <w:rPr>
          <w:rFonts w:ascii="Times New Roman" w:hAnsi="Times New Roman" w:cs="Times New Roman"/>
          <w:sz w:val="24"/>
          <w:szCs w:val="24"/>
        </w:rPr>
        <w:t xml:space="preserve"> zóny, bude to znamenať, že samosprávy prídu o príjmy z daní z daných pozemkov. Ak by boli tieto straty hradené z</w:t>
      </w:r>
      <w:r w:rsidRPr="006C79A2">
        <w:rPr>
          <w:rFonts w:ascii="Times New Roman" w:hAnsi="Times New Roman" w:cs="Times New Roman"/>
          <w:sz w:val="24"/>
          <w:szCs w:val="24"/>
        </w:rPr>
        <w:t> iných zdrojov štátneho rozpočtu</w:t>
      </w:r>
      <w:r w:rsidR="00B84B75" w:rsidRPr="006C79A2">
        <w:rPr>
          <w:rFonts w:ascii="Times New Roman" w:hAnsi="Times New Roman" w:cs="Times New Roman"/>
          <w:sz w:val="24"/>
          <w:szCs w:val="24"/>
        </w:rPr>
        <w:t>, strata obcí by bola nulová.”</w:t>
      </w:r>
    </w:p>
    <w:p w14:paraId="4C097933" w14:textId="6B714B4C" w:rsidR="00B84B75" w:rsidRPr="006C79A2" w:rsidRDefault="00A824AD" w:rsidP="00E21A0C">
      <w:pPr>
        <w:spacing w:after="0" w:line="240" w:lineRule="auto"/>
        <w:ind w:firstLine="708"/>
        <w:jc w:val="both"/>
        <w:rPr>
          <w:rFonts w:ascii="Times New Roman" w:eastAsia="Times New Roman" w:hAnsi="Times New Roman" w:cs="Times New Roman"/>
          <w:sz w:val="24"/>
          <w:szCs w:val="24"/>
        </w:rPr>
      </w:pPr>
      <w:r w:rsidRPr="006C79A2">
        <w:rPr>
          <w:rFonts w:ascii="Times New Roman" w:hAnsi="Times New Roman" w:cs="Times New Roman"/>
          <w:sz w:val="24"/>
          <w:szCs w:val="24"/>
        </w:rPr>
        <w:t xml:space="preserve">Odhadované náklady predstavujú výšku cca 1 </w:t>
      </w:r>
      <w:r w:rsidR="00B84B75" w:rsidRPr="006C79A2">
        <w:rPr>
          <w:rFonts w:ascii="Times New Roman" w:hAnsi="Times New Roman" w:cs="Times New Roman"/>
          <w:b/>
          <w:sz w:val="24"/>
          <w:szCs w:val="24"/>
        </w:rPr>
        <w:t>mil. EUR</w:t>
      </w:r>
      <w:r w:rsidR="00B84B75" w:rsidRPr="006C79A2">
        <w:rPr>
          <w:rFonts w:ascii="Times New Roman" w:hAnsi="Times New Roman" w:cs="Times New Roman"/>
          <w:sz w:val="24"/>
          <w:szCs w:val="24"/>
        </w:rPr>
        <w:t>/</w:t>
      </w:r>
      <w:r w:rsidR="00B84B75" w:rsidRPr="006C79A2">
        <w:rPr>
          <w:rFonts w:ascii="Times New Roman" w:hAnsi="Times New Roman" w:cs="Times New Roman"/>
          <w:b/>
          <w:sz w:val="24"/>
          <w:szCs w:val="24"/>
        </w:rPr>
        <w:t>rok</w:t>
      </w:r>
      <w:r w:rsidR="00B84B75" w:rsidRPr="006C79A2">
        <w:rPr>
          <w:rFonts w:ascii="Times New Roman" w:hAnsi="Times New Roman" w:cs="Times New Roman"/>
          <w:sz w:val="24"/>
          <w:szCs w:val="24"/>
        </w:rPr>
        <w:t xml:space="preserve"> (oproti vyššie uvedenému je potrebné započítať celé územia národných parkov, t. j. nielen A zóny) – zmena kategórie z lesov hospodárskych na lesy ochranné je potrebná aj v nadväznosti na plnenie ustanovenia § 19 ods. 1 zákona č. 543/2002 Z. z., nakoľko </w:t>
      </w:r>
      <w:r w:rsidR="00B84B75" w:rsidRPr="006C79A2">
        <w:rPr>
          <w:rFonts w:ascii="Times New Roman" w:eastAsia="Times New Roman" w:hAnsi="Times New Roman" w:cs="Times New Roman"/>
          <w:sz w:val="24"/>
          <w:szCs w:val="24"/>
        </w:rPr>
        <w:t xml:space="preserve">ochrana prírody je nadradená nad ostatné činnosti a teda aj nad hospodárske zameranie využívania územia národných parkov, bez ohľadu na stupeň ochrany. V uvedených nákladoch je zohľadnený aj úbytok z príjmov z dane nehnuteľnosti, nakoľko v prípade zmeny kategórie lesa z hospodárskych lesov na lesy osobitného určenia obec prichádza o príjmy z dane z nehnuteľností (§ 6 ods. 1 zákona č. 582/2004 Z. z. </w:t>
      </w:r>
      <w:r w:rsidR="00B84B75" w:rsidRPr="006C79A2">
        <w:rPr>
          <w:rFonts w:ascii="Times New Roman" w:hAnsi="Times New Roman" w:cs="Times New Roman"/>
          <w:bCs/>
          <w:sz w:val="24"/>
          <w:szCs w:val="24"/>
        </w:rPr>
        <w:t>o miestnych daniach a miestnom poplatku za komunálne odpady a drobné stavebné odpady v znení neskorších predpisov)</w:t>
      </w:r>
      <w:r w:rsidR="00B84B75" w:rsidRPr="006C79A2">
        <w:rPr>
          <w:rFonts w:ascii="Times New Roman" w:eastAsia="Times New Roman" w:hAnsi="Times New Roman" w:cs="Times New Roman"/>
          <w:sz w:val="24"/>
          <w:szCs w:val="24"/>
        </w:rPr>
        <w:t xml:space="preserve">. </w:t>
      </w:r>
    </w:p>
    <w:p w14:paraId="76E3270A" w14:textId="77777777" w:rsidR="00B84B75" w:rsidRPr="006C79A2" w:rsidRDefault="00B84B75" w:rsidP="00B84B75">
      <w:pPr>
        <w:pStyle w:val="Nadpis1"/>
        <w:shd w:val="clear" w:color="auto" w:fill="FFFFFF"/>
        <w:spacing w:before="120" w:beforeAutospacing="0" w:after="0" w:afterAutospacing="0"/>
        <w:jc w:val="both"/>
        <w:rPr>
          <w:rFonts w:eastAsiaTheme="minorHAnsi"/>
          <w:b w:val="0"/>
          <w:bCs w:val="0"/>
          <w:kern w:val="0"/>
          <w:sz w:val="24"/>
          <w:szCs w:val="24"/>
        </w:rPr>
      </w:pPr>
    </w:p>
    <w:p w14:paraId="039705A2" w14:textId="4CF36932" w:rsidR="009D6AD1" w:rsidRPr="006C79A2" w:rsidRDefault="009D6AD1" w:rsidP="00B1772D">
      <w:pPr>
        <w:spacing w:after="0" w:line="240" w:lineRule="auto"/>
        <w:jc w:val="both"/>
        <w:rPr>
          <w:rFonts w:ascii="Times New Roman" w:eastAsia="Times New Roman" w:hAnsi="Times New Roman" w:cs="Times New Roman"/>
          <w:b/>
          <w:bCs/>
          <w:sz w:val="24"/>
          <w:szCs w:val="24"/>
          <w:lang w:eastAsia="sk-SK"/>
        </w:rPr>
      </w:pPr>
    </w:p>
    <w:p w14:paraId="31177BF5" w14:textId="77777777" w:rsidR="009D6AD1" w:rsidRPr="006C79A2" w:rsidRDefault="009D6AD1" w:rsidP="00B1772D">
      <w:pPr>
        <w:spacing w:after="0" w:line="240" w:lineRule="auto"/>
        <w:jc w:val="both"/>
        <w:rPr>
          <w:rFonts w:ascii="Times New Roman" w:hAnsi="Times New Roman" w:cs="Times New Roman"/>
          <w:sz w:val="24"/>
          <w:szCs w:val="24"/>
          <w:u w:val="single"/>
        </w:rPr>
      </w:pPr>
    </w:p>
    <w:p w14:paraId="2657D585" w14:textId="67461676" w:rsidR="009D6AD1" w:rsidRPr="006C79A2" w:rsidRDefault="007D5748" w:rsidP="00B1772D">
      <w:pPr>
        <w:spacing w:after="0" w:line="240" w:lineRule="auto"/>
        <w:jc w:val="both"/>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2.2.2. Charakteristika návrhu:</w:t>
      </w:r>
    </w:p>
    <w:p w14:paraId="0D6B2986"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6324B3E6"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b/>
          <w:sz w:val="24"/>
          <w:szCs w:val="24"/>
          <w:bdr w:val="single" w:sz="4" w:space="0" w:color="auto"/>
          <w:lang w:eastAsia="sk-SK"/>
        </w:rPr>
        <w:t xml:space="preserve">     </w:t>
      </w:r>
      <w:r w:rsidRPr="006C79A2">
        <w:rPr>
          <w:rFonts w:ascii="Times New Roman" w:eastAsia="Times New Roman" w:hAnsi="Times New Roman" w:cs="Times New Roman"/>
          <w:b/>
          <w:sz w:val="24"/>
          <w:szCs w:val="24"/>
          <w:lang w:eastAsia="sk-SK"/>
        </w:rPr>
        <w:t xml:space="preserve">  </w:t>
      </w:r>
      <w:r w:rsidRPr="006C79A2">
        <w:rPr>
          <w:rFonts w:ascii="Times New Roman" w:eastAsia="Times New Roman" w:hAnsi="Times New Roman" w:cs="Times New Roman"/>
          <w:sz w:val="24"/>
          <w:szCs w:val="24"/>
          <w:lang w:eastAsia="sk-SK"/>
        </w:rPr>
        <w:t>zmena sadzby</w:t>
      </w:r>
    </w:p>
    <w:p w14:paraId="12165D91"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bdr w:val="single" w:sz="4" w:space="0" w:color="auto"/>
          <w:lang w:eastAsia="sk-SK"/>
        </w:rPr>
        <w:t xml:space="preserve">     </w:t>
      </w:r>
      <w:r w:rsidRPr="006C79A2">
        <w:rPr>
          <w:rFonts w:ascii="Times New Roman" w:eastAsia="Times New Roman" w:hAnsi="Times New Roman" w:cs="Times New Roman"/>
          <w:sz w:val="24"/>
          <w:szCs w:val="24"/>
          <w:lang w:eastAsia="sk-SK"/>
        </w:rPr>
        <w:t xml:space="preserve">  zmena v nároku</w:t>
      </w:r>
    </w:p>
    <w:p w14:paraId="7F104370"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bdr w:val="single" w:sz="4" w:space="0" w:color="auto"/>
          <w:lang w:eastAsia="sk-SK"/>
        </w:rPr>
        <w:t xml:space="preserve">     </w:t>
      </w:r>
      <w:r w:rsidRPr="006C79A2">
        <w:rPr>
          <w:rFonts w:ascii="Times New Roman" w:eastAsia="Times New Roman" w:hAnsi="Times New Roman" w:cs="Times New Roman"/>
          <w:sz w:val="24"/>
          <w:szCs w:val="24"/>
          <w:lang w:eastAsia="sk-SK"/>
        </w:rPr>
        <w:t xml:space="preserve">  nová služba alebo nariadenie (alebo ich zrušenie)</w:t>
      </w:r>
    </w:p>
    <w:p w14:paraId="2DF80FA2"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bdr w:val="single" w:sz="4" w:space="0" w:color="auto"/>
          <w:lang w:eastAsia="sk-SK"/>
        </w:rPr>
        <w:t xml:space="preserve">     </w:t>
      </w:r>
      <w:r w:rsidRPr="006C79A2">
        <w:rPr>
          <w:rFonts w:ascii="Times New Roman" w:eastAsia="Times New Roman" w:hAnsi="Times New Roman" w:cs="Times New Roman"/>
          <w:sz w:val="24"/>
          <w:szCs w:val="24"/>
          <w:lang w:eastAsia="sk-SK"/>
        </w:rPr>
        <w:t xml:space="preserve">  kombinovaný návrh</w:t>
      </w:r>
    </w:p>
    <w:p w14:paraId="207C7BB7" w14:textId="77777777" w:rsidR="007D5748" w:rsidRPr="006C79A2" w:rsidRDefault="009426BA"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bdr w:val="single" w:sz="4" w:space="0" w:color="auto"/>
          <w:lang w:eastAsia="sk-SK"/>
        </w:rPr>
        <w:t xml:space="preserve"> X</w:t>
      </w:r>
      <w:r w:rsidR="007D5748" w:rsidRPr="006C79A2">
        <w:rPr>
          <w:rFonts w:ascii="Times New Roman" w:eastAsia="Times New Roman" w:hAnsi="Times New Roman" w:cs="Times New Roman"/>
          <w:sz w:val="24"/>
          <w:szCs w:val="24"/>
          <w:bdr w:val="single" w:sz="4" w:space="0" w:color="auto"/>
          <w:lang w:eastAsia="sk-SK"/>
        </w:rPr>
        <w:t xml:space="preserve"> </w:t>
      </w:r>
      <w:r w:rsidR="007D5748" w:rsidRPr="006C79A2">
        <w:rPr>
          <w:rFonts w:ascii="Times New Roman" w:eastAsia="Times New Roman" w:hAnsi="Times New Roman" w:cs="Times New Roman"/>
          <w:sz w:val="24"/>
          <w:szCs w:val="24"/>
          <w:lang w:eastAsia="sk-SK"/>
        </w:rPr>
        <w:t xml:space="preserve">  iné </w:t>
      </w:r>
    </w:p>
    <w:p w14:paraId="1EB8D2D6"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337D252C"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b/>
          <w:bCs/>
          <w:sz w:val="24"/>
          <w:szCs w:val="24"/>
          <w:lang w:eastAsia="sk-SK"/>
        </w:rPr>
        <w:t>2.2.3. Predpoklady vývoja objemu aktivít:</w:t>
      </w:r>
    </w:p>
    <w:p w14:paraId="6307E31F"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40A109CF" w14:textId="7050B03F" w:rsidR="007D5748" w:rsidRPr="006C79A2"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14:paraId="62865759" w14:textId="77777777" w:rsidR="00183E45" w:rsidRPr="006C79A2" w:rsidRDefault="00183E45" w:rsidP="007D5748">
      <w:pPr>
        <w:spacing w:after="0" w:line="240" w:lineRule="auto"/>
        <w:ind w:firstLine="708"/>
        <w:jc w:val="both"/>
        <w:rPr>
          <w:rFonts w:ascii="Times New Roman" w:eastAsia="Times New Roman" w:hAnsi="Times New Roman" w:cs="Times New Roman"/>
          <w:sz w:val="24"/>
          <w:szCs w:val="24"/>
          <w:lang w:eastAsia="sk-SK"/>
        </w:rPr>
      </w:pPr>
    </w:p>
    <w:p w14:paraId="7D02131A" w14:textId="77777777" w:rsidR="007D5748" w:rsidRPr="006C79A2" w:rsidRDefault="007D5748" w:rsidP="007D5748">
      <w:pPr>
        <w:spacing w:after="0" w:line="240" w:lineRule="auto"/>
        <w:jc w:val="right"/>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6C79A2" w14:paraId="363EF1F9" w14:textId="77777777" w:rsidTr="004C6780">
        <w:trPr>
          <w:cantSplit/>
          <w:trHeight w:val="70"/>
        </w:trPr>
        <w:tc>
          <w:tcPr>
            <w:tcW w:w="4530" w:type="dxa"/>
            <w:vMerge w:val="restart"/>
            <w:shd w:val="clear" w:color="auto" w:fill="BFBFBF" w:themeFill="background1" w:themeFillShade="BF"/>
            <w:vAlign w:val="center"/>
          </w:tcPr>
          <w:p w14:paraId="53A3C288" w14:textId="77777777" w:rsidR="007D5748" w:rsidRPr="006C79A2"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lastRenderedPageBreak/>
              <w:t>Objem aktivít</w:t>
            </w:r>
          </w:p>
        </w:tc>
        <w:tc>
          <w:tcPr>
            <w:tcW w:w="4536" w:type="dxa"/>
            <w:gridSpan w:val="4"/>
            <w:shd w:val="clear" w:color="auto" w:fill="BFBFBF" w:themeFill="background1" w:themeFillShade="BF"/>
            <w:vAlign w:val="center"/>
          </w:tcPr>
          <w:p w14:paraId="4C6ABF6F" w14:textId="77777777" w:rsidR="007D5748" w:rsidRPr="006C79A2"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Odhadované objemy</w:t>
            </w:r>
          </w:p>
        </w:tc>
      </w:tr>
      <w:tr w:rsidR="004C6780" w:rsidRPr="006C79A2" w14:paraId="23735A1E" w14:textId="77777777" w:rsidTr="009426BA">
        <w:trPr>
          <w:cantSplit/>
          <w:trHeight w:val="70"/>
        </w:trPr>
        <w:tc>
          <w:tcPr>
            <w:tcW w:w="4530" w:type="dxa"/>
            <w:vMerge/>
            <w:shd w:val="clear" w:color="auto" w:fill="BFBFBF" w:themeFill="background1" w:themeFillShade="BF"/>
          </w:tcPr>
          <w:p w14:paraId="27D59F78" w14:textId="77777777" w:rsidR="004C6780" w:rsidRPr="006C79A2" w:rsidRDefault="004C6780" w:rsidP="004C678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49539968" w14:textId="0A168DF9" w:rsidR="004C6780" w:rsidRPr="006C79A2" w:rsidRDefault="00F16BCB" w:rsidP="004C678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w:t>
            </w:r>
            <w:r w:rsidR="00B1772D" w:rsidRPr="006C79A2">
              <w:rPr>
                <w:rFonts w:ascii="Times New Roman" w:eastAsia="Times New Roman" w:hAnsi="Times New Roman" w:cs="Times New Roman"/>
                <w:b/>
                <w:bCs/>
                <w:sz w:val="24"/>
                <w:szCs w:val="24"/>
                <w:lang w:eastAsia="sk-SK"/>
              </w:rPr>
              <w:t>22</w:t>
            </w:r>
          </w:p>
        </w:tc>
        <w:tc>
          <w:tcPr>
            <w:tcW w:w="1134" w:type="dxa"/>
            <w:shd w:val="clear" w:color="auto" w:fill="BFBFBF" w:themeFill="background1" w:themeFillShade="BF"/>
            <w:vAlign w:val="center"/>
          </w:tcPr>
          <w:p w14:paraId="27310A51" w14:textId="1E514B3F" w:rsidR="004C6780" w:rsidRPr="006C79A2" w:rsidRDefault="00F16BCB" w:rsidP="004C678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B1772D" w:rsidRPr="006C79A2">
              <w:rPr>
                <w:rFonts w:ascii="Times New Roman" w:eastAsia="Times New Roman" w:hAnsi="Times New Roman" w:cs="Times New Roman"/>
                <w:b/>
                <w:bCs/>
                <w:sz w:val="24"/>
                <w:szCs w:val="24"/>
                <w:lang w:eastAsia="sk-SK"/>
              </w:rPr>
              <w:t>3</w:t>
            </w:r>
          </w:p>
        </w:tc>
        <w:tc>
          <w:tcPr>
            <w:tcW w:w="1134" w:type="dxa"/>
            <w:shd w:val="clear" w:color="auto" w:fill="BFBFBF" w:themeFill="background1" w:themeFillShade="BF"/>
            <w:vAlign w:val="center"/>
          </w:tcPr>
          <w:p w14:paraId="1F658F9B" w14:textId="2FC075CC" w:rsidR="004C6780" w:rsidRPr="006C79A2" w:rsidRDefault="00F16BCB" w:rsidP="004C678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B1772D" w:rsidRPr="006C79A2">
              <w:rPr>
                <w:rFonts w:ascii="Times New Roman" w:eastAsia="Times New Roman" w:hAnsi="Times New Roman" w:cs="Times New Roman"/>
                <w:b/>
                <w:bCs/>
                <w:sz w:val="24"/>
                <w:szCs w:val="24"/>
                <w:lang w:eastAsia="sk-SK"/>
              </w:rPr>
              <w:t>4</w:t>
            </w:r>
          </w:p>
        </w:tc>
        <w:tc>
          <w:tcPr>
            <w:tcW w:w="1134" w:type="dxa"/>
            <w:shd w:val="clear" w:color="auto" w:fill="BFBFBF" w:themeFill="background1" w:themeFillShade="BF"/>
            <w:vAlign w:val="center"/>
          </w:tcPr>
          <w:p w14:paraId="16430068" w14:textId="0573D8A6" w:rsidR="004C6780" w:rsidRPr="006C79A2" w:rsidRDefault="00F16BCB" w:rsidP="004C678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B1772D" w:rsidRPr="006C79A2">
              <w:rPr>
                <w:rFonts w:ascii="Times New Roman" w:eastAsia="Times New Roman" w:hAnsi="Times New Roman" w:cs="Times New Roman"/>
                <w:b/>
                <w:bCs/>
                <w:sz w:val="24"/>
                <w:szCs w:val="24"/>
                <w:lang w:eastAsia="sk-SK"/>
              </w:rPr>
              <w:t>5</w:t>
            </w:r>
          </w:p>
        </w:tc>
      </w:tr>
      <w:tr w:rsidR="007D5748" w:rsidRPr="006C79A2" w14:paraId="2221B272" w14:textId="77777777" w:rsidTr="009426BA">
        <w:trPr>
          <w:trHeight w:val="70"/>
        </w:trPr>
        <w:tc>
          <w:tcPr>
            <w:tcW w:w="4530" w:type="dxa"/>
          </w:tcPr>
          <w:p w14:paraId="1B54FD8D" w14:textId="77777777" w:rsidR="007D5748" w:rsidRPr="006C79A2"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6C79A2">
              <w:rPr>
                <w:rFonts w:ascii="Times New Roman" w:eastAsia="Times New Roman" w:hAnsi="Times New Roman" w:cs="Times New Roman"/>
                <w:color w:val="000000"/>
                <w:sz w:val="24"/>
                <w:szCs w:val="24"/>
                <w:lang w:eastAsia="sk-SK"/>
              </w:rPr>
              <w:t>Indikátor ABC</w:t>
            </w:r>
          </w:p>
        </w:tc>
        <w:tc>
          <w:tcPr>
            <w:tcW w:w="1134" w:type="dxa"/>
          </w:tcPr>
          <w:p w14:paraId="268FDD18"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821B782"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089F59B"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07A00D0F"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6C79A2" w14:paraId="1D6CAC44" w14:textId="77777777" w:rsidTr="009426BA">
        <w:trPr>
          <w:trHeight w:val="70"/>
        </w:trPr>
        <w:tc>
          <w:tcPr>
            <w:tcW w:w="4530" w:type="dxa"/>
          </w:tcPr>
          <w:p w14:paraId="01C78986" w14:textId="77777777" w:rsidR="007D5748" w:rsidRPr="006C79A2"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6C79A2">
              <w:rPr>
                <w:rFonts w:ascii="Times New Roman" w:eastAsia="Times New Roman" w:hAnsi="Times New Roman" w:cs="Times New Roman"/>
                <w:color w:val="000000"/>
                <w:sz w:val="24"/>
                <w:szCs w:val="24"/>
                <w:lang w:eastAsia="sk-SK"/>
              </w:rPr>
              <w:t>Indikátor KLM</w:t>
            </w:r>
          </w:p>
        </w:tc>
        <w:tc>
          <w:tcPr>
            <w:tcW w:w="1134" w:type="dxa"/>
          </w:tcPr>
          <w:p w14:paraId="5EF37F71"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E6D00DF"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6C74E4A"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7136092"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6C79A2" w14:paraId="1BFF1857" w14:textId="77777777" w:rsidTr="009426BA">
        <w:trPr>
          <w:trHeight w:val="70"/>
        </w:trPr>
        <w:tc>
          <w:tcPr>
            <w:tcW w:w="4530" w:type="dxa"/>
          </w:tcPr>
          <w:p w14:paraId="6D195D67" w14:textId="77777777" w:rsidR="007D5748" w:rsidRPr="006C79A2"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6C79A2">
              <w:rPr>
                <w:rFonts w:ascii="Times New Roman" w:eastAsia="Times New Roman" w:hAnsi="Times New Roman" w:cs="Times New Roman"/>
                <w:color w:val="000000"/>
                <w:sz w:val="24"/>
                <w:szCs w:val="24"/>
                <w:lang w:eastAsia="sk-SK"/>
              </w:rPr>
              <w:t>Indikátor XYZ</w:t>
            </w:r>
          </w:p>
        </w:tc>
        <w:tc>
          <w:tcPr>
            <w:tcW w:w="1134" w:type="dxa"/>
          </w:tcPr>
          <w:p w14:paraId="01213B2C"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72E7B91C"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3EB554DE"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D85AB07" w14:textId="77777777" w:rsidR="007D5748" w:rsidRPr="006C79A2"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2455918E"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01BDC729"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688E29D0"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2.2.4. Výpočty vplyvov na verejné financie</w:t>
      </w:r>
    </w:p>
    <w:p w14:paraId="30E6FA11"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p w14:paraId="28141F11" w14:textId="6921F594" w:rsidR="007D5748" w:rsidRPr="006C79A2"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8DFA3BA" w14:textId="383FB949" w:rsidR="00393364" w:rsidRPr="006C79A2" w:rsidRDefault="00393364" w:rsidP="00E21A0C">
      <w:pPr>
        <w:jc w:val="both"/>
        <w:rPr>
          <w:rFonts w:ascii="Times New Roman" w:hAnsi="Times New Roman" w:cs="Times New Roman"/>
        </w:rPr>
      </w:pPr>
    </w:p>
    <w:tbl>
      <w:tblPr>
        <w:tblW w:w="8845" w:type="dxa"/>
        <w:tblCellMar>
          <w:left w:w="0" w:type="dxa"/>
          <w:right w:w="0" w:type="dxa"/>
        </w:tblCellMar>
        <w:tblLook w:val="04A0" w:firstRow="1" w:lastRow="0" w:firstColumn="1" w:lastColumn="0" w:noHBand="0" w:noVBand="1"/>
      </w:tblPr>
      <w:tblGrid>
        <w:gridCol w:w="5245"/>
        <w:gridCol w:w="1200"/>
        <w:gridCol w:w="1200"/>
        <w:gridCol w:w="1200"/>
      </w:tblGrid>
      <w:tr w:rsidR="00B1772D" w:rsidRPr="006C79A2" w14:paraId="3ACCC246" w14:textId="77777777" w:rsidTr="00E21A0C">
        <w:trPr>
          <w:trHeight w:val="315"/>
        </w:trPr>
        <w:tc>
          <w:tcPr>
            <w:tcW w:w="5245" w:type="dxa"/>
            <w:noWrap/>
            <w:tcMar>
              <w:top w:w="0" w:type="dxa"/>
              <w:left w:w="70" w:type="dxa"/>
              <w:bottom w:w="0" w:type="dxa"/>
              <w:right w:w="70" w:type="dxa"/>
            </w:tcMar>
            <w:vAlign w:val="bottom"/>
          </w:tcPr>
          <w:p w14:paraId="4393CD66" w14:textId="68CD97BC" w:rsidR="00393364" w:rsidRPr="006C79A2" w:rsidRDefault="00393364" w:rsidP="00393364">
            <w:pPr>
              <w:ind w:right="-1775"/>
              <w:rPr>
                <w:rFonts w:ascii="Times New Roman" w:hAnsi="Times New Roman" w:cs="Times New Roman"/>
                <w:b/>
                <w:bCs/>
                <w:color w:val="000000"/>
                <w:sz w:val="24"/>
                <w:szCs w:val="24"/>
                <w:lang w:eastAsia="sk-SK"/>
              </w:rPr>
            </w:pPr>
          </w:p>
          <w:p w14:paraId="627808F7" w14:textId="314F2038" w:rsidR="00B1772D" w:rsidRPr="006C79A2" w:rsidRDefault="00393364" w:rsidP="00393364">
            <w:pPr>
              <w:ind w:right="-1775"/>
              <w:rPr>
                <w:rFonts w:ascii="Times New Roman" w:hAnsi="Times New Roman" w:cs="Times New Roman"/>
                <w:b/>
                <w:bCs/>
                <w:color w:val="000000"/>
                <w:sz w:val="24"/>
                <w:szCs w:val="24"/>
                <w:lang w:eastAsia="sk-SK"/>
              </w:rPr>
            </w:pPr>
            <w:r w:rsidRPr="006C79A2">
              <w:rPr>
                <w:rFonts w:ascii="Times New Roman" w:hAnsi="Times New Roman" w:cs="Times New Roman"/>
                <w:b/>
                <w:bCs/>
                <w:color w:val="000000"/>
                <w:sz w:val="24"/>
                <w:szCs w:val="24"/>
                <w:lang w:eastAsia="sk-SK"/>
              </w:rPr>
              <w:t>Výpočet v rámci zmeny kategorizácie lesov</w:t>
            </w:r>
          </w:p>
        </w:tc>
        <w:tc>
          <w:tcPr>
            <w:tcW w:w="1200" w:type="dxa"/>
            <w:noWrap/>
            <w:tcMar>
              <w:top w:w="0" w:type="dxa"/>
              <w:left w:w="70" w:type="dxa"/>
              <w:bottom w:w="0" w:type="dxa"/>
              <w:right w:w="70" w:type="dxa"/>
            </w:tcMar>
            <w:vAlign w:val="center"/>
          </w:tcPr>
          <w:p w14:paraId="31FCE138" w14:textId="71032C2D" w:rsidR="00B1772D" w:rsidRPr="006C79A2" w:rsidRDefault="00B1772D">
            <w:pPr>
              <w:jc w:val="right"/>
              <w:rPr>
                <w:rFonts w:ascii="Times New Roman" w:hAnsi="Times New Roman" w:cs="Times New Roman"/>
                <w:color w:val="FF0000"/>
                <w:sz w:val="24"/>
                <w:szCs w:val="24"/>
                <w:lang w:eastAsia="sk-SK"/>
              </w:rPr>
            </w:pPr>
          </w:p>
        </w:tc>
        <w:tc>
          <w:tcPr>
            <w:tcW w:w="1200" w:type="dxa"/>
            <w:noWrap/>
            <w:tcMar>
              <w:top w:w="0" w:type="dxa"/>
              <w:left w:w="70" w:type="dxa"/>
              <w:bottom w:w="0" w:type="dxa"/>
              <w:right w:w="70" w:type="dxa"/>
            </w:tcMar>
            <w:vAlign w:val="center"/>
          </w:tcPr>
          <w:p w14:paraId="4D58F3FD" w14:textId="21C2A7AC" w:rsidR="00B1772D" w:rsidRPr="006C79A2" w:rsidRDefault="00B1772D">
            <w:pPr>
              <w:jc w:val="right"/>
              <w:rPr>
                <w:rFonts w:ascii="Times New Roman" w:hAnsi="Times New Roman" w:cs="Times New Roman"/>
                <w:color w:val="FF0000"/>
                <w:sz w:val="24"/>
                <w:szCs w:val="24"/>
                <w:lang w:eastAsia="sk-SK"/>
              </w:rPr>
            </w:pPr>
          </w:p>
        </w:tc>
        <w:tc>
          <w:tcPr>
            <w:tcW w:w="1200" w:type="dxa"/>
            <w:noWrap/>
            <w:tcMar>
              <w:top w:w="0" w:type="dxa"/>
              <w:left w:w="70" w:type="dxa"/>
              <w:bottom w:w="0" w:type="dxa"/>
              <w:right w:w="70" w:type="dxa"/>
            </w:tcMar>
            <w:vAlign w:val="center"/>
          </w:tcPr>
          <w:p w14:paraId="68951829" w14:textId="43A7258F" w:rsidR="00B1772D" w:rsidRPr="006C79A2" w:rsidRDefault="00B1772D">
            <w:pPr>
              <w:jc w:val="right"/>
              <w:rPr>
                <w:rFonts w:ascii="Times New Roman" w:hAnsi="Times New Roman" w:cs="Times New Roman"/>
                <w:color w:val="FF0000"/>
                <w:sz w:val="24"/>
                <w:szCs w:val="24"/>
                <w:lang w:eastAsia="sk-SK"/>
              </w:rPr>
            </w:pPr>
          </w:p>
        </w:tc>
      </w:tr>
      <w:tr w:rsidR="00B1772D" w:rsidRPr="006C79A2" w14:paraId="311E7187" w14:textId="77777777" w:rsidTr="00E21A0C">
        <w:trPr>
          <w:trHeight w:val="192"/>
        </w:trPr>
        <w:tc>
          <w:tcPr>
            <w:tcW w:w="5245" w:type="dxa"/>
            <w:noWrap/>
            <w:tcMar>
              <w:top w:w="0" w:type="dxa"/>
              <w:left w:w="70" w:type="dxa"/>
              <w:bottom w:w="0" w:type="dxa"/>
              <w:right w:w="70" w:type="dxa"/>
            </w:tcMar>
            <w:vAlign w:val="bottom"/>
          </w:tcPr>
          <w:p w14:paraId="510F716A" w14:textId="61AB932E" w:rsidR="00312533" w:rsidRPr="006C79A2" w:rsidRDefault="00312533">
            <w:pPr>
              <w:rPr>
                <w:rFonts w:ascii="Arial Narrow" w:hAnsi="Arial Narrow"/>
                <w:color w:val="000000"/>
                <w:sz w:val="24"/>
                <w:szCs w:val="24"/>
                <w:lang w:eastAsia="sk-SK"/>
              </w:rPr>
            </w:pPr>
          </w:p>
        </w:tc>
        <w:tc>
          <w:tcPr>
            <w:tcW w:w="1200" w:type="dxa"/>
            <w:noWrap/>
            <w:tcMar>
              <w:top w:w="0" w:type="dxa"/>
              <w:left w:w="70" w:type="dxa"/>
              <w:bottom w:w="0" w:type="dxa"/>
              <w:right w:w="70" w:type="dxa"/>
            </w:tcMar>
            <w:vAlign w:val="bottom"/>
          </w:tcPr>
          <w:p w14:paraId="587EC90C" w14:textId="2E177F26" w:rsidR="00B1772D" w:rsidRPr="006C79A2" w:rsidRDefault="00B1772D">
            <w:pPr>
              <w:jc w:val="right"/>
              <w:rPr>
                <w:rFonts w:ascii="Arial Narrow" w:hAnsi="Arial Narrow"/>
                <w:color w:val="000000"/>
                <w:sz w:val="24"/>
                <w:szCs w:val="24"/>
                <w:lang w:eastAsia="sk-SK"/>
              </w:rPr>
            </w:pPr>
          </w:p>
        </w:tc>
        <w:tc>
          <w:tcPr>
            <w:tcW w:w="1200" w:type="dxa"/>
            <w:noWrap/>
            <w:tcMar>
              <w:top w:w="0" w:type="dxa"/>
              <w:left w:w="70" w:type="dxa"/>
              <w:bottom w:w="0" w:type="dxa"/>
              <w:right w:w="70" w:type="dxa"/>
            </w:tcMar>
            <w:vAlign w:val="bottom"/>
          </w:tcPr>
          <w:p w14:paraId="12F3AD86" w14:textId="5675A61A" w:rsidR="00B1772D" w:rsidRPr="006C79A2" w:rsidRDefault="00B1772D">
            <w:pPr>
              <w:jc w:val="right"/>
              <w:rPr>
                <w:rFonts w:ascii="Arial Narrow" w:hAnsi="Arial Narrow"/>
                <w:color w:val="000000"/>
                <w:sz w:val="24"/>
                <w:szCs w:val="24"/>
                <w:lang w:eastAsia="sk-SK"/>
              </w:rPr>
            </w:pPr>
          </w:p>
        </w:tc>
        <w:tc>
          <w:tcPr>
            <w:tcW w:w="1200" w:type="dxa"/>
            <w:noWrap/>
            <w:tcMar>
              <w:top w:w="0" w:type="dxa"/>
              <w:left w:w="70" w:type="dxa"/>
              <w:bottom w:w="0" w:type="dxa"/>
              <w:right w:w="70" w:type="dxa"/>
            </w:tcMar>
            <w:vAlign w:val="bottom"/>
          </w:tcPr>
          <w:p w14:paraId="2954B131" w14:textId="7A72105A" w:rsidR="00B1772D" w:rsidRPr="006C79A2" w:rsidRDefault="00B1772D">
            <w:pPr>
              <w:jc w:val="right"/>
              <w:rPr>
                <w:rFonts w:ascii="Arial Narrow" w:hAnsi="Arial Narrow"/>
                <w:color w:val="000000"/>
                <w:sz w:val="24"/>
                <w:szCs w:val="24"/>
                <w:lang w:eastAsia="sk-SK"/>
              </w:rPr>
            </w:pPr>
          </w:p>
        </w:tc>
      </w:tr>
    </w:tbl>
    <w:tbl>
      <w:tblPr>
        <w:tblStyle w:val="Mriekatabuky"/>
        <w:tblW w:w="0" w:type="auto"/>
        <w:tblLook w:val="04A0" w:firstRow="1" w:lastRow="0" w:firstColumn="1" w:lastColumn="0" w:noHBand="0" w:noVBand="1"/>
      </w:tblPr>
      <w:tblGrid>
        <w:gridCol w:w="3681"/>
        <w:gridCol w:w="1984"/>
        <w:gridCol w:w="1843"/>
        <w:gridCol w:w="1554"/>
      </w:tblGrid>
      <w:tr w:rsidR="00393364" w:rsidRPr="006C79A2" w14:paraId="71506B7A" w14:textId="77777777" w:rsidTr="00E21A0C">
        <w:tc>
          <w:tcPr>
            <w:tcW w:w="3681" w:type="dxa"/>
            <w:shd w:val="clear" w:color="auto" w:fill="D6E3BC" w:themeFill="accent3" w:themeFillTint="66"/>
          </w:tcPr>
          <w:p w14:paraId="43946022" w14:textId="77777777" w:rsidR="00393364" w:rsidRPr="006C79A2" w:rsidRDefault="00393364" w:rsidP="00B344B0">
            <w:pPr>
              <w:jc w:val="center"/>
              <w:rPr>
                <w:rFonts w:ascii="Times New Roman" w:hAnsi="Times New Roman" w:cs="Times New Roman"/>
              </w:rPr>
            </w:pPr>
            <w:bookmarkStart w:id="1" w:name="_Hlk77584232"/>
            <w:r w:rsidRPr="006C79A2">
              <w:rPr>
                <w:rFonts w:ascii="Times New Roman" w:hAnsi="Times New Roman" w:cs="Times New Roman"/>
              </w:rPr>
              <w:t>Rok</w:t>
            </w:r>
          </w:p>
        </w:tc>
        <w:tc>
          <w:tcPr>
            <w:tcW w:w="1984" w:type="dxa"/>
            <w:shd w:val="clear" w:color="auto" w:fill="D6E3BC" w:themeFill="accent3" w:themeFillTint="66"/>
          </w:tcPr>
          <w:p w14:paraId="2E38C53B" w14:textId="77777777" w:rsidR="00393364" w:rsidRPr="006C79A2" w:rsidRDefault="00393364" w:rsidP="00B344B0">
            <w:pPr>
              <w:jc w:val="center"/>
              <w:rPr>
                <w:rFonts w:ascii="Times New Roman" w:hAnsi="Times New Roman" w:cs="Times New Roman"/>
              </w:rPr>
            </w:pPr>
            <w:r w:rsidRPr="006C79A2">
              <w:rPr>
                <w:rFonts w:ascii="Times New Roman" w:hAnsi="Times New Roman" w:cs="Times New Roman"/>
              </w:rPr>
              <w:t>2022</w:t>
            </w:r>
          </w:p>
        </w:tc>
        <w:tc>
          <w:tcPr>
            <w:tcW w:w="1843" w:type="dxa"/>
            <w:shd w:val="clear" w:color="auto" w:fill="D6E3BC" w:themeFill="accent3" w:themeFillTint="66"/>
          </w:tcPr>
          <w:p w14:paraId="52F329D8" w14:textId="77777777" w:rsidR="00393364" w:rsidRPr="006C79A2" w:rsidRDefault="00393364" w:rsidP="00B344B0">
            <w:pPr>
              <w:jc w:val="center"/>
              <w:rPr>
                <w:rFonts w:ascii="Times New Roman" w:hAnsi="Times New Roman" w:cs="Times New Roman"/>
              </w:rPr>
            </w:pPr>
            <w:r w:rsidRPr="006C79A2">
              <w:rPr>
                <w:rFonts w:ascii="Times New Roman" w:hAnsi="Times New Roman" w:cs="Times New Roman"/>
              </w:rPr>
              <w:t>2023</w:t>
            </w:r>
          </w:p>
        </w:tc>
        <w:tc>
          <w:tcPr>
            <w:tcW w:w="1554" w:type="dxa"/>
            <w:shd w:val="clear" w:color="auto" w:fill="D6E3BC" w:themeFill="accent3" w:themeFillTint="66"/>
          </w:tcPr>
          <w:p w14:paraId="55993343" w14:textId="77777777" w:rsidR="00393364" w:rsidRPr="006C79A2" w:rsidRDefault="00393364" w:rsidP="00B344B0">
            <w:pPr>
              <w:jc w:val="center"/>
              <w:rPr>
                <w:rFonts w:ascii="Times New Roman" w:hAnsi="Times New Roman" w:cs="Times New Roman"/>
              </w:rPr>
            </w:pPr>
            <w:r w:rsidRPr="006C79A2">
              <w:rPr>
                <w:rFonts w:ascii="Times New Roman" w:hAnsi="Times New Roman" w:cs="Times New Roman"/>
              </w:rPr>
              <w:t>2024</w:t>
            </w:r>
          </w:p>
        </w:tc>
      </w:tr>
      <w:tr w:rsidR="00393364" w:rsidRPr="006C79A2" w14:paraId="02FAA2B3" w14:textId="77777777" w:rsidTr="00E21A0C">
        <w:tc>
          <w:tcPr>
            <w:tcW w:w="3681" w:type="dxa"/>
            <w:shd w:val="clear" w:color="auto" w:fill="auto"/>
          </w:tcPr>
          <w:p w14:paraId="353814DE" w14:textId="086F2C5E" w:rsidR="00393364" w:rsidRPr="006C79A2" w:rsidRDefault="00393364" w:rsidP="00B344B0">
            <w:pPr>
              <w:rPr>
                <w:rFonts w:ascii="Times New Roman" w:hAnsi="Times New Roman" w:cs="Times New Roman"/>
              </w:rPr>
            </w:pPr>
            <w:r w:rsidRPr="006C79A2">
              <w:rPr>
                <w:rFonts w:ascii="Times New Roman" w:hAnsi="Times New Roman" w:cs="Times New Roman"/>
              </w:rPr>
              <w:t>Výdavky položka 640</w:t>
            </w:r>
          </w:p>
        </w:tc>
        <w:tc>
          <w:tcPr>
            <w:tcW w:w="1984" w:type="dxa"/>
            <w:shd w:val="clear" w:color="auto" w:fill="auto"/>
          </w:tcPr>
          <w:p w14:paraId="438551B4" w14:textId="36EFDBB1" w:rsidR="00393364" w:rsidRPr="006C79A2" w:rsidRDefault="00393364" w:rsidP="00B344B0">
            <w:pPr>
              <w:jc w:val="center"/>
              <w:rPr>
                <w:rFonts w:ascii="Times New Roman" w:hAnsi="Times New Roman" w:cs="Times New Roman"/>
              </w:rPr>
            </w:pPr>
            <w:r w:rsidRPr="006C79A2">
              <w:rPr>
                <w:rFonts w:ascii="Times New Roman" w:hAnsi="Times New Roman" w:cs="Times New Roman"/>
              </w:rPr>
              <w:t>1 000 000</w:t>
            </w:r>
          </w:p>
        </w:tc>
        <w:tc>
          <w:tcPr>
            <w:tcW w:w="1843" w:type="dxa"/>
            <w:shd w:val="clear" w:color="auto" w:fill="auto"/>
          </w:tcPr>
          <w:p w14:paraId="6C9C440C" w14:textId="70DE4B88" w:rsidR="00393364" w:rsidRPr="006C79A2" w:rsidRDefault="00393364" w:rsidP="00B344B0">
            <w:pPr>
              <w:jc w:val="center"/>
              <w:rPr>
                <w:rFonts w:ascii="Times New Roman" w:hAnsi="Times New Roman" w:cs="Times New Roman"/>
              </w:rPr>
            </w:pPr>
            <w:r w:rsidRPr="006C79A2">
              <w:rPr>
                <w:rFonts w:ascii="Times New Roman" w:hAnsi="Times New Roman" w:cs="Times New Roman"/>
              </w:rPr>
              <w:t>1 000 000</w:t>
            </w:r>
          </w:p>
        </w:tc>
        <w:tc>
          <w:tcPr>
            <w:tcW w:w="1554" w:type="dxa"/>
            <w:shd w:val="clear" w:color="auto" w:fill="auto"/>
          </w:tcPr>
          <w:p w14:paraId="41EB8283" w14:textId="19456DE8" w:rsidR="00393364" w:rsidRPr="006C79A2" w:rsidRDefault="00393364" w:rsidP="00B344B0">
            <w:pPr>
              <w:jc w:val="center"/>
              <w:rPr>
                <w:rFonts w:ascii="Times New Roman" w:hAnsi="Times New Roman" w:cs="Times New Roman"/>
              </w:rPr>
            </w:pPr>
            <w:r w:rsidRPr="006C79A2">
              <w:rPr>
                <w:rFonts w:ascii="Times New Roman" w:hAnsi="Times New Roman" w:cs="Times New Roman"/>
              </w:rPr>
              <w:t>1 000 000</w:t>
            </w:r>
          </w:p>
        </w:tc>
      </w:tr>
      <w:tr w:rsidR="00393364" w:rsidRPr="006C79A2" w14:paraId="3ABC44BD" w14:textId="77777777" w:rsidTr="00E21A0C">
        <w:tc>
          <w:tcPr>
            <w:tcW w:w="3681" w:type="dxa"/>
            <w:shd w:val="clear" w:color="auto" w:fill="EAF1DD" w:themeFill="accent3" w:themeFillTint="33"/>
          </w:tcPr>
          <w:p w14:paraId="561EA79F" w14:textId="617A3350" w:rsidR="00393364" w:rsidRPr="006C79A2" w:rsidRDefault="00393364" w:rsidP="00B344B0">
            <w:pPr>
              <w:rPr>
                <w:rFonts w:ascii="Times New Roman" w:hAnsi="Times New Roman" w:cs="Times New Roman"/>
              </w:rPr>
            </w:pPr>
            <w:r w:rsidRPr="006C79A2">
              <w:rPr>
                <w:rFonts w:ascii="Times New Roman" w:hAnsi="Times New Roman" w:cs="Times New Roman"/>
              </w:rPr>
              <w:t>Rozdiel na položke 640 zapracovaný do doložky vplyvov na rozpočet verejnej správy</w:t>
            </w:r>
          </w:p>
        </w:tc>
        <w:tc>
          <w:tcPr>
            <w:tcW w:w="1984" w:type="dxa"/>
            <w:shd w:val="clear" w:color="auto" w:fill="EAF1DD" w:themeFill="accent3" w:themeFillTint="33"/>
          </w:tcPr>
          <w:p w14:paraId="711168EF" w14:textId="77777777" w:rsidR="00393364" w:rsidRPr="006C79A2" w:rsidRDefault="00393364" w:rsidP="00B344B0">
            <w:pPr>
              <w:jc w:val="center"/>
              <w:rPr>
                <w:rFonts w:ascii="Times New Roman" w:hAnsi="Times New Roman" w:cs="Times New Roman"/>
              </w:rPr>
            </w:pPr>
          </w:p>
          <w:p w14:paraId="43F3816D" w14:textId="415F3359" w:rsidR="00393364" w:rsidRPr="006C79A2" w:rsidRDefault="00393364" w:rsidP="00B344B0">
            <w:pPr>
              <w:jc w:val="center"/>
              <w:rPr>
                <w:rFonts w:ascii="Times New Roman" w:hAnsi="Times New Roman" w:cs="Times New Roman"/>
              </w:rPr>
            </w:pPr>
            <w:r w:rsidRPr="006C79A2">
              <w:rPr>
                <w:rFonts w:ascii="Times New Roman" w:hAnsi="Times New Roman" w:cs="Times New Roman"/>
              </w:rPr>
              <w:t>1 000 000</w:t>
            </w:r>
          </w:p>
        </w:tc>
        <w:tc>
          <w:tcPr>
            <w:tcW w:w="1843" w:type="dxa"/>
            <w:shd w:val="clear" w:color="auto" w:fill="EAF1DD" w:themeFill="accent3" w:themeFillTint="33"/>
          </w:tcPr>
          <w:p w14:paraId="6FB8FBF3" w14:textId="77777777" w:rsidR="00393364" w:rsidRPr="006C79A2" w:rsidRDefault="00393364" w:rsidP="00B344B0">
            <w:pPr>
              <w:jc w:val="center"/>
              <w:rPr>
                <w:rFonts w:ascii="Times New Roman" w:hAnsi="Times New Roman" w:cs="Times New Roman"/>
              </w:rPr>
            </w:pPr>
          </w:p>
          <w:p w14:paraId="26A692D0" w14:textId="5D99C4E6" w:rsidR="00393364" w:rsidRPr="006C79A2" w:rsidRDefault="00393364" w:rsidP="00B344B0">
            <w:pPr>
              <w:jc w:val="center"/>
              <w:rPr>
                <w:rFonts w:ascii="Times New Roman" w:hAnsi="Times New Roman" w:cs="Times New Roman"/>
              </w:rPr>
            </w:pPr>
            <w:r w:rsidRPr="006C79A2">
              <w:rPr>
                <w:rFonts w:ascii="Times New Roman" w:hAnsi="Times New Roman" w:cs="Times New Roman"/>
              </w:rPr>
              <w:t>1 000 000</w:t>
            </w:r>
          </w:p>
        </w:tc>
        <w:tc>
          <w:tcPr>
            <w:tcW w:w="1554" w:type="dxa"/>
            <w:shd w:val="clear" w:color="auto" w:fill="EAF1DD" w:themeFill="accent3" w:themeFillTint="33"/>
          </w:tcPr>
          <w:p w14:paraId="5F5B0104" w14:textId="77777777" w:rsidR="00393364" w:rsidRPr="006C79A2" w:rsidRDefault="00393364" w:rsidP="00B344B0">
            <w:pPr>
              <w:jc w:val="center"/>
              <w:rPr>
                <w:rFonts w:ascii="Times New Roman" w:hAnsi="Times New Roman" w:cs="Times New Roman"/>
              </w:rPr>
            </w:pPr>
          </w:p>
          <w:p w14:paraId="4142CCEC" w14:textId="0B0FE598" w:rsidR="00393364" w:rsidRPr="006C79A2" w:rsidRDefault="00393364" w:rsidP="00B344B0">
            <w:pPr>
              <w:jc w:val="center"/>
              <w:rPr>
                <w:rFonts w:ascii="Times New Roman" w:hAnsi="Times New Roman" w:cs="Times New Roman"/>
              </w:rPr>
            </w:pPr>
            <w:r w:rsidRPr="006C79A2">
              <w:rPr>
                <w:rFonts w:ascii="Times New Roman" w:hAnsi="Times New Roman" w:cs="Times New Roman"/>
              </w:rPr>
              <w:t>1 000 000</w:t>
            </w:r>
          </w:p>
        </w:tc>
      </w:tr>
      <w:bookmarkEnd w:id="1"/>
    </w:tbl>
    <w:tbl>
      <w:tblPr>
        <w:tblW w:w="6720" w:type="dxa"/>
        <w:tblCellMar>
          <w:left w:w="0" w:type="dxa"/>
          <w:right w:w="0" w:type="dxa"/>
        </w:tblCellMar>
        <w:tblLook w:val="04A0" w:firstRow="1" w:lastRow="0" w:firstColumn="1" w:lastColumn="0" w:noHBand="0" w:noVBand="1"/>
      </w:tblPr>
      <w:tblGrid>
        <w:gridCol w:w="1560"/>
        <w:gridCol w:w="1560"/>
        <w:gridCol w:w="1200"/>
        <w:gridCol w:w="1200"/>
        <w:gridCol w:w="1200"/>
      </w:tblGrid>
      <w:tr w:rsidR="00B1772D" w:rsidRPr="006C79A2" w14:paraId="1D55AB75" w14:textId="77777777" w:rsidTr="00C64C89">
        <w:trPr>
          <w:trHeight w:val="315"/>
        </w:trPr>
        <w:tc>
          <w:tcPr>
            <w:tcW w:w="1560" w:type="dxa"/>
            <w:noWrap/>
            <w:tcMar>
              <w:top w:w="0" w:type="dxa"/>
              <w:left w:w="70" w:type="dxa"/>
              <w:bottom w:w="0" w:type="dxa"/>
              <w:right w:w="70" w:type="dxa"/>
            </w:tcMar>
            <w:vAlign w:val="bottom"/>
          </w:tcPr>
          <w:p w14:paraId="77F621E1" w14:textId="77777777" w:rsidR="00B1772D" w:rsidRPr="006C79A2" w:rsidRDefault="00B1772D">
            <w:pPr>
              <w:rPr>
                <w:rFonts w:ascii="Arial Narrow" w:hAnsi="Arial Narrow"/>
                <w:color w:val="000000"/>
                <w:sz w:val="24"/>
                <w:szCs w:val="24"/>
                <w:lang w:eastAsia="sk-SK"/>
              </w:rPr>
            </w:pPr>
          </w:p>
        </w:tc>
        <w:tc>
          <w:tcPr>
            <w:tcW w:w="1560" w:type="dxa"/>
            <w:noWrap/>
            <w:tcMar>
              <w:top w:w="0" w:type="dxa"/>
              <w:left w:w="70" w:type="dxa"/>
              <w:bottom w:w="0" w:type="dxa"/>
              <w:right w:w="70" w:type="dxa"/>
            </w:tcMar>
            <w:vAlign w:val="bottom"/>
          </w:tcPr>
          <w:p w14:paraId="387EACC6" w14:textId="77777777" w:rsidR="00B1772D" w:rsidRPr="006C79A2" w:rsidRDefault="00B1772D">
            <w:pPr>
              <w:rPr>
                <w:rFonts w:ascii="Times New Roman" w:eastAsia="Times New Roman" w:hAnsi="Times New Roman" w:cs="Times New Roman"/>
                <w:sz w:val="20"/>
                <w:szCs w:val="20"/>
                <w:lang w:eastAsia="sk-SK"/>
              </w:rPr>
            </w:pPr>
          </w:p>
        </w:tc>
        <w:tc>
          <w:tcPr>
            <w:tcW w:w="1200" w:type="dxa"/>
            <w:noWrap/>
            <w:tcMar>
              <w:top w:w="0" w:type="dxa"/>
              <w:left w:w="70" w:type="dxa"/>
              <w:bottom w:w="0" w:type="dxa"/>
              <w:right w:w="70" w:type="dxa"/>
            </w:tcMar>
            <w:vAlign w:val="bottom"/>
          </w:tcPr>
          <w:p w14:paraId="6EB70177" w14:textId="77777777" w:rsidR="00B1772D" w:rsidRPr="006C79A2" w:rsidRDefault="00B1772D">
            <w:pPr>
              <w:rPr>
                <w:rFonts w:ascii="Times New Roman" w:eastAsia="Times New Roman" w:hAnsi="Times New Roman" w:cs="Times New Roman"/>
                <w:sz w:val="20"/>
                <w:szCs w:val="20"/>
                <w:lang w:eastAsia="sk-SK"/>
              </w:rPr>
            </w:pPr>
          </w:p>
        </w:tc>
        <w:tc>
          <w:tcPr>
            <w:tcW w:w="1200" w:type="dxa"/>
            <w:noWrap/>
            <w:tcMar>
              <w:top w:w="0" w:type="dxa"/>
              <w:left w:w="70" w:type="dxa"/>
              <w:bottom w:w="0" w:type="dxa"/>
              <w:right w:w="70" w:type="dxa"/>
            </w:tcMar>
            <w:vAlign w:val="bottom"/>
          </w:tcPr>
          <w:p w14:paraId="7DC034C1" w14:textId="77777777" w:rsidR="00B1772D" w:rsidRPr="006C79A2" w:rsidRDefault="00B1772D">
            <w:pPr>
              <w:rPr>
                <w:rFonts w:ascii="Times New Roman" w:eastAsia="Times New Roman" w:hAnsi="Times New Roman" w:cs="Times New Roman"/>
                <w:sz w:val="20"/>
                <w:szCs w:val="20"/>
                <w:lang w:eastAsia="sk-SK"/>
              </w:rPr>
            </w:pPr>
          </w:p>
        </w:tc>
        <w:tc>
          <w:tcPr>
            <w:tcW w:w="1200" w:type="dxa"/>
            <w:noWrap/>
            <w:tcMar>
              <w:top w:w="0" w:type="dxa"/>
              <w:left w:w="70" w:type="dxa"/>
              <w:bottom w:w="0" w:type="dxa"/>
              <w:right w:w="70" w:type="dxa"/>
            </w:tcMar>
            <w:vAlign w:val="bottom"/>
          </w:tcPr>
          <w:p w14:paraId="51B4BA23" w14:textId="77777777" w:rsidR="00B1772D" w:rsidRPr="006C79A2" w:rsidRDefault="00B1772D">
            <w:pPr>
              <w:rPr>
                <w:rFonts w:ascii="Times New Roman" w:eastAsia="Times New Roman" w:hAnsi="Times New Roman" w:cs="Times New Roman"/>
                <w:sz w:val="20"/>
                <w:szCs w:val="20"/>
                <w:lang w:eastAsia="sk-SK"/>
              </w:rPr>
            </w:pPr>
          </w:p>
        </w:tc>
      </w:tr>
      <w:tr w:rsidR="00B1772D" w:rsidRPr="006C79A2" w14:paraId="3C80AF3C" w14:textId="77777777" w:rsidTr="00C64C89">
        <w:trPr>
          <w:trHeight w:val="315"/>
        </w:trPr>
        <w:tc>
          <w:tcPr>
            <w:tcW w:w="3120" w:type="dxa"/>
            <w:gridSpan w:val="2"/>
            <w:noWrap/>
            <w:tcMar>
              <w:top w:w="0" w:type="dxa"/>
              <w:left w:w="70" w:type="dxa"/>
              <w:bottom w:w="0" w:type="dxa"/>
              <w:right w:w="70" w:type="dxa"/>
            </w:tcMar>
            <w:vAlign w:val="bottom"/>
          </w:tcPr>
          <w:p w14:paraId="7A9F59B4" w14:textId="3ACDC026" w:rsidR="00B1772D" w:rsidRPr="006C79A2" w:rsidRDefault="00B1772D">
            <w:pPr>
              <w:rPr>
                <w:rFonts w:ascii="Arial Narrow" w:hAnsi="Arial Narrow" w:cs="Calibri"/>
                <w:color w:val="000000"/>
                <w:sz w:val="24"/>
                <w:szCs w:val="24"/>
                <w:lang w:eastAsia="sk-SK"/>
              </w:rPr>
            </w:pPr>
          </w:p>
        </w:tc>
        <w:tc>
          <w:tcPr>
            <w:tcW w:w="1200" w:type="dxa"/>
            <w:noWrap/>
            <w:tcMar>
              <w:top w:w="0" w:type="dxa"/>
              <w:left w:w="70" w:type="dxa"/>
              <w:bottom w:w="0" w:type="dxa"/>
              <w:right w:w="70" w:type="dxa"/>
            </w:tcMar>
            <w:vAlign w:val="bottom"/>
          </w:tcPr>
          <w:p w14:paraId="4E41430E" w14:textId="5E38C362" w:rsidR="00B1772D" w:rsidRPr="006C79A2" w:rsidRDefault="00B1772D">
            <w:pPr>
              <w:jc w:val="right"/>
              <w:rPr>
                <w:rFonts w:ascii="Arial Narrow" w:hAnsi="Arial Narrow"/>
                <w:b/>
                <w:bCs/>
                <w:color w:val="000000"/>
                <w:sz w:val="24"/>
                <w:szCs w:val="24"/>
                <w:lang w:eastAsia="sk-SK"/>
              </w:rPr>
            </w:pPr>
          </w:p>
        </w:tc>
        <w:tc>
          <w:tcPr>
            <w:tcW w:w="1200" w:type="dxa"/>
            <w:noWrap/>
            <w:tcMar>
              <w:top w:w="0" w:type="dxa"/>
              <w:left w:w="70" w:type="dxa"/>
              <w:bottom w:w="0" w:type="dxa"/>
              <w:right w:w="70" w:type="dxa"/>
            </w:tcMar>
            <w:vAlign w:val="bottom"/>
          </w:tcPr>
          <w:p w14:paraId="38B642E2" w14:textId="33091F57" w:rsidR="00B1772D" w:rsidRPr="006C79A2" w:rsidRDefault="00B1772D">
            <w:pPr>
              <w:jc w:val="right"/>
              <w:rPr>
                <w:rFonts w:ascii="Arial Narrow" w:hAnsi="Arial Narrow"/>
                <w:b/>
                <w:bCs/>
                <w:color w:val="000000"/>
                <w:sz w:val="24"/>
                <w:szCs w:val="24"/>
                <w:lang w:eastAsia="sk-SK"/>
              </w:rPr>
            </w:pPr>
          </w:p>
        </w:tc>
        <w:tc>
          <w:tcPr>
            <w:tcW w:w="1200" w:type="dxa"/>
            <w:noWrap/>
            <w:tcMar>
              <w:top w:w="0" w:type="dxa"/>
              <w:left w:w="70" w:type="dxa"/>
              <w:bottom w:w="0" w:type="dxa"/>
              <w:right w:w="70" w:type="dxa"/>
            </w:tcMar>
            <w:vAlign w:val="bottom"/>
          </w:tcPr>
          <w:p w14:paraId="4330A6ED" w14:textId="1D37C2ED" w:rsidR="00B1772D" w:rsidRPr="006C79A2" w:rsidRDefault="00B1772D">
            <w:pPr>
              <w:jc w:val="right"/>
              <w:rPr>
                <w:rFonts w:ascii="Arial Narrow" w:hAnsi="Arial Narrow"/>
                <w:b/>
                <w:bCs/>
                <w:color w:val="000000"/>
                <w:sz w:val="24"/>
                <w:szCs w:val="24"/>
                <w:lang w:eastAsia="sk-SK"/>
              </w:rPr>
            </w:pPr>
          </w:p>
        </w:tc>
      </w:tr>
      <w:tr w:rsidR="00B1772D" w:rsidRPr="006C79A2" w14:paraId="1D72E214" w14:textId="77777777" w:rsidTr="00C64C89">
        <w:trPr>
          <w:trHeight w:val="315"/>
        </w:trPr>
        <w:tc>
          <w:tcPr>
            <w:tcW w:w="3120" w:type="dxa"/>
            <w:gridSpan w:val="2"/>
            <w:noWrap/>
            <w:tcMar>
              <w:top w:w="0" w:type="dxa"/>
              <w:left w:w="70" w:type="dxa"/>
              <w:bottom w:w="0" w:type="dxa"/>
              <w:right w:w="70" w:type="dxa"/>
            </w:tcMar>
            <w:vAlign w:val="bottom"/>
          </w:tcPr>
          <w:p w14:paraId="2FCF622C" w14:textId="2F67DFE4" w:rsidR="00B1772D" w:rsidRPr="006C79A2" w:rsidRDefault="00B1772D">
            <w:pPr>
              <w:rPr>
                <w:rFonts w:ascii="Arial Narrow" w:hAnsi="Arial Narrow"/>
                <w:color w:val="FF0000"/>
                <w:sz w:val="24"/>
                <w:szCs w:val="24"/>
                <w:lang w:eastAsia="sk-SK"/>
              </w:rPr>
            </w:pPr>
          </w:p>
        </w:tc>
        <w:tc>
          <w:tcPr>
            <w:tcW w:w="1200" w:type="dxa"/>
            <w:noWrap/>
            <w:tcMar>
              <w:top w:w="0" w:type="dxa"/>
              <w:left w:w="70" w:type="dxa"/>
              <w:bottom w:w="0" w:type="dxa"/>
              <w:right w:w="70" w:type="dxa"/>
            </w:tcMar>
            <w:vAlign w:val="bottom"/>
          </w:tcPr>
          <w:p w14:paraId="41F5EF80" w14:textId="733E12E5" w:rsidR="00B1772D" w:rsidRPr="006C79A2" w:rsidRDefault="00B1772D">
            <w:pPr>
              <w:jc w:val="right"/>
              <w:rPr>
                <w:rFonts w:ascii="Arial Narrow" w:hAnsi="Arial Narrow"/>
                <w:color w:val="FF0000"/>
                <w:sz w:val="24"/>
                <w:szCs w:val="24"/>
                <w:lang w:eastAsia="sk-SK"/>
              </w:rPr>
            </w:pPr>
          </w:p>
        </w:tc>
        <w:tc>
          <w:tcPr>
            <w:tcW w:w="1200" w:type="dxa"/>
            <w:noWrap/>
            <w:tcMar>
              <w:top w:w="0" w:type="dxa"/>
              <w:left w:w="70" w:type="dxa"/>
              <w:bottom w:w="0" w:type="dxa"/>
              <w:right w:w="70" w:type="dxa"/>
            </w:tcMar>
            <w:vAlign w:val="bottom"/>
          </w:tcPr>
          <w:p w14:paraId="12F1E036" w14:textId="7C12AB2F" w:rsidR="00B1772D" w:rsidRPr="006C79A2" w:rsidRDefault="00B1772D">
            <w:pPr>
              <w:jc w:val="right"/>
              <w:rPr>
                <w:rFonts w:ascii="Arial Narrow" w:hAnsi="Arial Narrow"/>
                <w:color w:val="FF0000"/>
                <w:sz w:val="24"/>
                <w:szCs w:val="24"/>
                <w:lang w:eastAsia="sk-SK"/>
              </w:rPr>
            </w:pPr>
          </w:p>
        </w:tc>
        <w:tc>
          <w:tcPr>
            <w:tcW w:w="1200" w:type="dxa"/>
            <w:noWrap/>
            <w:tcMar>
              <w:top w:w="0" w:type="dxa"/>
              <w:left w:w="70" w:type="dxa"/>
              <w:bottom w:w="0" w:type="dxa"/>
              <w:right w:w="70" w:type="dxa"/>
            </w:tcMar>
            <w:vAlign w:val="bottom"/>
          </w:tcPr>
          <w:p w14:paraId="643341DF" w14:textId="584221AC" w:rsidR="00B1772D" w:rsidRPr="006C79A2" w:rsidRDefault="00B1772D">
            <w:pPr>
              <w:jc w:val="right"/>
              <w:rPr>
                <w:rFonts w:ascii="Arial Narrow" w:hAnsi="Arial Narrow"/>
                <w:color w:val="FF0000"/>
                <w:sz w:val="24"/>
                <w:szCs w:val="24"/>
                <w:lang w:eastAsia="sk-SK"/>
              </w:rPr>
            </w:pPr>
          </w:p>
        </w:tc>
      </w:tr>
      <w:tr w:rsidR="00B1772D" w:rsidRPr="006C79A2" w14:paraId="630C76FF" w14:textId="77777777" w:rsidTr="00B1772D">
        <w:tc>
          <w:tcPr>
            <w:tcW w:w="1560" w:type="dxa"/>
            <w:vAlign w:val="center"/>
            <w:hideMark/>
          </w:tcPr>
          <w:p w14:paraId="5B57D97A" w14:textId="77777777" w:rsidR="00B1772D" w:rsidRPr="006C79A2" w:rsidRDefault="00B1772D">
            <w:pPr>
              <w:rPr>
                <w:rFonts w:ascii="Arial Narrow" w:hAnsi="Arial Narrow"/>
                <w:color w:val="FF0000"/>
                <w:sz w:val="24"/>
                <w:szCs w:val="24"/>
                <w:lang w:eastAsia="sk-SK"/>
              </w:rPr>
            </w:pPr>
          </w:p>
        </w:tc>
        <w:tc>
          <w:tcPr>
            <w:tcW w:w="1560" w:type="dxa"/>
            <w:vAlign w:val="center"/>
            <w:hideMark/>
          </w:tcPr>
          <w:p w14:paraId="543F10B5" w14:textId="77777777" w:rsidR="00B1772D" w:rsidRPr="006C79A2" w:rsidRDefault="00B1772D">
            <w:pPr>
              <w:rPr>
                <w:rFonts w:ascii="Times New Roman" w:eastAsia="Times New Roman" w:hAnsi="Times New Roman" w:cs="Times New Roman"/>
                <w:sz w:val="20"/>
                <w:szCs w:val="20"/>
                <w:lang w:eastAsia="sk-SK"/>
              </w:rPr>
            </w:pPr>
          </w:p>
        </w:tc>
        <w:tc>
          <w:tcPr>
            <w:tcW w:w="1200" w:type="dxa"/>
            <w:vAlign w:val="center"/>
            <w:hideMark/>
          </w:tcPr>
          <w:p w14:paraId="1270E578" w14:textId="77777777" w:rsidR="00B1772D" w:rsidRPr="006C79A2" w:rsidRDefault="00B1772D">
            <w:pPr>
              <w:rPr>
                <w:rFonts w:ascii="Times New Roman" w:eastAsia="Times New Roman" w:hAnsi="Times New Roman" w:cs="Times New Roman"/>
                <w:sz w:val="20"/>
                <w:szCs w:val="20"/>
                <w:lang w:eastAsia="sk-SK"/>
              </w:rPr>
            </w:pPr>
          </w:p>
        </w:tc>
        <w:tc>
          <w:tcPr>
            <w:tcW w:w="1200" w:type="dxa"/>
            <w:vAlign w:val="center"/>
            <w:hideMark/>
          </w:tcPr>
          <w:p w14:paraId="101FEDC9" w14:textId="77777777" w:rsidR="00B1772D" w:rsidRPr="006C79A2" w:rsidRDefault="00B1772D">
            <w:pPr>
              <w:rPr>
                <w:rFonts w:ascii="Times New Roman" w:eastAsia="Times New Roman" w:hAnsi="Times New Roman" w:cs="Times New Roman"/>
                <w:sz w:val="20"/>
                <w:szCs w:val="20"/>
                <w:lang w:eastAsia="sk-SK"/>
              </w:rPr>
            </w:pPr>
          </w:p>
        </w:tc>
        <w:tc>
          <w:tcPr>
            <w:tcW w:w="1200" w:type="dxa"/>
            <w:vAlign w:val="center"/>
            <w:hideMark/>
          </w:tcPr>
          <w:p w14:paraId="33F1EC8C" w14:textId="77777777" w:rsidR="00B1772D" w:rsidRPr="006C79A2" w:rsidRDefault="00B1772D">
            <w:pPr>
              <w:rPr>
                <w:rFonts w:ascii="Times New Roman" w:eastAsia="Times New Roman" w:hAnsi="Times New Roman" w:cs="Times New Roman"/>
                <w:sz w:val="20"/>
                <w:szCs w:val="20"/>
                <w:lang w:eastAsia="sk-SK"/>
              </w:rPr>
            </w:pPr>
          </w:p>
        </w:tc>
      </w:tr>
    </w:tbl>
    <w:p w14:paraId="703E010E" w14:textId="77777777" w:rsidR="00B1772D" w:rsidRPr="006C79A2" w:rsidRDefault="00B1772D" w:rsidP="00B1772D">
      <w:pPr>
        <w:rPr>
          <w:rFonts w:ascii="Calibri" w:hAnsi="Calibri" w:cs="Calibri"/>
          <w:color w:val="FF0000"/>
        </w:rPr>
      </w:pPr>
    </w:p>
    <w:p w14:paraId="15BB6FEC" w14:textId="77777777" w:rsidR="00B1772D" w:rsidRPr="006C79A2" w:rsidRDefault="00B1772D" w:rsidP="00B1772D"/>
    <w:p w14:paraId="720CECA0" w14:textId="77777777" w:rsidR="000B02FC" w:rsidRPr="006C79A2" w:rsidRDefault="000B02FC" w:rsidP="007D5748">
      <w:pPr>
        <w:spacing w:after="0" w:line="240" w:lineRule="auto"/>
        <w:ind w:firstLine="708"/>
        <w:jc w:val="both"/>
        <w:rPr>
          <w:rFonts w:ascii="Times New Roman" w:eastAsia="Times New Roman" w:hAnsi="Times New Roman" w:cs="Times New Roman"/>
          <w:sz w:val="24"/>
          <w:szCs w:val="24"/>
          <w:lang w:eastAsia="sk-SK"/>
        </w:rPr>
      </w:pPr>
    </w:p>
    <w:p w14:paraId="26F88E31" w14:textId="77777777" w:rsidR="007D5748" w:rsidRPr="006C79A2" w:rsidRDefault="007D5748" w:rsidP="007D5748">
      <w:pPr>
        <w:spacing w:after="0" w:line="240" w:lineRule="auto"/>
        <w:jc w:val="both"/>
        <w:rPr>
          <w:rFonts w:ascii="Times New Roman" w:eastAsia="Times New Roman" w:hAnsi="Times New Roman" w:cs="Times New Roman"/>
          <w:sz w:val="24"/>
          <w:szCs w:val="24"/>
          <w:lang w:eastAsia="sk-SK"/>
        </w:rPr>
      </w:pPr>
    </w:p>
    <w:p w14:paraId="2873BE6D"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14:paraId="7B5D2027"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EA78017"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3AE9B903"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6C79A2" w:rsidSect="009426B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14:paraId="336B8CF2" w14:textId="77777777" w:rsidR="007D5748" w:rsidRPr="006C79A2"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6C79A2">
        <w:rPr>
          <w:rFonts w:ascii="Times New Roman" w:eastAsia="Times New Roman" w:hAnsi="Times New Roman" w:cs="Times New Roman"/>
          <w:bCs/>
          <w:sz w:val="24"/>
          <w:szCs w:val="24"/>
          <w:lang w:eastAsia="sk-SK"/>
        </w:rPr>
        <w:lastRenderedPageBreak/>
        <w:t xml:space="preserve">Tabuľka č. 3 </w:t>
      </w:r>
    </w:p>
    <w:p w14:paraId="400AE61F"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6C79A2" w14:paraId="3BCD5189" w14:textId="77777777" w:rsidTr="009426B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2B14AA"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8C4C30D"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F7BCF52"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poznámka</w:t>
            </w:r>
          </w:p>
        </w:tc>
      </w:tr>
      <w:tr w:rsidR="004C6780" w:rsidRPr="006C79A2" w14:paraId="372072BC" w14:textId="77777777" w:rsidTr="004C678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EBDB8F4" w14:textId="77777777" w:rsidR="004C6780" w:rsidRPr="006C79A2" w:rsidRDefault="004C6780" w:rsidP="004C6780">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5F6D4DB8" w14:textId="2047B32F" w:rsidR="004C6780" w:rsidRPr="006C79A2" w:rsidRDefault="004C6780" w:rsidP="00F16BCB">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w:t>
            </w:r>
            <w:r w:rsidR="00F16BCB" w:rsidRPr="006C79A2">
              <w:rPr>
                <w:rFonts w:ascii="Times New Roman" w:eastAsia="Times New Roman" w:hAnsi="Times New Roman" w:cs="Times New Roman"/>
                <w:b/>
                <w:bCs/>
                <w:sz w:val="24"/>
                <w:szCs w:val="24"/>
                <w:lang w:eastAsia="sk-SK"/>
              </w:rPr>
              <w:t>2</w:t>
            </w:r>
            <w:r w:rsidR="00FD61F0" w:rsidRPr="006C79A2">
              <w:rPr>
                <w:rFonts w:ascii="Times New Roman" w:eastAsia="Times New Roman" w:hAnsi="Times New Roman" w:cs="Times New Roman"/>
                <w:b/>
                <w:bCs/>
                <w:sz w:val="24"/>
                <w:szCs w:val="24"/>
                <w:lang w:eastAsia="sk-SK"/>
              </w:rPr>
              <w:t>1</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F4B66F4" w14:textId="79B1D309" w:rsidR="004C6780" w:rsidRPr="006C79A2" w:rsidRDefault="004C6780"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w:t>
            </w:r>
            <w:r w:rsidR="00F16BCB" w:rsidRPr="006C79A2">
              <w:rPr>
                <w:rFonts w:ascii="Times New Roman" w:eastAsia="Times New Roman" w:hAnsi="Times New Roman" w:cs="Times New Roman"/>
                <w:b/>
                <w:bCs/>
                <w:sz w:val="24"/>
                <w:szCs w:val="24"/>
                <w:lang w:eastAsia="sk-SK"/>
              </w:rPr>
              <w:t>02</w:t>
            </w:r>
            <w:r w:rsidR="00FD61F0" w:rsidRPr="006C79A2">
              <w:rPr>
                <w:rFonts w:ascii="Times New Roman" w:eastAsia="Times New Roman" w:hAnsi="Times New Roman" w:cs="Times New Roman"/>
                <w:b/>
                <w:bCs/>
                <w:sz w:val="24"/>
                <w:szCs w:val="24"/>
                <w:lang w:eastAsia="sk-SK"/>
              </w:rPr>
              <w:t>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AB99A0D" w14:textId="35F9EC9E" w:rsidR="004C6780" w:rsidRPr="006C79A2" w:rsidRDefault="00F16BCB"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0D579E7F" w14:textId="4FF7360D" w:rsidR="004C6780" w:rsidRPr="006C79A2" w:rsidRDefault="00F16BCB"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4</w:t>
            </w:r>
          </w:p>
        </w:tc>
        <w:tc>
          <w:tcPr>
            <w:tcW w:w="3000" w:type="dxa"/>
            <w:vMerge/>
            <w:tcBorders>
              <w:top w:val="single" w:sz="4" w:space="0" w:color="auto"/>
              <w:left w:val="single" w:sz="4" w:space="0" w:color="auto"/>
              <w:bottom w:val="single" w:sz="4" w:space="0" w:color="auto"/>
              <w:right w:val="single" w:sz="4" w:space="0" w:color="auto"/>
            </w:tcBorders>
            <w:vAlign w:val="center"/>
          </w:tcPr>
          <w:p w14:paraId="75682355" w14:textId="77777777" w:rsidR="004C6780" w:rsidRPr="006C79A2" w:rsidRDefault="004C6780" w:rsidP="004C6780">
            <w:pPr>
              <w:spacing w:after="0" w:line="240" w:lineRule="auto"/>
              <w:rPr>
                <w:rFonts w:ascii="Times New Roman" w:eastAsia="Times New Roman" w:hAnsi="Times New Roman" w:cs="Times New Roman"/>
                <w:b/>
                <w:bCs/>
                <w:color w:val="FFFFFF"/>
                <w:sz w:val="24"/>
                <w:szCs w:val="24"/>
                <w:lang w:eastAsia="sk-SK"/>
              </w:rPr>
            </w:pPr>
          </w:p>
        </w:tc>
      </w:tr>
      <w:tr w:rsidR="007D5748" w:rsidRPr="006C79A2" w14:paraId="7EE6C5AA" w14:textId="77777777" w:rsidTr="009426BA">
        <w:trPr>
          <w:trHeight w:val="255"/>
        </w:trPr>
        <w:tc>
          <w:tcPr>
            <w:tcW w:w="4950" w:type="dxa"/>
            <w:tcBorders>
              <w:top w:val="nil"/>
              <w:left w:val="single" w:sz="4" w:space="0" w:color="auto"/>
              <w:bottom w:val="single" w:sz="4" w:space="0" w:color="auto"/>
              <w:right w:val="single" w:sz="4" w:space="0" w:color="auto"/>
            </w:tcBorders>
          </w:tcPr>
          <w:p w14:paraId="72DE5DB3" w14:textId="77777777" w:rsidR="007D5748" w:rsidRPr="006C79A2"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6C79A2">
              <w:rPr>
                <w:rFonts w:ascii="Times New Roman" w:eastAsia="Times New Roman" w:hAnsi="Times New Roman" w:cs="Times New Roman"/>
                <w:b/>
                <w:bCs/>
                <w:sz w:val="24"/>
                <w:szCs w:val="24"/>
                <w:lang w:eastAsia="sk-SK"/>
              </w:rPr>
              <w:t>Daňové príjmy (100)</w:t>
            </w:r>
            <w:r w:rsidRPr="006C79A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7BDA033"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0B7AE41"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1A4B267"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65CFB7F"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18292E6D"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71258560" w14:textId="77777777" w:rsidTr="009426BA">
        <w:trPr>
          <w:trHeight w:val="255"/>
        </w:trPr>
        <w:tc>
          <w:tcPr>
            <w:tcW w:w="4950" w:type="dxa"/>
            <w:tcBorders>
              <w:top w:val="nil"/>
              <w:left w:val="single" w:sz="4" w:space="0" w:color="auto"/>
              <w:bottom w:val="single" w:sz="4" w:space="0" w:color="auto"/>
              <w:right w:val="single" w:sz="4" w:space="0" w:color="auto"/>
            </w:tcBorders>
          </w:tcPr>
          <w:p w14:paraId="763A0231"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Nedaňové príjmy (200)</w:t>
            </w:r>
            <w:r w:rsidRPr="006C79A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A730052"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8E020A2"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950AE55"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573CD7A8"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542A2DA2"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20B117A3" w14:textId="77777777" w:rsidTr="009426BA">
        <w:trPr>
          <w:trHeight w:val="255"/>
        </w:trPr>
        <w:tc>
          <w:tcPr>
            <w:tcW w:w="4950" w:type="dxa"/>
            <w:tcBorders>
              <w:top w:val="nil"/>
              <w:left w:val="single" w:sz="4" w:space="0" w:color="auto"/>
              <w:bottom w:val="single" w:sz="4" w:space="0" w:color="auto"/>
              <w:right w:val="single" w:sz="4" w:space="0" w:color="auto"/>
            </w:tcBorders>
          </w:tcPr>
          <w:p w14:paraId="477AB8CC" w14:textId="7B95E8C1"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Granty a transfery (</w:t>
            </w:r>
            <w:r w:rsidR="00183E45" w:rsidRPr="006C79A2">
              <w:rPr>
                <w:rFonts w:ascii="Times New Roman" w:eastAsia="Times New Roman" w:hAnsi="Times New Roman" w:cs="Times New Roman"/>
                <w:b/>
                <w:bCs/>
                <w:sz w:val="24"/>
                <w:szCs w:val="24"/>
                <w:lang w:eastAsia="sk-SK"/>
              </w:rPr>
              <w:t>300</w:t>
            </w:r>
            <w:r w:rsidRPr="006C79A2">
              <w:rPr>
                <w:rFonts w:ascii="Times New Roman" w:eastAsia="Times New Roman" w:hAnsi="Times New Roman" w:cs="Times New Roman"/>
                <w:b/>
                <w:bCs/>
                <w:sz w:val="24"/>
                <w:szCs w:val="24"/>
                <w:lang w:eastAsia="sk-SK"/>
              </w:rPr>
              <w:t>)</w:t>
            </w:r>
            <w:r w:rsidRPr="006C79A2">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4A104CF1" w14:textId="56D1D1EA"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E64836D" w14:textId="4A6EDD04"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112F08C" w14:textId="1A21C895"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EA2FFC0" w14:textId="1D18C5B6"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E3A613B"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4FDCF101" w14:textId="77777777" w:rsidTr="00D238F2">
        <w:trPr>
          <w:trHeight w:val="255"/>
        </w:trPr>
        <w:tc>
          <w:tcPr>
            <w:tcW w:w="4950" w:type="dxa"/>
            <w:tcBorders>
              <w:top w:val="nil"/>
              <w:left w:val="single" w:sz="4" w:space="0" w:color="auto"/>
              <w:bottom w:val="single" w:sz="4" w:space="0" w:color="auto"/>
              <w:right w:val="single" w:sz="4" w:space="0" w:color="auto"/>
            </w:tcBorders>
          </w:tcPr>
          <w:p w14:paraId="44E47DCA"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0CBA835B"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A4DECC8"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A81B3BC"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CD90F88"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E35C53F"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1E5644BA" w14:textId="77777777" w:rsidTr="00D238F2">
        <w:trPr>
          <w:trHeight w:val="255"/>
        </w:trPr>
        <w:tc>
          <w:tcPr>
            <w:tcW w:w="4950" w:type="dxa"/>
            <w:tcBorders>
              <w:top w:val="nil"/>
              <w:left w:val="single" w:sz="4" w:space="0" w:color="auto"/>
              <w:bottom w:val="single" w:sz="4" w:space="0" w:color="auto"/>
              <w:right w:val="single" w:sz="4" w:space="0" w:color="auto"/>
            </w:tcBorders>
          </w:tcPr>
          <w:p w14:paraId="6A169B83"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0058DCDE"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C1DCFD1"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4EBA7458"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14:paraId="620E4017"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57BD9050"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1882561F" w14:textId="77777777" w:rsidTr="009426B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E974A1E"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3D0343BB" w14:textId="26604BB1"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14A26E3" w14:textId="125D750E"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54C2B705" w14:textId="3C5B3718"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4CF40B84" w14:textId="7E8B2D71"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96A927B"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bl>
    <w:p w14:paraId="5B2EAA24"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6C79A2">
        <w:rPr>
          <w:rFonts w:ascii="Times New Roman" w:eastAsia="Times New Roman" w:hAnsi="Times New Roman" w:cs="Times New Roman"/>
          <w:bCs/>
          <w:sz w:val="20"/>
          <w:szCs w:val="20"/>
          <w:lang w:eastAsia="sk-SK"/>
        </w:rPr>
        <w:t>1 –  príjmy rozpísať až do položiek platnej ekonomickej klasifikácie</w:t>
      </w:r>
    </w:p>
    <w:p w14:paraId="284220D7"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0BF291F4"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6C79A2">
        <w:rPr>
          <w:rFonts w:ascii="Times New Roman" w:eastAsia="Times New Roman" w:hAnsi="Times New Roman" w:cs="Times New Roman"/>
          <w:b/>
          <w:bCs/>
          <w:sz w:val="24"/>
          <w:szCs w:val="20"/>
          <w:lang w:eastAsia="sk-SK"/>
        </w:rPr>
        <w:t>Poznámka:</w:t>
      </w:r>
    </w:p>
    <w:p w14:paraId="73D5F9CE"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6C79A2">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72DD4E91"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6C79A2">
        <w:rPr>
          <w:rFonts w:ascii="Times New Roman" w:eastAsia="Times New Roman" w:hAnsi="Times New Roman" w:cs="Times New Roman"/>
          <w:bCs/>
          <w:sz w:val="24"/>
          <w:szCs w:val="24"/>
          <w:lang w:eastAsia="sk-SK"/>
        </w:rPr>
        <w:t xml:space="preserve"> </w:t>
      </w:r>
    </w:p>
    <w:p w14:paraId="2F1BFEE6"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00E7886"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63284A6"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B179138"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22B0508"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76CEF21"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1E9C0F"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655A178"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E20775F"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4E905E3D"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37C2520"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CA903BC"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B01053D"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1132A2A5" w14:textId="77777777" w:rsidR="007D5748" w:rsidRPr="006C79A2"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4DC52DD" w14:textId="77777777" w:rsidR="004C6780" w:rsidRPr="006C79A2" w:rsidRDefault="004C6780"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p>
    <w:p w14:paraId="5E96513B" w14:textId="77777777" w:rsidR="007D5748" w:rsidRPr="006C79A2"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6C79A2">
        <w:rPr>
          <w:rFonts w:ascii="Times New Roman" w:eastAsia="Times New Roman" w:hAnsi="Times New Roman" w:cs="Times New Roman"/>
          <w:bCs/>
          <w:sz w:val="24"/>
          <w:szCs w:val="24"/>
          <w:lang w:eastAsia="sk-SK"/>
        </w:rPr>
        <w:lastRenderedPageBreak/>
        <w:t xml:space="preserve">Tabuľka č. 4 </w:t>
      </w:r>
    </w:p>
    <w:p w14:paraId="4F025E8F" w14:textId="3DC42DEC" w:rsidR="007D5748" w:rsidRPr="006C79A2" w:rsidRDefault="007D5748" w:rsidP="004C678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63AA26" w14:textId="77777777" w:rsidR="004C6780" w:rsidRPr="006C79A2" w:rsidRDefault="004C6780"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8F26147" w14:textId="0B2364B5" w:rsidR="0083676F" w:rsidRPr="006C79A2" w:rsidRDefault="00963289" w:rsidP="0083676F">
      <w:pPr>
        <w:tabs>
          <w:tab w:val="num" w:pos="1080"/>
        </w:tabs>
        <w:spacing w:after="0" w:line="240" w:lineRule="auto"/>
        <w:jc w:val="both"/>
        <w:rPr>
          <w:rFonts w:ascii="Times New Roman" w:eastAsia="Times New Roman" w:hAnsi="Times New Roman" w:cs="Times New Roman"/>
          <w:b/>
          <w:bCs/>
          <w:sz w:val="24"/>
          <w:szCs w:val="20"/>
          <w:lang w:eastAsia="sk-SK"/>
        </w:rPr>
      </w:pPr>
      <w:r w:rsidRPr="006C79A2">
        <w:rPr>
          <w:rFonts w:ascii="Times New Roman" w:eastAsia="Times New Roman" w:hAnsi="Times New Roman" w:cs="Times New Roman"/>
          <w:b/>
          <w:bCs/>
          <w:sz w:val="24"/>
          <w:szCs w:val="20"/>
          <w:lang w:eastAsia="sk-SK"/>
        </w:rPr>
        <w:t>Environmentálny fond</w:t>
      </w:r>
    </w:p>
    <w:p w14:paraId="67DB1E29" w14:textId="77777777" w:rsidR="000D2D3F" w:rsidRPr="006C79A2" w:rsidRDefault="000D2D3F" w:rsidP="0083676F">
      <w:pPr>
        <w:tabs>
          <w:tab w:val="num" w:pos="1080"/>
        </w:tabs>
        <w:spacing w:after="0" w:line="240" w:lineRule="auto"/>
        <w:jc w:val="both"/>
        <w:rPr>
          <w:rFonts w:ascii="Times New Roman" w:eastAsia="Times New Roman" w:hAnsi="Times New Roman" w:cs="Times New Roman"/>
          <w:b/>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763"/>
        <w:gridCol w:w="1492"/>
        <w:gridCol w:w="1492"/>
        <w:gridCol w:w="1492"/>
        <w:gridCol w:w="1492"/>
        <w:gridCol w:w="1512"/>
        <w:gridCol w:w="1207"/>
      </w:tblGrid>
      <w:tr w:rsidR="0057229C" w:rsidRPr="006C79A2" w14:paraId="53C577BB" w14:textId="77777777" w:rsidTr="00E21A0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58AA5A6" w14:textId="77777777" w:rsidR="0057229C" w:rsidRPr="006C79A2" w:rsidRDefault="0057229C" w:rsidP="009A5AE4">
            <w:pPr>
              <w:spacing w:after="0" w:line="240" w:lineRule="auto"/>
              <w:jc w:val="center"/>
              <w:rPr>
                <w:rFonts w:ascii="Times New Roman" w:eastAsia="Times New Roman" w:hAnsi="Times New Roman" w:cs="Times New Roman"/>
                <w:b/>
                <w:bCs/>
                <w:sz w:val="20"/>
                <w:szCs w:val="20"/>
                <w:lang w:eastAsia="sk-SK"/>
              </w:rPr>
            </w:pPr>
            <w:r w:rsidRPr="006C79A2">
              <w:rPr>
                <w:rFonts w:ascii="Times New Roman" w:eastAsia="Times New Roman" w:hAnsi="Times New Roman" w:cs="Times New Roman"/>
                <w:b/>
                <w:bCs/>
                <w:sz w:val="20"/>
                <w:szCs w:val="20"/>
                <w:lang w:eastAsia="sk-SK"/>
              </w:rPr>
              <w:t>Výdavky (v eurách)</w:t>
            </w:r>
          </w:p>
        </w:tc>
        <w:tc>
          <w:tcPr>
            <w:tcW w:w="1540" w:type="dxa"/>
            <w:tcBorders>
              <w:top w:val="single" w:sz="4" w:space="0" w:color="auto"/>
              <w:left w:val="nil"/>
              <w:bottom w:val="single" w:sz="4" w:space="0" w:color="auto"/>
              <w:right w:val="nil"/>
            </w:tcBorders>
            <w:shd w:val="clear" w:color="auto" w:fill="BFBFBF" w:themeFill="background1" w:themeFillShade="BF"/>
          </w:tcPr>
          <w:p w14:paraId="5EC54EA0" w14:textId="77777777" w:rsidR="0057229C" w:rsidRPr="006C79A2" w:rsidRDefault="0057229C" w:rsidP="009A5AE4">
            <w:pPr>
              <w:spacing w:after="0" w:line="240" w:lineRule="auto"/>
              <w:jc w:val="center"/>
              <w:rPr>
                <w:rFonts w:ascii="Times New Roman" w:eastAsia="Times New Roman" w:hAnsi="Times New Roman" w:cs="Times New Roman"/>
                <w:b/>
                <w:bCs/>
                <w:sz w:val="20"/>
                <w:szCs w:val="20"/>
                <w:lang w:eastAsia="sk-SK"/>
              </w:rPr>
            </w:pP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301CEBC" w14:textId="7C0173D3" w:rsidR="0057229C" w:rsidRPr="006C79A2" w:rsidRDefault="0057229C" w:rsidP="009A5AE4">
            <w:pPr>
              <w:spacing w:after="0" w:line="240" w:lineRule="auto"/>
              <w:jc w:val="center"/>
              <w:rPr>
                <w:rFonts w:ascii="Times New Roman" w:eastAsia="Times New Roman" w:hAnsi="Times New Roman" w:cs="Times New Roman"/>
                <w:b/>
                <w:bCs/>
                <w:sz w:val="20"/>
                <w:szCs w:val="20"/>
                <w:lang w:eastAsia="sk-SK"/>
              </w:rPr>
            </w:pPr>
            <w:r w:rsidRPr="006C79A2">
              <w:rPr>
                <w:rFonts w:ascii="Times New Roman" w:eastAsia="Times New Roman" w:hAnsi="Times New Roman" w:cs="Times New Roman"/>
                <w:b/>
                <w:bCs/>
                <w:sz w:val="20"/>
                <w:szCs w:val="20"/>
                <w:lang w:eastAsia="sk-SK"/>
              </w:rPr>
              <w:t>Vplyv na rozpočet verejnej správy</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764DED5" w14:textId="77777777" w:rsidR="0057229C" w:rsidRPr="006C79A2" w:rsidRDefault="0057229C" w:rsidP="009A5AE4">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poznámka</w:t>
            </w:r>
          </w:p>
        </w:tc>
      </w:tr>
      <w:tr w:rsidR="0057229C" w:rsidRPr="006C79A2" w14:paraId="30720F29" w14:textId="77777777" w:rsidTr="00E21A0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98F1F6B" w14:textId="77777777" w:rsidR="0057229C" w:rsidRPr="006C79A2" w:rsidRDefault="0057229C" w:rsidP="004C6780">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727DA97" w14:textId="59E16398" w:rsidR="0057229C" w:rsidRPr="006C79A2" w:rsidRDefault="0057229C"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w:t>
            </w:r>
            <w:r w:rsidR="00FD61F0" w:rsidRPr="006C79A2">
              <w:rPr>
                <w:rFonts w:ascii="Times New Roman" w:eastAsia="Times New Roman" w:hAnsi="Times New Roman" w:cs="Times New Roman"/>
                <w:b/>
                <w:bCs/>
                <w:sz w:val="24"/>
                <w:szCs w:val="24"/>
                <w:lang w:eastAsia="sk-SK"/>
              </w:rPr>
              <w:t>21</w:t>
            </w:r>
          </w:p>
        </w:tc>
        <w:tc>
          <w:tcPr>
            <w:tcW w:w="154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2B52795" w14:textId="36B69403" w:rsidR="0057229C" w:rsidRPr="006C79A2" w:rsidRDefault="0057229C"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5ABC658E" w14:textId="1559101C" w:rsidR="0057229C" w:rsidRPr="006C79A2" w:rsidRDefault="0057229C"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890DE0B" w14:textId="14CBAD8F" w:rsidR="0057229C" w:rsidRPr="006C79A2" w:rsidRDefault="0057229C"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38A2FD3A" w14:textId="02FC4400" w:rsidR="0057229C" w:rsidRPr="006C79A2" w:rsidRDefault="0057229C" w:rsidP="004C6780">
            <w:pPr>
              <w:spacing w:after="0" w:line="240" w:lineRule="auto"/>
              <w:jc w:val="center"/>
              <w:rPr>
                <w:rFonts w:ascii="Times New Roman" w:eastAsia="Times New Roman" w:hAnsi="Times New Roman" w:cs="Times New Roman"/>
                <w:b/>
                <w:bCs/>
                <w:sz w:val="24"/>
                <w:szCs w:val="24"/>
                <w:lang w:eastAsia="sk-SK"/>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5FD95A82" w14:textId="77777777" w:rsidR="0057229C" w:rsidRPr="006C79A2" w:rsidRDefault="0057229C" w:rsidP="004C6780">
            <w:pPr>
              <w:spacing w:after="0" w:line="240" w:lineRule="auto"/>
              <w:rPr>
                <w:rFonts w:ascii="Times New Roman" w:eastAsia="Times New Roman" w:hAnsi="Times New Roman" w:cs="Times New Roman"/>
                <w:b/>
                <w:bCs/>
                <w:color w:val="FFFFFF"/>
                <w:sz w:val="24"/>
                <w:szCs w:val="24"/>
                <w:lang w:eastAsia="sk-SK"/>
              </w:rPr>
            </w:pPr>
          </w:p>
        </w:tc>
      </w:tr>
      <w:tr w:rsidR="0057229C" w:rsidRPr="006C79A2" w14:paraId="6F95F47E" w14:textId="77777777" w:rsidTr="00E21A0C">
        <w:trPr>
          <w:trHeight w:val="255"/>
        </w:trPr>
        <w:tc>
          <w:tcPr>
            <w:tcW w:w="7070" w:type="dxa"/>
            <w:tcBorders>
              <w:top w:val="nil"/>
              <w:left w:val="single" w:sz="4" w:space="0" w:color="auto"/>
              <w:bottom w:val="single" w:sz="4" w:space="0" w:color="auto"/>
              <w:right w:val="single" w:sz="4" w:space="0" w:color="auto"/>
            </w:tcBorders>
          </w:tcPr>
          <w:p w14:paraId="22BC5AE2" w14:textId="77777777" w:rsidR="0057229C" w:rsidRPr="006C79A2" w:rsidRDefault="0057229C" w:rsidP="00AB071A">
            <w:pPr>
              <w:spacing w:after="0" w:line="240" w:lineRule="auto"/>
              <w:rPr>
                <w:rFonts w:ascii="Times New Roman" w:eastAsia="Times New Roman" w:hAnsi="Times New Roman" w:cs="Times New Roman"/>
                <w:b/>
                <w:bCs/>
                <w:sz w:val="20"/>
                <w:szCs w:val="20"/>
                <w:lang w:eastAsia="sk-SK"/>
              </w:rPr>
            </w:pPr>
            <w:r w:rsidRPr="006C79A2">
              <w:rPr>
                <w:rFonts w:ascii="Times New Roman" w:eastAsia="Times New Roman" w:hAnsi="Times New Roman" w:cs="Times New Roman"/>
                <w:b/>
                <w:bCs/>
                <w:sz w:val="20"/>
                <w:szCs w:val="20"/>
                <w:lang w:eastAsia="sk-SK"/>
              </w:rPr>
              <w:t>Bežné výdavky (600)</w:t>
            </w:r>
          </w:p>
        </w:tc>
        <w:tc>
          <w:tcPr>
            <w:tcW w:w="1540" w:type="dxa"/>
            <w:tcBorders>
              <w:top w:val="single" w:sz="4" w:space="0" w:color="auto"/>
              <w:left w:val="nil"/>
              <w:bottom w:val="single" w:sz="4" w:space="0" w:color="auto"/>
              <w:right w:val="single" w:sz="4" w:space="0" w:color="auto"/>
            </w:tcBorders>
          </w:tcPr>
          <w:p w14:paraId="18DF174F" w14:textId="77777777" w:rsidR="0057229C" w:rsidRPr="006C79A2" w:rsidRDefault="0057229C" w:rsidP="00AB071A">
            <w:pPr>
              <w:spacing w:after="0" w:line="240" w:lineRule="auto"/>
              <w:jc w:val="center"/>
              <w:rPr>
                <w:rFonts w:ascii="Times New Roman" w:eastAsia="Times New Roman" w:hAnsi="Times New Roman" w:cs="Times New Roman"/>
                <w:b/>
                <w:bCs/>
                <w:i/>
                <w:sz w:val="20"/>
                <w:szCs w:val="20"/>
                <w:lang w:eastAsia="sk-SK"/>
              </w:rPr>
            </w:pPr>
          </w:p>
        </w:tc>
        <w:tc>
          <w:tcPr>
            <w:tcW w:w="1540" w:type="dxa"/>
            <w:tcBorders>
              <w:top w:val="nil"/>
              <w:left w:val="single" w:sz="4" w:space="0" w:color="auto"/>
              <w:bottom w:val="single" w:sz="4" w:space="0" w:color="auto"/>
              <w:right w:val="single" w:sz="4" w:space="0" w:color="auto"/>
            </w:tcBorders>
          </w:tcPr>
          <w:p w14:paraId="2EF7526A" w14:textId="371BD1EB" w:rsidR="0057229C" w:rsidRPr="006C79A2" w:rsidRDefault="00043348" w:rsidP="00AB071A">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1 000 000</w:t>
            </w:r>
          </w:p>
        </w:tc>
        <w:tc>
          <w:tcPr>
            <w:tcW w:w="1540" w:type="dxa"/>
            <w:tcBorders>
              <w:top w:val="nil"/>
              <w:left w:val="nil"/>
              <w:bottom w:val="single" w:sz="4" w:space="0" w:color="auto"/>
              <w:right w:val="single" w:sz="4" w:space="0" w:color="auto"/>
            </w:tcBorders>
          </w:tcPr>
          <w:p w14:paraId="61217CD4" w14:textId="31176E57" w:rsidR="0057229C" w:rsidRPr="006C79A2" w:rsidRDefault="00043348" w:rsidP="00AB071A">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1 000 000</w:t>
            </w:r>
          </w:p>
        </w:tc>
        <w:tc>
          <w:tcPr>
            <w:tcW w:w="1540" w:type="dxa"/>
            <w:tcBorders>
              <w:top w:val="nil"/>
              <w:left w:val="nil"/>
              <w:bottom w:val="single" w:sz="4" w:space="0" w:color="auto"/>
              <w:right w:val="single" w:sz="4" w:space="0" w:color="auto"/>
            </w:tcBorders>
          </w:tcPr>
          <w:p w14:paraId="5CBEC66D" w14:textId="14D81F25" w:rsidR="0057229C" w:rsidRPr="006C79A2" w:rsidRDefault="00043348" w:rsidP="00AB071A">
            <w:pPr>
              <w:spacing w:after="0" w:line="240" w:lineRule="auto"/>
              <w:jc w:val="center"/>
              <w:rPr>
                <w:rFonts w:ascii="Times New Roman" w:eastAsia="Times New Roman" w:hAnsi="Times New Roman" w:cs="Times New Roman"/>
                <w:b/>
                <w:bCs/>
                <w:iCs/>
                <w:sz w:val="20"/>
                <w:szCs w:val="20"/>
                <w:lang w:eastAsia="sk-SK"/>
              </w:rPr>
            </w:pPr>
            <w:r>
              <w:rPr>
                <w:rFonts w:ascii="Times New Roman" w:eastAsia="Times New Roman" w:hAnsi="Times New Roman" w:cs="Times New Roman"/>
                <w:b/>
                <w:bCs/>
                <w:iCs/>
                <w:sz w:val="20"/>
                <w:szCs w:val="20"/>
                <w:lang w:eastAsia="sk-SK"/>
              </w:rPr>
              <w:t>1 000 000</w:t>
            </w:r>
          </w:p>
        </w:tc>
        <w:tc>
          <w:tcPr>
            <w:tcW w:w="2220" w:type="dxa"/>
            <w:gridSpan w:val="2"/>
            <w:tcBorders>
              <w:top w:val="nil"/>
              <w:left w:val="nil"/>
              <w:bottom w:val="single" w:sz="4" w:space="0" w:color="auto"/>
              <w:right w:val="single" w:sz="4" w:space="0" w:color="auto"/>
            </w:tcBorders>
            <w:noWrap/>
            <w:vAlign w:val="bottom"/>
          </w:tcPr>
          <w:p w14:paraId="31499997" w14:textId="77777777" w:rsidR="0057229C" w:rsidRPr="006C79A2" w:rsidRDefault="0057229C" w:rsidP="00AB071A">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57229C" w:rsidRPr="006C79A2" w14:paraId="044374D5" w14:textId="77777777" w:rsidTr="00E21A0C">
        <w:trPr>
          <w:trHeight w:val="255"/>
        </w:trPr>
        <w:tc>
          <w:tcPr>
            <w:tcW w:w="7070" w:type="dxa"/>
            <w:tcBorders>
              <w:top w:val="nil"/>
              <w:left w:val="single" w:sz="4" w:space="0" w:color="auto"/>
              <w:bottom w:val="single" w:sz="4" w:space="0" w:color="auto"/>
              <w:right w:val="single" w:sz="4" w:space="0" w:color="auto"/>
            </w:tcBorders>
          </w:tcPr>
          <w:p w14:paraId="66D18047" w14:textId="77777777" w:rsidR="0057229C" w:rsidRPr="006C79A2" w:rsidRDefault="0057229C" w:rsidP="00AB071A">
            <w:pPr>
              <w:spacing w:after="0" w:line="240" w:lineRule="auto"/>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cPr>
          <w:p w14:paraId="7BE87DA7" w14:textId="77777777"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single" w:sz="4" w:space="0" w:color="auto"/>
              <w:bottom w:val="single" w:sz="4" w:space="0" w:color="auto"/>
              <w:right w:val="single" w:sz="4" w:space="0" w:color="auto"/>
            </w:tcBorders>
          </w:tcPr>
          <w:p w14:paraId="0E332366" w14:textId="4908CDDD"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5AE1C058" w14:textId="71CE74A5"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219CC3F7" w14:textId="185DC439"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7DE98FED" w14:textId="77777777" w:rsidR="0057229C" w:rsidRPr="006C79A2" w:rsidRDefault="0057229C" w:rsidP="00AB071A">
            <w:pPr>
              <w:spacing w:after="0" w:line="240" w:lineRule="auto"/>
              <w:rPr>
                <w:rFonts w:ascii="Times New Roman" w:eastAsia="Times New Roman" w:hAnsi="Times New Roman" w:cs="Times New Roman"/>
                <w:iCs/>
                <w:sz w:val="20"/>
                <w:szCs w:val="20"/>
                <w:lang w:eastAsia="sk-SK"/>
              </w:rPr>
            </w:pPr>
            <w:r w:rsidRPr="006C79A2">
              <w:rPr>
                <w:rFonts w:ascii="Times New Roman" w:eastAsia="Times New Roman" w:hAnsi="Times New Roman" w:cs="Times New Roman"/>
                <w:iCs/>
                <w:sz w:val="20"/>
                <w:szCs w:val="20"/>
                <w:lang w:eastAsia="sk-SK"/>
              </w:rPr>
              <w:t> </w:t>
            </w:r>
          </w:p>
        </w:tc>
      </w:tr>
      <w:tr w:rsidR="0057229C" w:rsidRPr="006C79A2" w14:paraId="4BA72BAE" w14:textId="77777777" w:rsidTr="00E21A0C">
        <w:trPr>
          <w:trHeight w:val="255"/>
        </w:trPr>
        <w:tc>
          <w:tcPr>
            <w:tcW w:w="7070" w:type="dxa"/>
            <w:tcBorders>
              <w:top w:val="nil"/>
              <w:left w:val="single" w:sz="4" w:space="0" w:color="auto"/>
              <w:bottom w:val="single" w:sz="4" w:space="0" w:color="auto"/>
              <w:right w:val="single" w:sz="4" w:space="0" w:color="auto"/>
            </w:tcBorders>
          </w:tcPr>
          <w:p w14:paraId="2AE5BB10" w14:textId="77777777" w:rsidR="0057229C" w:rsidRPr="006C79A2" w:rsidRDefault="0057229C" w:rsidP="00AB071A">
            <w:pPr>
              <w:spacing w:after="0" w:line="240" w:lineRule="auto"/>
              <w:rPr>
                <w:rFonts w:ascii="Times New Roman" w:eastAsia="Times New Roman" w:hAnsi="Times New Roman" w:cs="Times New Roman"/>
                <w:sz w:val="20"/>
                <w:szCs w:val="20"/>
                <w:vertAlign w:val="superscript"/>
                <w:lang w:eastAsia="sk-SK"/>
              </w:rPr>
            </w:pPr>
            <w:r w:rsidRPr="006C79A2">
              <w:rPr>
                <w:rFonts w:ascii="Times New Roman" w:eastAsia="Times New Roman" w:hAnsi="Times New Roman" w:cs="Times New Roman"/>
                <w:sz w:val="20"/>
                <w:szCs w:val="20"/>
                <w:lang w:eastAsia="sk-SK"/>
              </w:rPr>
              <w:t xml:space="preserve">  Poistné a príspevok do poisťovní (620)</w:t>
            </w:r>
          </w:p>
        </w:tc>
        <w:tc>
          <w:tcPr>
            <w:tcW w:w="1540" w:type="dxa"/>
            <w:tcBorders>
              <w:top w:val="single" w:sz="4" w:space="0" w:color="auto"/>
              <w:left w:val="nil"/>
              <w:bottom w:val="single" w:sz="4" w:space="0" w:color="auto"/>
              <w:right w:val="single" w:sz="4" w:space="0" w:color="auto"/>
            </w:tcBorders>
          </w:tcPr>
          <w:p w14:paraId="4ED502D3" w14:textId="77777777"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single" w:sz="4" w:space="0" w:color="auto"/>
              <w:bottom w:val="single" w:sz="4" w:space="0" w:color="auto"/>
              <w:right w:val="single" w:sz="4" w:space="0" w:color="auto"/>
            </w:tcBorders>
          </w:tcPr>
          <w:p w14:paraId="4A462AAE" w14:textId="603D6FEF"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00E03533" w14:textId="2FFC0AA1"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34658CCA" w14:textId="73307E0E" w:rsidR="0057229C" w:rsidRPr="006C79A2" w:rsidRDefault="0057229C" w:rsidP="00AB071A">
            <w:pPr>
              <w:spacing w:after="0" w:line="240" w:lineRule="auto"/>
              <w:jc w:val="center"/>
              <w:rPr>
                <w:rFonts w:ascii="Times New Roman" w:eastAsia="Times New Roman" w:hAnsi="Times New Roman" w:cs="Times New Roman"/>
                <w:iCs/>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71790AFB" w14:textId="77777777" w:rsidR="0057229C" w:rsidRPr="006C79A2" w:rsidRDefault="0057229C" w:rsidP="00AB071A">
            <w:pPr>
              <w:spacing w:after="0" w:line="240" w:lineRule="auto"/>
              <w:rPr>
                <w:rFonts w:ascii="Times New Roman" w:eastAsia="Times New Roman" w:hAnsi="Times New Roman" w:cs="Times New Roman"/>
                <w:iCs/>
                <w:sz w:val="20"/>
                <w:szCs w:val="20"/>
                <w:lang w:eastAsia="sk-SK"/>
              </w:rPr>
            </w:pPr>
            <w:r w:rsidRPr="006C79A2">
              <w:rPr>
                <w:rFonts w:ascii="Times New Roman" w:eastAsia="Times New Roman" w:hAnsi="Times New Roman" w:cs="Times New Roman"/>
                <w:iCs/>
                <w:sz w:val="20"/>
                <w:szCs w:val="20"/>
                <w:lang w:eastAsia="sk-SK"/>
              </w:rPr>
              <w:t> </w:t>
            </w:r>
          </w:p>
        </w:tc>
      </w:tr>
      <w:tr w:rsidR="0057229C" w:rsidRPr="006C79A2" w14:paraId="1A9D46C1" w14:textId="77777777" w:rsidTr="00E21A0C">
        <w:trPr>
          <w:trHeight w:val="255"/>
        </w:trPr>
        <w:tc>
          <w:tcPr>
            <w:tcW w:w="7070" w:type="dxa"/>
            <w:tcBorders>
              <w:top w:val="nil"/>
              <w:left w:val="single" w:sz="4" w:space="0" w:color="auto"/>
              <w:bottom w:val="single" w:sz="4" w:space="0" w:color="auto"/>
              <w:right w:val="single" w:sz="4" w:space="0" w:color="auto"/>
            </w:tcBorders>
          </w:tcPr>
          <w:p w14:paraId="67438CA6" w14:textId="77777777" w:rsidR="0057229C" w:rsidRPr="006C79A2" w:rsidRDefault="0057229C" w:rsidP="009A5AE4">
            <w:pPr>
              <w:spacing w:after="0" w:line="240" w:lineRule="auto"/>
              <w:rPr>
                <w:rFonts w:ascii="Times New Roman" w:eastAsia="Times New Roman" w:hAnsi="Times New Roman" w:cs="Times New Roman"/>
                <w:sz w:val="20"/>
                <w:szCs w:val="20"/>
                <w:vertAlign w:val="superscript"/>
                <w:lang w:eastAsia="sk-SK"/>
              </w:rPr>
            </w:pPr>
            <w:r w:rsidRPr="006C79A2">
              <w:rPr>
                <w:rFonts w:ascii="Times New Roman" w:eastAsia="Times New Roman" w:hAnsi="Times New Roman" w:cs="Times New Roman"/>
                <w:sz w:val="20"/>
                <w:szCs w:val="20"/>
                <w:lang w:eastAsia="sk-SK"/>
              </w:rPr>
              <w:t xml:space="preserve">  Tovary a služby (630)</w:t>
            </w:r>
            <w:r w:rsidRPr="006C79A2">
              <w:rPr>
                <w:rFonts w:ascii="Times New Roman" w:eastAsia="Times New Roman" w:hAnsi="Times New Roman" w:cs="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cPr>
          <w:p w14:paraId="3C456120" w14:textId="77777777" w:rsidR="0057229C" w:rsidRPr="006C79A2" w:rsidRDefault="0057229C" w:rsidP="007E6741">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single" w:sz="4" w:space="0" w:color="auto"/>
              <w:bottom w:val="single" w:sz="4" w:space="0" w:color="auto"/>
              <w:right w:val="single" w:sz="4" w:space="0" w:color="auto"/>
            </w:tcBorders>
          </w:tcPr>
          <w:p w14:paraId="25779F5D" w14:textId="4B321B46" w:rsidR="0057229C" w:rsidRPr="006C79A2" w:rsidRDefault="0057229C" w:rsidP="007E6741">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79296B34" w14:textId="3718BDB2" w:rsidR="0057229C" w:rsidRPr="006C79A2" w:rsidRDefault="0057229C" w:rsidP="009A5AE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502A17A" w14:textId="422F994C" w:rsidR="0057229C" w:rsidRPr="006C79A2" w:rsidRDefault="0057229C" w:rsidP="009A5AE4">
            <w:pPr>
              <w:spacing w:after="0" w:line="240" w:lineRule="auto"/>
              <w:jc w:val="center"/>
              <w:rPr>
                <w:rFonts w:ascii="Times New Roman" w:eastAsia="Times New Roman" w:hAnsi="Times New Roman" w:cs="Times New Roman"/>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52C6404A"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57229C" w:rsidRPr="006C79A2" w14:paraId="3C5EE67A" w14:textId="77777777" w:rsidTr="00E21A0C">
        <w:trPr>
          <w:trHeight w:val="255"/>
        </w:trPr>
        <w:tc>
          <w:tcPr>
            <w:tcW w:w="7070" w:type="dxa"/>
            <w:tcBorders>
              <w:top w:val="nil"/>
              <w:left w:val="single" w:sz="4" w:space="0" w:color="auto"/>
              <w:bottom w:val="single" w:sz="4" w:space="0" w:color="auto"/>
              <w:right w:val="single" w:sz="4" w:space="0" w:color="auto"/>
            </w:tcBorders>
          </w:tcPr>
          <w:p w14:paraId="1EB014DC" w14:textId="77777777" w:rsidR="0057229C" w:rsidRPr="006C79A2" w:rsidRDefault="0057229C" w:rsidP="009A5AE4">
            <w:pPr>
              <w:spacing w:after="0" w:line="240" w:lineRule="auto"/>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  Bežné transfery (640)</w:t>
            </w:r>
            <w:r w:rsidRPr="006C79A2">
              <w:rPr>
                <w:rFonts w:ascii="Times New Roman" w:eastAsia="Times New Roman" w:hAnsi="Times New Roman" w:cs="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cPr>
          <w:p w14:paraId="76054477" w14:textId="77777777" w:rsidR="0057229C" w:rsidRPr="006C79A2" w:rsidRDefault="0057229C" w:rsidP="000E7C00">
            <w:pPr>
              <w:spacing w:after="0" w:line="240" w:lineRule="auto"/>
              <w:jc w:val="right"/>
              <w:rPr>
                <w:rFonts w:ascii="Times New Roman" w:eastAsia="Times New Roman" w:hAnsi="Times New Roman" w:cs="Times New Roman"/>
                <w:i/>
                <w:sz w:val="20"/>
                <w:szCs w:val="20"/>
                <w:lang w:eastAsia="sk-SK"/>
              </w:rPr>
            </w:pPr>
          </w:p>
        </w:tc>
        <w:tc>
          <w:tcPr>
            <w:tcW w:w="1540" w:type="dxa"/>
            <w:tcBorders>
              <w:top w:val="nil"/>
              <w:left w:val="single" w:sz="4" w:space="0" w:color="auto"/>
              <w:bottom w:val="single" w:sz="4" w:space="0" w:color="auto"/>
              <w:right w:val="single" w:sz="4" w:space="0" w:color="auto"/>
            </w:tcBorders>
          </w:tcPr>
          <w:p w14:paraId="641CFEFB" w14:textId="19CA4674" w:rsidR="0057229C" w:rsidRPr="006C79A2" w:rsidRDefault="00393364" w:rsidP="00E21A0C">
            <w:pPr>
              <w:spacing w:after="0" w:line="240" w:lineRule="auto"/>
              <w:jc w:val="center"/>
              <w:rPr>
                <w:rFonts w:ascii="Times New Roman" w:eastAsia="Times New Roman" w:hAnsi="Times New Roman" w:cs="Times New Roman"/>
                <w:iCs/>
                <w:sz w:val="20"/>
                <w:szCs w:val="20"/>
                <w:lang w:eastAsia="sk-SK"/>
              </w:rPr>
            </w:pPr>
            <w:r w:rsidRPr="006C79A2">
              <w:rPr>
                <w:rFonts w:ascii="Times New Roman" w:eastAsia="Times New Roman" w:hAnsi="Times New Roman" w:cs="Times New Roman"/>
                <w:iCs/>
                <w:sz w:val="20"/>
                <w:szCs w:val="20"/>
                <w:lang w:eastAsia="sk-SK"/>
              </w:rPr>
              <w:t>1 </w:t>
            </w:r>
            <w:r w:rsidR="00012F48" w:rsidRPr="006C79A2">
              <w:rPr>
                <w:rFonts w:ascii="Times New Roman" w:eastAsia="Times New Roman" w:hAnsi="Times New Roman" w:cs="Times New Roman"/>
                <w:iCs/>
                <w:sz w:val="20"/>
                <w:szCs w:val="20"/>
                <w:lang w:eastAsia="sk-SK"/>
              </w:rPr>
              <w:t>0</w:t>
            </w:r>
            <w:r w:rsidR="00576800" w:rsidRPr="006C79A2">
              <w:rPr>
                <w:rFonts w:ascii="Times New Roman" w:eastAsia="Times New Roman" w:hAnsi="Times New Roman" w:cs="Times New Roman"/>
                <w:iCs/>
                <w:sz w:val="20"/>
                <w:szCs w:val="20"/>
                <w:lang w:eastAsia="sk-SK"/>
              </w:rPr>
              <w:t xml:space="preserve">00 </w:t>
            </w:r>
            <w:r w:rsidRPr="006C79A2">
              <w:rPr>
                <w:rFonts w:ascii="Times New Roman" w:eastAsia="Times New Roman" w:hAnsi="Times New Roman" w:cs="Times New Roman"/>
                <w:iCs/>
                <w:sz w:val="20"/>
                <w:szCs w:val="20"/>
                <w:lang w:eastAsia="sk-SK"/>
              </w:rPr>
              <w:t>000</w:t>
            </w:r>
          </w:p>
        </w:tc>
        <w:tc>
          <w:tcPr>
            <w:tcW w:w="1540" w:type="dxa"/>
            <w:tcBorders>
              <w:top w:val="nil"/>
              <w:left w:val="nil"/>
              <w:bottom w:val="single" w:sz="4" w:space="0" w:color="auto"/>
              <w:right w:val="single" w:sz="4" w:space="0" w:color="auto"/>
            </w:tcBorders>
          </w:tcPr>
          <w:p w14:paraId="476ED2D4" w14:textId="7FFD8CE7" w:rsidR="0057229C" w:rsidRPr="006C79A2" w:rsidRDefault="00393364" w:rsidP="00E21A0C">
            <w:pPr>
              <w:spacing w:after="0" w:line="240" w:lineRule="auto"/>
              <w:jc w:val="center"/>
              <w:rPr>
                <w:rFonts w:ascii="Times New Roman" w:eastAsia="Times New Roman" w:hAnsi="Times New Roman" w:cs="Times New Roman"/>
                <w:iCs/>
                <w:sz w:val="20"/>
                <w:szCs w:val="20"/>
                <w:lang w:eastAsia="sk-SK"/>
              </w:rPr>
            </w:pPr>
            <w:r w:rsidRPr="006C79A2">
              <w:rPr>
                <w:rFonts w:ascii="Times New Roman" w:eastAsia="Times New Roman" w:hAnsi="Times New Roman" w:cs="Times New Roman"/>
                <w:iCs/>
                <w:sz w:val="20"/>
                <w:szCs w:val="20"/>
                <w:lang w:eastAsia="sk-SK"/>
              </w:rPr>
              <w:t>1 </w:t>
            </w:r>
            <w:r w:rsidR="00012F48" w:rsidRPr="006C79A2">
              <w:rPr>
                <w:rFonts w:ascii="Times New Roman" w:eastAsia="Times New Roman" w:hAnsi="Times New Roman" w:cs="Times New Roman"/>
                <w:iCs/>
                <w:sz w:val="20"/>
                <w:szCs w:val="20"/>
                <w:lang w:eastAsia="sk-SK"/>
              </w:rPr>
              <w:t>0</w:t>
            </w:r>
            <w:r w:rsidR="00576800" w:rsidRPr="006C79A2">
              <w:rPr>
                <w:rFonts w:ascii="Times New Roman" w:eastAsia="Times New Roman" w:hAnsi="Times New Roman" w:cs="Times New Roman"/>
                <w:iCs/>
                <w:sz w:val="20"/>
                <w:szCs w:val="20"/>
                <w:lang w:eastAsia="sk-SK"/>
              </w:rPr>
              <w:t xml:space="preserve">00 </w:t>
            </w:r>
            <w:r w:rsidRPr="006C79A2">
              <w:rPr>
                <w:rFonts w:ascii="Times New Roman" w:eastAsia="Times New Roman" w:hAnsi="Times New Roman" w:cs="Times New Roman"/>
                <w:iCs/>
                <w:sz w:val="20"/>
                <w:szCs w:val="20"/>
                <w:lang w:eastAsia="sk-SK"/>
              </w:rPr>
              <w:t>000</w:t>
            </w:r>
          </w:p>
        </w:tc>
        <w:tc>
          <w:tcPr>
            <w:tcW w:w="1540" w:type="dxa"/>
            <w:tcBorders>
              <w:top w:val="nil"/>
              <w:left w:val="nil"/>
              <w:bottom w:val="single" w:sz="4" w:space="0" w:color="auto"/>
              <w:right w:val="single" w:sz="4" w:space="0" w:color="auto"/>
            </w:tcBorders>
          </w:tcPr>
          <w:p w14:paraId="019ADB39" w14:textId="3109D486" w:rsidR="0057229C" w:rsidRPr="006C79A2" w:rsidRDefault="00393364" w:rsidP="00E21A0C">
            <w:pPr>
              <w:spacing w:after="0" w:line="240" w:lineRule="auto"/>
              <w:jc w:val="center"/>
              <w:rPr>
                <w:rFonts w:ascii="Times New Roman" w:eastAsia="Times New Roman" w:hAnsi="Times New Roman" w:cs="Times New Roman"/>
                <w:iCs/>
                <w:sz w:val="20"/>
                <w:szCs w:val="20"/>
                <w:lang w:eastAsia="sk-SK"/>
              </w:rPr>
            </w:pPr>
            <w:r w:rsidRPr="006C79A2">
              <w:rPr>
                <w:rFonts w:ascii="Times New Roman" w:eastAsia="Times New Roman" w:hAnsi="Times New Roman" w:cs="Times New Roman"/>
                <w:iCs/>
                <w:sz w:val="20"/>
                <w:szCs w:val="20"/>
                <w:lang w:eastAsia="sk-SK"/>
              </w:rPr>
              <w:t>1</w:t>
            </w:r>
            <w:r w:rsidR="00576800" w:rsidRPr="006C79A2">
              <w:rPr>
                <w:rFonts w:ascii="Times New Roman" w:eastAsia="Times New Roman" w:hAnsi="Times New Roman" w:cs="Times New Roman"/>
                <w:iCs/>
                <w:sz w:val="20"/>
                <w:szCs w:val="20"/>
                <w:lang w:eastAsia="sk-SK"/>
              </w:rPr>
              <w:t> 0</w:t>
            </w:r>
            <w:r w:rsidR="00012F48" w:rsidRPr="006C79A2">
              <w:rPr>
                <w:rFonts w:ascii="Times New Roman" w:eastAsia="Times New Roman" w:hAnsi="Times New Roman" w:cs="Times New Roman"/>
                <w:iCs/>
                <w:sz w:val="20"/>
                <w:szCs w:val="20"/>
                <w:lang w:eastAsia="sk-SK"/>
              </w:rPr>
              <w:t>0</w:t>
            </w:r>
            <w:r w:rsidR="00576800" w:rsidRPr="006C79A2">
              <w:rPr>
                <w:rFonts w:ascii="Times New Roman" w:eastAsia="Times New Roman" w:hAnsi="Times New Roman" w:cs="Times New Roman"/>
                <w:iCs/>
                <w:sz w:val="20"/>
                <w:szCs w:val="20"/>
                <w:lang w:eastAsia="sk-SK"/>
              </w:rPr>
              <w:t xml:space="preserve">0 </w:t>
            </w:r>
            <w:r w:rsidRPr="006C79A2">
              <w:rPr>
                <w:rFonts w:ascii="Times New Roman" w:eastAsia="Times New Roman" w:hAnsi="Times New Roman" w:cs="Times New Roman"/>
                <w:iCs/>
                <w:sz w:val="20"/>
                <w:szCs w:val="20"/>
                <w:lang w:eastAsia="sk-SK"/>
              </w:rPr>
              <w:t>000</w:t>
            </w:r>
          </w:p>
        </w:tc>
        <w:tc>
          <w:tcPr>
            <w:tcW w:w="2220" w:type="dxa"/>
            <w:gridSpan w:val="2"/>
            <w:tcBorders>
              <w:top w:val="nil"/>
              <w:left w:val="nil"/>
              <w:bottom w:val="single" w:sz="4" w:space="0" w:color="auto"/>
              <w:right w:val="single" w:sz="4" w:space="0" w:color="auto"/>
            </w:tcBorders>
            <w:noWrap/>
            <w:vAlign w:val="bottom"/>
          </w:tcPr>
          <w:p w14:paraId="12B4C7BA" w14:textId="77777777" w:rsidR="0057229C" w:rsidRPr="006C79A2" w:rsidRDefault="0057229C" w:rsidP="009A5AE4">
            <w:pPr>
              <w:spacing w:after="0" w:line="240" w:lineRule="auto"/>
              <w:rPr>
                <w:rFonts w:ascii="Times New Roman" w:eastAsia="Times New Roman" w:hAnsi="Times New Roman" w:cs="Times New Roman"/>
                <w:iCs/>
                <w:sz w:val="24"/>
                <w:szCs w:val="24"/>
                <w:lang w:eastAsia="sk-SK"/>
              </w:rPr>
            </w:pPr>
            <w:r w:rsidRPr="006C79A2">
              <w:rPr>
                <w:rFonts w:ascii="Times New Roman" w:eastAsia="Times New Roman" w:hAnsi="Times New Roman" w:cs="Times New Roman"/>
                <w:iCs/>
                <w:sz w:val="24"/>
                <w:szCs w:val="24"/>
                <w:lang w:eastAsia="sk-SK"/>
              </w:rPr>
              <w:t> </w:t>
            </w:r>
          </w:p>
        </w:tc>
      </w:tr>
      <w:tr w:rsidR="0057229C" w:rsidRPr="006C79A2" w14:paraId="66D4B7D7" w14:textId="77777777" w:rsidTr="00E21A0C">
        <w:trPr>
          <w:trHeight w:val="255"/>
        </w:trPr>
        <w:tc>
          <w:tcPr>
            <w:tcW w:w="7070" w:type="dxa"/>
            <w:tcBorders>
              <w:top w:val="nil"/>
              <w:left w:val="single" w:sz="4" w:space="0" w:color="auto"/>
              <w:bottom w:val="single" w:sz="4" w:space="0" w:color="auto"/>
              <w:right w:val="single" w:sz="4" w:space="0" w:color="auto"/>
            </w:tcBorders>
            <w:vAlign w:val="center"/>
          </w:tcPr>
          <w:p w14:paraId="1FBCA57C" w14:textId="77777777" w:rsidR="0057229C" w:rsidRPr="006C79A2" w:rsidRDefault="0057229C" w:rsidP="009A5AE4">
            <w:pPr>
              <w:spacing w:after="0" w:line="240" w:lineRule="auto"/>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  Splácanie úrokov a ostatné platby súvisiace s </w:t>
            </w:r>
            <w:r w:rsidRPr="006C79A2">
              <w:t xml:space="preserve"> </w:t>
            </w:r>
            <w:r w:rsidRPr="006C79A2">
              <w:rPr>
                <w:rFonts w:ascii="Times New Roman" w:eastAsia="Times New Roman" w:hAnsi="Times New Roman" w:cs="Times New Roman"/>
                <w:sz w:val="20"/>
                <w:szCs w:val="20"/>
                <w:lang w:eastAsia="sk-SK"/>
              </w:rPr>
              <w:t>úverom, pôžičkou, návratnou finančnou výpomocou a finančným prenájmom (650)</w:t>
            </w:r>
            <w:r w:rsidRPr="006C79A2">
              <w:rPr>
                <w:rFonts w:ascii="Times New Roman" w:eastAsia="Times New Roman" w:hAnsi="Times New Roman" w:cs="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cPr>
          <w:p w14:paraId="4F907850" w14:textId="77777777" w:rsidR="0057229C" w:rsidRPr="006C79A2" w:rsidRDefault="0057229C" w:rsidP="000E7C00">
            <w:pPr>
              <w:spacing w:after="0" w:line="240" w:lineRule="auto"/>
              <w:jc w:val="right"/>
              <w:rPr>
                <w:rFonts w:ascii="Times New Roman" w:eastAsia="Times New Roman" w:hAnsi="Times New Roman" w:cs="Times New Roman"/>
                <w:i/>
                <w:sz w:val="20"/>
                <w:szCs w:val="20"/>
                <w:lang w:eastAsia="sk-SK"/>
              </w:rPr>
            </w:pPr>
          </w:p>
        </w:tc>
        <w:tc>
          <w:tcPr>
            <w:tcW w:w="1540" w:type="dxa"/>
            <w:tcBorders>
              <w:top w:val="nil"/>
              <w:left w:val="single" w:sz="4" w:space="0" w:color="auto"/>
              <w:bottom w:val="single" w:sz="4" w:space="0" w:color="auto"/>
              <w:right w:val="single" w:sz="4" w:space="0" w:color="auto"/>
            </w:tcBorders>
          </w:tcPr>
          <w:p w14:paraId="23254909" w14:textId="43207760" w:rsidR="0057229C" w:rsidRPr="006C79A2" w:rsidRDefault="0057229C" w:rsidP="000E7C00">
            <w:pPr>
              <w:spacing w:after="0" w:line="240" w:lineRule="auto"/>
              <w:jc w:val="right"/>
              <w:rPr>
                <w:rFonts w:ascii="Times New Roman" w:eastAsia="Times New Roman" w:hAnsi="Times New Roman" w:cs="Times New Roman"/>
                <w:i/>
                <w:sz w:val="20"/>
                <w:szCs w:val="20"/>
                <w:lang w:eastAsia="sk-SK"/>
              </w:rPr>
            </w:pPr>
          </w:p>
        </w:tc>
        <w:tc>
          <w:tcPr>
            <w:tcW w:w="1540" w:type="dxa"/>
            <w:tcBorders>
              <w:top w:val="nil"/>
              <w:left w:val="nil"/>
              <w:bottom w:val="single" w:sz="4" w:space="0" w:color="auto"/>
              <w:right w:val="single" w:sz="4" w:space="0" w:color="auto"/>
            </w:tcBorders>
          </w:tcPr>
          <w:p w14:paraId="686FA094" w14:textId="77777777" w:rsidR="0057229C" w:rsidRPr="006C79A2" w:rsidRDefault="0057229C" w:rsidP="009A5AE4">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D704474" w14:textId="77777777" w:rsidR="0057229C" w:rsidRPr="006C79A2" w:rsidRDefault="0057229C" w:rsidP="009A5AE4">
            <w:pPr>
              <w:spacing w:after="0" w:line="240" w:lineRule="auto"/>
              <w:jc w:val="center"/>
              <w:rPr>
                <w:rFonts w:ascii="Times New Roman" w:eastAsia="Times New Roman" w:hAnsi="Times New Roman" w:cs="Times New Roman"/>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2BAB547B"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p>
        </w:tc>
      </w:tr>
      <w:tr w:rsidR="0057229C" w:rsidRPr="006C79A2" w14:paraId="40A19F5D" w14:textId="77777777" w:rsidTr="00E21A0C">
        <w:trPr>
          <w:trHeight w:val="255"/>
        </w:trPr>
        <w:tc>
          <w:tcPr>
            <w:tcW w:w="7070" w:type="dxa"/>
            <w:tcBorders>
              <w:top w:val="nil"/>
              <w:left w:val="single" w:sz="4" w:space="0" w:color="auto"/>
              <w:bottom w:val="single" w:sz="4" w:space="0" w:color="auto"/>
              <w:right w:val="single" w:sz="4" w:space="0" w:color="auto"/>
            </w:tcBorders>
          </w:tcPr>
          <w:p w14:paraId="099DA60D" w14:textId="77777777" w:rsidR="0057229C" w:rsidRPr="006C79A2" w:rsidRDefault="0057229C" w:rsidP="009A5AE4">
            <w:pPr>
              <w:spacing w:after="0" w:line="240" w:lineRule="auto"/>
              <w:rPr>
                <w:rFonts w:ascii="Times New Roman" w:eastAsia="Times New Roman" w:hAnsi="Times New Roman" w:cs="Times New Roman"/>
                <w:b/>
                <w:bCs/>
                <w:sz w:val="20"/>
                <w:szCs w:val="20"/>
                <w:lang w:eastAsia="sk-SK"/>
              </w:rPr>
            </w:pPr>
            <w:r w:rsidRPr="006C79A2">
              <w:rPr>
                <w:rFonts w:ascii="Times New Roman" w:eastAsia="Times New Roman" w:hAnsi="Times New Roman" w:cs="Times New Roman"/>
                <w:b/>
                <w:bCs/>
                <w:sz w:val="20"/>
                <w:szCs w:val="20"/>
                <w:lang w:eastAsia="sk-SK"/>
              </w:rPr>
              <w:t>Kapitálové výdavky (700)</w:t>
            </w:r>
          </w:p>
        </w:tc>
        <w:tc>
          <w:tcPr>
            <w:tcW w:w="1540" w:type="dxa"/>
            <w:tcBorders>
              <w:top w:val="single" w:sz="4" w:space="0" w:color="auto"/>
              <w:left w:val="nil"/>
              <w:bottom w:val="single" w:sz="4" w:space="0" w:color="auto"/>
              <w:right w:val="single" w:sz="4" w:space="0" w:color="auto"/>
            </w:tcBorders>
          </w:tcPr>
          <w:p w14:paraId="4D60F5AF" w14:textId="77777777" w:rsidR="0057229C" w:rsidRPr="006C79A2" w:rsidRDefault="0057229C" w:rsidP="004F437D">
            <w:pPr>
              <w:spacing w:after="0" w:line="240" w:lineRule="auto"/>
              <w:jc w:val="center"/>
              <w:rPr>
                <w:rFonts w:ascii="Times New Roman" w:eastAsia="Times New Roman" w:hAnsi="Times New Roman" w:cs="Times New Roman"/>
                <w:b/>
                <w:bCs/>
                <w:iCs/>
                <w:sz w:val="20"/>
                <w:szCs w:val="20"/>
                <w:lang w:eastAsia="sk-SK"/>
              </w:rPr>
            </w:pPr>
          </w:p>
        </w:tc>
        <w:tc>
          <w:tcPr>
            <w:tcW w:w="1540" w:type="dxa"/>
            <w:tcBorders>
              <w:top w:val="nil"/>
              <w:left w:val="single" w:sz="4" w:space="0" w:color="auto"/>
              <w:bottom w:val="single" w:sz="4" w:space="0" w:color="auto"/>
              <w:right w:val="single" w:sz="4" w:space="0" w:color="auto"/>
            </w:tcBorders>
          </w:tcPr>
          <w:p w14:paraId="7FF7E642" w14:textId="3C1B5A60" w:rsidR="0057229C" w:rsidRPr="006C79A2" w:rsidRDefault="0057229C" w:rsidP="004F437D">
            <w:pPr>
              <w:spacing w:after="0" w:line="240" w:lineRule="auto"/>
              <w:jc w:val="center"/>
              <w:rPr>
                <w:rFonts w:ascii="Times New Roman" w:eastAsia="Times New Roman" w:hAnsi="Times New Roman" w:cs="Times New Roman"/>
                <w:b/>
                <w:bCs/>
                <w:iCs/>
                <w:sz w:val="20"/>
                <w:szCs w:val="20"/>
                <w:lang w:eastAsia="sk-SK"/>
              </w:rPr>
            </w:pPr>
          </w:p>
        </w:tc>
        <w:tc>
          <w:tcPr>
            <w:tcW w:w="1540" w:type="dxa"/>
            <w:tcBorders>
              <w:top w:val="nil"/>
              <w:left w:val="nil"/>
              <w:bottom w:val="single" w:sz="4" w:space="0" w:color="auto"/>
              <w:right w:val="single" w:sz="4" w:space="0" w:color="auto"/>
            </w:tcBorders>
          </w:tcPr>
          <w:p w14:paraId="64497240" w14:textId="154967AF" w:rsidR="0057229C" w:rsidRPr="006C79A2" w:rsidRDefault="0057229C" w:rsidP="004F437D">
            <w:pPr>
              <w:spacing w:after="0" w:line="240" w:lineRule="auto"/>
              <w:jc w:val="center"/>
              <w:rPr>
                <w:rFonts w:ascii="Times New Roman" w:eastAsia="Times New Roman" w:hAnsi="Times New Roman" w:cs="Times New Roman"/>
                <w:b/>
                <w:bCs/>
                <w:iCs/>
                <w:sz w:val="20"/>
                <w:szCs w:val="20"/>
                <w:lang w:eastAsia="sk-SK"/>
              </w:rPr>
            </w:pPr>
          </w:p>
        </w:tc>
        <w:tc>
          <w:tcPr>
            <w:tcW w:w="1540" w:type="dxa"/>
            <w:tcBorders>
              <w:top w:val="nil"/>
              <w:left w:val="nil"/>
              <w:bottom w:val="single" w:sz="4" w:space="0" w:color="auto"/>
              <w:right w:val="single" w:sz="4" w:space="0" w:color="auto"/>
            </w:tcBorders>
          </w:tcPr>
          <w:p w14:paraId="70B10040" w14:textId="5C4D1C74" w:rsidR="0057229C" w:rsidRPr="006C79A2" w:rsidRDefault="0057229C" w:rsidP="004F437D">
            <w:pPr>
              <w:spacing w:after="0" w:line="240" w:lineRule="auto"/>
              <w:jc w:val="center"/>
              <w:rPr>
                <w:rFonts w:ascii="Times New Roman" w:eastAsia="Times New Roman" w:hAnsi="Times New Roman" w:cs="Times New Roman"/>
                <w:b/>
                <w:bCs/>
                <w:iCs/>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7406B6D9"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57229C" w:rsidRPr="006C79A2" w14:paraId="162E9B18" w14:textId="77777777" w:rsidTr="00E21A0C">
        <w:trPr>
          <w:trHeight w:val="255"/>
        </w:trPr>
        <w:tc>
          <w:tcPr>
            <w:tcW w:w="7070" w:type="dxa"/>
            <w:tcBorders>
              <w:top w:val="nil"/>
              <w:left w:val="single" w:sz="4" w:space="0" w:color="auto"/>
              <w:bottom w:val="single" w:sz="4" w:space="0" w:color="auto"/>
              <w:right w:val="single" w:sz="4" w:space="0" w:color="auto"/>
            </w:tcBorders>
          </w:tcPr>
          <w:p w14:paraId="136B886E" w14:textId="77777777" w:rsidR="0057229C" w:rsidRPr="006C79A2" w:rsidRDefault="0057229C" w:rsidP="009A5AE4">
            <w:pPr>
              <w:spacing w:after="0" w:line="240" w:lineRule="auto"/>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  Obstarávanie kapitálových aktív (710)</w:t>
            </w:r>
            <w:r w:rsidRPr="006C79A2">
              <w:rPr>
                <w:rFonts w:ascii="Times New Roman" w:eastAsia="Times New Roman" w:hAnsi="Times New Roman" w:cs="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cPr>
          <w:p w14:paraId="64DA46EC" w14:textId="77777777" w:rsidR="0057229C" w:rsidRPr="006C79A2" w:rsidRDefault="0057229C" w:rsidP="000E7C00">
            <w:pPr>
              <w:spacing w:after="0" w:line="240" w:lineRule="auto"/>
              <w:jc w:val="right"/>
              <w:rPr>
                <w:rFonts w:ascii="Times New Roman" w:eastAsia="Times New Roman" w:hAnsi="Times New Roman" w:cs="Times New Roman"/>
                <w:i/>
                <w:sz w:val="20"/>
                <w:szCs w:val="20"/>
                <w:lang w:eastAsia="sk-SK"/>
              </w:rPr>
            </w:pPr>
          </w:p>
        </w:tc>
        <w:tc>
          <w:tcPr>
            <w:tcW w:w="1540" w:type="dxa"/>
            <w:tcBorders>
              <w:top w:val="nil"/>
              <w:left w:val="single" w:sz="4" w:space="0" w:color="auto"/>
              <w:bottom w:val="single" w:sz="4" w:space="0" w:color="auto"/>
              <w:right w:val="single" w:sz="4" w:space="0" w:color="auto"/>
            </w:tcBorders>
          </w:tcPr>
          <w:p w14:paraId="1F5DAF0B" w14:textId="7474D223" w:rsidR="0057229C" w:rsidRPr="006C79A2" w:rsidRDefault="0057229C" w:rsidP="00181B87">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6810EC9F" w14:textId="04881AB2" w:rsidR="0057229C" w:rsidRPr="006C79A2" w:rsidRDefault="0057229C" w:rsidP="009A5AE4">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6C526F5E" w14:textId="0066D864" w:rsidR="0057229C" w:rsidRPr="006C79A2" w:rsidRDefault="0057229C" w:rsidP="009A5AE4">
            <w:pPr>
              <w:spacing w:after="0" w:line="240" w:lineRule="auto"/>
              <w:jc w:val="center"/>
              <w:rPr>
                <w:rFonts w:ascii="Times New Roman" w:eastAsia="Times New Roman" w:hAnsi="Times New Roman" w:cs="Times New Roman"/>
                <w:iCs/>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31940272"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57229C" w:rsidRPr="006C79A2" w14:paraId="30EF5425" w14:textId="77777777" w:rsidTr="00E21A0C">
        <w:trPr>
          <w:trHeight w:val="255"/>
        </w:trPr>
        <w:tc>
          <w:tcPr>
            <w:tcW w:w="7070" w:type="dxa"/>
            <w:tcBorders>
              <w:top w:val="nil"/>
              <w:left w:val="single" w:sz="4" w:space="0" w:color="auto"/>
              <w:bottom w:val="single" w:sz="4" w:space="0" w:color="auto"/>
              <w:right w:val="single" w:sz="4" w:space="0" w:color="auto"/>
            </w:tcBorders>
          </w:tcPr>
          <w:p w14:paraId="1500ACBB" w14:textId="77777777" w:rsidR="0057229C" w:rsidRPr="006C79A2" w:rsidRDefault="0057229C" w:rsidP="009A5AE4">
            <w:pPr>
              <w:spacing w:after="0" w:line="240" w:lineRule="auto"/>
              <w:rPr>
                <w:rFonts w:ascii="Times New Roman" w:eastAsia="Times New Roman" w:hAnsi="Times New Roman" w:cs="Times New Roman"/>
                <w:sz w:val="20"/>
                <w:szCs w:val="20"/>
                <w:lang w:eastAsia="sk-SK"/>
              </w:rPr>
            </w:pPr>
            <w:r w:rsidRPr="006C79A2">
              <w:rPr>
                <w:rFonts w:ascii="Times New Roman" w:eastAsia="Times New Roman" w:hAnsi="Times New Roman" w:cs="Times New Roman"/>
                <w:sz w:val="20"/>
                <w:szCs w:val="20"/>
                <w:lang w:eastAsia="sk-SK"/>
              </w:rPr>
              <w:t xml:space="preserve">  Kapitálové transfery (720)</w:t>
            </w:r>
            <w:r w:rsidRPr="006C79A2">
              <w:rPr>
                <w:rFonts w:ascii="Times New Roman" w:eastAsia="Times New Roman" w:hAnsi="Times New Roman" w:cs="Times New Roman"/>
                <w:sz w:val="20"/>
                <w:szCs w:val="20"/>
                <w:vertAlign w:val="superscript"/>
                <w:lang w:eastAsia="sk-SK"/>
              </w:rPr>
              <w:t>2</w:t>
            </w:r>
          </w:p>
        </w:tc>
        <w:tc>
          <w:tcPr>
            <w:tcW w:w="1540" w:type="dxa"/>
            <w:tcBorders>
              <w:top w:val="single" w:sz="4" w:space="0" w:color="auto"/>
              <w:left w:val="nil"/>
              <w:bottom w:val="single" w:sz="4" w:space="0" w:color="auto"/>
              <w:right w:val="single" w:sz="4" w:space="0" w:color="auto"/>
            </w:tcBorders>
          </w:tcPr>
          <w:p w14:paraId="3438BA8E" w14:textId="77777777" w:rsidR="0057229C" w:rsidRPr="006C79A2" w:rsidRDefault="0057229C" w:rsidP="00047043">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single" w:sz="4" w:space="0" w:color="auto"/>
              <w:bottom w:val="single" w:sz="4" w:space="0" w:color="auto"/>
              <w:right w:val="single" w:sz="4" w:space="0" w:color="auto"/>
            </w:tcBorders>
          </w:tcPr>
          <w:p w14:paraId="55EF4093" w14:textId="073A8D2E" w:rsidR="0057229C" w:rsidRPr="006C79A2" w:rsidRDefault="0057229C" w:rsidP="00047043">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568D1B8C" w14:textId="6C46CF3C" w:rsidR="0057229C" w:rsidRPr="006C79A2" w:rsidRDefault="0057229C" w:rsidP="009A5AE4">
            <w:pPr>
              <w:spacing w:after="0" w:line="240" w:lineRule="auto"/>
              <w:jc w:val="center"/>
              <w:rPr>
                <w:rFonts w:ascii="Times New Roman" w:eastAsia="Times New Roman" w:hAnsi="Times New Roman" w:cs="Times New Roman"/>
                <w:iCs/>
                <w:sz w:val="20"/>
                <w:szCs w:val="20"/>
                <w:lang w:eastAsia="sk-SK"/>
              </w:rPr>
            </w:pPr>
          </w:p>
        </w:tc>
        <w:tc>
          <w:tcPr>
            <w:tcW w:w="1540" w:type="dxa"/>
            <w:tcBorders>
              <w:top w:val="nil"/>
              <w:left w:val="nil"/>
              <w:bottom w:val="single" w:sz="4" w:space="0" w:color="auto"/>
              <w:right w:val="single" w:sz="4" w:space="0" w:color="auto"/>
            </w:tcBorders>
          </w:tcPr>
          <w:p w14:paraId="7E66A305" w14:textId="73893378" w:rsidR="0057229C" w:rsidRPr="006C79A2" w:rsidRDefault="0057229C" w:rsidP="009A5AE4">
            <w:pPr>
              <w:spacing w:after="0" w:line="240" w:lineRule="auto"/>
              <w:jc w:val="center"/>
              <w:rPr>
                <w:rFonts w:ascii="Times New Roman" w:eastAsia="Times New Roman" w:hAnsi="Times New Roman" w:cs="Times New Roman"/>
                <w:iCs/>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1C59827A"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57229C" w:rsidRPr="006C79A2" w14:paraId="04426D34" w14:textId="77777777" w:rsidTr="00E21A0C">
        <w:trPr>
          <w:trHeight w:val="255"/>
        </w:trPr>
        <w:tc>
          <w:tcPr>
            <w:tcW w:w="7070" w:type="dxa"/>
            <w:tcBorders>
              <w:top w:val="nil"/>
              <w:left w:val="single" w:sz="4" w:space="0" w:color="auto"/>
              <w:bottom w:val="single" w:sz="4" w:space="0" w:color="auto"/>
              <w:right w:val="single" w:sz="4" w:space="0" w:color="auto"/>
            </w:tcBorders>
          </w:tcPr>
          <w:p w14:paraId="687BD067" w14:textId="77777777" w:rsidR="0057229C" w:rsidRPr="006C79A2" w:rsidRDefault="0057229C" w:rsidP="009A5AE4">
            <w:pPr>
              <w:spacing w:after="0" w:line="240" w:lineRule="auto"/>
              <w:rPr>
                <w:rFonts w:ascii="Times New Roman" w:eastAsia="Times New Roman" w:hAnsi="Times New Roman" w:cs="Times New Roman"/>
                <w:b/>
                <w:bCs/>
                <w:sz w:val="20"/>
                <w:szCs w:val="20"/>
                <w:lang w:eastAsia="sk-SK"/>
              </w:rPr>
            </w:pPr>
            <w:r w:rsidRPr="006C79A2">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cPr>
          <w:p w14:paraId="2FD4E7CE" w14:textId="77777777" w:rsidR="0057229C" w:rsidRPr="006C79A2" w:rsidRDefault="0057229C" w:rsidP="000E7C00">
            <w:pPr>
              <w:spacing w:after="0" w:line="240" w:lineRule="auto"/>
              <w:jc w:val="right"/>
              <w:rPr>
                <w:rFonts w:ascii="Times New Roman" w:eastAsia="Times New Roman" w:hAnsi="Times New Roman" w:cs="Times New Roman"/>
                <w:b/>
                <w:bCs/>
                <w:i/>
                <w:sz w:val="20"/>
                <w:szCs w:val="20"/>
                <w:lang w:eastAsia="sk-SK"/>
              </w:rPr>
            </w:pPr>
          </w:p>
        </w:tc>
        <w:tc>
          <w:tcPr>
            <w:tcW w:w="1540" w:type="dxa"/>
            <w:tcBorders>
              <w:top w:val="nil"/>
              <w:left w:val="single" w:sz="4" w:space="0" w:color="auto"/>
              <w:bottom w:val="single" w:sz="4" w:space="0" w:color="auto"/>
              <w:right w:val="single" w:sz="4" w:space="0" w:color="auto"/>
            </w:tcBorders>
            <w:shd w:val="clear" w:color="auto" w:fill="auto"/>
          </w:tcPr>
          <w:p w14:paraId="70F6EBC3" w14:textId="7F59B72B" w:rsidR="0057229C" w:rsidRPr="006C79A2" w:rsidRDefault="0057229C" w:rsidP="000E7C00">
            <w:pPr>
              <w:spacing w:after="0" w:line="240" w:lineRule="auto"/>
              <w:jc w:val="right"/>
              <w:rPr>
                <w:rFonts w:ascii="Times New Roman" w:eastAsia="Times New Roman" w:hAnsi="Times New Roman" w:cs="Times New Roman"/>
                <w:b/>
                <w:bCs/>
                <w:i/>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4BBF8AB4" w14:textId="71887A67" w:rsidR="0057229C" w:rsidRPr="006C79A2" w:rsidRDefault="0057229C" w:rsidP="009A5AE4">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auto"/>
          </w:tcPr>
          <w:p w14:paraId="0E3906C4" w14:textId="1BCCAC58" w:rsidR="0057229C" w:rsidRPr="006C79A2" w:rsidRDefault="0057229C" w:rsidP="009A5AE4">
            <w:pPr>
              <w:spacing w:after="0" w:line="240" w:lineRule="auto"/>
              <w:jc w:val="center"/>
              <w:rPr>
                <w:rFonts w:ascii="Times New Roman" w:eastAsia="Times New Roman" w:hAnsi="Times New Roman" w:cs="Times New Roman"/>
                <w:b/>
                <w:bCs/>
                <w:sz w:val="20"/>
                <w:szCs w:val="20"/>
                <w:lang w:eastAsia="sk-SK"/>
              </w:rPr>
            </w:pPr>
          </w:p>
        </w:tc>
        <w:tc>
          <w:tcPr>
            <w:tcW w:w="2220" w:type="dxa"/>
            <w:gridSpan w:val="2"/>
            <w:tcBorders>
              <w:top w:val="nil"/>
              <w:left w:val="nil"/>
              <w:bottom w:val="single" w:sz="4" w:space="0" w:color="auto"/>
              <w:right w:val="single" w:sz="4" w:space="0" w:color="auto"/>
            </w:tcBorders>
            <w:noWrap/>
            <w:vAlign w:val="bottom"/>
          </w:tcPr>
          <w:p w14:paraId="77FB719C"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57229C" w:rsidRPr="006C79A2" w14:paraId="55E7BCC8" w14:textId="77777777" w:rsidTr="00E21A0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641D5D" w14:textId="77777777" w:rsidR="0057229C" w:rsidRPr="006C79A2" w:rsidRDefault="0057229C" w:rsidP="009A5AE4">
            <w:pPr>
              <w:spacing w:after="0" w:line="240" w:lineRule="auto"/>
              <w:rPr>
                <w:rFonts w:ascii="Times New Roman" w:eastAsia="Times New Roman" w:hAnsi="Times New Roman" w:cs="Times New Roman"/>
                <w:b/>
                <w:bCs/>
                <w:sz w:val="20"/>
                <w:szCs w:val="20"/>
                <w:lang w:eastAsia="sk-SK"/>
              </w:rPr>
            </w:pPr>
            <w:r w:rsidRPr="006C79A2">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AD98EDF" w14:textId="77777777" w:rsidR="0057229C" w:rsidRPr="006C79A2" w:rsidRDefault="0057229C" w:rsidP="001941B5">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C7387A" w14:textId="3C79139B" w:rsidR="0057229C" w:rsidRPr="006C79A2" w:rsidRDefault="00043348" w:rsidP="001941B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FCE62EF" w14:textId="4CC3B290" w:rsidR="0057229C" w:rsidRPr="006C79A2" w:rsidRDefault="00043348" w:rsidP="001941B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BB630A8" w14:textId="3155E118" w:rsidR="0057229C" w:rsidRPr="006C79A2" w:rsidRDefault="00043348" w:rsidP="001941B5">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1 000 000</w:t>
            </w:r>
          </w:p>
        </w:tc>
        <w:tc>
          <w:tcPr>
            <w:tcW w:w="222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207878B" w14:textId="77777777" w:rsidR="0057229C" w:rsidRPr="006C79A2" w:rsidRDefault="0057229C" w:rsidP="009A5AE4">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bl>
    <w:p w14:paraId="364223F7" w14:textId="77777777" w:rsidR="0083676F" w:rsidRPr="006C79A2" w:rsidRDefault="0083676F" w:rsidP="0083676F">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6C79A2">
        <w:rPr>
          <w:rFonts w:ascii="Times New Roman" w:eastAsia="Times New Roman" w:hAnsi="Times New Roman" w:cs="Times New Roman"/>
          <w:bCs/>
          <w:sz w:val="20"/>
          <w:szCs w:val="20"/>
          <w:lang w:eastAsia="sk-SK"/>
        </w:rPr>
        <w:t>2 –  výdavky rozpísať až do položiek platnej ekonomickej klasifikácie</w:t>
      </w:r>
    </w:p>
    <w:p w14:paraId="2D5CD525" w14:textId="5D254226" w:rsidR="007D5748" w:rsidRPr="006C79A2"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9678E1C" w14:textId="7D0D2175" w:rsidR="004F437D" w:rsidRPr="006C79A2" w:rsidRDefault="007E674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6C79A2">
        <w:rPr>
          <w:rFonts w:ascii="Times New Roman" w:eastAsia="Times New Roman" w:hAnsi="Times New Roman" w:cs="Times New Roman"/>
          <w:bCs/>
          <w:sz w:val="20"/>
          <w:szCs w:val="20"/>
          <w:lang w:eastAsia="sk-SK"/>
        </w:rPr>
        <w:t xml:space="preserve"> </w:t>
      </w:r>
    </w:p>
    <w:p w14:paraId="31F70A25" w14:textId="6D4D069B"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F0347FE" w14:textId="7BEDB376"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90AAE0D" w14:textId="59C4100C"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1A888B4" w14:textId="49915441"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75A2CE9" w14:textId="0979C4AF"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F7B1F7B" w14:textId="5173641C"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2D46960" w14:textId="39DB7499"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14DA90" w14:textId="42119D01"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8C10F46" w14:textId="6173B716"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F43ABD9" w14:textId="52246A0A"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A04E30A" w14:textId="0886D592"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7BBFAD6" w14:textId="4192B171"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3AE23C1" w14:textId="3A9E6593"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9AB96A9" w14:textId="6414E1BF" w:rsidR="004F437D" w:rsidRPr="006C79A2" w:rsidRDefault="004F437D"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0255792" w14:textId="77777777" w:rsidR="000D2D3F" w:rsidRPr="006C79A2" w:rsidRDefault="000D2D3F"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1EA720A" w14:textId="59D2B288" w:rsidR="007307A3" w:rsidRPr="006C79A2" w:rsidRDefault="007307A3" w:rsidP="004C678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D669D8D" w14:textId="05C3C0D5" w:rsidR="005D7473" w:rsidRPr="006C79A2" w:rsidRDefault="004C6780"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Pr="006C79A2">
        <w:rPr>
          <w:rFonts w:ascii="Times New Roman" w:eastAsia="Times New Roman" w:hAnsi="Times New Roman" w:cs="Times New Roman"/>
          <w:bCs/>
          <w:sz w:val="24"/>
          <w:szCs w:val="20"/>
          <w:lang w:eastAsia="sk-SK"/>
        </w:rPr>
        <w:tab/>
      </w:r>
      <w:r w:rsidR="00B27458" w:rsidRPr="006C79A2">
        <w:rPr>
          <w:rFonts w:ascii="Times New Roman" w:eastAsia="Times New Roman" w:hAnsi="Times New Roman" w:cs="Times New Roman"/>
          <w:bCs/>
          <w:sz w:val="24"/>
          <w:szCs w:val="20"/>
          <w:lang w:eastAsia="sk-SK"/>
        </w:rPr>
        <w:tab/>
        <w:t xml:space="preserve"> Tabuľka č. 5</w:t>
      </w:r>
    </w:p>
    <w:p w14:paraId="54B6EF61" w14:textId="77777777" w:rsidR="005D7473" w:rsidRPr="006C79A2" w:rsidRDefault="005D7473"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6C79A2" w14:paraId="1965F21B" w14:textId="77777777" w:rsidTr="009426B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EA4A5"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2EDF1D5E"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76674E" w14:textId="77777777" w:rsidR="007D5748" w:rsidRPr="006C79A2" w:rsidRDefault="007D5748"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poznámka</w:t>
            </w:r>
          </w:p>
        </w:tc>
      </w:tr>
      <w:tr w:rsidR="004C6780" w:rsidRPr="006C79A2" w14:paraId="2BF37B40" w14:textId="77777777" w:rsidTr="004C678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05B652" w14:textId="77777777" w:rsidR="004C6780" w:rsidRPr="006C79A2" w:rsidRDefault="004C6780" w:rsidP="004C6780">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313050B1" w14:textId="48A2BDEA" w:rsidR="004C6780" w:rsidRPr="006C79A2" w:rsidRDefault="007D6F20"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2</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2594552B" w14:textId="265C9725" w:rsidR="004C6780" w:rsidRPr="006C79A2" w:rsidRDefault="007D6F20"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3</w:t>
            </w:r>
          </w:p>
        </w:tc>
        <w:tc>
          <w:tcPr>
            <w:tcW w:w="2418" w:type="dxa"/>
            <w:gridSpan w:val="2"/>
            <w:tcBorders>
              <w:top w:val="nil"/>
              <w:left w:val="nil"/>
              <w:bottom w:val="single" w:sz="4" w:space="0" w:color="auto"/>
              <w:right w:val="single" w:sz="4" w:space="0" w:color="auto"/>
            </w:tcBorders>
            <w:shd w:val="clear" w:color="auto" w:fill="BFBFBF" w:themeFill="background1" w:themeFillShade="BF"/>
            <w:vAlign w:val="center"/>
          </w:tcPr>
          <w:p w14:paraId="4694154F" w14:textId="491F37D0" w:rsidR="004C6780" w:rsidRPr="006C79A2" w:rsidRDefault="007D6F20"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4</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14:paraId="3A024480" w14:textId="4DAD0A71" w:rsidR="004C6780" w:rsidRPr="006C79A2" w:rsidRDefault="007D6F20" w:rsidP="004C6780">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202</w:t>
            </w:r>
            <w:r w:rsidR="00FD61F0" w:rsidRPr="006C79A2">
              <w:rPr>
                <w:rFonts w:ascii="Times New Roman" w:eastAsia="Times New Roman" w:hAnsi="Times New Roman" w:cs="Times New Roman"/>
                <w:b/>
                <w:bCs/>
                <w:sz w:val="24"/>
                <w:szCs w:val="24"/>
                <w:lang w:eastAsia="sk-SK"/>
              </w:rPr>
              <w:t>5</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0AC350" w14:textId="77777777" w:rsidR="004C6780" w:rsidRPr="006C79A2" w:rsidRDefault="004C6780" w:rsidP="004C6780">
            <w:pPr>
              <w:spacing w:after="0" w:line="240" w:lineRule="auto"/>
              <w:rPr>
                <w:rFonts w:ascii="Times New Roman" w:eastAsia="Times New Roman" w:hAnsi="Times New Roman" w:cs="Times New Roman"/>
                <w:b/>
                <w:bCs/>
                <w:color w:val="FFFFFF"/>
                <w:sz w:val="24"/>
                <w:szCs w:val="24"/>
                <w:lang w:eastAsia="sk-SK"/>
              </w:rPr>
            </w:pPr>
          </w:p>
        </w:tc>
      </w:tr>
      <w:tr w:rsidR="007D5748" w:rsidRPr="006C79A2" w14:paraId="64B31A56" w14:textId="77777777" w:rsidTr="009426BA">
        <w:trPr>
          <w:trHeight w:val="255"/>
        </w:trPr>
        <w:tc>
          <w:tcPr>
            <w:tcW w:w="6188" w:type="dxa"/>
            <w:tcBorders>
              <w:top w:val="nil"/>
              <w:left w:val="single" w:sz="4" w:space="0" w:color="auto"/>
              <w:bottom w:val="single" w:sz="4" w:space="0" w:color="auto"/>
              <w:right w:val="single" w:sz="4" w:space="0" w:color="auto"/>
            </w:tcBorders>
          </w:tcPr>
          <w:p w14:paraId="36CC2004"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4FF50428" w14:textId="02766FC4"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05AD500C" w14:textId="14AA5619"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14:paraId="64E483D8" w14:textId="65B5B0C8"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14:paraId="2DA2EB1C" w14:textId="064BE63D"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5E224B64"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172F1AE8" w14:textId="77777777" w:rsidTr="009426BA">
        <w:trPr>
          <w:trHeight w:val="255"/>
        </w:trPr>
        <w:tc>
          <w:tcPr>
            <w:tcW w:w="6188" w:type="dxa"/>
            <w:tcBorders>
              <w:top w:val="nil"/>
              <w:left w:val="single" w:sz="4" w:space="0" w:color="auto"/>
              <w:bottom w:val="single" w:sz="4" w:space="0" w:color="auto"/>
              <w:right w:val="single" w:sz="4" w:space="0" w:color="auto"/>
            </w:tcBorders>
          </w:tcPr>
          <w:p w14:paraId="46063B5F"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78207517" w14:textId="200884A5"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tcPr>
          <w:p w14:paraId="1038DB6F" w14:textId="01D58011"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14:paraId="7046F056" w14:textId="769EC2A5"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722" w:type="dxa"/>
            <w:tcBorders>
              <w:top w:val="single" w:sz="4" w:space="0" w:color="auto"/>
              <w:left w:val="nil"/>
              <w:bottom w:val="single" w:sz="4" w:space="0" w:color="auto"/>
              <w:right w:val="single" w:sz="4" w:space="0" w:color="auto"/>
            </w:tcBorders>
          </w:tcPr>
          <w:p w14:paraId="6C7F0A3A" w14:textId="439E362B"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60B83DFE"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r>
      <w:tr w:rsidR="007D5748" w:rsidRPr="006C79A2" w14:paraId="7990F1C9" w14:textId="77777777" w:rsidTr="009426BA">
        <w:trPr>
          <w:trHeight w:val="255"/>
        </w:trPr>
        <w:tc>
          <w:tcPr>
            <w:tcW w:w="6188" w:type="dxa"/>
            <w:tcBorders>
              <w:top w:val="nil"/>
              <w:left w:val="single" w:sz="4" w:space="0" w:color="auto"/>
              <w:bottom w:val="single" w:sz="4" w:space="0" w:color="auto"/>
              <w:right w:val="single" w:sz="4" w:space="0" w:color="auto"/>
            </w:tcBorders>
          </w:tcPr>
          <w:p w14:paraId="052803C3"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6B24FC45" w14:textId="28CC761F"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14:paraId="04EED842" w14:textId="0D79B0CE"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14:paraId="59EB12BF" w14:textId="10807C65"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14:paraId="2A3B2120" w14:textId="2C30F2F4" w:rsidR="007D5748" w:rsidRPr="006C79A2" w:rsidRDefault="00FD61F0" w:rsidP="007D5748">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39728624"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7BD14CAA" w14:textId="77777777" w:rsidTr="009426BA">
        <w:trPr>
          <w:trHeight w:val="255"/>
        </w:trPr>
        <w:tc>
          <w:tcPr>
            <w:tcW w:w="6188" w:type="dxa"/>
            <w:tcBorders>
              <w:top w:val="nil"/>
              <w:left w:val="single" w:sz="4" w:space="0" w:color="auto"/>
              <w:bottom w:val="single" w:sz="4" w:space="0" w:color="auto"/>
              <w:right w:val="single" w:sz="4" w:space="0" w:color="auto"/>
            </w:tcBorders>
          </w:tcPr>
          <w:p w14:paraId="48989CA3"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1BDF35B" w14:textId="410F2987" w:rsidR="007D5748" w:rsidRPr="006C79A2" w:rsidRDefault="00183E45"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r w:rsidR="007D5748" w:rsidRPr="006C79A2">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14:paraId="0F2DB13E" w14:textId="7DB8EBCB" w:rsidR="007D5748" w:rsidRPr="006C79A2" w:rsidRDefault="007D5748"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r w:rsidR="00183E45" w:rsidRPr="006C79A2">
              <w:rPr>
                <w:rFonts w:ascii="Times New Roman" w:eastAsia="Times New Roman" w:hAnsi="Times New Roman" w:cs="Times New Roman"/>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14:paraId="66F5606D" w14:textId="3A3ABD16" w:rsidR="007D5748" w:rsidRPr="006C79A2" w:rsidRDefault="007D5748"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r w:rsidR="00183E45" w:rsidRPr="006C79A2">
              <w:rPr>
                <w:rFonts w:ascii="Times New Roman" w:eastAsia="Times New Roman" w:hAnsi="Times New Roman" w:cs="Times New Roman"/>
                <w:sz w:val="24"/>
                <w:szCs w:val="24"/>
                <w:lang w:eastAsia="sk-SK"/>
              </w:rPr>
              <w:t>0</w:t>
            </w:r>
          </w:p>
        </w:tc>
        <w:tc>
          <w:tcPr>
            <w:tcW w:w="1722" w:type="dxa"/>
            <w:tcBorders>
              <w:top w:val="single" w:sz="4" w:space="0" w:color="auto"/>
              <w:left w:val="nil"/>
              <w:bottom w:val="single" w:sz="4" w:space="0" w:color="auto"/>
              <w:right w:val="single" w:sz="4" w:space="0" w:color="auto"/>
            </w:tcBorders>
          </w:tcPr>
          <w:p w14:paraId="6E812BAF" w14:textId="7A74D605" w:rsidR="007D5748" w:rsidRPr="006C79A2" w:rsidRDefault="007D5748"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r w:rsidR="00183E45" w:rsidRPr="006C79A2">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6C75BC9A"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AB071A" w:rsidRPr="006C79A2" w14:paraId="3D9E9778" w14:textId="77777777" w:rsidTr="009426B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2777052E" w14:textId="77777777" w:rsidR="00AB071A" w:rsidRPr="006C79A2" w:rsidRDefault="00AB071A" w:rsidP="00AB071A">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1C0E6D16" w14:textId="6CE54052"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707BA162" w14:textId="31E18725"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1EB15E0" w14:textId="340A6BF0"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42B31428" w14:textId="0EDB9355"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6B191DF1" w14:textId="77777777" w:rsidR="00AB071A" w:rsidRPr="006C79A2" w:rsidRDefault="00AB071A" w:rsidP="00AB071A">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r>
      <w:tr w:rsidR="00AB071A" w:rsidRPr="006C79A2" w14:paraId="51805E14" w14:textId="77777777" w:rsidTr="009426BA">
        <w:trPr>
          <w:trHeight w:val="255"/>
        </w:trPr>
        <w:tc>
          <w:tcPr>
            <w:tcW w:w="6188" w:type="dxa"/>
            <w:tcBorders>
              <w:top w:val="nil"/>
              <w:left w:val="single" w:sz="4" w:space="0" w:color="auto"/>
              <w:bottom w:val="single" w:sz="4" w:space="0" w:color="auto"/>
              <w:right w:val="single" w:sz="4" w:space="0" w:color="auto"/>
            </w:tcBorders>
          </w:tcPr>
          <w:p w14:paraId="0825A63F" w14:textId="77777777" w:rsidR="00AB071A" w:rsidRPr="006C79A2" w:rsidRDefault="00AB071A" w:rsidP="00AB071A">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27677596" w14:textId="18AFDFC0"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4716C5E5" w14:textId="2E27813F"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14:paraId="4FB2CA31" w14:textId="3C962614"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14:paraId="19039823" w14:textId="673F9F16"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39F0447E" w14:textId="77777777" w:rsidR="00AB071A" w:rsidRPr="006C79A2" w:rsidRDefault="00AB071A" w:rsidP="00AB071A">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r>
      <w:tr w:rsidR="00AB071A" w:rsidRPr="006C79A2" w14:paraId="0316B848" w14:textId="77777777" w:rsidTr="009426BA">
        <w:trPr>
          <w:trHeight w:val="255"/>
        </w:trPr>
        <w:tc>
          <w:tcPr>
            <w:tcW w:w="6188" w:type="dxa"/>
            <w:tcBorders>
              <w:top w:val="nil"/>
              <w:left w:val="single" w:sz="4" w:space="0" w:color="auto"/>
              <w:bottom w:val="single" w:sz="4" w:space="0" w:color="auto"/>
              <w:right w:val="single" w:sz="4" w:space="0" w:color="auto"/>
            </w:tcBorders>
          </w:tcPr>
          <w:p w14:paraId="44A609F8" w14:textId="77777777" w:rsidR="00AB071A" w:rsidRPr="006C79A2" w:rsidRDefault="00AB071A" w:rsidP="00AB071A">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0D94DBB" w14:textId="61530AB6" w:rsidR="00AB071A" w:rsidRPr="006C79A2" w:rsidRDefault="00AB071A" w:rsidP="00AB071A">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1B87C239" w14:textId="2D44CE0C" w:rsidR="00AB071A" w:rsidRPr="006C79A2" w:rsidRDefault="00AB071A" w:rsidP="00AB071A">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2418" w:type="dxa"/>
            <w:gridSpan w:val="2"/>
            <w:tcBorders>
              <w:top w:val="nil"/>
              <w:left w:val="nil"/>
              <w:bottom w:val="single" w:sz="4" w:space="0" w:color="auto"/>
              <w:right w:val="single" w:sz="4" w:space="0" w:color="auto"/>
            </w:tcBorders>
          </w:tcPr>
          <w:p w14:paraId="4232BC87" w14:textId="29C3E37B" w:rsidR="00AB071A" w:rsidRPr="006C79A2" w:rsidRDefault="00AB071A" w:rsidP="00AB071A">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14:paraId="2F776D3F" w14:textId="29252D9D" w:rsidR="00AB071A" w:rsidRPr="006C79A2" w:rsidRDefault="00AB071A" w:rsidP="00AB071A">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13A6DA70" w14:textId="77777777" w:rsidR="00AB071A" w:rsidRPr="006C79A2" w:rsidRDefault="00AB071A" w:rsidP="00AB071A">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AB071A" w:rsidRPr="006C79A2" w14:paraId="784A8427" w14:textId="77777777" w:rsidTr="009426BA">
        <w:trPr>
          <w:trHeight w:val="255"/>
        </w:trPr>
        <w:tc>
          <w:tcPr>
            <w:tcW w:w="6188" w:type="dxa"/>
            <w:tcBorders>
              <w:top w:val="nil"/>
              <w:left w:val="single" w:sz="4" w:space="0" w:color="auto"/>
              <w:bottom w:val="single" w:sz="4" w:space="0" w:color="auto"/>
              <w:right w:val="single" w:sz="4" w:space="0" w:color="auto"/>
            </w:tcBorders>
          </w:tcPr>
          <w:p w14:paraId="19A86179" w14:textId="77777777" w:rsidR="00AB071A" w:rsidRPr="006C79A2" w:rsidRDefault="00AB071A" w:rsidP="00AB071A">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6BB02517" w14:textId="0EC6F652"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5F8BD4CC" w14:textId="01E46DC7"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14:paraId="126F7040" w14:textId="3354116F"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14:paraId="58320E6E" w14:textId="3B2D9443" w:rsidR="00AB071A" w:rsidRPr="006C79A2" w:rsidRDefault="00FD61F0" w:rsidP="00AB071A">
            <w:pPr>
              <w:spacing w:after="0" w:line="240" w:lineRule="auto"/>
              <w:jc w:val="center"/>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1360813C" w14:textId="77777777" w:rsidR="00AB071A" w:rsidRPr="006C79A2" w:rsidRDefault="00AB071A" w:rsidP="00AB071A">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 </w:t>
            </w:r>
          </w:p>
        </w:tc>
      </w:tr>
      <w:tr w:rsidR="007D5748" w:rsidRPr="006C79A2" w14:paraId="4617856F" w14:textId="77777777" w:rsidTr="009426BA">
        <w:trPr>
          <w:trHeight w:val="255"/>
        </w:trPr>
        <w:tc>
          <w:tcPr>
            <w:tcW w:w="6188" w:type="dxa"/>
            <w:tcBorders>
              <w:top w:val="nil"/>
              <w:left w:val="single" w:sz="4" w:space="0" w:color="auto"/>
              <w:bottom w:val="single" w:sz="4" w:space="0" w:color="auto"/>
              <w:right w:val="single" w:sz="4" w:space="0" w:color="auto"/>
            </w:tcBorders>
          </w:tcPr>
          <w:p w14:paraId="5DBCD68F"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308018AC" w14:textId="03AFC1BD"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14:paraId="3D3F4777" w14:textId="08A83439"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2418" w:type="dxa"/>
            <w:gridSpan w:val="2"/>
            <w:tcBorders>
              <w:top w:val="nil"/>
              <w:left w:val="nil"/>
              <w:bottom w:val="single" w:sz="4" w:space="0" w:color="auto"/>
              <w:right w:val="single" w:sz="4" w:space="0" w:color="auto"/>
            </w:tcBorders>
          </w:tcPr>
          <w:p w14:paraId="3FA576EC" w14:textId="37E829E7"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14:paraId="49D01BA4" w14:textId="609C496D" w:rsidR="007D5748" w:rsidRPr="006C79A2" w:rsidRDefault="004F437D" w:rsidP="007D5748">
            <w:pPr>
              <w:spacing w:after="0" w:line="240" w:lineRule="auto"/>
              <w:jc w:val="center"/>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4FC14F99"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 </w:t>
            </w:r>
          </w:p>
        </w:tc>
      </w:tr>
      <w:tr w:rsidR="007D5748" w:rsidRPr="006C79A2" w14:paraId="77F12829" w14:textId="77777777" w:rsidTr="009426BA">
        <w:trPr>
          <w:trHeight w:val="255"/>
        </w:trPr>
        <w:tc>
          <w:tcPr>
            <w:tcW w:w="6188" w:type="dxa"/>
            <w:tcBorders>
              <w:top w:val="nil"/>
              <w:left w:val="nil"/>
              <w:bottom w:val="nil"/>
              <w:right w:val="nil"/>
            </w:tcBorders>
            <w:noWrap/>
            <w:vAlign w:val="bottom"/>
          </w:tcPr>
          <w:p w14:paraId="0F66DFE6"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78A83598"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681D0D84"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3D9C6030"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3322E61C"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5CE27D63"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r>
      <w:tr w:rsidR="007D5748" w:rsidRPr="006C79A2" w14:paraId="66F35BD0" w14:textId="77777777" w:rsidTr="009426BA">
        <w:trPr>
          <w:trHeight w:val="255"/>
        </w:trPr>
        <w:tc>
          <w:tcPr>
            <w:tcW w:w="6188" w:type="dxa"/>
            <w:tcBorders>
              <w:top w:val="nil"/>
              <w:left w:val="nil"/>
              <w:bottom w:val="nil"/>
              <w:right w:val="nil"/>
            </w:tcBorders>
          </w:tcPr>
          <w:p w14:paraId="799EADFE" w14:textId="77777777" w:rsidR="007D5748" w:rsidRPr="006C79A2" w:rsidRDefault="007D5748" w:rsidP="007D5748">
            <w:pPr>
              <w:spacing w:after="0" w:line="240" w:lineRule="auto"/>
              <w:rPr>
                <w:rFonts w:ascii="Times New Roman" w:eastAsia="Times New Roman" w:hAnsi="Times New Roman" w:cs="Times New Roman"/>
                <w:b/>
                <w:bCs/>
                <w:sz w:val="24"/>
                <w:szCs w:val="24"/>
                <w:lang w:eastAsia="sk-SK"/>
              </w:rPr>
            </w:pPr>
            <w:r w:rsidRPr="006C79A2">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5785E847"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472CC123"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1AFA3149"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0B4181A2"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6B16DB99"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r>
      <w:tr w:rsidR="007D5748" w:rsidRPr="006C79A2" w14:paraId="18CC33B8" w14:textId="77777777" w:rsidTr="009426BA">
        <w:trPr>
          <w:trHeight w:val="255"/>
        </w:trPr>
        <w:tc>
          <w:tcPr>
            <w:tcW w:w="13814" w:type="dxa"/>
            <w:gridSpan w:val="6"/>
            <w:tcBorders>
              <w:top w:val="nil"/>
              <w:left w:val="nil"/>
              <w:bottom w:val="nil"/>
              <w:right w:val="nil"/>
            </w:tcBorders>
            <w:noWrap/>
          </w:tcPr>
          <w:p w14:paraId="211635AC" w14:textId="77777777" w:rsidR="007D5748" w:rsidRPr="006C79A2"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6C79A2">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6C15CBAB"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1B334434" w14:textId="77777777" w:rsidR="007D5748" w:rsidRPr="006C79A2"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66BEBC3C" w14:textId="77777777" w:rsidTr="009426BA">
        <w:trPr>
          <w:trHeight w:val="255"/>
        </w:trPr>
        <w:tc>
          <w:tcPr>
            <w:tcW w:w="10394" w:type="dxa"/>
            <w:gridSpan w:val="4"/>
            <w:tcBorders>
              <w:top w:val="nil"/>
              <w:left w:val="nil"/>
              <w:bottom w:val="nil"/>
              <w:right w:val="nil"/>
            </w:tcBorders>
            <w:noWrap/>
            <w:vAlign w:val="bottom"/>
          </w:tcPr>
          <w:p w14:paraId="6CE8CF7D" w14:textId="799B4B6C"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6C79A2">
              <w:rPr>
                <w:rFonts w:ascii="Times New Roman" w:eastAsia="Times New Roman" w:hAnsi="Times New Roman" w:cs="Times New Roman"/>
                <w:sz w:val="24"/>
                <w:szCs w:val="24"/>
                <w:lang w:eastAsia="sk-SK"/>
              </w:rPr>
              <w:t>Kategórie 610 a 620 sú z tejto prílohy prenášané do príslušných kategórií prílohy „výdavky“</w:t>
            </w:r>
            <w:r w:rsidR="00BC69DD" w:rsidRPr="006C79A2">
              <w:rPr>
                <w:rFonts w:ascii="Times New Roman" w:eastAsia="Times New Roman" w:hAnsi="Times New Roman" w:cs="Times New Roman"/>
                <w:sz w:val="24"/>
                <w:szCs w:val="24"/>
                <w:lang w:eastAsia="sk-SK"/>
              </w:rPr>
              <w:t>.</w:t>
            </w:r>
          </w:p>
        </w:tc>
        <w:tc>
          <w:tcPr>
            <w:tcW w:w="1698" w:type="dxa"/>
            <w:tcBorders>
              <w:top w:val="nil"/>
              <w:left w:val="nil"/>
              <w:bottom w:val="nil"/>
              <w:right w:val="nil"/>
            </w:tcBorders>
            <w:noWrap/>
            <w:vAlign w:val="bottom"/>
          </w:tcPr>
          <w:p w14:paraId="3A6CF0B6"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005B4B2A"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495F43F4"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44C06399" w14:textId="77777777" w:rsidR="00BA58F0" w:rsidRDefault="00BA58F0" w:rsidP="007D5748">
      <w:pPr>
        <w:spacing w:after="0" w:line="240" w:lineRule="auto"/>
        <w:rPr>
          <w:rFonts w:ascii="Times New Roman" w:eastAsia="Times New Roman" w:hAnsi="Times New Roman" w:cs="Times New Roman"/>
          <w:b/>
          <w:bCs/>
          <w:sz w:val="24"/>
          <w:szCs w:val="24"/>
          <w:lang w:eastAsia="sk-SK"/>
        </w:rPr>
        <w:sectPr w:rsidR="00BA58F0" w:rsidSect="004C6780">
          <w:pgSz w:w="16838" w:h="11906" w:orient="landscape"/>
          <w:pgMar w:top="1125" w:right="1418" w:bottom="1418" w:left="1418" w:header="709" w:footer="709" w:gutter="0"/>
          <w:cols w:space="708"/>
          <w:docGrid w:linePitch="360"/>
        </w:sectPr>
      </w:pPr>
    </w:p>
    <w:p w14:paraId="731E3845" w14:textId="77777777" w:rsidR="00CB3623" w:rsidRDefault="00CB3623" w:rsidP="00BA58F0">
      <w:pPr>
        <w:spacing w:after="0" w:line="240" w:lineRule="auto"/>
      </w:pPr>
    </w:p>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82FB" w14:textId="77777777" w:rsidR="00FC72DD" w:rsidRDefault="00FC72DD">
      <w:pPr>
        <w:spacing w:after="0" w:line="240" w:lineRule="auto"/>
      </w:pPr>
      <w:r>
        <w:separator/>
      </w:r>
    </w:p>
  </w:endnote>
  <w:endnote w:type="continuationSeparator" w:id="0">
    <w:p w14:paraId="7658DB77" w14:textId="77777777" w:rsidR="00FC72DD" w:rsidRDefault="00FC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7728" w14:textId="77777777" w:rsidR="000F21DD" w:rsidRDefault="000F21D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34AE15B2" w14:textId="77777777" w:rsidR="000F21DD" w:rsidRDefault="000F21D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B813" w14:textId="380AFC31" w:rsidR="000F21DD" w:rsidRDefault="000F21DD">
    <w:pPr>
      <w:pStyle w:val="Pta"/>
      <w:jc w:val="right"/>
    </w:pPr>
    <w:r>
      <w:fldChar w:fldCharType="begin"/>
    </w:r>
    <w:r>
      <w:instrText>PAGE   \* MERGEFORMAT</w:instrText>
    </w:r>
    <w:r>
      <w:fldChar w:fldCharType="separate"/>
    </w:r>
    <w:r w:rsidR="002D0D7E">
      <w:rPr>
        <w:noProof/>
      </w:rPr>
      <w:t>9</w:t>
    </w:r>
    <w:r>
      <w:fldChar w:fldCharType="end"/>
    </w:r>
  </w:p>
  <w:p w14:paraId="2E408ABE" w14:textId="77777777" w:rsidR="000F21DD" w:rsidRDefault="000F21DD">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E5AF" w14:textId="77777777" w:rsidR="000F21DD" w:rsidRDefault="000F21DD">
    <w:pPr>
      <w:pStyle w:val="Pta"/>
      <w:jc w:val="right"/>
    </w:pPr>
    <w:r>
      <w:fldChar w:fldCharType="begin"/>
    </w:r>
    <w:r>
      <w:instrText>PAGE   \* MERGEFORMAT</w:instrText>
    </w:r>
    <w:r>
      <w:fldChar w:fldCharType="separate"/>
    </w:r>
    <w:r>
      <w:rPr>
        <w:noProof/>
      </w:rPr>
      <w:t>0</w:t>
    </w:r>
    <w:r>
      <w:fldChar w:fldCharType="end"/>
    </w:r>
  </w:p>
  <w:p w14:paraId="0E6A58CC" w14:textId="77777777" w:rsidR="000F21DD" w:rsidRDefault="000F21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8F5C" w14:textId="77777777" w:rsidR="00FC72DD" w:rsidRDefault="00FC72DD">
      <w:pPr>
        <w:spacing w:after="0" w:line="240" w:lineRule="auto"/>
      </w:pPr>
      <w:r>
        <w:separator/>
      </w:r>
    </w:p>
  </w:footnote>
  <w:footnote w:type="continuationSeparator" w:id="0">
    <w:p w14:paraId="5031B125" w14:textId="77777777" w:rsidR="00FC72DD" w:rsidRDefault="00FC72DD">
      <w:pPr>
        <w:spacing w:after="0" w:line="240" w:lineRule="auto"/>
      </w:pPr>
      <w:r>
        <w:continuationSeparator/>
      </w:r>
    </w:p>
  </w:footnote>
  <w:footnote w:id="1">
    <w:p w14:paraId="390B611C" w14:textId="77777777" w:rsidR="00B84B75" w:rsidRDefault="00B84B75" w:rsidP="00B84B75">
      <w:r>
        <w:rPr>
          <w:rStyle w:val="Odkaznapoznmkupodiarou"/>
        </w:rPr>
        <w:footnoteRef/>
      </w:r>
      <w:r>
        <w:t xml:space="preserve"> </w:t>
      </w:r>
      <w:hyperlink r:id="rId1" w:history="1">
        <w:r>
          <w:rPr>
            <w:rStyle w:val="Hypertextovprepojenie"/>
          </w:rPr>
          <w:t>https://www.minzp.sk/files/iep/kolko_stoji_divocina.pdf</w:t>
        </w:r>
      </w:hyperlink>
      <w:r>
        <w:t xml:space="preserve"> </w:t>
      </w:r>
    </w:p>
    <w:p w14:paraId="049951EE" w14:textId="77777777" w:rsidR="00B84B75" w:rsidRDefault="00B84B75" w:rsidP="00B84B7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D909" w14:textId="77777777" w:rsidR="000F21DD" w:rsidRDefault="000F21DD" w:rsidP="009426BA">
    <w:pPr>
      <w:pStyle w:val="Hlavika"/>
      <w:jc w:val="right"/>
      <w:rPr>
        <w:sz w:val="24"/>
        <w:szCs w:val="24"/>
      </w:rPr>
    </w:pPr>
    <w:r>
      <w:rPr>
        <w:sz w:val="24"/>
        <w:szCs w:val="24"/>
      </w:rPr>
      <w:t>Príloha č. 2</w:t>
    </w:r>
  </w:p>
  <w:p w14:paraId="757B0602" w14:textId="77777777" w:rsidR="000F21DD" w:rsidRPr="00EB59C8" w:rsidRDefault="000F21DD" w:rsidP="009426BA">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0211" w14:textId="77777777" w:rsidR="000F21DD" w:rsidRPr="0024067A" w:rsidRDefault="000F21DD">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20F" w14:textId="77777777" w:rsidR="000F21DD" w:rsidRPr="000A15AE" w:rsidRDefault="000F21DD" w:rsidP="009426BA">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3C9"/>
    <w:multiLevelType w:val="hybridMultilevel"/>
    <w:tmpl w:val="D982F336"/>
    <w:lvl w:ilvl="0" w:tplc="041B0001">
      <w:start w:val="1"/>
      <w:numFmt w:val="bullet"/>
      <w:lvlText w:val=""/>
      <w:lvlJc w:val="left"/>
      <w:pPr>
        <w:ind w:left="720" w:hanging="360"/>
      </w:pPr>
      <w:rPr>
        <w:rFonts w:ascii="Symbol" w:hAnsi="Symbol" w:hint="default"/>
      </w:rPr>
    </w:lvl>
    <w:lvl w:ilvl="1" w:tplc="9E164EB8">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B3675"/>
    <w:multiLevelType w:val="hybridMultilevel"/>
    <w:tmpl w:val="F8661A9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C63216"/>
    <w:multiLevelType w:val="hybridMultilevel"/>
    <w:tmpl w:val="6B6C9986"/>
    <w:lvl w:ilvl="0" w:tplc="56DE1148">
      <w:start w:val="167"/>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EC"/>
    <w:rsid w:val="00012F48"/>
    <w:rsid w:val="00035EB6"/>
    <w:rsid w:val="00043348"/>
    <w:rsid w:val="00047043"/>
    <w:rsid w:val="00047843"/>
    <w:rsid w:val="00050AAF"/>
    <w:rsid w:val="00051E5D"/>
    <w:rsid w:val="00057135"/>
    <w:rsid w:val="00075EC8"/>
    <w:rsid w:val="00081812"/>
    <w:rsid w:val="000961BA"/>
    <w:rsid w:val="000A4004"/>
    <w:rsid w:val="000A7B78"/>
    <w:rsid w:val="000B02FC"/>
    <w:rsid w:val="000C4D2C"/>
    <w:rsid w:val="000D2D3F"/>
    <w:rsid w:val="000E3672"/>
    <w:rsid w:val="000E63E1"/>
    <w:rsid w:val="000E7C00"/>
    <w:rsid w:val="000F21DD"/>
    <w:rsid w:val="001127A8"/>
    <w:rsid w:val="00142AAD"/>
    <w:rsid w:val="00145F4C"/>
    <w:rsid w:val="001513A1"/>
    <w:rsid w:val="00170D2B"/>
    <w:rsid w:val="00181B87"/>
    <w:rsid w:val="00183E45"/>
    <w:rsid w:val="00193AAC"/>
    <w:rsid w:val="001941B5"/>
    <w:rsid w:val="001C23A9"/>
    <w:rsid w:val="001C2B2C"/>
    <w:rsid w:val="001C6536"/>
    <w:rsid w:val="001D1F07"/>
    <w:rsid w:val="001E28A2"/>
    <w:rsid w:val="001E28FB"/>
    <w:rsid w:val="001F7ACD"/>
    <w:rsid w:val="00200898"/>
    <w:rsid w:val="00212894"/>
    <w:rsid w:val="002245D7"/>
    <w:rsid w:val="0023582E"/>
    <w:rsid w:val="00237937"/>
    <w:rsid w:val="0024138E"/>
    <w:rsid w:val="00266E68"/>
    <w:rsid w:val="0029324C"/>
    <w:rsid w:val="002B20DA"/>
    <w:rsid w:val="002B4960"/>
    <w:rsid w:val="002B557D"/>
    <w:rsid w:val="002C02A3"/>
    <w:rsid w:val="002C185A"/>
    <w:rsid w:val="002D0D7E"/>
    <w:rsid w:val="002D36DC"/>
    <w:rsid w:val="002D3795"/>
    <w:rsid w:val="002E6656"/>
    <w:rsid w:val="002E6DCA"/>
    <w:rsid w:val="002F4105"/>
    <w:rsid w:val="00302E29"/>
    <w:rsid w:val="00312533"/>
    <w:rsid w:val="0031736D"/>
    <w:rsid w:val="003177B4"/>
    <w:rsid w:val="00317B90"/>
    <w:rsid w:val="00323D41"/>
    <w:rsid w:val="00347EA7"/>
    <w:rsid w:val="00354488"/>
    <w:rsid w:val="00393364"/>
    <w:rsid w:val="00394C99"/>
    <w:rsid w:val="003950D4"/>
    <w:rsid w:val="003977C9"/>
    <w:rsid w:val="003C2E0E"/>
    <w:rsid w:val="003D1064"/>
    <w:rsid w:val="003D7977"/>
    <w:rsid w:val="003E75BD"/>
    <w:rsid w:val="003F452E"/>
    <w:rsid w:val="003F7104"/>
    <w:rsid w:val="00400AE1"/>
    <w:rsid w:val="004151FF"/>
    <w:rsid w:val="00415A49"/>
    <w:rsid w:val="004168D1"/>
    <w:rsid w:val="00417A59"/>
    <w:rsid w:val="00442F06"/>
    <w:rsid w:val="00445702"/>
    <w:rsid w:val="004473C8"/>
    <w:rsid w:val="0045251B"/>
    <w:rsid w:val="004850D1"/>
    <w:rsid w:val="004B2A25"/>
    <w:rsid w:val="004C6780"/>
    <w:rsid w:val="004C7FD8"/>
    <w:rsid w:val="004D0A79"/>
    <w:rsid w:val="004D3029"/>
    <w:rsid w:val="004E3B1C"/>
    <w:rsid w:val="004E3E0A"/>
    <w:rsid w:val="004E528C"/>
    <w:rsid w:val="004E62F1"/>
    <w:rsid w:val="004F3BF0"/>
    <w:rsid w:val="004F437D"/>
    <w:rsid w:val="005005EC"/>
    <w:rsid w:val="005038A0"/>
    <w:rsid w:val="00504DD0"/>
    <w:rsid w:val="0055095F"/>
    <w:rsid w:val="00552619"/>
    <w:rsid w:val="00555938"/>
    <w:rsid w:val="0057229C"/>
    <w:rsid w:val="005744F9"/>
    <w:rsid w:val="00576800"/>
    <w:rsid w:val="005B18EF"/>
    <w:rsid w:val="005B2C5A"/>
    <w:rsid w:val="005D5810"/>
    <w:rsid w:val="005D7473"/>
    <w:rsid w:val="005E3C90"/>
    <w:rsid w:val="005F410B"/>
    <w:rsid w:val="006038C6"/>
    <w:rsid w:val="00617D09"/>
    <w:rsid w:val="00625F57"/>
    <w:rsid w:val="00630AE2"/>
    <w:rsid w:val="006514B2"/>
    <w:rsid w:val="00656A17"/>
    <w:rsid w:val="00665FED"/>
    <w:rsid w:val="00666A24"/>
    <w:rsid w:val="00671760"/>
    <w:rsid w:val="006724A1"/>
    <w:rsid w:val="006C79A2"/>
    <w:rsid w:val="006F7D7C"/>
    <w:rsid w:val="00707BB4"/>
    <w:rsid w:val="00707C0A"/>
    <w:rsid w:val="00713F69"/>
    <w:rsid w:val="007206CC"/>
    <w:rsid w:val="007246BD"/>
    <w:rsid w:val="00725E92"/>
    <w:rsid w:val="007307A3"/>
    <w:rsid w:val="00732949"/>
    <w:rsid w:val="007551FD"/>
    <w:rsid w:val="00766857"/>
    <w:rsid w:val="00772CAF"/>
    <w:rsid w:val="007736D7"/>
    <w:rsid w:val="0077487A"/>
    <w:rsid w:val="00777A05"/>
    <w:rsid w:val="00777FD7"/>
    <w:rsid w:val="007820C7"/>
    <w:rsid w:val="00792B93"/>
    <w:rsid w:val="0079660E"/>
    <w:rsid w:val="007B76ED"/>
    <w:rsid w:val="007C52C1"/>
    <w:rsid w:val="007C6034"/>
    <w:rsid w:val="007D2FAB"/>
    <w:rsid w:val="007D5748"/>
    <w:rsid w:val="007D6F20"/>
    <w:rsid w:val="007E6741"/>
    <w:rsid w:val="008102BB"/>
    <w:rsid w:val="008255E5"/>
    <w:rsid w:val="00826101"/>
    <w:rsid w:val="0083676F"/>
    <w:rsid w:val="00836D50"/>
    <w:rsid w:val="00846254"/>
    <w:rsid w:val="00874048"/>
    <w:rsid w:val="008905CD"/>
    <w:rsid w:val="00893D76"/>
    <w:rsid w:val="008A6272"/>
    <w:rsid w:val="008B26C2"/>
    <w:rsid w:val="008C102D"/>
    <w:rsid w:val="008C2BE3"/>
    <w:rsid w:val="008C5ADC"/>
    <w:rsid w:val="008D339D"/>
    <w:rsid w:val="008E2736"/>
    <w:rsid w:val="008E7B8F"/>
    <w:rsid w:val="008F4249"/>
    <w:rsid w:val="00902D58"/>
    <w:rsid w:val="00902E55"/>
    <w:rsid w:val="00931087"/>
    <w:rsid w:val="00933E29"/>
    <w:rsid w:val="00941E1A"/>
    <w:rsid w:val="009426BA"/>
    <w:rsid w:val="00945FCA"/>
    <w:rsid w:val="0095658A"/>
    <w:rsid w:val="00956E6C"/>
    <w:rsid w:val="009578ED"/>
    <w:rsid w:val="00963289"/>
    <w:rsid w:val="009706B7"/>
    <w:rsid w:val="00971540"/>
    <w:rsid w:val="00996DFF"/>
    <w:rsid w:val="009A5AE4"/>
    <w:rsid w:val="009B60FA"/>
    <w:rsid w:val="009C5CD8"/>
    <w:rsid w:val="009D5744"/>
    <w:rsid w:val="009D6AD1"/>
    <w:rsid w:val="009E1011"/>
    <w:rsid w:val="009E7C09"/>
    <w:rsid w:val="009F36F8"/>
    <w:rsid w:val="00A00569"/>
    <w:rsid w:val="00A00F8C"/>
    <w:rsid w:val="00A02875"/>
    <w:rsid w:val="00A0458F"/>
    <w:rsid w:val="00A05149"/>
    <w:rsid w:val="00A062B6"/>
    <w:rsid w:val="00A07236"/>
    <w:rsid w:val="00A137D1"/>
    <w:rsid w:val="00A37144"/>
    <w:rsid w:val="00A40F2A"/>
    <w:rsid w:val="00A42F6C"/>
    <w:rsid w:val="00A45119"/>
    <w:rsid w:val="00A45C37"/>
    <w:rsid w:val="00A60410"/>
    <w:rsid w:val="00A74AB9"/>
    <w:rsid w:val="00A764FC"/>
    <w:rsid w:val="00A824AD"/>
    <w:rsid w:val="00A86E85"/>
    <w:rsid w:val="00AB071A"/>
    <w:rsid w:val="00AB4C8C"/>
    <w:rsid w:val="00AE3D9B"/>
    <w:rsid w:val="00B02717"/>
    <w:rsid w:val="00B11FD8"/>
    <w:rsid w:val="00B164F9"/>
    <w:rsid w:val="00B1772D"/>
    <w:rsid w:val="00B236B1"/>
    <w:rsid w:val="00B27458"/>
    <w:rsid w:val="00B35178"/>
    <w:rsid w:val="00B36EB2"/>
    <w:rsid w:val="00B37C16"/>
    <w:rsid w:val="00B461AA"/>
    <w:rsid w:val="00B46382"/>
    <w:rsid w:val="00B52C61"/>
    <w:rsid w:val="00B7152D"/>
    <w:rsid w:val="00B71EA7"/>
    <w:rsid w:val="00B72658"/>
    <w:rsid w:val="00B77F5F"/>
    <w:rsid w:val="00B80345"/>
    <w:rsid w:val="00B84B75"/>
    <w:rsid w:val="00B90F26"/>
    <w:rsid w:val="00BA58F0"/>
    <w:rsid w:val="00BC69DD"/>
    <w:rsid w:val="00BE3786"/>
    <w:rsid w:val="00BE61A8"/>
    <w:rsid w:val="00C00214"/>
    <w:rsid w:val="00C15212"/>
    <w:rsid w:val="00C17A0A"/>
    <w:rsid w:val="00C17C87"/>
    <w:rsid w:val="00C206A8"/>
    <w:rsid w:val="00C225D2"/>
    <w:rsid w:val="00C2543E"/>
    <w:rsid w:val="00C254BE"/>
    <w:rsid w:val="00C3643B"/>
    <w:rsid w:val="00C51FD4"/>
    <w:rsid w:val="00C649F3"/>
    <w:rsid w:val="00C64A96"/>
    <w:rsid w:val="00C64C89"/>
    <w:rsid w:val="00C6562A"/>
    <w:rsid w:val="00C672F0"/>
    <w:rsid w:val="00C717D3"/>
    <w:rsid w:val="00C86C5F"/>
    <w:rsid w:val="00CA2FD7"/>
    <w:rsid w:val="00CA5627"/>
    <w:rsid w:val="00CB3623"/>
    <w:rsid w:val="00CB37AF"/>
    <w:rsid w:val="00CC0AE7"/>
    <w:rsid w:val="00CC3A33"/>
    <w:rsid w:val="00CD1225"/>
    <w:rsid w:val="00CF2ACD"/>
    <w:rsid w:val="00D01D72"/>
    <w:rsid w:val="00D11701"/>
    <w:rsid w:val="00D238F2"/>
    <w:rsid w:val="00D2637E"/>
    <w:rsid w:val="00D3716C"/>
    <w:rsid w:val="00D47B83"/>
    <w:rsid w:val="00D56A70"/>
    <w:rsid w:val="00D708F6"/>
    <w:rsid w:val="00D715D7"/>
    <w:rsid w:val="00D71691"/>
    <w:rsid w:val="00D72B2C"/>
    <w:rsid w:val="00D82427"/>
    <w:rsid w:val="00D87FDE"/>
    <w:rsid w:val="00DB3880"/>
    <w:rsid w:val="00DC5E79"/>
    <w:rsid w:val="00DE538A"/>
    <w:rsid w:val="00DE5BF1"/>
    <w:rsid w:val="00DE760B"/>
    <w:rsid w:val="00DF1ED1"/>
    <w:rsid w:val="00E05A54"/>
    <w:rsid w:val="00E07CE9"/>
    <w:rsid w:val="00E17264"/>
    <w:rsid w:val="00E21A0C"/>
    <w:rsid w:val="00E269D6"/>
    <w:rsid w:val="00E3454D"/>
    <w:rsid w:val="00E61F71"/>
    <w:rsid w:val="00E649C6"/>
    <w:rsid w:val="00E9178D"/>
    <w:rsid w:val="00E963A3"/>
    <w:rsid w:val="00EA1E90"/>
    <w:rsid w:val="00EB674E"/>
    <w:rsid w:val="00EC33C9"/>
    <w:rsid w:val="00F02C65"/>
    <w:rsid w:val="00F04A7F"/>
    <w:rsid w:val="00F0509C"/>
    <w:rsid w:val="00F16BCB"/>
    <w:rsid w:val="00F23A69"/>
    <w:rsid w:val="00F30A2F"/>
    <w:rsid w:val="00F40136"/>
    <w:rsid w:val="00F50663"/>
    <w:rsid w:val="00F73868"/>
    <w:rsid w:val="00F76F49"/>
    <w:rsid w:val="00F770A3"/>
    <w:rsid w:val="00F9119D"/>
    <w:rsid w:val="00F949E8"/>
    <w:rsid w:val="00FA63A4"/>
    <w:rsid w:val="00FB4270"/>
    <w:rsid w:val="00FB4504"/>
    <w:rsid w:val="00FB79DA"/>
    <w:rsid w:val="00FC72DD"/>
    <w:rsid w:val="00FD139A"/>
    <w:rsid w:val="00FD61F0"/>
    <w:rsid w:val="00FE30DF"/>
    <w:rsid w:val="00FF75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A39A"/>
  <w15:docId w15:val="{E045907A-8D10-4321-8B20-02D370D2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3364"/>
  </w:style>
  <w:style w:type="paragraph" w:styleId="Nadpis1">
    <w:name w:val="heading 1"/>
    <w:basedOn w:val="Normlny"/>
    <w:link w:val="Nadpis1Char"/>
    <w:uiPriority w:val="9"/>
    <w:qFormat/>
    <w:rsid w:val="00B84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character" w:styleId="Odkaznakomentr">
    <w:name w:val="annotation reference"/>
    <w:basedOn w:val="Predvolenpsmoodseku"/>
    <w:uiPriority w:val="99"/>
    <w:semiHidden/>
    <w:unhideWhenUsed/>
    <w:rsid w:val="00394C99"/>
    <w:rPr>
      <w:sz w:val="16"/>
      <w:szCs w:val="16"/>
    </w:rPr>
  </w:style>
  <w:style w:type="paragraph" w:styleId="Textkomentra">
    <w:name w:val="annotation text"/>
    <w:basedOn w:val="Normlny"/>
    <w:link w:val="TextkomentraChar"/>
    <w:uiPriority w:val="99"/>
    <w:semiHidden/>
    <w:unhideWhenUsed/>
    <w:rsid w:val="00394C99"/>
    <w:pPr>
      <w:spacing w:line="240" w:lineRule="auto"/>
    </w:pPr>
    <w:rPr>
      <w:sz w:val="20"/>
      <w:szCs w:val="20"/>
    </w:rPr>
  </w:style>
  <w:style w:type="character" w:customStyle="1" w:styleId="TextkomentraChar">
    <w:name w:val="Text komentára Char"/>
    <w:basedOn w:val="Predvolenpsmoodseku"/>
    <w:link w:val="Textkomentra"/>
    <w:uiPriority w:val="99"/>
    <w:semiHidden/>
    <w:rsid w:val="00394C99"/>
    <w:rPr>
      <w:sz w:val="20"/>
      <w:szCs w:val="20"/>
    </w:rPr>
  </w:style>
  <w:style w:type="paragraph" w:styleId="Predmetkomentra">
    <w:name w:val="annotation subject"/>
    <w:basedOn w:val="Textkomentra"/>
    <w:next w:val="Textkomentra"/>
    <w:link w:val="PredmetkomentraChar"/>
    <w:uiPriority w:val="99"/>
    <w:semiHidden/>
    <w:unhideWhenUsed/>
    <w:rsid w:val="00394C99"/>
    <w:rPr>
      <w:b/>
      <w:bCs/>
    </w:rPr>
  </w:style>
  <w:style w:type="character" w:customStyle="1" w:styleId="PredmetkomentraChar">
    <w:name w:val="Predmet komentára Char"/>
    <w:basedOn w:val="TextkomentraChar"/>
    <w:link w:val="Predmetkomentra"/>
    <w:uiPriority w:val="99"/>
    <w:semiHidden/>
    <w:rsid w:val="00394C99"/>
    <w:rPr>
      <w:b/>
      <w:bCs/>
      <w:sz w:val="20"/>
      <w:szCs w:val="20"/>
    </w:rPr>
  </w:style>
  <w:style w:type="paragraph" w:styleId="Revzia">
    <w:name w:val="Revision"/>
    <w:hidden/>
    <w:uiPriority w:val="99"/>
    <w:semiHidden/>
    <w:rsid w:val="00394C99"/>
    <w:pPr>
      <w:spacing w:after="0" w:line="240" w:lineRule="auto"/>
    </w:pPr>
  </w:style>
  <w:style w:type="table" w:styleId="Mriekatabuky">
    <w:name w:val="Table Grid"/>
    <w:basedOn w:val="Normlnatabuka"/>
    <w:uiPriority w:val="39"/>
    <w:rsid w:val="000B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F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B84B75"/>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B84B75"/>
    <w:rPr>
      <w:color w:val="0000FF"/>
      <w:u w:val="single"/>
    </w:rPr>
  </w:style>
  <w:style w:type="paragraph" w:styleId="Textpoznmkypodiarou">
    <w:name w:val="footnote text"/>
    <w:basedOn w:val="Normlny"/>
    <w:link w:val="TextpoznmkypodiarouChar"/>
    <w:uiPriority w:val="99"/>
    <w:semiHidden/>
    <w:unhideWhenUsed/>
    <w:rsid w:val="00B84B75"/>
    <w:pPr>
      <w:spacing w:after="0" w:line="240" w:lineRule="auto"/>
    </w:pPr>
    <w:rPr>
      <w:rFonts w:ascii="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B84B75"/>
    <w:rPr>
      <w:rFonts w:ascii="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B84B75"/>
    <w:rPr>
      <w:vertAlign w:val="superscript"/>
    </w:rPr>
  </w:style>
  <w:style w:type="paragraph" w:styleId="Odsekzoznamu">
    <w:name w:val="List Paragraph"/>
    <w:basedOn w:val="Normlny"/>
    <w:uiPriority w:val="34"/>
    <w:qFormat/>
    <w:rsid w:val="00B84B75"/>
    <w:pPr>
      <w:spacing w:after="0" w:line="240" w:lineRule="auto"/>
      <w:ind w:left="720"/>
      <w:contextualSpacing/>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9682">
      <w:bodyDiv w:val="1"/>
      <w:marLeft w:val="0"/>
      <w:marRight w:val="0"/>
      <w:marTop w:val="0"/>
      <w:marBottom w:val="0"/>
      <w:divBdr>
        <w:top w:val="none" w:sz="0" w:space="0" w:color="auto"/>
        <w:left w:val="none" w:sz="0" w:space="0" w:color="auto"/>
        <w:bottom w:val="none" w:sz="0" w:space="0" w:color="auto"/>
        <w:right w:val="none" w:sz="0" w:space="0" w:color="auto"/>
      </w:divBdr>
    </w:div>
    <w:div w:id="8461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inzp.sk/files/iep/kolko_stoji_divocina.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6.-Doložka-vplyvov-na-rozpočet-verejnej-správy"/>
    <f:field ref="objsubject" par="" edit="true" text=""/>
    <f:field ref="objcreatedby" par="" text="Šiatkovský, Juraj, Ing."/>
    <f:field ref="objcreatedat" par="" text="22.11.2016 20:11:21"/>
    <f:field ref="objchangedby" par="" text="Administrator, System"/>
    <f:field ref="objmodifiedat" par="" text="22.11.2016 20:11: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F49F94C-454A-4726-ACE7-61ED0B28A71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1603</Words>
  <Characters>9143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Štefániková Andrea</cp:lastModifiedBy>
  <cp:revision>2</cp:revision>
  <cp:lastPrinted>2021-07-14T14:50:00Z</cp:lastPrinted>
  <dcterms:created xsi:type="dcterms:W3CDTF">2021-10-22T08:14:00Z</dcterms:created>
  <dcterms:modified xsi:type="dcterms:W3CDTF">2021-10-22T08:14:00Z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Juraj Šiatkovský</vt:lpwstr>
  </property>
  <property fmtid="{D5CDD505-2E9C-101B-9397-08002B2CF9AE}" pid="12" name="FSC#SKEDITIONSLOVLEX@103.510:zodppredkladatel">
    <vt:lpwstr>László Sólymos</vt:lpwstr>
  </property>
  <property fmtid="{D5CDD505-2E9C-101B-9397-08002B2CF9AE}" pid="13" name="FSC#SKEDITIONSLOVLEX@103.510:dalsipredkladatel">
    <vt:lpwstr>Robert Kaliňák</vt:lpwstr>
  </property>
  <property fmtid="{D5CDD505-2E9C-101B-9397-08002B2CF9AE}" pid="14" name="FSC#SKEDITIONSLOVLEX@103.510:nazovpredpis">
    <vt:lpwstr> Správa o priebehu a následkoch povodní na území Slovenskej republiky v období od januára 2016 do konca júna 2016</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19 ods. 11 zákona č. 7/2010 Z. z. o ochrane pred povodňami v znení neskorších predpisov</vt:lpwstr>
  </property>
  <property fmtid="{D5CDD505-2E9C-101B-9397-08002B2CF9AE}" pid="23" name="FSC#SKEDITIONSLOVLEX@103.510:plnynazovpredpis">
    <vt:lpwstr> Správa o priebehu a následkoch povodní na území Slovenskej republiky v období od januára 2016 do konca júna 2016</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6518/2016-4.3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LP/2016/1039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ministerovi životného prostredia Slovenskej republiky</vt:lpwstr>
  </property>
  <property fmtid="{D5CDD505-2E9C-101B-9397-08002B2CF9AE}" pid="143" name="FSC#SKEDITIONSLOVLEX@103.510:funkciaZodpPredDativ">
    <vt:lpwstr>ministera životného prostredia Slovenskej republiky</vt:lpwstr>
  </property>
  <property fmtid="{D5CDD505-2E9C-101B-9397-08002B2CF9AE}" pid="144" name="FSC#SKEDITIONSLOVLEX@103.510:funkciaDalsiPred">
    <vt:lpwstr>podpredseda vlády a minister vnútra SR, </vt:lpwstr>
  </property>
  <property fmtid="{D5CDD505-2E9C-101B-9397-08002B2CF9AE}" pid="145" name="FSC#SKEDITIONSLOVLEX@103.510:funkciaDalsiPredAkuzativ">
    <vt:lpwstr>podpredsedovi vlády a ministerovi vnútra Slovenskej republiky, </vt:lpwstr>
  </property>
  <property fmtid="{D5CDD505-2E9C-101B-9397-08002B2CF9AE}" pid="146" name="FSC#SKEDITIONSLOVLEX@103.510:funkciaDalsiPredDativ">
    <vt:lpwstr>podpredsedu vlády a ministra vnútra Slovenskej republiky, </vt:lpwstr>
  </property>
  <property fmtid="{D5CDD505-2E9C-101B-9397-08002B2CF9AE}" pid="147" name="FSC#SKEDITIONSLOVLEX@103.510:predkladateliaObalSD">
    <vt:lpwstr>László Sólymos_x000d_
minister životného prostredia Slovenskej republiky_x000d_
Robert Kaliňák_x000d_
podpredseda vlády a minister vnútra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COOSYSTEM@1.1:Container">
    <vt:lpwstr>COO.2145.1000.3.1696885</vt:lpwstr>
  </property>
  <property fmtid="{D5CDD505-2E9C-101B-9397-08002B2CF9AE}" pid="151" name="FSC#FSCFOLIO@1.1001:docpropproject">
    <vt:lpwstr/>
  </property>
</Properties>
</file>