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8C4D1" w14:textId="77777777" w:rsidR="00054C41" w:rsidRPr="00895898" w:rsidRDefault="00054C41" w:rsidP="00054C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898">
        <w:rPr>
          <w:rFonts w:ascii="Times New Roman" w:eastAsia="Calibri" w:hAnsi="Times New Roman" w:cs="Times New Roman"/>
          <w:b/>
          <w:sz w:val="28"/>
          <w:szCs w:val="28"/>
        </w:rPr>
        <w:t>Analýza vplyvov na podnikateľské prostredie</w:t>
      </w:r>
    </w:p>
    <w:p w14:paraId="37B35A25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45D06B" w14:textId="77777777" w:rsidR="0006464A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Názov materiálu:</w:t>
      </w:r>
      <w:r w:rsidR="0006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6961D92" w14:textId="43B74C44" w:rsidR="00054C41" w:rsidRPr="0006464A" w:rsidRDefault="0006464A" w:rsidP="00054C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64A">
        <w:rPr>
          <w:rFonts w:ascii="Times New Roman" w:eastAsia="Calibri" w:hAnsi="Times New Roman" w:cs="Times New Roman"/>
          <w:sz w:val="24"/>
          <w:szCs w:val="24"/>
        </w:rPr>
        <w:t xml:space="preserve">Návrh zákona, ktorým sa mení a dopĺňa zákon č. 587/2004 Z. z. o Environmentálnom fonde a o zmene a doplnení niektorých zákonov </w:t>
      </w:r>
      <w:r w:rsidR="00BE4017">
        <w:rPr>
          <w:rFonts w:ascii="Times New Roman" w:eastAsia="Calibri" w:hAnsi="Times New Roman" w:cs="Times New Roman"/>
          <w:sz w:val="24"/>
          <w:szCs w:val="24"/>
        </w:rPr>
        <w:t xml:space="preserve">v znení neskorších predpisov </w:t>
      </w:r>
      <w:r w:rsidR="00BE4017" w:rsidRPr="00BE4017">
        <w:rPr>
          <w:rFonts w:ascii="Times New Roman" w:eastAsia="Calibri" w:hAnsi="Times New Roman" w:cs="Times New Roman"/>
          <w:sz w:val="24"/>
          <w:szCs w:val="24"/>
        </w:rPr>
        <w:t xml:space="preserve">a ktorým sa mení a dopĺňa zákon č. 414/2012 Z. z. o obchodovaní s emisnými kvótami a o zmene a doplnení niektorých zákonov v znení neskorších predpisov </w:t>
      </w:r>
      <w:bookmarkStart w:id="0" w:name="_GoBack"/>
      <w:bookmarkEnd w:id="0"/>
      <w:r w:rsidRPr="0006464A">
        <w:rPr>
          <w:rFonts w:ascii="Times New Roman" w:eastAsia="Calibri" w:hAnsi="Times New Roman" w:cs="Times New Roman"/>
          <w:sz w:val="24"/>
          <w:szCs w:val="24"/>
        </w:rPr>
        <w:t>(ďalej len „návrh zákona“).</w:t>
      </w:r>
    </w:p>
    <w:p w14:paraId="77F96BF6" w14:textId="0350E379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Predkladateľ:</w:t>
      </w:r>
      <w:r w:rsidR="0006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464A" w:rsidRPr="0006464A">
        <w:rPr>
          <w:rFonts w:ascii="Times New Roman" w:eastAsia="Calibri" w:hAnsi="Times New Roman" w:cs="Times New Roman"/>
          <w:sz w:val="24"/>
          <w:szCs w:val="24"/>
        </w:rPr>
        <w:t>Environmentálny fond</w:t>
      </w:r>
    </w:p>
    <w:p w14:paraId="36AFBB5F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B400DC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3.1 Náklady regulácie</w:t>
      </w:r>
    </w:p>
    <w:p w14:paraId="2A91A721" w14:textId="7347FB75" w:rsidR="00054C41" w:rsidRPr="001F1B43" w:rsidRDefault="00054C41" w:rsidP="00C21399">
      <w:pPr>
        <w:tabs>
          <w:tab w:val="left" w:pos="8025"/>
        </w:tabs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3.1.1 Súhrnná tabuľka nákladov regulácie </w:t>
      </w:r>
      <w:r w:rsidR="00C2139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</w:p>
    <w:p w14:paraId="30C56119" w14:textId="77777777" w:rsidR="00054C41" w:rsidRPr="001F1B43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2752F1" w14:textId="77777777" w:rsidR="00054C41" w:rsidRPr="00895898" w:rsidRDefault="00054C41" w:rsidP="00054C41">
      <w:pPr>
        <w:spacing w:after="0"/>
        <w:rPr>
          <w:rFonts w:ascii="Times New Roman" w:eastAsia="Calibri" w:hAnsi="Times New Roman" w:cs="Times New Roman"/>
          <w:i/>
        </w:rPr>
      </w:pPr>
    </w:p>
    <w:tbl>
      <w:tblPr>
        <w:tblStyle w:val="Mriekatabuky2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054C41" w:rsidRPr="00895898" w14:paraId="200C7519" w14:textId="77777777" w:rsidTr="00142154">
        <w:tc>
          <w:tcPr>
            <w:tcW w:w="3681" w:type="dxa"/>
          </w:tcPr>
          <w:p w14:paraId="06A5A4C5" w14:textId="77777777" w:rsidR="00054C41" w:rsidRPr="00895898" w:rsidRDefault="00054C41" w:rsidP="00142154">
            <w:pPr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TYP NÁKLADOV</w:t>
            </w:r>
          </w:p>
        </w:tc>
        <w:tc>
          <w:tcPr>
            <w:tcW w:w="2693" w:type="dxa"/>
            <w:shd w:val="clear" w:color="auto" w:fill="FFC000"/>
          </w:tcPr>
          <w:p w14:paraId="1BAEDC68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Zvýšenie nákladov v € na PP</w:t>
            </w:r>
          </w:p>
        </w:tc>
        <w:tc>
          <w:tcPr>
            <w:tcW w:w="2693" w:type="dxa"/>
            <w:shd w:val="clear" w:color="auto" w:fill="92D050"/>
          </w:tcPr>
          <w:p w14:paraId="1E4A3629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Zníženie nákladov v € na PP</w:t>
            </w:r>
          </w:p>
        </w:tc>
      </w:tr>
      <w:tr w:rsidR="007C2C6E" w:rsidRPr="00895898" w14:paraId="40D2DDFC" w14:textId="77777777" w:rsidTr="0039636F">
        <w:trPr>
          <w:trHeight w:val="227"/>
        </w:trPr>
        <w:tc>
          <w:tcPr>
            <w:tcW w:w="3681" w:type="dxa"/>
          </w:tcPr>
          <w:p w14:paraId="18F50E63" w14:textId="1EC43257" w:rsidR="007C2C6E" w:rsidRPr="00895898" w:rsidRDefault="007C2C6E" w:rsidP="007C2C6E">
            <w:pPr>
              <w:rPr>
                <w:rFonts w:ascii="Times New Roman" w:eastAsia="Calibri" w:hAnsi="Times New Roman" w:cs="Times New Roman"/>
                <w:i/>
                <w:iCs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</w:rPr>
              <w:t>A. Dane, odvody, clá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</w:rPr>
              <w:t xml:space="preserve"> a poplatk</w:t>
            </w:r>
            <w:r w:rsidRPr="00A000D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</w:rPr>
              <w:t>y</w:t>
            </w:r>
            <w:r w:rsidRPr="00A00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00D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</w:rPr>
              <w:t>ktorých cieľom je znižovať negatívne externality</w:t>
            </w:r>
          </w:p>
        </w:tc>
        <w:tc>
          <w:tcPr>
            <w:tcW w:w="2693" w:type="dxa"/>
            <w:shd w:val="clear" w:color="auto" w:fill="FFC000"/>
          </w:tcPr>
          <w:p w14:paraId="0C359853" w14:textId="77777777" w:rsidR="007C2C6E" w:rsidRPr="00895898" w:rsidRDefault="007C2C6E" w:rsidP="007C2C6E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7F217001" w14:textId="44201EDE" w:rsidR="007C2C6E" w:rsidRPr="007C2C6E" w:rsidRDefault="007C2C6E" w:rsidP="007C2C6E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7C2C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C2C6E" w:rsidRPr="00895898" w14:paraId="2A3B7BD5" w14:textId="77777777" w:rsidTr="0039636F">
        <w:tc>
          <w:tcPr>
            <w:tcW w:w="3681" w:type="dxa"/>
          </w:tcPr>
          <w:p w14:paraId="749ADDB1" w14:textId="6814776F" w:rsidR="007C2C6E" w:rsidRPr="00895898" w:rsidRDefault="007C2C6E" w:rsidP="007C2C6E">
            <w:pPr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 xml:space="preserve">B. </w:t>
            </w:r>
            <w:r>
              <w:rPr>
                <w:rFonts w:ascii="Times New Roman" w:eastAsia="Calibri" w:hAnsi="Times New Roman" w:cs="Times New Roman"/>
                <w:i/>
                <w:sz w:val="20"/>
              </w:rPr>
              <w:t>Iné p</w:t>
            </w: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oplatky</w:t>
            </w:r>
          </w:p>
        </w:tc>
        <w:tc>
          <w:tcPr>
            <w:tcW w:w="2693" w:type="dxa"/>
            <w:shd w:val="clear" w:color="auto" w:fill="FFC000"/>
          </w:tcPr>
          <w:p w14:paraId="7437C4A3" w14:textId="77777777" w:rsidR="007C2C6E" w:rsidRPr="00895898" w:rsidRDefault="007C2C6E" w:rsidP="007C2C6E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1A7F8C71" w14:textId="66E8F5A5" w:rsidR="007C2C6E" w:rsidRPr="007C2C6E" w:rsidRDefault="007C2C6E" w:rsidP="007C2C6E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7C2C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C2C6E" w:rsidRPr="00895898" w14:paraId="5890A2A1" w14:textId="77777777" w:rsidTr="0039636F">
        <w:tc>
          <w:tcPr>
            <w:tcW w:w="3681" w:type="dxa"/>
          </w:tcPr>
          <w:p w14:paraId="470A575F" w14:textId="77777777" w:rsidR="007C2C6E" w:rsidRPr="00895898" w:rsidRDefault="007C2C6E" w:rsidP="007C2C6E">
            <w:pPr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C. Nepriame finančné náklady</w:t>
            </w:r>
          </w:p>
        </w:tc>
        <w:tc>
          <w:tcPr>
            <w:tcW w:w="2693" w:type="dxa"/>
            <w:shd w:val="clear" w:color="auto" w:fill="FFC000"/>
          </w:tcPr>
          <w:p w14:paraId="72C6ABCE" w14:textId="77777777" w:rsidR="007C2C6E" w:rsidRPr="00895898" w:rsidRDefault="007C2C6E" w:rsidP="007C2C6E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4AB9E4F0" w14:textId="3BC4A878" w:rsidR="007C2C6E" w:rsidRPr="007C2C6E" w:rsidRDefault="007C2C6E" w:rsidP="007C2C6E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7C2C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C2C6E" w:rsidRPr="00895898" w14:paraId="1915EE9C" w14:textId="77777777" w:rsidTr="0039636F">
        <w:tc>
          <w:tcPr>
            <w:tcW w:w="3681" w:type="dxa"/>
          </w:tcPr>
          <w:p w14:paraId="3FBBD35B" w14:textId="77777777" w:rsidR="007C2C6E" w:rsidRPr="00895898" w:rsidRDefault="007C2C6E" w:rsidP="007C2C6E">
            <w:pPr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D. Administratívne náklady</w:t>
            </w:r>
          </w:p>
        </w:tc>
        <w:tc>
          <w:tcPr>
            <w:tcW w:w="2693" w:type="dxa"/>
            <w:shd w:val="clear" w:color="auto" w:fill="FFC000"/>
          </w:tcPr>
          <w:p w14:paraId="23A80DDF" w14:textId="77777777" w:rsidR="007C2C6E" w:rsidRPr="00895898" w:rsidRDefault="007C2C6E" w:rsidP="007C2C6E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0128E641" w14:textId="567F2FAD" w:rsidR="007C2C6E" w:rsidRPr="007C2C6E" w:rsidRDefault="002F2810" w:rsidP="007C2C6E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</w:rPr>
              <w:t>0</w:t>
            </w:r>
          </w:p>
        </w:tc>
      </w:tr>
      <w:tr w:rsidR="007C2C6E" w:rsidRPr="00895898" w14:paraId="784F8A51" w14:textId="77777777" w:rsidTr="0039636F">
        <w:tc>
          <w:tcPr>
            <w:tcW w:w="3681" w:type="dxa"/>
          </w:tcPr>
          <w:p w14:paraId="796F837A" w14:textId="77777777" w:rsidR="007C2C6E" w:rsidRPr="00895898" w:rsidRDefault="007C2C6E" w:rsidP="007C2C6E">
            <w:pPr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i/>
                <w:sz w:val="20"/>
              </w:rPr>
              <w:t>Spolu = A+B+C+D</w:t>
            </w:r>
          </w:p>
        </w:tc>
        <w:tc>
          <w:tcPr>
            <w:tcW w:w="2693" w:type="dxa"/>
            <w:shd w:val="clear" w:color="auto" w:fill="FFC000"/>
          </w:tcPr>
          <w:p w14:paraId="4613DC7D" w14:textId="77777777" w:rsidR="007C2C6E" w:rsidRPr="00895898" w:rsidRDefault="007C2C6E" w:rsidP="007C2C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02FE7EB5" w14:textId="1E493768" w:rsidR="007C2C6E" w:rsidRPr="007C2C6E" w:rsidRDefault="002F2810" w:rsidP="007C2C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C2C6E" w:rsidRPr="00895898" w14:paraId="4440B6DF" w14:textId="77777777" w:rsidTr="0039636F">
        <w:tc>
          <w:tcPr>
            <w:tcW w:w="3681" w:type="dxa"/>
          </w:tcPr>
          <w:p w14:paraId="1E7A37D9" w14:textId="05E931F4" w:rsidR="007C2C6E" w:rsidRPr="00895898" w:rsidRDefault="007C2C6E" w:rsidP="007C2C6E">
            <w:pPr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i/>
                <w:sz w:val="20"/>
              </w:rPr>
              <w:t xml:space="preserve"> z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</w:rPr>
              <w:t> </w:t>
            </w:r>
            <w:r w:rsidRPr="00895898">
              <w:rPr>
                <w:rFonts w:ascii="Times New Roman" w:eastAsia="Calibri" w:hAnsi="Times New Roman" w:cs="Times New Roman"/>
                <w:b/>
                <w:i/>
                <w:sz w:val="20"/>
              </w:rPr>
              <w:t>toho</w:t>
            </w:r>
          </w:p>
        </w:tc>
        <w:tc>
          <w:tcPr>
            <w:tcW w:w="2693" w:type="dxa"/>
            <w:shd w:val="clear" w:color="auto" w:fill="FFC000"/>
          </w:tcPr>
          <w:p w14:paraId="51BD31F5" w14:textId="77777777" w:rsidR="007C2C6E" w:rsidRPr="00895898" w:rsidRDefault="007C2C6E" w:rsidP="007C2C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14:paraId="623271B2" w14:textId="2A06552F" w:rsidR="007C2C6E" w:rsidRPr="007C2C6E" w:rsidRDefault="007C2C6E" w:rsidP="007C2C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7C2C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C2C6E" w:rsidRPr="00895898" w14:paraId="5592CF42" w14:textId="77777777" w:rsidTr="0039636F">
        <w:tc>
          <w:tcPr>
            <w:tcW w:w="3681" w:type="dxa"/>
          </w:tcPr>
          <w:p w14:paraId="01B4507F" w14:textId="77777777" w:rsidR="007C2C6E" w:rsidRPr="00895898" w:rsidRDefault="007C2C6E" w:rsidP="007C2C6E">
            <w:pPr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E. Vplyv na mikro, malé a stredné podniky</w:t>
            </w:r>
          </w:p>
        </w:tc>
        <w:tc>
          <w:tcPr>
            <w:tcW w:w="2693" w:type="dxa"/>
            <w:shd w:val="clear" w:color="auto" w:fill="FFC000"/>
          </w:tcPr>
          <w:p w14:paraId="7D80D68C" w14:textId="77777777" w:rsidR="007C2C6E" w:rsidRPr="00895898" w:rsidRDefault="007C2C6E" w:rsidP="007C2C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52B3C4D4" w14:textId="09C5560D" w:rsidR="007C2C6E" w:rsidRPr="007C2C6E" w:rsidRDefault="002F2810" w:rsidP="007C2C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C2C6E" w:rsidRPr="00895898" w14:paraId="22C30EA7" w14:textId="77777777" w:rsidTr="0039636F">
        <w:tc>
          <w:tcPr>
            <w:tcW w:w="3681" w:type="dxa"/>
          </w:tcPr>
          <w:p w14:paraId="7C25F36F" w14:textId="77777777" w:rsidR="007C2C6E" w:rsidRPr="00895898" w:rsidRDefault="007C2C6E" w:rsidP="007C2C6E">
            <w:pPr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F. Úplná harmonizácia práva EÚ</w:t>
            </w:r>
          </w:p>
        </w:tc>
        <w:tc>
          <w:tcPr>
            <w:tcW w:w="2693" w:type="dxa"/>
            <w:shd w:val="clear" w:color="auto" w:fill="FFC000"/>
          </w:tcPr>
          <w:p w14:paraId="56F8EF12" w14:textId="77777777" w:rsidR="007C2C6E" w:rsidRPr="00895898" w:rsidRDefault="007C2C6E" w:rsidP="007C2C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26F86839" w14:textId="31A35429" w:rsidR="007C2C6E" w:rsidRPr="007C2C6E" w:rsidRDefault="007C2C6E" w:rsidP="007C2C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7C2C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C41" w:rsidRPr="00895898" w14:paraId="51AAD86C" w14:textId="77777777" w:rsidTr="00142154">
        <w:tc>
          <w:tcPr>
            <w:tcW w:w="9067" w:type="dxa"/>
            <w:gridSpan w:val="3"/>
            <w:shd w:val="clear" w:color="auto" w:fill="auto"/>
          </w:tcPr>
          <w:p w14:paraId="3015DC22" w14:textId="77777777" w:rsidR="00054C41" w:rsidRPr="007C2C6E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</w:p>
        </w:tc>
      </w:tr>
      <w:tr w:rsidR="00054C41" w:rsidRPr="00895898" w14:paraId="0478A44B" w14:textId="77777777" w:rsidTr="00142154">
        <w:tc>
          <w:tcPr>
            <w:tcW w:w="3681" w:type="dxa"/>
          </w:tcPr>
          <w:p w14:paraId="223D796F" w14:textId="5E2E0367" w:rsidR="00054C41" w:rsidRPr="00895898" w:rsidRDefault="00054C41" w:rsidP="00142154">
            <w:pPr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VÝPOČET mechanizmu znižovania byrokracie a</w:t>
            </w:r>
            <w:r w:rsidR="00E030DA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 </w:t>
            </w: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nákladov</w:t>
            </w:r>
          </w:p>
        </w:tc>
        <w:tc>
          <w:tcPr>
            <w:tcW w:w="2693" w:type="dxa"/>
            <w:shd w:val="clear" w:color="auto" w:fill="FFC000"/>
          </w:tcPr>
          <w:p w14:paraId="2B6854C4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IN</w:t>
            </w:r>
          </w:p>
        </w:tc>
        <w:tc>
          <w:tcPr>
            <w:tcW w:w="2693" w:type="dxa"/>
            <w:shd w:val="clear" w:color="auto" w:fill="92D050"/>
          </w:tcPr>
          <w:p w14:paraId="5C88BAF1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OUT</w:t>
            </w:r>
          </w:p>
        </w:tc>
      </w:tr>
      <w:tr w:rsidR="004754A7" w:rsidRPr="00895898" w14:paraId="507BF3B8" w14:textId="77777777" w:rsidTr="00142154">
        <w:tc>
          <w:tcPr>
            <w:tcW w:w="3681" w:type="dxa"/>
          </w:tcPr>
          <w:p w14:paraId="067D9A58" w14:textId="77777777" w:rsidR="004754A7" w:rsidRPr="00895898" w:rsidRDefault="004754A7" w:rsidP="00142154">
            <w:pPr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</w:p>
        </w:tc>
        <w:tc>
          <w:tcPr>
            <w:tcW w:w="2693" w:type="dxa"/>
            <w:shd w:val="clear" w:color="auto" w:fill="FFC000"/>
          </w:tcPr>
          <w:p w14:paraId="1B96E867" w14:textId="77777777" w:rsidR="004754A7" w:rsidRPr="00895898" w:rsidRDefault="004754A7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</w:p>
        </w:tc>
        <w:tc>
          <w:tcPr>
            <w:tcW w:w="2693" w:type="dxa"/>
            <w:shd w:val="clear" w:color="auto" w:fill="92D050"/>
          </w:tcPr>
          <w:p w14:paraId="075E875F" w14:textId="77777777" w:rsidR="004754A7" w:rsidRPr="00895898" w:rsidRDefault="004754A7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</w:p>
        </w:tc>
      </w:tr>
      <w:tr w:rsidR="00054C41" w:rsidRPr="00895898" w14:paraId="5011BAE2" w14:textId="77777777" w:rsidTr="00142154">
        <w:tc>
          <w:tcPr>
            <w:tcW w:w="3681" w:type="dxa"/>
          </w:tcPr>
          <w:p w14:paraId="23438493" w14:textId="77777777" w:rsidR="00054C41" w:rsidRPr="00895898" w:rsidRDefault="00054C41" w:rsidP="00142154">
            <w:pPr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i/>
                <w:sz w:val="20"/>
              </w:rPr>
              <w:t>G. Náklady okrem výnimiek = B+C+D-F</w:t>
            </w:r>
          </w:p>
        </w:tc>
        <w:tc>
          <w:tcPr>
            <w:tcW w:w="2693" w:type="dxa"/>
            <w:shd w:val="clear" w:color="auto" w:fill="FFC000"/>
          </w:tcPr>
          <w:p w14:paraId="7041BF23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254E8359" w14:textId="233701AA" w:rsidR="00054C41" w:rsidRPr="00895898" w:rsidRDefault="002F2810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0</w:t>
            </w:r>
          </w:p>
        </w:tc>
      </w:tr>
    </w:tbl>
    <w:p w14:paraId="533B49DD" w14:textId="77777777" w:rsidR="00054C41" w:rsidRPr="00895898" w:rsidRDefault="00054C41" w:rsidP="00054C41">
      <w:pPr>
        <w:spacing w:after="0"/>
        <w:rPr>
          <w:rFonts w:ascii="Times New Roman" w:eastAsia="Calibri" w:hAnsi="Times New Roman" w:cs="Times New Roman"/>
          <w:i/>
        </w:rPr>
      </w:pPr>
    </w:p>
    <w:p w14:paraId="248D945B" w14:textId="77777777" w:rsidR="00054C41" w:rsidRPr="00895898" w:rsidRDefault="00054C41" w:rsidP="00054C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6811E34" w14:textId="77777777" w:rsidR="00054C41" w:rsidRPr="00895898" w:rsidRDefault="00054C41" w:rsidP="00054C41">
      <w:pPr>
        <w:rPr>
          <w:rFonts w:ascii="Times New Roman" w:eastAsia="Calibri" w:hAnsi="Times New Roman" w:cs="Times New Roman"/>
          <w:b/>
          <w:sz w:val="24"/>
          <w:szCs w:val="24"/>
        </w:rPr>
        <w:sectPr w:rsidR="00054C41" w:rsidRPr="00895898" w:rsidSect="00F2654A">
          <w:footerReference w:type="default" r:id="rId9"/>
          <w:pgSz w:w="11906" w:h="16838"/>
          <w:pgMar w:top="993" w:right="1417" w:bottom="1417" w:left="1417" w:header="708" w:footer="708" w:gutter="0"/>
          <w:pgNumType w:start="1"/>
          <w:cols w:space="708"/>
          <w:docGrid w:linePitch="360"/>
        </w:sectPr>
      </w:pPr>
    </w:p>
    <w:p w14:paraId="0270A51C" w14:textId="77777777" w:rsidR="00054C41" w:rsidRPr="001F1B43" w:rsidRDefault="00054C41" w:rsidP="00054C41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 xml:space="preserve">3.1.2 </w:t>
      </w:r>
      <w:bookmarkStart w:id="1" w:name="_Hlk79053659"/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Výpočty vplyvov jednotlivých regulácií na zmeny v nákladoch podnikateľov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367ACC15" w14:textId="2FE42F99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14861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360"/>
        <w:gridCol w:w="1028"/>
        <w:gridCol w:w="1129"/>
        <w:gridCol w:w="1195"/>
        <w:gridCol w:w="1134"/>
        <w:gridCol w:w="1496"/>
        <w:gridCol w:w="974"/>
        <w:gridCol w:w="974"/>
        <w:gridCol w:w="982"/>
        <w:gridCol w:w="992"/>
        <w:gridCol w:w="1102"/>
      </w:tblGrid>
      <w:tr w:rsidR="007C2C6E" w:rsidRPr="00895898" w14:paraId="10CEFB11" w14:textId="77777777" w:rsidTr="007C2C6E">
        <w:trPr>
          <w:trHeight w:val="1885"/>
        </w:trPr>
        <w:tc>
          <w:tcPr>
            <w:tcW w:w="495" w:type="dxa"/>
            <w:shd w:val="clear" w:color="auto" w:fill="BFBFBF"/>
            <w:vAlign w:val="center"/>
          </w:tcPr>
          <w:p w14:paraId="1FF42237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bookmarkStart w:id="2" w:name="_Hlk79053577"/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3360" w:type="dxa"/>
            <w:shd w:val="clear" w:color="auto" w:fill="BFBFBF"/>
            <w:vAlign w:val="center"/>
            <w:hideMark/>
          </w:tcPr>
          <w:p w14:paraId="73D167A0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Zrozumiteľný a stručný opis regulácie vyjadrujúci dôvod zvýšenia/zníženia nákladov na PP</w:t>
            </w:r>
          </w:p>
        </w:tc>
        <w:tc>
          <w:tcPr>
            <w:tcW w:w="1028" w:type="dxa"/>
            <w:shd w:val="clear" w:color="auto" w:fill="BFBFBF"/>
          </w:tcPr>
          <w:p w14:paraId="4381688D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5694B3C6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normy</w:t>
            </w:r>
          </w:p>
          <w:p w14:paraId="21C1A8DE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(zákona, vyhlášky a pod.)</w:t>
            </w:r>
          </w:p>
        </w:tc>
        <w:tc>
          <w:tcPr>
            <w:tcW w:w="1129" w:type="dxa"/>
            <w:shd w:val="clear" w:color="auto" w:fill="BFBFBF"/>
            <w:vAlign w:val="center"/>
            <w:hideMark/>
          </w:tcPr>
          <w:p w14:paraId="1D7822BE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Lokalizácia </w:t>
            </w: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(§, ods.)</w:t>
            </w:r>
          </w:p>
        </w:tc>
        <w:tc>
          <w:tcPr>
            <w:tcW w:w="1195" w:type="dxa"/>
            <w:shd w:val="clear" w:color="auto" w:fill="BFBFBF"/>
            <w:vAlign w:val="center"/>
          </w:tcPr>
          <w:p w14:paraId="24D9A18D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Pôvod regulácie:</w:t>
            </w:r>
          </w:p>
          <w:p w14:paraId="4C175F7C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SK/EÚ úplná harm./EÚ harm. s možnosťou voľby</w:t>
            </w:r>
          </w:p>
        </w:tc>
        <w:tc>
          <w:tcPr>
            <w:tcW w:w="1134" w:type="dxa"/>
            <w:shd w:val="clear" w:color="auto" w:fill="BFBFBF"/>
            <w:vAlign w:val="center"/>
            <w:hideMark/>
          </w:tcPr>
          <w:p w14:paraId="37B6F9E7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Účinnosť</w:t>
            </w:r>
          </w:p>
          <w:p w14:paraId="019DF54E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regulácie</w:t>
            </w:r>
          </w:p>
          <w:p w14:paraId="23D85168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96" w:type="dxa"/>
            <w:shd w:val="clear" w:color="auto" w:fill="BFBFBF"/>
            <w:vAlign w:val="center"/>
          </w:tcPr>
          <w:p w14:paraId="3CB7D2BB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Kategória dotk. subjektov</w:t>
            </w:r>
          </w:p>
        </w:tc>
        <w:tc>
          <w:tcPr>
            <w:tcW w:w="974" w:type="dxa"/>
            <w:shd w:val="clear" w:color="auto" w:fill="BFBFBF"/>
            <w:vAlign w:val="center"/>
          </w:tcPr>
          <w:p w14:paraId="731C2E01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 subjektov v dotk. kategórii </w:t>
            </w:r>
          </w:p>
        </w:tc>
        <w:tc>
          <w:tcPr>
            <w:tcW w:w="974" w:type="dxa"/>
            <w:shd w:val="clear" w:color="auto" w:fill="BFBFBF"/>
            <w:vAlign w:val="center"/>
            <w:hideMark/>
          </w:tcPr>
          <w:p w14:paraId="1B1DCB42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subjektov MSP v dotk. kategórii </w:t>
            </w:r>
          </w:p>
        </w:tc>
        <w:tc>
          <w:tcPr>
            <w:tcW w:w="982" w:type="dxa"/>
            <w:shd w:val="clear" w:color="auto" w:fill="BFBFBF"/>
            <w:vAlign w:val="center"/>
            <w:hideMark/>
          </w:tcPr>
          <w:p w14:paraId="610B7638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1 podnik. v €</w:t>
            </w:r>
          </w:p>
        </w:tc>
        <w:tc>
          <w:tcPr>
            <w:tcW w:w="992" w:type="dxa"/>
            <w:shd w:val="clear" w:color="auto" w:fill="BFBFBF"/>
            <w:vAlign w:val="center"/>
            <w:hideMark/>
          </w:tcPr>
          <w:p w14:paraId="0FC33AFB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kategóriu dotk. subjektov v €</w:t>
            </w:r>
          </w:p>
        </w:tc>
        <w:tc>
          <w:tcPr>
            <w:tcW w:w="1102" w:type="dxa"/>
            <w:shd w:val="clear" w:color="auto" w:fill="BFBFBF"/>
            <w:vAlign w:val="center"/>
          </w:tcPr>
          <w:p w14:paraId="4FBA7398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vplyvu</w:t>
            </w:r>
          </w:p>
          <w:p w14:paraId="3EF161D7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In (zvyšuje náklady) / </w:t>
            </w:r>
          </w:p>
          <w:p w14:paraId="4D4343DB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Out (znižuje náklady</w:t>
            </w: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  <w:p w14:paraId="288EFEBA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054C41" w:rsidRPr="00895898" w14:paraId="11758B9A" w14:textId="77777777" w:rsidTr="007C2C6E">
        <w:trPr>
          <w:trHeight w:val="1570"/>
        </w:trPr>
        <w:tc>
          <w:tcPr>
            <w:tcW w:w="495" w:type="dxa"/>
            <w:vAlign w:val="center"/>
          </w:tcPr>
          <w:p w14:paraId="6F827851" w14:textId="375B42A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7B4E9DA7" w14:textId="6F8E0B7A" w:rsidR="00054C41" w:rsidRPr="00895898" w:rsidRDefault="00054C41" w:rsidP="007C2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8" w:type="dxa"/>
          </w:tcPr>
          <w:p w14:paraId="120314F8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B4826F8" w14:textId="3FD87F07" w:rsidR="00054C41" w:rsidRPr="007C2C6E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5" w:type="dxa"/>
            <w:vAlign w:val="center"/>
          </w:tcPr>
          <w:p w14:paraId="3A0BA666" w14:textId="152176D5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FB7AA2" w14:textId="173987F5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96" w:type="dxa"/>
            <w:vAlign w:val="center"/>
          </w:tcPr>
          <w:p w14:paraId="299C820D" w14:textId="495D314F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74360775" w14:textId="077FB55C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57C9126E" w14:textId="6E9C9151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57D4FAC6" w14:textId="2743C9AC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A55E97" w14:textId="42F0B45A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2" w:type="dxa"/>
            <w:vAlign w:val="center"/>
          </w:tcPr>
          <w:p w14:paraId="032A8679" w14:textId="24C1E06B" w:rsidR="00054C41" w:rsidRPr="00895898" w:rsidRDefault="007C2C6E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Out</w:t>
            </w:r>
          </w:p>
        </w:tc>
      </w:tr>
      <w:tr w:rsidR="00054C41" w:rsidRPr="00895898" w14:paraId="3E85FB6C" w14:textId="77777777" w:rsidTr="007C2C6E">
        <w:trPr>
          <w:trHeight w:val="2743"/>
        </w:trPr>
        <w:tc>
          <w:tcPr>
            <w:tcW w:w="495" w:type="dxa"/>
            <w:vAlign w:val="center"/>
          </w:tcPr>
          <w:p w14:paraId="65795CE6" w14:textId="4014DCA5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7BEDDF1C" w14:textId="67E46573" w:rsidR="00054C41" w:rsidRPr="00895898" w:rsidRDefault="00054C41" w:rsidP="007C2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8" w:type="dxa"/>
          </w:tcPr>
          <w:p w14:paraId="6F95232A" w14:textId="77777777" w:rsidR="00054C41" w:rsidRPr="007C2C6E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772F4F9" w14:textId="40F09080" w:rsidR="00054C41" w:rsidRPr="007C2C6E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5" w:type="dxa"/>
            <w:vAlign w:val="center"/>
          </w:tcPr>
          <w:p w14:paraId="202CD1E5" w14:textId="2FADFDDB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7D0512" w14:textId="7EFFA01A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96" w:type="dxa"/>
            <w:vAlign w:val="center"/>
          </w:tcPr>
          <w:p w14:paraId="41387D4C" w14:textId="73C245E0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2F2BACE5" w14:textId="27228E85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39949054" w14:textId="7C74C7D1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1371B6C4" w14:textId="2B6C7FEF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7D454A" w14:textId="4318D9E8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2" w:type="dxa"/>
            <w:vAlign w:val="center"/>
          </w:tcPr>
          <w:p w14:paraId="3CD7D152" w14:textId="3CCB2A95" w:rsidR="00054C41" w:rsidRPr="00895898" w:rsidRDefault="007C2C6E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Out</w:t>
            </w:r>
          </w:p>
        </w:tc>
      </w:tr>
      <w:tr w:rsidR="00054C41" w:rsidRPr="00895898" w14:paraId="0922CA33" w14:textId="77777777" w:rsidTr="007C2C6E">
        <w:trPr>
          <w:trHeight w:val="600"/>
        </w:trPr>
        <w:tc>
          <w:tcPr>
            <w:tcW w:w="495" w:type="dxa"/>
            <w:vAlign w:val="center"/>
          </w:tcPr>
          <w:p w14:paraId="350B46C3" w14:textId="4D7D2B43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0CA6693B" w14:textId="0D88A060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8" w:type="dxa"/>
          </w:tcPr>
          <w:p w14:paraId="671FAD5C" w14:textId="24FCB3C0" w:rsidR="00054C41" w:rsidRPr="00895898" w:rsidRDefault="00054C41" w:rsidP="007C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54A93B7" w14:textId="34B52943" w:rsidR="00054C41" w:rsidRPr="00895898" w:rsidRDefault="00054C41" w:rsidP="007C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5" w:type="dxa"/>
            <w:vAlign w:val="center"/>
          </w:tcPr>
          <w:p w14:paraId="59119F88" w14:textId="5C90A920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220C43" w14:textId="4471CB4A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96" w:type="dxa"/>
            <w:vAlign w:val="center"/>
          </w:tcPr>
          <w:p w14:paraId="793D105F" w14:textId="238F1DAA" w:rsidR="00054C41" w:rsidRPr="00895898" w:rsidRDefault="00054C41" w:rsidP="007C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36AA08E5" w14:textId="5CAE3E0B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342400C0" w14:textId="379EA860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643D8B22" w14:textId="6786C0C8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0F78D6" w14:textId="7B61870C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2" w:type="dxa"/>
            <w:vAlign w:val="center"/>
          </w:tcPr>
          <w:p w14:paraId="749B6947" w14:textId="592D7B6E" w:rsidR="00054C41" w:rsidRPr="00895898" w:rsidRDefault="007C2C6E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Out</w:t>
            </w:r>
          </w:p>
        </w:tc>
      </w:tr>
      <w:bookmarkEnd w:id="2"/>
      <w:tr w:rsidR="00054C41" w:rsidRPr="00895898" w14:paraId="14F4C8F0" w14:textId="77777777" w:rsidTr="007C2C6E">
        <w:trPr>
          <w:trHeight w:val="600"/>
        </w:trPr>
        <w:tc>
          <w:tcPr>
            <w:tcW w:w="495" w:type="dxa"/>
            <w:vAlign w:val="center"/>
          </w:tcPr>
          <w:p w14:paraId="16B3AE51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06331E37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8" w:type="dxa"/>
          </w:tcPr>
          <w:p w14:paraId="721ACDB6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952C5FE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5" w:type="dxa"/>
            <w:vAlign w:val="center"/>
          </w:tcPr>
          <w:p w14:paraId="478252F3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B51E86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96" w:type="dxa"/>
            <w:vAlign w:val="center"/>
          </w:tcPr>
          <w:p w14:paraId="5860EA3F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19075E90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4AC36E76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46718EE4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839B7F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2" w:type="dxa"/>
            <w:vAlign w:val="center"/>
          </w:tcPr>
          <w:p w14:paraId="0CF10260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4C41" w:rsidRPr="00895898" w14:paraId="16C58F86" w14:textId="77777777" w:rsidTr="007C2C6E">
        <w:trPr>
          <w:trHeight w:val="600"/>
        </w:trPr>
        <w:tc>
          <w:tcPr>
            <w:tcW w:w="495" w:type="dxa"/>
            <w:vAlign w:val="center"/>
          </w:tcPr>
          <w:p w14:paraId="0DCD4B2C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17C9A25D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8" w:type="dxa"/>
          </w:tcPr>
          <w:p w14:paraId="2D669949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1354A5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5" w:type="dxa"/>
            <w:vAlign w:val="center"/>
          </w:tcPr>
          <w:p w14:paraId="04A31097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C031BD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96" w:type="dxa"/>
            <w:vAlign w:val="center"/>
          </w:tcPr>
          <w:p w14:paraId="2E412B67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152ADF1E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28BE4D6E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27AD2C09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7F1C27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2" w:type="dxa"/>
            <w:vAlign w:val="center"/>
          </w:tcPr>
          <w:p w14:paraId="5C67D790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4C41" w:rsidRPr="00895898" w14:paraId="3386FCD5" w14:textId="77777777" w:rsidTr="007C2C6E">
        <w:trPr>
          <w:trHeight w:val="655"/>
        </w:trPr>
        <w:tc>
          <w:tcPr>
            <w:tcW w:w="495" w:type="dxa"/>
            <w:vAlign w:val="center"/>
          </w:tcPr>
          <w:p w14:paraId="341FC3D9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41A93034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8" w:type="dxa"/>
          </w:tcPr>
          <w:p w14:paraId="12AB029A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58F7AE7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5" w:type="dxa"/>
            <w:vAlign w:val="center"/>
          </w:tcPr>
          <w:p w14:paraId="2C6AC929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B3EA30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96" w:type="dxa"/>
            <w:vAlign w:val="center"/>
          </w:tcPr>
          <w:p w14:paraId="6C2BE111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6A663AC4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6EE95920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090D1E5C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525B1B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2" w:type="dxa"/>
            <w:vAlign w:val="center"/>
          </w:tcPr>
          <w:p w14:paraId="0D7DF0AE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4C41" w:rsidRPr="00895898" w14:paraId="7EB0E4DE" w14:textId="77777777" w:rsidTr="007C2C6E">
        <w:trPr>
          <w:trHeight w:val="578"/>
        </w:trPr>
        <w:tc>
          <w:tcPr>
            <w:tcW w:w="495" w:type="dxa"/>
            <w:vAlign w:val="center"/>
          </w:tcPr>
          <w:p w14:paraId="5C9E4501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3ECA1819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8" w:type="dxa"/>
          </w:tcPr>
          <w:p w14:paraId="6A0B3DAA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C4980A4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5" w:type="dxa"/>
            <w:vAlign w:val="center"/>
          </w:tcPr>
          <w:p w14:paraId="3AD90445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85AC1A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96" w:type="dxa"/>
            <w:vAlign w:val="center"/>
          </w:tcPr>
          <w:p w14:paraId="4D281D8A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17020489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4374C799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721A0B86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3916CD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2" w:type="dxa"/>
            <w:vAlign w:val="center"/>
          </w:tcPr>
          <w:p w14:paraId="652CB1E1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4C41" w:rsidRPr="00895898" w14:paraId="06C32329" w14:textId="77777777" w:rsidTr="007C2C6E">
        <w:trPr>
          <w:trHeight w:val="578"/>
        </w:trPr>
        <w:tc>
          <w:tcPr>
            <w:tcW w:w="495" w:type="dxa"/>
            <w:vAlign w:val="center"/>
          </w:tcPr>
          <w:p w14:paraId="63491A93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068D520C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8" w:type="dxa"/>
          </w:tcPr>
          <w:p w14:paraId="76914543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E1B104E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5" w:type="dxa"/>
            <w:vAlign w:val="center"/>
          </w:tcPr>
          <w:p w14:paraId="2F4D48A5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E8A048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96" w:type="dxa"/>
            <w:vAlign w:val="center"/>
          </w:tcPr>
          <w:p w14:paraId="7159C8CA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1C78D709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62DE2C3D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0054144E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9B9648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2" w:type="dxa"/>
            <w:vAlign w:val="center"/>
          </w:tcPr>
          <w:p w14:paraId="4FE1067F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4C41" w:rsidRPr="00895898" w14:paraId="4742F14C" w14:textId="77777777" w:rsidTr="007C2C6E">
        <w:trPr>
          <w:trHeight w:val="578"/>
        </w:trPr>
        <w:tc>
          <w:tcPr>
            <w:tcW w:w="495" w:type="dxa"/>
            <w:vAlign w:val="center"/>
          </w:tcPr>
          <w:p w14:paraId="07289A63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3BB78E2C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8" w:type="dxa"/>
          </w:tcPr>
          <w:p w14:paraId="0BD60F65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E194E44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5" w:type="dxa"/>
            <w:vAlign w:val="center"/>
          </w:tcPr>
          <w:p w14:paraId="1BDC3F80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7CDF33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96" w:type="dxa"/>
            <w:vAlign w:val="center"/>
          </w:tcPr>
          <w:p w14:paraId="308B8F3B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75028CE4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7DE40B73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30982819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472185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2" w:type="dxa"/>
            <w:vAlign w:val="center"/>
          </w:tcPr>
          <w:p w14:paraId="3BDDCE5F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6E2FC1D4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i/>
        </w:rPr>
      </w:pPr>
    </w:p>
    <w:bookmarkEnd w:id="1"/>
    <w:p w14:paraId="392BDE53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  <w:sectPr w:rsidR="00054C41" w:rsidRPr="00895898" w:rsidSect="00F2654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1C48189" w14:textId="77777777" w:rsidR="007677D3" w:rsidRPr="007677D3" w:rsidRDefault="007677D3" w:rsidP="007677D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CD176F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3.2 Vyhodnotenie konzultácií s podnikateľskými subjektmi pred predbežným pripomienkovým konaním</w:t>
      </w:r>
    </w:p>
    <w:p w14:paraId="50FC6718" w14:textId="177A4117" w:rsidR="00054C41" w:rsidRPr="00F8721E" w:rsidRDefault="00F8721E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21E">
        <w:rPr>
          <w:rFonts w:ascii="Times New Roman" w:eastAsia="Calibri" w:hAnsi="Times New Roman" w:cs="Times New Roman"/>
          <w:sz w:val="24"/>
          <w:szCs w:val="24"/>
        </w:rPr>
        <w:t>Vzhľadom na povahu navrhovaných zmien /zmeny výlučne v prospech podnikateľského prostredia/ nebolo potrené uvedené zmeny konzultovať s podnikateľskými subjektmi.</w:t>
      </w:r>
    </w:p>
    <w:p w14:paraId="7E0BF3F5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B9B01F4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47698091"/>
      <w:r w:rsidRPr="001F1B43">
        <w:rPr>
          <w:rFonts w:ascii="Times New Roman" w:eastAsia="Calibri" w:hAnsi="Times New Roman" w:cs="Times New Roman"/>
          <w:b/>
          <w:sz w:val="24"/>
          <w:szCs w:val="24"/>
        </w:rPr>
        <w:t>3.3 Vplyvy na konkurencieschopnosť a produktivitu</w:t>
      </w:r>
    </w:p>
    <w:bookmarkEnd w:id="3"/>
    <w:p w14:paraId="481FCBBF" w14:textId="05A25903" w:rsidR="00F8721E" w:rsidRPr="00F8721E" w:rsidRDefault="00F8721E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21E">
        <w:rPr>
          <w:rFonts w:ascii="Times New Roman" w:eastAsia="Calibri" w:hAnsi="Times New Roman" w:cs="Times New Roman"/>
          <w:sz w:val="24"/>
          <w:szCs w:val="24"/>
        </w:rPr>
        <w:t>Navrhované zmeny nebudú mať vplyv na konkurencieschopnosť a produktivitu podnikateľského prostredia.</w:t>
      </w:r>
    </w:p>
    <w:p w14:paraId="7C7DB60C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DBDE90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Konkurencieschopnosť:</w:t>
      </w:r>
    </w:p>
    <w:p w14:paraId="79A2EAA5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uvedených odpovedí zaškrtnite a popíšte, či materiál konkurencieschopnosť:</w:t>
      </w:r>
    </w:p>
    <w:p w14:paraId="7A10A211" w14:textId="65680F75" w:rsidR="00054C41" w:rsidRPr="00D8247C" w:rsidRDefault="000203E0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798576880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1729873660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410579887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80300261"/>
            </w:sdtPr>
            <w:sdtEndPr/>
            <w:sdtContent>
              <w:r w:rsidR="00F8721E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X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474604883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706551548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6B265631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8C584EC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Produktivita:</w:t>
      </w:r>
    </w:p>
    <w:p w14:paraId="0C89139A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Aký má materiál vplyv na zmenu pomeru medzi produkciou podnikov a ich nákladmi? </w:t>
      </w:r>
    </w:p>
    <w:p w14:paraId="01C1A176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C5BED47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uvedenej odpovede zaškrtnite a popíšte, či materiál produktivitu:</w:t>
      </w:r>
    </w:p>
    <w:p w14:paraId="6DAAAC96" w14:textId="4FEB3EBB" w:rsidR="00054C41" w:rsidRPr="00D8247C" w:rsidRDefault="000203E0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545903528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825715010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353966921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222205104"/>
            </w:sdtPr>
            <w:sdtEndPr/>
            <w:sdtContent>
              <w:r w:rsidR="00F8721E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X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8721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>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457723544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623767955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72C8CE5E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CA1DE6B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 xml:space="preserve">3.4  Iné vplyvy na podnikateľské prostredie </w:t>
      </w:r>
    </w:p>
    <w:p w14:paraId="5D8245DD" w14:textId="6A2156CB" w:rsidR="00F8721E" w:rsidRDefault="00F8721E" w:rsidP="00F872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Pozitívny vplyv na podnikateľské prostredie vo vzťahu k schéme poskytovania podpory zo strany Environmentálneho fondu je bližšie opísaný </w:t>
      </w:r>
      <w:r w:rsidR="00C253F9">
        <w:rPr>
          <w:rFonts w:ascii="Times New Roman" w:eastAsia="Calibri" w:hAnsi="Times New Roman" w:cs="Times New Roman"/>
          <w:sz w:val="24"/>
          <w:szCs w:val="24"/>
        </w:rPr>
        <w:t xml:space="preserve">nižšie </w:t>
      </w:r>
      <w:r>
        <w:rPr>
          <w:rFonts w:ascii="Times New Roman" w:eastAsia="Calibri" w:hAnsi="Times New Roman" w:cs="Times New Roman"/>
          <w:sz w:val="24"/>
          <w:szCs w:val="24"/>
        </w:rPr>
        <w:t>v časti „</w:t>
      </w:r>
      <w:r w:rsidRPr="00F8721E">
        <w:rPr>
          <w:rFonts w:ascii="Times New Roman" w:eastAsia="Calibri" w:hAnsi="Times New Roman" w:cs="Times New Roman"/>
          <w:bCs/>
          <w:sz w:val="24"/>
          <w:szCs w:val="24"/>
        </w:rPr>
        <w:t>Doplňujúce informácie k spôsobu výpočtu vplyvov jednotliv</w:t>
      </w:r>
      <w:r>
        <w:rPr>
          <w:rFonts w:ascii="Times New Roman" w:eastAsia="Calibri" w:hAnsi="Times New Roman" w:cs="Times New Roman"/>
          <w:bCs/>
          <w:sz w:val="24"/>
          <w:szCs w:val="24"/>
        </w:rPr>
        <w:t>ých regulácií na zmenu nákladov“ tohto dokumentu.</w:t>
      </w:r>
    </w:p>
    <w:p w14:paraId="1C0B97D1" w14:textId="03CC0040" w:rsidR="00C253F9" w:rsidRDefault="00C253F9" w:rsidP="00F872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4324A20" w14:textId="161EB07C" w:rsidR="00C253F9" w:rsidRDefault="00C253F9" w:rsidP="00F872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653201" w14:textId="6F3C299A" w:rsidR="00C253F9" w:rsidRDefault="00C253F9" w:rsidP="00F872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14DF98" w14:textId="25D2C4BA" w:rsidR="00C253F9" w:rsidRDefault="00C253F9" w:rsidP="00F872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D1ECD0" w14:textId="0D76A7DB" w:rsidR="00C253F9" w:rsidRDefault="00C253F9" w:rsidP="00F872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122A31" w14:textId="7FE96506" w:rsidR="00C253F9" w:rsidRDefault="00C253F9" w:rsidP="00F872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D5A578" w14:textId="1A39C40A" w:rsidR="00C253F9" w:rsidRDefault="00C253F9" w:rsidP="00F872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226623" w14:textId="03B51087" w:rsidR="00C253F9" w:rsidRDefault="00C253F9" w:rsidP="00F872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447CD47" w14:textId="619B0C82" w:rsidR="00C253F9" w:rsidRDefault="00C253F9" w:rsidP="00F872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3BD0C3" w14:textId="77777777" w:rsidR="00C253F9" w:rsidRDefault="00C253F9" w:rsidP="00F872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AD6B98" w14:textId="3005A3F3" w:rsidR="00C253F9" w:rsidRDefault="00C253F9" w:rsidP="00F872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6F7352" w14:textId="45A80D05" w:rsidR="00C253F9" w:rsidRDefault="00C253F9" w:rsidP="00F872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725CAF" w14:textId="77777777" w:rsidR="00C253F9" w:rsidRDefault="00C253F9" w:rsidP="00C253F9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  <w:sectPr w:rsidR="00C253F9" w:rsidSect="00F2654A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11B16D" w14:textId="785EAF27" w:rsidR="00C253F9" w:rsidRPr="001F1B43" w:rsidRDefault="00C253F9" w:rsidP="00C253F9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Výpočty vplyvov jednotlivých regulácií na zmeny v nákladoch podnikateľov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70D09636" w14:textId="77777777" w:rsidR="00C253F9" w:rsidRPr="00D8247C" w:rsidRDefault="00C253F9" w:rsidP="00C253F9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14861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360"/>
        <w:gridCol w:w="1028"/>
        <w:gridCol w:w="1129"/>
        <w:gridCol w:w="1195"/>
        <w:gridCol w:w="1134"/>
        <w:gridCol w:w="1496"/>
        <w:gridCol w:w="974"/>
        <w:gridCol w:w="974"/>
        <w:gridCol w:w="982"/>
        <w:gridCol w:w="992"/>
        <w:gridCol w:w="1102"/>
      </w:tblGrid>
      <w:tr w:rsidR="00C253F9" w:rsidRPr="00895898" w14:paraId="0062A79E" w14:textId="77777777" w:rsidTr="004728B8">
        <w:trPr>
          <w:trHeight w:val="1885"/>
        </w:trPr>
        <w:tc>
          <w:tcPr>
            <w:tcW w:w="495" w:type="dxa"/>
            <w:shd w:val="clear" w:color="auto" w:fill="BFBFBF"/>
            <w:vAlign w:val="center"/>
          </w:tcPr>
          <w:p w14:paraId="0D1F79F3" w14:textId="77777777" w:rsidR="00C253F9" w:rsidRPr="00895898" w:rsidRDefault="00C253F9" w:rsidP="004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3360" w:type="dxa"/>
            <w:shd w:val="clear" w:color="auto" w:fill="BFBFBF"/>
            <w:vAlign w:val="center"/>
            <w:hideMark/>
          </w:tcPr>
          <w:p w14:paraId="0B961B26" w14:textId="77777777" w:rsidR="00C253F9" w:rsidRPr="00895898" w:rsidRDefault="00C253F9" w:rsidP="004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Zrozumiteľný a stručný opis regulácie vyjadrujúci dôvod zvýšenia/zníženia nákladov na PP</w:t>
            </w:r>
          </w:p>
        </w:tc>
        <w:tc>
          <w:tcPr>
            <w:tcW w:w="1028" w:type="dxa"/>
            <w:shd w:val="clear" w:color="auto" w:fill="BFBFBF"/>
          </w:tcPr>
          <w:p w14:paraId="189C394E" w14:textId="77777777" w:rsidR="00C253F9" w:rsidRPr="00895898" w:rsidRDefault="00C253F9" w:rsidP="004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3C4F172A" w14:textId="77777777" w:rsidR="00C253F9" w:rsidRPr="00895898" w:rsidRDefault="00C253F9" w:rsidP="004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normy</w:t>
            </w:r>
          </w:p>
          <w:p w14:paraId="41387814" w14:textId="77777777" w:rsidR="00C253F9" w:rsidRPr="00895898" w:rsidRDefault="00C253F9" w:rsidP="004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(zákona, vyhlášky a pod.)</w:t>
            </w:r>
          </w:p>
        </w:tc>
        <w:tc>
          <w:tcPr>
            <w:tcW w:w="1129" w:type="dxa"/>
            <w:shd w:val="clear" w:color="auto" w:fill="BFBFBF"/>
            <w:vAlign w:val="center"/>
            <w:hideMark/>
          </w:tcPr>
          <w:p w14:paraId="2E637E98" w14:textId="77777777" w:rsidR="00C253F9" w:rsidRPr="00895898" w:rsidRDefault="00C253F9" w:rsidP="004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Lokalizácia </w:t>
            </w: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(§, ods.)</w:t>
            </w:r>
          </w:p>
        </w:tc>
        <w:tc>
          <w:tcPr>
            <w:tcW w:w="1195" w:type="dxa"/>
            <w:shd w:val="clear" w:color="auto" w:fill="BFBFBF"/>
            <w:vAlign w:val="center"/>
          </w:tcPr>
          <w:p w14:paraId="39FC5334" w14:textId="77777777" w:rsidR="00C253F9" w:rsidRPr="00895898" w:rsidRDefault="00C253F9" w:rsidP="004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Pôvod regulácie:</w:t>
            </w:r>
          </w:p>
          <w:p w14:paraId="2010BE65" w14:textId="77777777" w:rsidR="00C253F9" w:rsidRPr="00895898" w:rsidRDefault="00C253F9" w:rsidP="004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SK/EÚ úplná harm./EÚ harm. s možnosťou voľby</w:t>
            </w:r>
          </w:p>
        </w:tc>
        <w:tc>
          <w:tcPr>
            <w:tcW w:w="1134" w:type="dxa"/>
            <w:shd w:val="clear" w:color="auto" w:fill="BFBFBF"/>
            <w:vAlign w:val="center"/>
            <w:hideMark/>
          </w:tcPr>
          <w:p w14:paraId="3D64EDA0" w14:textId="77777777" w:rsidR="00C253F9" w:rsidRPr="00895898" w:rsidRDefault="00C253F9" w:rsidP="004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Účinnosť</w:t>
            </w:r>
          </w:p>
          <w:p w14:paraId="63FCF128" w14:textId="77777777" w:rsidR="00C253F9" w:rsidRPr="00895898" w:rsidRDefault="00C253F9" w:rsidP="004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regulácie</w:t>
            </w:r>
          </w:p>
          <w:p w14:paraId="79BC8A28" w14:textId="77777777" w:rsidR="00C253F9" w:rsidRPr="00895898" w:rsidRDefault="00C253F9" w:rsidP="004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96" w:type="dxa"/>
            <w:shd w:val="clear" w:color="auto" w:fill="BFBFBF"/>
            <w:vAlign w:val="center"/>
          </w:tcPr>
          <w:p w14:paraId="510D1FAF" w14:textId="77777777" w:rsidR="00C253F9" w:rsidRPr="00895898" w:rsidRDefault="00C253F9" w:rsidP="004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Kategória dotk. subjektov</w:t>
            </w:r>
          </w:p>
        </w:tc>
        <w:tc>
          <w:tcPr>
            <w:tcW w:w="974" w:type="dxa"/>
            <w:shd w:val="clear" w:color="auto" w:fill="BFBFBF"/>
            <w:vAlign w:val="center"/>
          </w:tcPr>
          <w:p w14:paraId="7F855FDA" w14:textId="77777777" w:rsidR="00C253F9" w:rsidRPr="00895898" w:rsidRDefault="00C253F9" w:rsidP="004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 subjektov v dotk. kategórii </w:t>
            </w:r>
          </w:p>
        </w:tc>
        <w:tc>
          <w:tcPr>
            <w:tcW w:w="974" w:type="dxa"/>
            <w:shd w:val="clear" w:color="auto" w:fill="BFBFBF"/>
            <w:vAlign w:val="center"/>
            <w:hideMark/>
          </w:tcPr>
          <w:p w14:paraId="3ABB21E3" w14:textId="77777777" w:rsidR="00C253F9" w:rsidRPr="00895898" w:rsidRDefault="00C253F9" w:rsidP="004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subjektov MSP v dotk. kategórii </w:t>
            </w:r>
          </w:p>
        </w:tc>
        <w:tc>
          <w:tcPr>
            <w:tcW w:w="982" w:type="dxa"/>
            <w:shd w:val="clear" w:color="auto" w:fill="BFBFBF"/>
            <w:vAlign w:val="center"/>
            <w:hideMark/>
          </w:tcPr>
          <w:p w14:paraId="380FC653" w14:textId="77777777" w:rsidR="00C253F9" w:rsidRPr="00895898" w:rsidRDefault="00C253F9" w:rsidP="004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1 podnik. v €</w:t>
            </w:r>
          </w:p>
        </w:tc>
        <w:tc>
          <w:tcPr>
            <w:tcW w:w="992" w:type="dxa"/>
            <w:shd w:val="clear" w:color="auto" w:fill="BFBFBF"/>
            <w:vAlign w:val="center"/>
            <w:hideMark/>
          </w:tcPr>
          <w:p w14:paraId="50383538" w14:textId="77777777" w:rsidR="00C253F9" w:rsidRPr="00895898" w:rsidRDefault="00C253F9" w:rsidP="004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kategóriu dotk. subjektov v €</w:t>
            </w:r>
          </w:p>
        </w:tc>
        <w:tc>
          <w:tcPr>
            <w:tcW w:w="1102" w:type="dxa"/>
            <w:shd w:val="clear" w:color="auto" w:fill="BFBFBF"/>
            <w:vAlign w:val="center"/>
          </w:tcPr>
          <w:p w14:paraId="175E81BC" w14:textId="77777777" w:rsidR="00C253F9" w:rsidRPr="00895898" w:rsidRDefault="00C253F9" w:rsidP="004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vplyvu</w:t>
            </w:r>
          </w:p>
          <w:p w14:paraId="1FA3BB5A" w14:textId="77777777" w:rsidR="00C253F9" w:rsidRPr="00895898" w:rsidRDefault="00C253F9" w:rsidP="004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In (zvyšuje náklady) / </w:t>
            </w:r>
          </w:p>
          <w:p w14:paraId="67572C0F" w14:textId="77777777" w:rsidR="00C253F9" w:rsidRPr="00895898" w:rsidRDefault="00C253F9" w:rsidP="004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Out (znižuje náklady</w:t>
            </w: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  <w:p w14:paraId="1642166A" w14:textId="77777777" w:rsidR="00C253F9" w:rsidRPr="00895898" w:rsidRDefault="00C253F9" w:rsidP="004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C253F9" w:rsidRPr="00895898" w14:paraId="5C9172E9" w14:textId="77777777" w:rsidTr="004728B8">
        <w:trPr>
          <w:trHeight w:val="1570"/>
        </w:trPr>
        <w:tc>
          <w:tcPr>
            <w:tcW w:w="495" w:type="dxa"/>
            <w:vAlign w:val="center"/>
          </w:tcPr>
          <w:p w14:paraId="63C51A55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1B902917" w14:textId="77777777" w:rsidR="00C253F9" w:rsidRDefault="00C253F9" w:rsidP="0047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Z</w:t>
            </w:r>
            <w:r w:rsidRPr="007C2C6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mena schémy zverejňovania špecifikácie činností a podávania žiadostí na poskytnutie podpory formou dotácie</w:t>
            </w:r>
          </w:p>
          <w:p w14:paraId="04852309" w14:textId="77777777" w:rsidR="00C253F9" w:rsidRPr="00895898" w:rsidRDefault="00C253F9" w:rsidP="0047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Nová sché</w:t>
            </w:r>
            <w:r w:rsidRPr="007C2C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 zverejň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ovania špecifikácií činností</w:t>
            </w:r>
            <w:r w:rsidRPr="007C2C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bude reflektovať na požiadavky žiadateľov najmä z časového hľadiska vo vzťahu k 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alizácii</w:t>
            </w:r>
            <w:r w:rsidRPr="007C2C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jednotlivých projektov</w:t>
            </w:r>
          </w:p>
        </w:tc>
        <w:tc>
          <w:tcPr>
            <w:tcW w:w="1028" w:type="dxa"/>
          </w:tcPr>
          <w:p w14:paraId="029DD548" w14:textId="77777777" w:rsidR="00C253F9" w:rsidRPr="007C2C6E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C2C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587/2004 Z. z.</w:t>
            </w:r>
          </w:p>
          <w:p w14:paraId="7C0BE9CB" w14:textId="77777777" w:rsidR="00C253F9" w:rsidRPr="007C2C6E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0150B41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25DACC7" w14:textId="77777777" w:rsidR="00C253F9" w:rsidRPr="007C2C6E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C2C6E">
              <w:rPr>
                <w:rFonts w:ascii="Times" w:hAnsi="Times" w:cs="Times"/>
                <w:sz w:val="20"/>
                <w:szCs w:val="20"/>
              </w:rPr>
              <w:t>§ 4 ods. 3</w:t>
            </w:r>
          </w:p>
        </w:tc>
        <w:tc>
          <w:tcPr>
            <w:tcW w:w="1195" w:type="dxa"/>
            <w:vAlign w:val="center"/>
          </w:tcPr>
          <w:p w14:paraId="0EBA4B5A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E97551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01.02.2022</w:t>
            </w:r>
          </w:p>
        </w:tc>
        <w:tc>
          <w:tcPr>
            <w:tcW w:w="1496" w:type="dxa"/>
            <w:vAlign w:val="center"/>
          </w:tcPr>
          <w:p w14:paraId="6646720D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C2C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podnikateľské subjekty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/</w:t>
            </w:r>
            <w:r>
              <w:t xml:space="preserve"> </w:t>
            </w:r>
            <w:r w:rsidRPr="00B227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právnická osoba a fyzická osoba-podnikateľ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  <w:r w:rsidRPr="007C2C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so zameraním </w:t>
            </w:r>
            <w:r w:rsidRPr="007C2C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environmentálnu politiku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37923D75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004C7817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10A7C1E1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C59F12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1 421</w:t>
            </w:r>
          </w:p>
        </w:tc>
        <w:tc>
          <w:tcPr>
            <w:tcW w:w="1102" w:type="dxa"/>
            <w:vAlign w:val="center"/>
          </w:tcPr>
          <w:p w14:paraId="4E743E93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Out</w:t>
            </w:r>
          </w:p>
        </w:tc>
      </w:tr>
      <w:tr w:rsidR="00C253F9" w:rsidRPr="00895898" w14:paraId="6C2D52E5" w14:textId="77777777" w:rsidTr="004728B8">
        <w:trPr>
          <w:trHeight w:val="2743"/>
        </w:trPr>
        <w:tc>
          <w:tcPr>
            <w:tcW w:w="495" w:type="dxa"/>
            <w:vAlign w:val="center"/>
          </w:tcPr>
          <w:p w14:paraId="52F23B12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1D106FE" w14:textId="77777777" w:rsidR="00C253F9" w:rsidRDefault="00C253F9" w:rsidP="0047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P</w:t>
            </w:r>
            <w:r w:rsidRPr="007C2C6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otreba navýšenia prostriedkov fondu z pôvodných 2 % na 3 %</w:t>
            </w:r>
          </w:p>
          <w:p w14:paraId="3B0615DE" w14:textId="77777777" w:rsidR="00C253F9" w:rsidRPr="00895898" w:rsidRDefault="00C253F9" w:rsidP="0047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Pr="007C2C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avýšenie prostriedkov na správu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Environmentálneho </w:t>
            </w:r>
            <w:r w:rsidRPr="007C2C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fondu umožní finančne zabezpečiť Environmentálnemu fondu zriadenie elektronickej schránky pre Environmentálny fond ako orgán verejnej moci (ďalej len „elektronická schránka OVM“) podľa zákona č. 305/2013 Z. z. - o elektronickej podobe výkonu pôsobnosti orgánov verejnej moci a o zmene a doplnení niektorých zákonov (zákon o e-Governmente).</w:t>
            </w:r>
          </w:p>
        </w:tc>
        <w:tc>
          <w:tcPr>
            <w:tcW w:w="1028" w:type="dxa"/>
          </w:tcPr>
          <w:p w14:paraId="7381A615" w14:textId="77777777" w:rsidR="00C253F9" w:rsidRPr="007C2C6E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C2C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587/2004 Z. z.</w:t>
            </w:r>
          </w:p>
          <w:p w14:paraId="4FCD7BEC" w14:textId="77777777" w:rsidR="00C253F9" w:rsidRPr="007C2C6E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917F629" w14:textId="77777777" w:rsidR="00C253F9" w:rsidRPr="007C2C6E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C2C6E">
              <w:rPr>
                <w:rFonts w:ascii="Times" w:hAnsi="Times" w:cs="Times"/>
                <w:sz w:val="20"/>
                <w:szCs w:val="20"/>
              </w:rPr>
              <w:t>§ 4 ods. 6</w:t>
            </w:r>
          </w:p>
        </w:tc>
        <w:tc>
          <w:tcPr>
            <w:tcW w:w="1195" w:type="dxa"/>
            <w:vAlign w:val="center"/>
          </w:tcPr>
          <w:p w14:paraId="474B4C2D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B6268D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01.02.2022</w:t>
            </w:r>
          </w:p>
        </w:tc>
        <w:tc>
          <w:tcPr>
            <w:tcW w:w="1496" w:type="dxa"/>
            <w:vAlign w:val="center"/>
          </w:tcPr>
          <w:p w14:paraId="1CF1BEA6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C2C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podnikateľské subjekty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/</w:t>
            </w:r>
            <w:r>
              <w:t xml:space="preserve"> </w:t>
            </w:r>
            <w:r w:rsidRPr="00B227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právnická osoba a fyzická osoba-podnikateľ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  <w:r w:rsidRPr="007C2C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so zameraním </w:t>
            </w:r>
            <w:r w:rsidRPr="007C2C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environmentálnu politiku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012BAE77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03D0BBA3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79BB1CBA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49FFF8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2 834</w:t>
            </w:r>
          </w:p>
        </w:tc>
        <w:tc>
          <w:tcPr>
            <w:tcW w:w="1102" w:type="dxa"/>
            <w:vAlign w:val="center"/>
          </w:tcPr>
          <w:p w14:paraId="23ED9301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Out</w:t>
            </w:r>
          </w:p>
        </w:tc>
      </w:tr>
      <w:tr w:rsidR="00C253F9" w:rsidRPr="00895898" w14:paraId="594BAD7B" w14:textId="77777777" w:rsidTr="004728B8">
        <w:trPr>
          <w:trHeight w:val="600"/>
        </w:trPr>
        <w:tc>
          <w:tcPr>
            <w:tcW w:w="495" w:type="dxa"/>
            <w:vAlign w:val="center"/>
          </w:tcPr>
          <w:p w14:paraId="21D20A9D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11EDE069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7C2C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ypustenie zoznamu povinných príloh k žiadosti poskytnutie dotácie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28" w:type="dxa"/>
          </w:tcPr>
          <w:p w14:paraId="6DC6D889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587/2004 Z. a vyhláška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MŽP SR č. 157/2005 Z. z.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06DE90C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§ 13 písm. b) zákona 587/2004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§ 1 pís. b), § 3 a § 4 vyhlášky</w:t>
            </w:r>
          </w:p>
        </w:tc>
        <w:tc>
          <w:tcPr>
            <w:tcW w:w="1195" w:type="dxa"/>
            <w:vAlign w:val="center"/>
          </w:tcPr>
          <w:p w14:paraId="13922CC8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SK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CCA9B4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01.02.2022</w:t>
            </w:r>
          </w:p>
        </w:tc>
        <w:tc>
          <w:tcPr>
            <w:tcW w:w="1496" w:type="dxa"/>
            <w:vAlign w:val="center"/>
          </w:tcPr>
          <w:p w14:paraId="6B975ACF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C2C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podnikateľské subjekty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/</w:t>
            </w:r>
            <w:r>
              <w:t xml:space="preserve"> </w:t>
            </w:r>
            <w:r w:rsidRPr="00B227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právnická osoba </w:t>
            </w:r>
            <w:r w:rsidRPr="00B227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a fyzická osoba-podnikateľ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  <w:r w:rsidRPr="007C2C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so zameraním </w:t>
            </w:r>
            <w:r w:rsidRPr="007C2C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environmentálnu politiku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28839576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40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5B0996D3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19EBF705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70308B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919</w:t>
            </w:r>
          </w:p>
        </w:tc>
        <w:tc>
          <w:tcPr>
            <w:tcW w:w="1102" w:type="dxa"/>
            <w:vAlign w:val="center"/>
          </w:tcPr>
          <w:p w14:paraId="4703010A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Out</w:t>
            </w:r>
          </w:p>
        </w:tc>
      </w:tr>
      <w:tr w:rsidR="00C253F9" w:rsidRPr="00895898" w14:paraId="29042AF6" w14:textId="77777777" w:rsidTr="004728B8">
        <w:trPr>
          <w:trHeight w:val="600"/>
        </w:trPr>
        <w:tc>
          <w:tcPr>
            <w:tcW w:w="495" w:type="dxa"/>
            <w:vAlign w:val="center"/>
          </w:tcPr>
          <w:p w14:paraId="474B2126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28438400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8" w:type="dxa"/>
          </w:tcPr>
          <w:p w14:paraId="412BBBA2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5CA0234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5" w:type="dxa"/>
            <w:vAlign w:val="center"/>
          </w:tcPr>
          <w:p w14:paraId="71C36240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9D1786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96" w:type="dxa"/>
            <w:vAlign w:val="center"/>
          </w:tcPr>
          <w:p w14:paraId="789C6DA2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2426C6BB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7EA2B68B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4341DEB1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09113A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2" w:type="dxa"/>
            <w:vAlign w:val="center"/>
          </w:tcPr>
          <w:p w14:paraId="63E6D19C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253F9" w:rsidRPr="00895898" w14:paraId="009D07F8" w14:textId="77777777" w:rsidTr="004728B8">
        <w:trPr>
          <w:trHeight w:val="600"/>
        </w:trPr>
        <w:tc>
          <w:tcPr>
            <w:tcW w:w="495" w:type="dxa"/>
            <w:vAlign w:val="center"/>
          </w:tcPr>
          <w:p w14:paraId="1FF0D851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75A750B2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8" w:type="dxa"/>
          </w:tcPr>
          <w:p w14:paraId="2ECFC27D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364F8C5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5" w:type="dxa"/>
            <w:vAlign w:val="center"/>
          </w:tcPr>
          <w:p w14:paraId="03A882B9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ABAF12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96" w:type="dxa"/>
            <w:vAlign w:val="center"/>
          </w:tcPr>
          <w:p w14:paraId="3F684AC3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1F08F32F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35660B78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26D2D9AE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F5AEF3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2" w:type="dxa"/>
            <w:vAlign w:val="center"/>
          </w:tcPr>
          <w:p w14:paraId="49453F5F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253F9" w:rsidRPr="00895898" w14:paraId="31D4D80E" w14:textId="77777777" w:rsidTr="004728B8">
        <w:trPr>
          <w:trHeight w:val="655"/>
        </w:trPr>
        <w:tc>
          <w:tcPr>
            <w:tcW w:w="495" w:type="dxa"/>
            <w:vAlign w:val="center"/>
          </w:tcPr>
          <w:p w14:paraId="23476127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0466E785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8" w:type="dxa"/>
          </w:tcPr>
          <w:p w14:paraId="7ACC89D4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3D08E88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5" w:type="dxa"/>
            <w:vAlign w:val="center"/>
          </w:tcPr>
          <w:p w14:paraId="42F8A0B1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39835C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96" w:type="dxa"/>
            <w:vAlign w:val="center"/>
          </w:tcPr>
          <w:p w14:paraId="54715130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1A448671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51E65505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0C5894F5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57434F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2" w:type="dxa"/>
            <w:vAlign w:val="center"/>
          </w:tcPr>
          <w:p w14:paraId="57BE1267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253F9" w:rsidRPr="00895898" w14:paraId="3A9D1CC3" w14:textId="77777777" w:rsidTr="004728B8">
        <w:trPr>
          <w:trHeight w:val="578"/>
        </w:trPr>
        <w:tc>
          <w:tcPr>
            <w:tcW w:w="495" w:type="dxa"/>
            <w:vAlign w:val="center"/>
          </w:tcPr>
          <w:p w14:paraId="4D71545F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0FBE9EB3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8" w:type="dxa"/>
          </w:tcPr>
          <w:p w14:paraId="1EDAF8DE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18A2D32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5" w:type="dxa"/>
            <w:vAlign w:val="center"/>
          </w:tcPr>
          <w:p w14:paraId="3CF4BB1E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BB5394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96" w:type="dxa"/>
            <w:vAlign w:val="center"/>
          </w:tcPr>
          <w:p w14:paraId="14821AE7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5E4EC3FE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0EC1CA55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3B7BD74D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FF7633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2" w:type="dxa"/>
            <w:vAlign w:val="center"/>
          </w:tcPr>
          <w:p w14:paraId="1B66321C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253F9" w:rsidRPr="00895898" w14:paraId="68BA6F5E" w14:textId="77777777" w:rsidTr="004728B8">
        <w:trPr>
          <w:trHeight w:val="578"/>
        </w:trPr>
        <w:tc>
          <w:tcPr>
            <w:tcW w:w="495" w:type="dxa"/>
            <w:vAlign w:val="center"/>
          </w:tcPr>
          <w:p w14:paraId="38652E58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1CAFC714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8" w:type="dxa"/>
          </w:tcPr>
          <w:p w14:paraId="1E750D54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B8D18CD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5" w:type="dxa"/>
            <w:vAlign w:val="center"/>
          </w:tcPr>
          <w:p w14:paraId="3EFD1650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4DCA7D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96" w:type="dxa"/>
            <w:vAlign w:val="center"/>
          </w:tcPr>
          <w:p w14:paraId="595DE591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023CC272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6FFC4FED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3D932000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3F75F1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2" w:type="dxa"/>
            <w:vAlign w:val="center"/>
          </w:tcPr>
          <w:p w14:paraId="2D9C8581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253F9" w:rsidRPr="00895898" w14:paraId="0763B4E9" w14:textId="77777777" w:rsidTr="004728B8">
        <w:trPr>
          <w:trHeight w:val="578"/>
        </w:trPr>
        <w:tc>
          <w:tcPr>
            <w:tcW w:w="495" w:type="dxa"/>
            <w:vAlign w:val="center"/>
          </w:tcPr>
          <w:p w14:paraId="534F4A41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23E0890A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8" w:type="dxa"/>
          </w:tcPr>
          <w:p w14:paraId="77F60DE9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5809636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5" w:type="dxa"/>
            <w:vAlign w:val="center"/>
          </w:tcPr>
          <w:p w14:paraId="210F651E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A6FF05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96" w:type="dxa"/>
            <w:vAlign w:val="center"/>
          </w:tcPr>
          <w:p w14:paraId="2F925BD4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1CD994E8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6232474B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3DE5FF3C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7D655B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2" w:type="dxa"/>
            <w:vAlign w:val="center"/>
          </w:tcPr>
          <w:p w14:paraId="54A6359D" w14:textId="77777777" w:rsidR="00C253F9" w:rsidRPr="00895898" w:rsidRDefault="00C253F9" w:rsidP="0047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171FFF33" w14:textId="77777777" w:rsidR="00C253F9" w:rsidRPr="00895898" w:rsidRDefault="00C253F9" w:rsidP="00C253F9">
      <w:pPr>
        <w:jc w:val="both"/>
        <w:rPr>
          <w:rFonts w:ascii="Times New Roman" w:eastAsia="Calibri" w:hAnsi="Times New Roman" w:cs="Times New Roman"/>
          <w:i/>
        </w:rPr>
      </w:pPr>
    </w:p>
    <w:p w14:paraId="66973C73" w14:textId="52F7001D" w:rsidR="00C253F9" w:rsidRDefault="00C253F9" w:rsidP="00F872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8CC276F" w14:textId="77777777" w:rsidR="00C253F9" w:rsidRDefault="00C253F9" w:rsidP="00F872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2A2815" w14:textId="565090E8" w:rsidR="00C253F9" w:rsidRDefault="00C253F9" w:rsidP="00F872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D4080B" w14:textId="40458030" w:rsidR="00C253F9" w:rsidRDefault="00C253F9" w:rsidP="00F872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538462" w14:textId="300A805D" w:rsidR="00C253F9" w:rsidRDefault="00C253F9" w:rsidP="00F872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EB44AE" w14:textId="65B69955" w:rsidR="00C253F9" w:rsidRDefault="00C253F9" w:rsidP="00F872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252EB7" w14:textId="127DFE58" w:rsidR="00C253F9" w:rsidRDefault="00C253F9" w:rsidP="00F872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423968" w14:textId="72A12ECF" w:rsidR="00C253F9" w:rsidRDefault="00C253F9" w:rsidP="00F872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EACAC3" w14:textId="77777777" w:rsidR="00C253F9" w:rsidRDefault="00C253F9" w:rsidP="00F872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C253F9" w:rsidSect="00F2654A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DFD923F" w14:textId="77777777" w:rsidR="00C253F9" w:rsidRPr="001F1B43" w:rsidRDefault="00C253F9" w:rsidP="00C253F9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Doplňujúce informácie k spôsobu výpočtu vplyvov jednotlivých regulácií na zmenu nákladov </w:t>
      </w:r>
    </w:p>
    <w:p w14:paraId="73E0504D" w14:textId="77777777" w:rsidR="00C253F9" w:rsidRPr="007677D3" w:rsidRDefault="00C253F9" w:rsidP="00C253F9">
      <w:pPr>
        <w:pStyle w:val="Odsekzoznamu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677D3">
        <w:rPr>
          <w:rFonts w:ascii="Times New Roman" w:eastAsia="Calibri" w:hAnsi="Times New Roman" w:cs="Times New Roman"/>
          <w:sz w:val="24"/>
          <w:szCs w:val="24"/>
          <w:u w:val="single"/>
        </w:rPr>
        <w:t>§ 4 ods. 3 zákona č. 587/2004 Z. z.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5379B">
        <w:rPr>
          <w:rFonts w:ascii="Times New Roman" w:eastAsia="Calibri" w:hAnsi="Times New Roman" w:cs="Times New Roman"/>
          <w:sz w:val="24"/>
          <w:szCs w:val="24"/>
          <w:u w:val="single"/>
        </w:rPr>
        <w:t>o Environmentálnom fonde a o zmene a doplnení niektorých zákonov (ďalej len „zákon č. 587/2004 Z. z.“)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7677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zmena schémy zverejňovania špecifikácie činností a podávania žiadostí na poskytnutie podpory formou dotácie</w:t>
      </w:r>
    </w:p>
    <w:p w14:paraId="7F759CDE" w14:textId="77777777" w:rsidR="00C253F9" w:rsidRDefault="00C253F9" w:rsidP="00C253F9">
      <w:pPr>
        <w:pStyle w:val="Odsekzoznamu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FFD70" w14:textId="77777777" w:rsidR="00C253F9" w:rsidRDefault="00C253F9" w:rsidP="00C253F9">
      <w:pPr>
        <w:pStyle w:val="Odsekzoznamu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 výpočte vplyvu na podnikateľské subjekty vychádzal predkladateľ návrhu z interných informácií Environmentálneho fondu. </w:t>
      </w:r>
    </w:p>
    <w:p w14:paraId="267A9738" w14:textId="77777777" w:rsidR="00C253F9" w:rsidRDefault="00C253F9" w:rsidP="00C253F9">
      <w:pPr>
        <w:pStyle w:val="Odsekzoznamu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Definícia kategórie dotknutých subjektov bola stanovená na základe subjektov oprávnených žiadať o poskytnutie dotácie v zmysle § 6 ods. 1 písm. b) zákona č. 587/2004 Z. z., v zmysle ktorého môžu byť žiadateľom o podporu „</w:t>
      </w:r>
      <w:r w:rsidRPr="0055379B">
        <w:rPr>
          <w:rFonts w:ascii="Times New Roman" w:eastAsia="Calibri" w:hAnsi="Times New Roman" w:cs="Times New Roman"/>
          <w:i/>
          <w:sz w:val="24"/>
          <w:szCs w:val="24"/>
        </w:rPr>
        <w:t>právnická osoba a fyzická osoba-podnikateľ</w:t>
      </w:r>
      <w:r>
        <w:rPr>
          <w:rStyle w:val="Odkaznapoznmkupodiarou"/>
          <w:rFonts w:ascii="Times New Roman" w:eastAsia="Calibri" w:hAnsi="Times New Roman" w:cs="Times New Roman"/>
          <w:i/>
          <w:sz w:val="24"/>
          <w:szCs w:val="24"/>
        </w:rPr>
        <w:footnoteReference w:id="1"/>
      </w:r>
      <w:r w:rsidRPr="0055379B">
        <w:rPr>
          <w:rFonts w:ascii="Times New Roman" w:eastAsia="Calibri" w:hAnsi="Times New Roman" w:cs="Times New Roman"/>
          <w:i/>
          <w:sz w:val="24"/>
          <w:szCs w:val="24"/>
        </w:rPr>
        <w:t xml:space="preserve"> so sídlom na území Slovenskej republiky</w:t>
      </w:r>
      <w:r>
        <w:rPr>
          <w:rFonts w:ascii="Times New Roman" w:eastAsia="Calibri" w:hAnsi="Times New Roman" w:cs="Times New Roman"/>
          <w:sz w:val="24"/>
          <w:szCs w:val="24"/>
        </w:rPr>
        <w:t xml:space="preserve">“, pričom tieto subjekty sú oprávnené žiadať finančné prostriedky formou podpory z Environmentálneho fondu len na niektorý z environmentálnych účelov definovaných v § 4 ods. 1 zákona č. 587/2004 Z. z.. </w:t>
      </w:r>
    </w:p>
    <w:p w14:paraId="4807F78A" w14:textId="77777777" w:rsidR="00C253F9" w:rsidRDefault="00C253F9" w:rsidP="00C253F9">
      <w:pPr>
        <w:pStyle w:val="Odsekzoznamu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 stanovení počtu dotknutých subjektov vychádzal Environmentálny fond z internej štatistiky počtu podporených podnikateľských subjektov ročne v priemere za obdobie posledných 10 rokov /2011 – 2021/ .</w:t>
      </w:r>
    </w:p>
    <w:p w14:paraId="74B04BCF" w14:textId="77777777" w:rsidR="00C253F9" w:rsidRDefault="00C253F9" w:rsidP="00C253F9">
      <w:pPr>
        <w:pStyle w:val="Odsekzoznamu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Navrhovaná zmena bude mať pozitívny vplyv na  podnikateľské prostredie z dôvodu, že sa zjednoduší a zefektívni systém prekladania špecifikácií činností zo strany Environmentálneho fondu. Špecifikácia pre každú oblasť sa bude vydávať samostatne, pričom termín jej zverejnenia a aj následného podávania žiadostí bude reflektovať požiadavky žiadateľov. Špecifikácie činností budú vydávané v časovom harmonograme, ktorý poskytne žiadateľom ako aj zamestnancom Environmentálneho fondu dostatočný časový priestor na prípravu podkladov, podávanie žiadostí a následne aj   vykonávanie formálnej kontroly a vyzývanie žiadateľov na ich doplnenie.  Zároveň bude zabezpečená lepšia komunikácia a spolupráca so zamestnancami Environmentálneho fondu, nakoľko zamestnanci nebudú vyťažení spracovávaním a formálnou kontrolou žiadostí </w:t>
      </w:r>
      <w:r w:rsidRPr="00B878A2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iných oblastí činností. </w:t>
      </w:r>
    </w:p>
    <w:p w14:paraId="2A594CDF" w14:textId="77777777" w:rsidR="00C253F9" w:rsidRPr="00B2271F" w:rsidRDefault="00C253F9" w:rsidP="00C253F9">
      <w:pPr>
        <w:pStyle w:val="Odsekzoznamu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Uvedená zmena bude mať pozitívny dopad na administratívne náklady, a to najmä pri poskytovaní nasledovných informačných povinností – poskytovanie súčinnosti , overenie súladu, podávanie žiadostí, návrhov.</w:t>
      </w:r>
    </w:p>
    <w:p w14:paraId="3EE6C67A" w14:textId="77777777" w:rsidR="00C253F9" w:rsidRPr="007677D3" w:rsidRDefault="00C253F9" w:rsidP="00C253F9">
      <w:pPr>
        <w:pStyle w:val="Odsekzoznamu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590A64" w14:textId="77777777" w:rsidR="00C253F9" w:rsidRPr="007677D3" w:rsidRDefault="00C253F9" w:rsidP="00C253F9">
      <w:pPr>
        <w:pStyle w:val="Odsekzoznamu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677D3">
        <w:rPr>
          <w:rFonts w:ascii="Times New Roman" w:eastAsia="Calibri" w:hAnsi="Times New Roman" w:cs="Times New Roman"/>
          <w:sz w:val="24"/>
          <w:szCs w:val="24"/>
          <w:u w:val="single"/>
        </w:rPr>
        <w:t>§ 4 ods. 6 zákona č. 587/2004 Z. z.  - potreba navýšenia prostriedkov fondu z pôvodných 2 % na 3 %</w:t>
      </w:r>
    </w:p>
    <w:p w14:paraId="10F07087" w14:textId="77777777" w:rsidR="00C253F9" w:rsidRDefault="00C253F9" w:rsidP="00C253F9">
      <w:pPr>
        <w:pStyle w:val="Odsekzoznamu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 výpočte vplyvu na podnikateľské subjekty vychádzal predkladateľ návrhu z interných informácií Environmentálneho fondu. </w:t>
      </w:r>
    </w:p>
    <w:p w14:paraId="7319A87B" w14:textId="77777777" w:rsidR="00C253F9" w:rsidRDefault="00C253F9" w:rsidP="00C253F9">
      <w:pPr>
        <w:pStyle w:val="Odsekzoznamu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Definícia kategórie dotknutých subjektov bola stanovená na základe subjektov oprávnených žiadať o poskytnutie dotácie v zmysle § 6 ods. 1 písm. b) zákona č. 587/2004 Z. z., v zmysle ktorého môžu byť žiadateľom o podporu „</w:t>
      </w:r>
      <w:r w:rsidRPr="0055379B">
        <w:rPr>
          <w:rFonts w:ascii="Times New Roman" w:eastAsia="Calibri" w:hAnsi="Times New Roman" w:cs="Times New Roman"/>
          <w:i/>
          <w:sz w:val="24"/>
          <w:szCs w:val="24"/>
        </w:rPr>
        <w:t>právnická osoba a fyzická osoba-podnikateľ</w:t>
      </w:r>
      <w:r>
        <w:rPr>
          <w:rStyle w:val="Odkaznapoznmkupodiarou"/>
          <w:rFonts w:ascii="Times New Roman" w:eastAsia="Calibri" w:hAnsi="Times New Roman" w:cs="Times New Roman"/>
          <w:i/>
          <w:sz w:val="24"/>
          <w:szCs w:val="24"/>
        </w:rPr>
        <w:footnoteReference w:id="2"/>
      </w:r>
      <w:r w:rsidRPr="0055379B">
        <w:rPr>
          <w:rFonts w:ascii="Times New Roman" w:eastAsia="Calibri" w:hAnsi="Times New Roman" w:cs="Times New Roman"/>
          <w:i/>
          <w:sz w:val="24"/>
          <w:szCs w:val="24"/>
        </w:rPr>
        <w:t xml:space="preserve"> so sídlom na území Slovenskej republiky</w:t>
      </w:r>
      <w:r>
        <w:rPr>
          <w:rFonts w:ascii="Times New Roman" w:eastAsia="Calibri" w:hAnsi="Times New Roman" w:cs="Times New Roman"/>
          <w:sz w:val="24"/>
          <w:szCs w:val="24"/>
        </w:rPr>
        <w:t xml:space="preserve">“, pričom tieto subjekty sú oprávnené žiadať finančné prostriedky formou podpory z Environmentálneho fondu len na niektorý z environmentálnych účelov definovaných v § 4 ods. 1 zákona č. 587/2004 Z. z.. </w:t>
      </w:r>
    </w:p>
    <w:p w14:paraId="3A6174CA" w14:textId="77777777" w:rsidR="00C253F9" w:rsidRDefault="00C253F9" w:rsidP="00C253F9">
      <w:pPr>
        <w:pStyle w:val="Odsekzoznamu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Pri stanovení počtu dotknutých subjektov vychádzal Environmentálny fond z internej štatistiky počtu podporených podnikateľských subjektov ročne v priemere za obdobie posledných 10 rokov /2011 – 2021/ .</w:t>
      </w:r>
    </w:p>
    <w:p w14:paraId="47CA37D5" w14:textId="77777777" w:rsidR="00C253F9" w:rsidRDefault="00C253F9" w:rsidP="00C253F9">
      <w:pPr>
        <w:pStyle w:val="Odsekzoznamu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Navrhovaná zmena – zriadenie elektronickej schránky OMV, </w:t>
      </w:r>
      <w:r w:rsidRPr="00B90465">
        <w:rPr>
          <w:rFonts w:ascii="Times New Roman" w:eastAsia="Calibri" w:hAnsi="Times New Roman" w:cs="Times New Roman"/>
          <w:sz w:val="24"/>
          <w:szCs w:val="24"/>
        </w:rPr>
        <w:t xml:space="preserve">ktorá umožní na Environmentálnom fonde elektronické podávanie žiadostí o poskytnutie prostriedkov z rozpočtu Environmentálneho fondu v súlade so zámerom elektronizácie štátnej a verejnej správy, využívanie elektronickej schránky Environmentálneho fondu, automatizáciu procesov súvisiacich s kontrolnými mechanizmami pri posudzovaní žiadostí o podporu z rozpočtu Environmentálneho fondu a v súvislosti s uvedeným aj zabezpečenie podporných služieb a komunikáciu Environmentálneho fondu s inými orgánmi verejnej moci, za účelom získavania informácií a podkladov potrebných k vyhodnocovaniu žiadostí podaných za účelom poskytnutia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podpory Environmentálnym fondom, bude mať dlhodobý pozitívny vplyv na podnikateľské prostredie. Žiadateľom o poskytnutie dotácie sa výrazne znížia administratívne náklady, zároveň sa zníži aj počet vyradených žiadostí z dôvodu, že sa podali oneskorene alebo neobsahovali náležitosti a prílohy, ktoré si už bude Environmentálny fond môcť </w:t>
      </w:r>
      <w:r w:rsidRPr="00B878A2">
        <w:rPr>
          <w:rFonts w:ascii="Times New Roman" w:eastAsia="Calibri" w:hAnsi="Times New Roman" w:cs="Times New Roman"/>
          <w:sz w:val="24"/>
          <w:szCs w:val="24"/>
        </w:rPr>
        <w:t>zabezpečiť/vyžiadať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 tretích subjektov aj sám prostredníctvom elektronickej schránky OMV.</w:t>
      </w:r>
    </w:p>
    <w:p w14:paraId="33CCC70A" w14:textId="77777777" w:rsidR="00C253F9" w:rsidRDefault="00C253F9" w:rsidP="00C253F9">
      <w:pPr>
        <w:pStyle w:val="Odsekzoznamu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8A2">
        <w:rPr>
          <w:rFonts w:ascii="Times New Roman" w:eastAsia="Calibri" w:hAnsi="Times New Roman" w:cs="Times New Roman"/>
          <w:sz w:val="24"/>
          <w:szCs w:val="24"/>
        </w:rPr>
        <w:t xml:space="preserve">Uvedená zmena bude mať pozitívny dopad na administratívne náklady, a to najmä pri poskytovaní nasledovných informačných </w:t>
      </w:r>
      <w:r>
        <w:rPr>
          <w:rFonts w:ascii="Times New Roman" w:eastAsia="Calibri" w:hAnsi="Times New Roman" w:cs="Times New Roman"/>
          <w:sz w:val="24"/>
          <w:szCs w:val="24"/>
        </w:rPr>
        <w:t>povinností</w:t>
      </w:r>
      <w:r w:rsidRPr="00B878A2">
        <w:rPr>
          <w:rFonts w:ascii="Times New Roman" w:eastAsia="Calibri" w:hAnsi="Times New Roman" w:cs="Times New Roman"/>
          <w:sz w:val="24"/>
          <w:szCs w:val="24"/>
        </w:rPr>
        <w:t xml:space="preserve"> – poskytovanie súčinnosti , overenie súladu, podávanie žiadostí, návrhov, predloženie dokladu/dokumentu elektronicky.</w:t>
      </w:r>
    </w:p>
    <w:p w14:paraId="51FC8A3F" w14:textId="77777777" w:rsidR="00C253F9" w:rsidRPr="004754A7" w:rsidRDefault="00C253F9" w:rsidP="00C253F9">
      <w:pPr>
        <w:pStyle w:val="Odsekzoznamu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5074E4" w14:textId="77777777" w:rsidR="00C253F9" w:rsidRPr="007677D3" w:rsidRDefault="00C253F9" w:rsidP="00C253F9">
      <w:pPr>
        <w:pStyle w:val="Odsekzoznamu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677D3">
        <w:rPr>
          <w:rFonts w:ascii="Times New Roman" w:eastAsia="Calibri" w:hAnsi="Times New Roman" w:cs="Times New Roman"/>
          <w:sz w:val="24"/>
          <w:szCs w:val="24"/>
          <w:u w:val="single"/>
        </w:rPr>
        <w:t>§ 13 písm. b) zákona č. 587/2004 Z. z. a vyhláška Ministerstva životného prostredia Slovenskej republiky č. 157/2005 Z. z., ktorou sa vykonáva zákon č. 587/2004 Z. z. o Environmentálnom fonde a o zmene a doplnení niektorých zákonov (ďalej len „vyhláška“)</w:t>
      </w:r>
    </w:p>
    <w:p w14:paraId="09A13F26" w14:textId="77777777" w:rsidR="00C253F9" w:rsidRDefault="00C253F9" w:rsidP="00C253F9">
      <w:pPr>
        <w:pStyle w:val="Odsekzoznamu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005300" w14:textId="77777777" w:rsidR="00C253F9" w:rsidRDefault="00C253F9" w:rsidP="00C253F9">
      <w:pPr>
        <w:pStyle w:val="Odsekzoznamu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 výpočte vplyvu na podnikateľské subjekty vychádzal predkladateľ návrhu z interných informácií Environmentálneho fondu. </w:t>
      </w:r>
    </w:p>
    <w:p w14:paraId="497CD156" w14:textId="77777777" w:rsidR="00C253F9" w:rsidRDefault="00C253F9" w:rsidP="00C253F9">
      <w:pPr>
        <w:pStyle w:val="Odsekzoznamu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Definícia kategórie dotknutých subjektov bola stanovená na základe subjektov oprávnených žiadať o poskytnutie dotácie v zmysle § 6 ods. 1 písm. b) zákona č. 587/2004 Z. z., v zmysle ktorého môžu byť žiadateľom o podporu „</w:t>
      </w:r>
      <w:r w:rsidRPr="0055379B">
        <w:rPr>
          <w:rFonts w:ascii="Times New Roman" w:eastAsia="Calibri" w:hAnsi="Times New Roman" w:cs="Times New Roman"/>
          <w:i/>
          <w:sz w:val="24"/>
          <w:szCs w:val="24"/>
        </w:rPr>
        <w:t>právnická osoba a fyzická osoba-podnikateľ</w:t>
      </w:r>
      <w:r>
        <w:rPr>
          <w:rStyle w:val="Odkaznapoznmkupodiarou"/>
          <w:rFonts w:ascii="Times New Roman" w:eastAsia="Calibri" w:hAnsi="Times New Roman" w:cs="Times New Roman"/>
          <w:i/>
          <w:sz w:val="24"/>
          <w:szCs w:val="24"/>
        </w:rPr>
        <w:footnoteReference w:id="3"/>
      </w:r>
      <w:r w:rsidRPr="0055379B">
        <w:rPr>
          <w:rFonts w:ascii="Times New Roman" w:eastAsia="Calibri" w:hAnsi="Times New Roman" w:cs="Times New Roman"/>
          <w:i/>
          <w:sz w:val="24"/>
          <w:szCs w:val="24"/>
        </w:rPr>
        <w:t xml:space="preserve"> so sídlom na území Slovenskej republiky</w:t>
      </w:r>
      <w:r>
        <w:rPr>
          <w:rFonts w:ascii="Times New Roman" w:eastAsia="Calibri" w:hAnsi="Times New Roman" w:cs="Times New Roman"/>
          <w:sz w:val="24"/>
          <w:szCs w:val="24"/>
        </w:rPr>
        <w:t xml:space="preserve">“, pričom tieto subjekty sú oprávnené žiadať finančné prostriedky formou podpory z Environmentálneho fondu len na niektorý z environmentálnych účelov definovaných v § 4 ods. 1 zákona č. 587/2004 Z. z.. </w:t>
      </w:r>
    </w:p>
    <w:p w14:paraId="54779BC5" w14:textId="77777777" w:rsidR="00C253F9" w:rsidRDefault="00C253F9" w:rsidP="00C253F9">
      <w:pPr>
        <w:pStyle w:val="Odsekzoznamu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 stanovení počtu dotknutých subjektov vychádzal Environmentálny fond z internej štatistiky počtu podporených podnikateľských subjektov ročne v priemere za obdobie posledných 10 rokov /2011 – 2021/ .</w:t>
      </w:r>
    </w:p>
    <w:p w14:paraId="0B9FB201" w14:textId="77777777" w:rsidR="00C253F9" w:rsidRDefault="00C253F9" w:rsidP="00C253F9">
      <w:pPr>
        <w:pStyle w:val="Odsekzoznamu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4A7">
        <w:rPr>
          <w:rFonts w:ascii="Times New Roman" w:eastAsia="Calibri" w:hAnsi="Times New Roman" w:cs="Times New Roman"/>
          <w:sz w:val="24"/>
          <w:szCs w:val="24"/>
        </w:rPr>
        <w:t>Definovanie náležitostí žiadosti o poskytnutie podpory v samotnej špecifikácii činností vydanej pre každú oblasť činností samostatne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umožní</w:t>
      </w:r>
      <w:r w:rsidRPr="004754A7">
        <w:rPr>
          <w:rFonts w:ascii="Times New Roman" w:eastAsia="Calibri" w:hAnsi="Times New Roman" w:cs="Times New Roman"/>
          <w:sz w:val="24"/>
          <w:szCs w:val="24"/>
        </w:rPr>
        <w:t xml:space="preserve"> Environmentálnemu fondu upraviť povinné náležitosti a prílohy k žiadosti o poskytnutie dotácie tak, aby reflektovali na povahu a účel činnosti, na ktorú sa žiadosť podáva. Zároveň uvedená úprava už reflektuje na snahu Environmentálneho fondu zjednodušiť administratívne zaťaženie žiadateľov o poskytnutie podpory zriadením elektronickej schránky OMV, ktorá umožní Environmentálnemu fondu zabezpečiť si veľkú časť príloh a potvrdení potrebných k žiadosti od iných orgánov verejnej moci. </w:t>
      </w:r>
    </w:p>
    <w:p w14:paraId="087C9740" w14:textId="77777777" w:rsidR="00C253F9" w:rsidRDefault="00C253F9" w:rsidP="00C253F9">
      <w:pPr>
        <w:pStyle w:val="Odsekzoznamu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Uvedená zmena bude mať pozitívny dopad na administratívne náklady, a to najmä pri poskytovaní nasledovných </w:t>
      </w:r>
      <w:r w:rsidRPr="00B878A2">
        <w:rPr>
          <w:rFonts w:ascii="Times New Roman" w:eastAsia="Calibri" w:hAnsi="Times New Roman" w:cs="Times New Roman"/>
          <w:sz w:val="24"/>
          <w:szCs w:val="24"/>
        </w:rPr>
        <w:t xml:space="preserve">informačných </w:t>
      </w:r>
      <w:r>
        <w:rPr>
          <w:rFonts w:ascii="Times New Roman" w:eastAsia="Calibri" w:hAnsi="Times New Roman" w:cs="Times New Roman"/>
          <w:sz w:val="24"/>
          <w:szCs w:val="24"/>
        </w:rPr>
        <w:t>povinností – podávanie žiadostí, návrhov, predloženie dokladu/dokumentu elektronicky.</w:t>
      </w:r>
    </w:p>
    <w:p w14:paraId="6A794723" w14:textId="7D2A5EC2" w:rsidR="00FF414B" w:rsidRPr="00F8721E" w:rsidRDefault="00FF414B" w:rsidP="00F8721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4849FE" w14:textId="16FAB16B" w:rsidR="00FF414B" w:rsidRDefault="00FF414B" w:rsidP="00FF414B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p w14:paraId="567581BF" w14:textId="77777777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color w:val="0070C0"/>
        </w:rPr>
      </w:pPr>
    </w:p>
    <w:p w14:paraId="1BBEAAAB" w14:textId="77777777" w:rsidR="00054C41" w:rsidRPr="00B043B4" w:rsidRDefault="00054C41" w:rsidP="00054C41">
      <w:pPr>
        <w:spacing w:after="20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CA617B1" w14:textId="77777777" w:rsidR="00142154" w:rsidRDefault="00142154"/>
    <w:sectPr w:rsidR="00142154" w:rsidSect="00F2654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08BF4" w14:textId="77777777" w:rsidR="000203E0" w:rsidRDefault="000203E0" w:rsidP="00054C41">
      <w:pPr>
        <w:spacing w:after="0" w:line="240" w:lineRule="auto"/>
      </w:pPr>
      <w:r>
        <w:separator/>
      </w:r>
    </w:p>
  </w:endnote>
  <w:endnote w:type="continuationSeparator" w:id="0">
    <w:p w14:paraId="18825C73" w14:textId="77777777" w:rsidR="000203E0" w:rsidRDefault="000203E0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035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7E7B30" w14:textId="099A46BD" w:rsidR="0039636F" w:rsidRPr="006045CB" w:rsidRDefault="0039636F" w:rsidP="00054C41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401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48B09B" w14:textId="77777777" w:rsidR="0039636F" w:rsidRPr="00FF7125" w:rsidRDefault="0039636F" w:rsidP="00054C41">
    <w:pPr>
      <w:pStyle w:val="Pta"/>
      <w:rPr>
        <w:sz w:val="24"/>
        <w:szCs w:val="24"/>
      </w:rPr>
    </w:pPr>
  </w:p>
  <w:p w14:paraId="68AC3825" w14:textId="77777777" w:rsidR="0039636F" w:rsidRDefault="003963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778D7" w14:textId="77777777" w:rsidR="000203E0" w:rsidRDefault="000203E0" w:rsidP="00054C41">
      <w:pPr>
        <w:spacing w:after="0" w:line="240" w:lineRule="auto"/>
      </w:pPr>
      <w:r>
        <w:separator/>
      </w:r>
    </w:p>
  </w:footnote>
  <w:footnote w:type="continuationSeparator" w:id="0">
    <w:p w14:paraId="2507404A" w14:textId="77777777" w:rsidR="000203E0" w:rsidRDefault="000203E0" w:rsidP="00054C41">
      <w:pPr>
        <w:spacing w:after="0" w:line="240" w:lineRule="auto"/>
      </w:pPr>
      <w:r>
        <w:continuationSeparator/>
      </w:r>
    </w:p>
  </w:footnote>
  <w:footnote w:id="1">
    <w:p w14:paraId="2EC31F49" w14:textId="77777777" w:rsidR="00C253F9" w:rsidRPr="0006464A" w:rsidRDefault="00C253F9" w:rsidP="00C253F9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06464A">
        <w:rPr>
          <w:rFonts w:ascii="Times New Roman" w:hAnsi="Times New Roman" w:cs="Times New Roman"/>
          <w:sz w:val="18"/>
          <w:szCs w:val="18"/>
        </w:rPr>
        <w:t>Napríklad Obchodný zákonník, zákon č. 455/1991 Zb. o živnostenskom podnikaní (živnostenský zákon) v znení neskorších predpisov</w:t>
      </w:r>
    </w:p>
  </w:footnote>
  <w:footnote w:id="2">
    <w:p w14:paraId="0E93ED5E" w14:textId="77777777" w:rsidR="00C253F9" w:rsidRDefault="00C253F9" w:rsidP="00C253F9">
      <w:pPr>
        <w:pStyle w:val="Textpoznmkypodiarou"/>
      </w:pPr>
      <w:r w:rsidRPr="0006464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06464A">
        <w:rPr>
          <w:rFonts w:ascii="Times New Roman" w:hAnsi="Times New Roman" w:cs="Times New Roman"/>
          <w:sz w:val="18"/>
          <w:szCs w:val="18"/>
        </w:rPr>
        <w:t xml:space="preserve"> Napríklad Obchodný zákonník, zákon č. 455/1991 Zb. o živnostenskom podnikaní (živnostenský zákon) v znení neskorších predpisov</w:t>
      </w:r>
    </w:p>
  </w:footnote>
  <w:footnote w:id="3">
    <w:p w14:paraId="5C05EB51" w14:textId="77777777" w:rsidR="00C253F9" w:rsidRPr="0006464A" w:rsidRDefault="00C253F9" w:rsidP="00C253F9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06464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06464A">
        <w:rPr>
          <w:rFonts w:ascii="Times New Roman" w:hAnsi="Times New Roman" w:cs="Times New Roman"/>
          <w:sz w:val="18"/>
          <w:szCs w:val="18"/>
        </w:rPr>
        <w:t xml:space="preserve"> Napríklad Obchodný zákonník, zákon č. 455/1991 Zb. o živnostenskom podnikaní (živnostenský zákon) v znení neskorších predpisov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57B23"/>
    <w:multiLevelType w:val="hybridMultilevel"/>
    <w:tmpl w:val="92AC5E0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252805"/>
    <w:multiLevelType w:val="hybridMultilevel"/>
    <w:tmpl w:val="74CC4C46"/>
    <w:lvl w:ilvl="0" w:tplc="1952A8A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41"/>
    <w:rsid w:val="000012BF"/>
    <w:rsid w:val="000203E0"/>
    <w:rsid w:val="00054C41"/>
    <w:rsid w:val="00060DA1"/>
    <w:rsid w:val="0006464A"/>
    <w:rsid w:val="0009306F"/>
    <w:rsid w:val="000C5E9A"/>
    <w:rsid w:val="000C77A0"/>
    <w:rsid w:val="000E7E21"/>
    <w:rsid w:val="00142154"/>
    <w:rsid w:val="001A5A0F"/>
    <w:rsid w:val="001B4C03"/>
    <w:rsid w:val="001D1083"/>
    <w:rsid w:val="001D3FA0"/>
    <w:rsid w:val="001E53CB"/>
    <w:rsid w:val="00225A83"/>
    <w:rsid w:val="00270EA5"/>
    <w:rsid w:val="002F2810"/>
    <w:rsid w:val="00340CFD"/>
    <w:rsid w:val="0038255E"/>
    <w:rsid w:val="00391648"/>
    <w:rsid w:val="0039304E"/>
    <w:rsid w:val="0039636F"/>
    <w:rsid w:val="003E58B8"/>
    <w:rsid w:val="003F06D7"/>
    <w:rsid w:val="00445638"/>
    <w:rsid w:val="00446432"/>
    <w:rsid w:val="004754A7"/>
    <w:rsid w:val="004D20CB"/>
    <w:rsid w:val="0055379B"/>
    <w:rsid w:val="0065457C"/>
    <w:rsid w:val="006F5D3A"/>
    <w:rsid w:val="007259CB"/>
    <w:rsid w:val="007677D3"/>
    <w:rsid w:val="0077106D"/>
    <w:rsid w:val="007B40FB"/>
    <w:rsid w:val="007C06BE"/>
    <w:rsid w:val="007C2C6E"/>
    <w:rsid w:val="007E24B2"/>
    <w:rsid w:val="008634E9"/>
    <w:rsid w:val="008801B5"/>
    <w:rsid w:val="008B2638"/>
    <w:rsid w:val="008B4AA1"/>
    <w:rsid w:val="008C1C71"/>
    <w:rsid w:val="00923C0C"/>
    <w:rsid w:val="009A4D56"/>
    <w:rsid w:val="009B4C5B"/>
    <w:rsid w:val="009E09F7"/>
    <w:rsid w:val="00A000DA"/>
    <w:rsid w:val="00A1736E"/>
    <w:rsid w:val="00B2271F"/>
    <w:rsid w:val="00B66E33"/>
    <w:rsid w:val="00B878A2"/>
    <w:rsid w:val="00B90465"/>
    <w:rsid w:val="00BA1B06"/>
    <w:rsid w:val="00BD0EF7"/>
    <w:rsid w:val="00BE4017"/>
    <w:rsid w:val="00BE7D50"/>
    <w:rsid w:val="00C21399"/>
    <w:rsid w:val="00C253F9"/>
    <w:rsid w:val="00C560C4"/>
    <w:rsid w:val="00C6748F"/>
    <w:rsid w:val="00CE1CF9"/>
    <w:rsid w:val="00D005F2"/>
    <w:rsid w:val="00D631FA"/>
    <w:rsid w:val="00D82356"/>
    <w:rsid w:val="00D84EEE"/>
    <w:rsid w:val="00D90A61"/>
    <w:rsid w:val="00DF02CE"/>
    <w:rsid w:val="00E030DA"/>
    <w:rsid w:val="00E06910"/>
    <w:rsid w:val="00E5771F"/>
    <w:rsid w:val="00EB2BEC"/>
    <w:rsid w:val="00EC0704"/>
    <w:rsid w:val="00ED6B5D"/>
    <w:rsid w:val="00EE4C99"/>
    <w:rsid w:val="00EE5E0C"/>
    <w:rsid w:val="00F2654A"/>
    <w:rsid w:val="00F74FC9"/>
    <w:rsid w:val="00F8721E"/>
    <w:rsid w:val="00FF414B"/>
    <w:rsid w:val="00FF4B7A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54A6"/>
  <w15:docId w15:val="{15F0DCAF-EEF7-4297-BBAE-3B8C6BEA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4C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E4C9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5379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5379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53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3"/>
    <f:field ref="objsubject" par="" edit="true" text=""/>
    <f:field ref="objcreatedby" par="" text="Drieniková, Kristína"/>
    <f:field ref="objcreatedat" par="" text="3.11.2020 15:31:28"/>
    <f:field ref="objchangedby" par="" text="Matúšek, Miloš, JUDr."/>
    <f:field ref="objmodifiedat" par="" text="4.11.2020 13:19:4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478CF03-7A6D-4C9E-BFAB-6938C8B3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Drienikova Kristina</dc:creator>
  <cp:lastModifiedBy>Smažáková Janette</cp:lastModifiedBy>
  <cp:revision>3</cp:revision>
  <dcterms:created xsi:type="dcterms:W3CDTF">2021-08-05T10:51:00Z</dcterms:created>
  <dcterms:modified xsi:type="dcterms:W3CDTF">2021-10-29T06:37:00Z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3. 11. 2020</vt:lpwstr>
  </property>
  <property fmtid="{D5CDD505-2E9C-101B-9397-08002B2CF9AE}" pid="151" name="FSC#COOSYSTEM@1.1:Container">
    <vt:lpwstr>COO.2145.1000.3.4079697</vt:lpwstr>
  </property>
  <property fmtid="{D5CDD505-2E9C-101B-9397-08002B2CF9AE}" pid="152" name="FSC#FSCFOLIO@1.1001:docpropproject">
    <vt:lpwstr/>
  </property>
</Properties>
</file>