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626F" w14:textId="77777777" w:rsidR="00DE7B61" w:rsidRDefault="00DE7B61" w:rsidP="00DE7B61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D ô v o d o v á   s p r á v</w:t>
      </w:r>
      <w:r>
        <w:rPr>
          <w:rFonts w:eastAsia="Times New Roman"/>
          <w:b/>
          <w:bCs/>
          <w:color w:val="000000"/>
          <w:lang w:eastAsia="sk-SK"/>
        </w:rPr>
        <w:t> </w:t>
      </w:r>
      <w:r w:rsidRPr="00FE67F3">
        <w:rPr>
          <w:rFonts w:eastAsia="Times New Roman"/>
          <w:b/>
          <w:bCs/>
          <w:color w:val="000000"/>
          <w:lang w:eastAsia="sk-SK"/>
        </w:rPr>
        <w:t>a</w:t>
      </w:r>
    </w:p>
    <w:p w14:paraId="7A48F617" w14:textId="77777777" w:rsidR="00DE7B61" w:rsidRPr="00FE67F3" w:rsidRDefault="00DE7B61" w:rsidP="00DE7B61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sk-SK"/>
        </w:rPr>
      </w:pPr>
    </w:p>
    <w:p w14:paraId="5C15D248" w14:textId="77777777" w:rsidR="00DE7B61" w:rsidRPr="00FE67F3" w:rsidRDefault="00DE7B61" w:rsidP="00DE7B61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 xml:space="preserve">A. </w:t>
      </w:r>
      <w:r w:rsidRPr="00FE67F3">
        <w:rPr>
          <w:rFonts w:eastAsia="Times New Roman"/>
          <w:b/>
          <w:bCs/>
          <w:color w:val="000000"/>
          <w:lang w:eastAsia="sk-SK"/>
        </w:rPr>
        <w:t>Všeobecná časť</w:t>
      </w:r>
    </w:p>
    <w:p w14:paraId="4C30ECCC" w14:textId="77777777" w:rsidR="00DE7B61" w:rsidRPr="00FF2A5F" w:rsidRDefault="00DE7B61" w:rsidP="00DE7B61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FF2A5F">
        <w:rPr>
          <w:rFonts w:eastAsia="Times New Roman"/>
          <w:color w:val="000000"/>
          <w:lang w:eastAsia="sk-SK"/>
        </w:rPr>
        <w:t>Návrh</w:t>
      </w:r>
      <w:r w:rsidRPr="00FF2A5F">
        <w:rPr>
          <w:rFonts w:eastAsia="Times New Roman"/>
          <w:color w:val="000000"/>
          <w:spacing w:val="92"/>
          <w:lang w:eastAsia="sk-SK"/>
        </w:rPr>
        <w:t xml:space="preserve"> </w:t>
      </w:r>
      <w:r w:rsidRPr="00FF2A5F">
        <w:rPr>
          <w:rFonts w:eastAsia="Times New Roman"/>
          <w:color w:val="000000"/>
          <w:lang w:eastAsia="sk-SK"/>
        </w:rPr>
        <w:t>zákona,</w:t>
      </w:r>
      <w:r w:rsidRPr="00FF2A5F">
        <w:rPr>
          <w:rFonts w:eastAsia="Times New Roman"/>
          <w:color w:val="000000"/>
          <w:spacing w:val="92"/>
          <w:lang w:eastAsia="sk-SK"/>
        </w:rPr>
        <w:t xml:space="preserve"> </w:t>
      </w:r>
      <w:r w:rsidRPr="00FF2A5F">
        <w:rPr>
          <w:rFonts w:eastAsia="Times New Roman"/>
          <w:color w:val="222222"/>
          <w:lang w:eastAsia="sk-SK"/>
        </w:rPr>
        <w:t xml:space="preserve">ktorým sa mení </w:t>
      </w:r>
      <w:r w:rsidRPr="008D22EA">
        <w:rPr>
          <w:rFonts w:eastAsia="Times New Roman"/>
          <w:color w:val="222222"/>
          <w:lang w:eastAsia="sk-SK"/>
        </w:rPr>
        <w:t>zákon č. 138/2017 Z. z. o Fonde na podporu kultúry národnostných menšín a o zmene a doplnení niektorých zákonov v znení neskorších predpisov</w:t>
      </w:r>
      <w:r w:rsidRPr="00FF2A5F">
        <w:rPr>
          <w:rFonts w:eastAsia="Times New Roman"/>
          <w:color w:val="222222"/>
          <w:lang w:eastAsia="sk-SK"/>
        </w:rPr>
        <w:t xml:space="preserve"> </w:t>
      </w:r>
      <w:r w:rsidRPr="00FF2A5F">
        <w:rPr>
          <w:rFonts w:eastAsia="Times New Roman"/>
          <w:color w:val="000000"/>
          <w:lang w:eastAsia="sk-SK"/>
        </w:rPr>
        <w:t xml:space="preserve">predkladajú na rokovanie Národnej rady Slovenskej republiky </w:t>
      </w:r>
      <w:r w:rsidRPr="00FA7979">
        <w:rPr>
          <w:rFonts w:eastAsia="Times New Roman"/>
          <w:color w:val="000000"/>
          <w:lang w:eastAsia="sk-SK"/>
        </w:rPr>
        <w:t>poslanci Národnej rady Slovenskej republiky</w:t>
      </w:r>
      <w:r>
        <w:rPr>
          <w:rFonts w:eastAsia="Times New Roman"/>
          <w:color w:val="000000"/>
          <w:lang w:eastAsia="sk-SK"/>
        </w:rPr>
        <w:t xml:space="preserve"> </w:t>
      </w:r>
      <w:r w:rsidRPr="00D54ACB">
        <w:t>Ondrej Dostál, </w:t>
      </w:r>
      <w:r w:rsidR="00D54ACB" w:rsidRPr="00D54ACB">
        <w:t xml:space="preserve">Zita </w:t>
      </w:r>
      <w:proofErr w:type="spellStart"/>
      <w:r w:rsidR="00D54ACB" w:rsidRPr="00D54ACB">
        <w:t>Pleštinská</w:t>
      </w:r>
      <w:proofErr w:type="spellEnd"/>
      <w:r w:rsidR="00D54ACB" w:rsidRPr="00D54ACB">
        <w:t>,</w:t>
      </w:r>
      <w:r w:rsidR="00572B1E">
        <w:t xml:space="preserve"> Peter Osuský</w:t>
      </w:r>
      <w:r w:rsidR="007A20FC">
        <w:t xml:space="preserve">, Vladimíra </w:t>
      </w:r>
      <w:proofErr w:type="spellStart"/>
      <w:r w:rsidR="007A20FC">
        <w:t>Marcinková</w:t>
      </w:r>
      <w:proofErr w:type="spellEnd"/>
      <w:r w:rsidR="007A20FC">
        <w:t xml:space="preserve"> a Peter Pollák. </w:t>
      </w:r>
    </w:p>
    <w:p w14:paraId="0BF92362" w14:textId="77777777" w:rsidR="00DE7B61" w:rsidRDefault="00DE7B61" w:rsidP="00DE7B61">
      <w:pPr>
        <w:spacing w:after="0" w:line="276" w:lineRule="auto"/>
        <w:ind w:firstLine="567"/>
        <w:jc w:val="both"/>
        <w:rPr>
          <w:rFonts w:eastAsia="Times New Roman"/>
          <w:color w:val="000000"/>
          <w:lang w:eastAsia="sk-SK"/>
        </w:rPr>
      </w:pPr>
    </w:p>
    <w:p w14:paraId="6FCF0ED6" w14:textId="77777777" w:rsidR="00DE7B61" w:rsidRPr="009C4D9D" w:rsidRDefault="00DE7B61" w:rsidP="009C4D9D">
      <w:pPr>
        <w:spacing w:after="0" w:line="276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256FC0">
        <w:rPr>
          <w:rFonts w:eastAsia="Times New Roman"/>
          <w:b/>
          <w:bCs/>
          <w:color w:val="000000"/>
          <w:lang w:eastAsia="sk-SK"/>
        </w:rPr>
        <w:t xml:space="preserve">Cieľom predloženého návrhu zákona je </w:t>
      </w:r>
      <w:r w:rsidR="009C4D9D" w:rsidRPr="009C4D9D">
        <w:rPr>
          <w:rFonts w:eastAsia="Times New Roman"/>
          <w:b/>
          <w:bCs/>
          <w:color w:val="000000"/>
          <w:lang w:eastAsia="sk-SK"/>
        </w:rPr>
        <w:t xml:space="preserve">zabezpečiť dostatočné finančné </w:t>
      </w:r>
      <w:r w:rsidR="009C4D9D">
        <w:rPr>
          <w:rFonts w:eastAsia="Times New Roman"/>
          <w:b/>
          <w:bCs/>
          <w:color w:val="000000"/>
          <w:lang w:eastAsia="sk-SK"/>
        </w:rPr>
        <w:t>zdroje</w:t>
      </w:r>
      <w:r w:rsidR="009C4D9D" w:rsidRPr="009C4D9D">
        <w:rPr>
          <w:rFonts w:eastAsia="Times New Roman"/>
          <w:b/>
          <w:bCs/>
          <w:color w:val="000000"/>
          <w:lang w:eastAsia="sk-SK"/>
        </w:rPr>
        <w:t xml:space="preserve"> na pokrytie personálnych a </w:t>
      </w:r>
      <w:r w:rsidR="009C4D9D">
        <w:rPr>
          <w:rFonts w:eastAsia="Times New Roman"/>
          <w:b/>
          <w:bCs/>
          <w:color w:val="000000"/>
          <w:lang w:eastAsia="sk-SK"/>
        </w:rPr>
        <w:t>materiálnych kapacít pre úplné,</w:t>
      </w:r>
      <w:r w:rsidR="009C4D9D" w:rsidRPr="009C4D9D">
        <w:rPr>
          <w:rFonts w:eastAsia="Times New Roman"/>
          <w:b/>
          <w:bCs/>
          <w:color w:val="000000"/>
          <w:lang w:eastAsia="sk-SK"/>
        </w:rPr>
        <w:t xml:space="preserve"> systematické </w:t>
      </w:r>
      <w:r w:rsidR="009C4D9D">
        <w:rPr>
          <w:rFonts w:eastAsia="Times New Roman"/>
          <w:b/>
          <w:bCs/>
          <w:color w:val="000000"/>
          <w:lang w:eastAsia="sk-SK"/>
        </w:rPr>
        <w:t xml:space="preserve">a včasné </w:t>
      </w:r>
      <w:r w:rsidR="009C4D9D" w:rsidRPr="009C4D9D">
        <w:rPr>
          <w:rFonts w:eastAsia="Times New Roman"/>
          <w:b/>
          <w:bCs/>
          <w:color w:val="000000"/>
          <w:lang w:eastAsia="sk-SK"/>
        </w:rPr>
        <w:t xml:space="preserve">plnenie úloh </w:t>
      </w:r>
      <w:r w:rsidR="009C4D9D">
        <w:rPr>
          <w:rFonts w:eastAsia="Times New Roman"/>
          <w:b/>
          <w:bCs/>
          <w:color w:val="000000"/>
          <w:lang w:eastAsia="sk-SK"/>
        </w:rPr>
        <w:t>F</w:t>
      </w:r>
      <w:r w:rsidR="009C4D9D" w:rsidRPr="009C4D9D">
        <w:rPr>
          <w:rFonts w:eastAsia="Times New Roman"/>
          <w:b/>
          <w:bCs/>
          <w:color w:val="000000"/>
          <w:lang w:eastAsia="sk-SK"/>
        </w:rPr>
        <w:t>ondu</w:t>
      </w:r>
      <w:r w:rsidR="009C4D9D">
        <w:rPr>
          <w:rFonts w:eastAsia="Times New Roman"/>
          <w:b/>
          <w:bCs/>
          <w:color w:val="000000"/>
          <w:lang w:eastAsia="sk-SK"/>
        </w:rPr>
        <w:t xml:space="preserve"> na podporu kultúrny národnostných menšín (ďalej iba „Fond“)</w:t>
      </w:r>
      <w:r w:rsidR="009C4D9D" w:rsidRPr="009C4D9D">
        <w:rPr>
          <w:rFonts w:eastAsia="Times New Roman"/>
          <w:b/>
          <w:bCs/>
          <w:color w:val="000000"/>
          <w:lang w:eastAsia="sk-SK"/>
        </w:rPr>
        <w:t xml:space="preserve">, a tým </w:t>
      </w:r>
      <w:r w:rsidR="009C4D9D">
        <w:rPr>
          <w:rFonts w:eastAsia="Times New Roman"/>
          <w:b/>
          <w:bCs/>
          <w:color w:val="000000"/>
          <w:lang w:eastAsia="sk-SK"/>
        </w:rPr>
        <w:t>zefektívniť</w:t>
      </w:r>
      <w:r w:rsidR="009C4D9D" w:rsidRPr="009C4D9D">
        <w:rPr>
          <w:rFonts w:eastAsia="Times New Roman"/>
          <w:b/>
          <w:bCs/>
          <w:color w:val="000000"/>
          <w:lang w:eastAsia="sk-SK"/>
        </w:rPr>
        <w:t xml:space="preserve"> </w:t>
      </w:r>
      <w:r w:rsidR="009C4D9D">
        <w:rPr>
          <w:rFonts w:eastAsia="Times New Roman"/>
          <w:b/>
          <w:bCs/>
          <w:color w:val="000000"/>
          <w:lang w:eastAsia="sk-SK"/>
        </w:rPr>
        <w:t xml:space="preserve">a skvalitniť </w:t>
      </w:r>
      <w:r w:rsidR="009C4D9D" w:rsidRPr="009C4D9D">
        <w:rPr>
          <w:rFonts w:eastAsia="Times New Roman"/>
          <w:b/>
          <w:bCs/>
          <w:color w:val="000000"/>
          <w:lang w:eastAsia="sk-SK"/>
        </w:rPr>
        <w:t>jeho fungovani</w:t>
      </w:r>
      <w:r w:rsidR="009C4D9D">
        <w:rPr>
          <w:rFonts w:eastAsia="Times New Roman"/>
          <w:b/>
          <w:bCs/>
          <w:color w:val="000000"/>
          <w:lang w:eastAsia="sk-SK"/>
        </w:rPr>
        <w:t>e</w:t>
      </w:r>
      <w:r w:rsidR="009C4D9D" w:rsidRPr="009C4D9D">
        <w:rPr>
          <w:rFonts w:eastAsia="Times New Roman"/>
          <w:b/>
          <w:bCs/>
          <w:color w:val="000000"/>
          <w:lang w:eastAsia="sk-SK"/>
        </w:rPr>
        <w:t>.</w:t>
      </w:r>
      <w:r w:rsidR="009C4D9D">
        <w:rPr>
          <w:rFonts w:eastAsia="Times New Roman"/>
          <w:b/>
          <w:bCs/>
          <w:color w:val="000000"/>
          <w:lang w:eastAsia="sk-SK"/>
        </w:rPr>
        <w:t xml:space="preserve"> </w:t>
      </w:r>
      <w:r w:rsidR="002A07B8">
        <w:rPr>
          <w:rFonts w:eastAsia="Times New Roman"/>
          <w:b/>
          <w:bCs/>
          <w:color w:val="000000"/>
          <w:lang w:eastAsia="sk-SK"/>
        </w:rPr>
        <w:t>Vzhľadom na akútnu potrebu riešiť tento problém sa n</w:t>
      </w:r>
      <w:r w:rsidR="009C4D9D">
        <w:rPr>
          <w:rFonts w:eastAsia="Times New Roman"/>
          <w:b/>
          <w:bCs/>
          <w:color w:val="000000"/>
          <w:lang w:eastAsia="sk-SK"/>
        </w:rPr>
        <w:t>avrhuje zvýšiť</w:t>
      </w:r>
      <w:r w:rsidR="002A07B8">
        <w:rPr>
          <w:rFonts w:eastAsia="Times New Roman"/>
          <w:b/>
          <w:bCs/>
          <w:color w:val="000000"/>
          <w:lang w:eastAsia="sk-SK"/>
        </w:rPr>
        <w:t xml:space="preserve"> podiel prostriedkov, ktoré je Fond oprávnený použiť na vlastnú prevádzku, z 5 % na 6 % z príspevku zo štátneho rozpočtu. </w:t>
      </w:r>
    </w:p>
    <w:p w14:paraId="75791655" w14:textId="77777777" w:rsidR="00DE7B61" w:rsidRDefault="00DE7B61" w:rsidP="00DE7B61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15ABEFA" w14:textId="77777777" w:rsidR="009C4D9D" w:rsidRDefault="009C4D9D" w:rsidP="009C4D9D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9C4D9D">
        <w:rPr>
          <w:rFonts w:eastAsia="Times New Roman"/>
          <w:color w:val="000000"/>
          <w:lang w:eastAsia="sk-SK"/>
        </w:rPr>
        <w:t xml:space="preserve">Predkladaný návrh zákona upravuje financovanie a hospodárenie Fondu, ktorých úpravu si </w:t>
      </w:r>
      <w:r w:rsidR="002A07B8">
        <w:rPr>
          <w:rFonts w:eastAsia="Times New Roman"/>
          <w:color w:val="000000"/>
          <w:lang w:eastAsia="sk-SK"/>
        </w:rPr>
        <w:t>vyžaduje</w:t>
      </w:r>
      <w:r w:rsidRPr="009C4D9D">
        <w:rPr>
          <w:rFonts w:eastAsia="Times New Roman"/>
          <w:color w:val="000000"/>
          <w:lang w:eastAsia="sk-SK"/>
        </w:rPr>
        <w:t xml:space="preserve"> doterajšia aplikačná prax. </w:t>
      </w:r>
      <w:r w:rsidR="002A07B8">
        <w:rPr>
          <w:rFonts w:eastAsia="Times New Roman"/>
          <w:color w:val="000000"/>
          <w:lang w:eastAsia="sk-SK"/>
        </w:rPr>
        <w:t>Tá</w:t>
      </w:r>
      <w:r w:rsidRPr="009C4D9D">
        <w:rPr>
          <w:rFonts w:eastAsia="Times New Roman"/>
          <w:color w:val="000000"/>
          <w:lang w:eastAsia="sk-SK"/>
        </w:rPr>
        <w:t xml:space="preserve"> ukázala hlbokú </w:t>
      </w:r>
      <w:proofErr w:type="spellStart"/>
      <w:r w:rsidRPr="009C4D9D">
        <w:rPr>
          <w:rFonts w:eastAsia="Times New Roman"/>
          <w:color w:val="000000"/>
          <w:lang w:eastAsia="sk-SK"/>
        </w:rPr>
        <w:t>poddimenzovanosť</w:t>
      </w:r>
      <w:proofErr w:type="spellEnd"/>
      <w:r w:rsidRPr="009C4D9D">
        <w:rPr>
          <w:rFonts w:eastAsia="Times New Roman"/>
          <w:color w:val="000000"/>
          <w:lang w:eastAsia="sk-SK"/>
        </w:rPr>
        <w:t xml:space="preserve"> </w:t>
      </w:r>
      <w:r w:rsidR="002A07B8">
        <w:rPr>
          <w:rFonts w:eastAsia="Times New Roman"/>
          <w:color w:val="000000"/>
          <w:lang w:eastAsia="sk-SK"/>
        </w:rPr>
        <w:t xml:space="preserve">personálnych a materiálnych </w:t>
      </w:r>
      <w:r w:rsidRPr="009C4D9D">
        <w:rPr>
          <w:rFonts w:eastAsia="Times New Roman"/>
          <w:color w:val="000000"/>
          <w:lang w:eastAsia="sk-SK"/>
        </w:rPr>
        <w:t>kapacít</w:t>
      </w:r>
      <w:r w:rsidR="002A07B8">
        <w:rPr>
          <w:rFonts w:eastAsia="Times New Roman"/>
          <w:color w:val="000000"/>
          <w:lang w:eastAsia="sk-SK"/>
        </w:rPr>
        <w:t xml:space="preserve"> </w:t>
      </w:r>
      <w:r w:rsidR="002A07B8" w:rsidRPr="002A07B8">
        <w:rPr>
          <w:rFonts w:eastAsia="Times New Roman"/>
          <w:color w:val="000000"/>
          <w:lang w:eastAsia="sk-SK"/>
        </w:rPr>
        <w:t>pre úplné, systematické a včasné plnenie úloh Fondu</w:t>
      </w:r>
      <w:r w:rsidR="002A07B8">
        <w:rPr>
          <w:rFonts w:eastAsia="Times New Roman"/>
          <w:color w:val="000000"/>
          <w:lang w:eastAsia="sk-SK"/>
        </w:rPr>
        <w:t xml:space="preserve">. To sa </w:t>
      </w:r>
      <w:r w:rsidRPr="009C4D9D">
        <w:rPr>
          <w:rFonts w:eastAsia="Times New Roman"/>
          <w:color w:val="000000"/>
          <w:lang w:eastAsia="sk-SK"/>
        </w:rPr>
        <w:t xml:space="preserve">obzvlášť </w:t>
      </w:r>
      <w:r w:rsidR="002A07B8">
        <w:rPr>
          <w:rFonts w:eastAsia="Times New Roman"/>
          <w:color w:val="000000"/>
          <w:lang w:eastAsia="sk-SK"/>
        </w:rPr>
        <w:t>intenzívne</w:t>
      </w:r>
      <w:r w:rsidRPr="009C4D9D">
        <w:rPr>
          <w:rFonts w:eastAsia="Times New Roman"/>
          <w:color w:val="000000"/>
          <w:lang w:eastAsia="sk-SK"/>
        </w:rPr>
        <w:t xml:space="preserve"> prejavuje v súčasnej dobe poznačenej dopadmi pandémie ochorenia COVID-19. Dôsledkom tohto stavu je </w:t>
      </w:r>
      <w:r w:rsidR="002A07B8">
        <w:rPr>
          <w:rFonts w:eastAsia="Times New Roman"/>
          <w:color w:val="000000"/>
          <w:lang w:eastAsia="sk-SK"/>
        </w:rPr>
        <w:t>zvyšujúci sa</w:t>
      </w:r>
      <w:r w:rsidRPr="009C4D9D">
        <w:rPr>
          <w:rFonts w:eastAsia="Times New Roman"/>
          <w:color w:val="000000"/>
          <w:lang w:eastAsia="sk-SK"/>
        </w:rPr>
        <w:t xml:space="preserve"> časový sklz pri plnení úloh v oblasti poskytovania podpory kultúrnych a vedeckých aktivít v súlade s účelmi podľa § 1 ods. 1 zákona, ako aj včasnej kontroly vyúčtovania poskytnutých finančných prostriedkov v súlade so zákonom. Zabezpečenie uvedených kapacít je nevyhnutnou podmienkou uskutočňovania systematického monitoringu a </w:t>
      </w:r>
      <w:proofErr w:type="spellStart"/>
      <w:r w:rsidRPr="009C4D9D">
        <w:rPr>
          <w:rFonts w:eastAsia="Times New Roman"/>
          <w:color w:val="000000"/>
          <w:lang w:eastAsia="sk-SK"/>
        </w:rPr>
        <w:t>evaluácie</w:t>
      </w:r>
      <w:proofErr w:type="spellEnd"/>
      <w:r w:rsidRPr="009C4D9D">
        <w:rPr>
          <w:rFonts w:eastAsia="Times New Roman"/>
          <w:color w:val="000000"/>
          <w:lang w:eastAsia="sk-SK"/>
        </w:rPr>
        <w:t xml:space="preserve"> podporených projektov s cieľom neustáleho skvalitňovania zamerania projektovej podpory, vytyčovania jej priorít, stimulovania a kultivovania projektov v oblasti kultúry národnostných menšín a vytvárania priaznivých podmienok pre rozvoj kultúry národnostných menšín v spolupráci s relevantnými subjektmi. </w:t>
      </w:r>
    </w:p>
    <w:p w14:paraId="515D5FA6" w14:textId="77777777" w:rsidR="002A07B8" w:rsidRDefault="002A07B8" w:rsidP="009C4D9D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062B538D" w14:textId="77777777" w:rsidR="002A07B8" w:rsidRDefault="002A07B8" w:rsidP="00CB4250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Výbor pre národnostné menšiny a etnické skupiny ako stály odborný orgán Rady vlády Slovenskej republiky pre ľudské práva, národnostné menšiny a rodovú rovnosť na svojom zasadnutí dňa 21. septembra 2021 uznesením č. 178 zobral na vedomie informáciu o činnosti Fondu, vyjadril „nespokojnosť s rýchlosťou administratívnych procesov a procesov vyplácania projektov na Fonde na podporu kultúry národnostných menšín“. Výbor zároveň odporučil ministerstvu kultúry „</w:t>
      </w:r>
      <w:r w:rsidRPr="002A07B8">
        <w:rPr>
          <w:rFonts w:eastAsia="Times New Roman"/>
          <w:color w:val="000000"/>
          <w:lang w:eastAsia="sk-SK"/>
        </w:rPr>
        <w:t>pripraviť legislatívny návrh na úpravu zá</w:t>
      </w:r>
      <w:r w:rsidR="00CB4250">
        <w:rPr>
          <w:rFonts w:eastAsia="Times New Roman"/>
          <w:color w:val="000000"/>
          <w:lang w:eastAsia="sk-SK"/>
        </w:rPr>
        <w:t xml:space="preserve">kona o Fonde na podporu kultúry </w:t>
      </w:r>
      <w:r w:rsidRPr="002A07B8">
        <w:rPr>
          <w:rFonts w:eastAsia="Times New Roman"/>
          <w:color w:val="000000"/>
          <w:lang w:eastAsia="sk-SK"/>
        </w:rPr>
        <w:t>národnostných menšín za účelom urýchlenia proce</w:t>
      </w:r>
      <w:r w:rsidR="00CB4250">
        <w:rPr>
          <w:rFonts w:eastAsia="Times New Roman"/>
          <w:color w:val="000000"/>
          <w:lang w:eastAsia="sk-SK"/>
        </w:rPr>
        <w:t xml:space="preserve">sov na Fonde na podporu kultúry </w:t>
      </w:r>
      <w:r w:rsidRPr="002A07B8">
        <w:rPr>
          <w:rFonts w:eastAsia="Times New Roman"/>
          <w:color w:val="000000"/>
          <w:lang w:eastAsia="sk-SK"/>
        </w:rPr>
        <w:t>národnostných menšín</w:t>
      </w:r>
      <w:r>
        <w:rPr>
          <w:rFonts w:eastAsia="Times New Roman"/>
          <w:color w:val="000000"/>
          <w:lang w:eastAsia="sk-SK"/>
        </w:rPr>
        <w:t>“</w:t>
      </w:r>
      <w:r w:rsidR="00CB4250">
        <w:rPr>
          <w:rFonts w:eastAsia="Times New Roman"/>
          <w:color w:val="000000"/>
          <w:lang w:eastAsia="sk-SK"/>
        </w:rPr>
        <w:t xml:space="preserve">. </w:t>
      </w:r>
    </w:p>
    <w:p w14:paraId="4730FF72" w14:textId="77777777" w:rsidR="00CB4250" w:rsidRDefault="00CB4250" w:rsidP="00CB4250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DC48D3C" w14:textId="77777777" w:rsidR="00CB4250" w:rsidRDefault="00CB4250" w:rsidP="00CB4250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Vzhľadom na predpokladanú dĺžku legislatívneho procesu a potrebu zabezpečiť dostatočné zdroje na riadne plnenie úloh Fondu, ako aj potrebu nastavenia novej systémovej úpravy, ktorá sa vzťahuje na kalendárny roka, a preto by mala byť účinná od 1. </w:t>
      </w:r>
      <w:r w:rsidR="00D54ACB">
        <w:rPr>
          <w:rFonts w:eastAsia="Times New Roman"/>
          <w:color w:val="000000"/>
          <w:lang w:eastAsia="sk-SK"/>
        </w:rPr>
        <w:t>marca</w:t>
      </w:r>
      <w:r>
        <w:rPr>
          <w:rFonts w:eastAsia="Times New Roman"/>
          <w:color w:val="000000"/>
          <w:lang w:eastAsia="sk-SK"/>
        </w:rPr>
        <w:t xml:space="preserve"> 2022, prichádza s predmetným legislatívnym návrhom skupina poslancov NR SR. </w:t>
      </w:r>
    </w:p>
    <w:p w14:paraId="386B01F3" w14:textId="77777777" w:rsidR="002A07B8" w:rsidRPr="009C4D9D" w:rsidRDefault="002A07B8" w:rsidP="009C4D9D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C36A83B" w14:textId="77777777" w:rsidR="009C4D9D" w:rsidRDefault="009C4D9D" w:rsidP="009C4D9D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9C4D9D">
        <w:rPr>
          <w:rFonts w:eastAsia="Times New Roman"/>
          <w:color w:val="000000"/>
          <w:lang w:eastAsia="sk-SK"/>
        </w:rPr>
        <w:t>Predložený návrh zákona má za cieľ priniesť riešenie vážnych aplikačných problémov, ktoré sa vyskytli v činnosti Fondu a kt</w:t>
      </w:r>
      <w:r w:rsidR="00CB4250">
        <w:rPr>
          <w:rFonts w:eastAsia="Times New Roman"/>
          <w:color w:val="000000"/>
          <w:lang w:eastAsia="sk-SK"/>
        </w:rPr>
        <w:t>oré je potrebné riešiť navýšením</w:t>
      </w:r>
      <w:r w:rsidRPr="009C4D9D">
        <w:rPr>
          <w:rFonts w:eastAsia="Times New Roman"/>
          <w:color w:val="000000"/>
          <w:lang w:eastAsia="sk-SK"/>
        </w:rPr>
        <w:t xml:space="preserve"> percenta finančných prostriedkov</w:t>
      </w:r>
      <w:r w:rsidR="00CB4250">
        <w:rPr>
          <w:rFonts w:eastAsia="Times New Roman"/>
          <w:color w:val="000000"/>
          <w:lang w:eastAsia="sk-SK"/>
        </w:rPr>
        <w:t xml:space="preserve"> z príspevku zo štátneho rozpočtu, ktoré je F</w:t>
      </w:r>
      <w:r w:rsidRPr="009C4D9D">
        <w:rPr>
          <w:rFonts w:eastAsia="Times New Roman"/>
          <w:color w:val="000000"/>
          <w:lang w:eastAsia="sk-SK"/>
        </w:rPr>
        <w:t>ond oprávnený použiť na vlastnú prevádzku</w:t>
      </w:r>
      <w:r w:rsidR="00CB4250">
        <w:rPr>
          <w:rFonts w:eastAsia="Times New Roman"/>
          <w:color w:val="000000"/>
          <w:lang w:eastAsia="sk-SK"/>
        </w:rPr>
        <w:t>,</w:t>
      </w:r>
      <w:r w:rsidRPr="009C4D9D">
        <w:rPr>
          <w:rFonts w:eastAsia="Times New Roman"/>
          <w:color w:val="000000"/>
          <w:lang w:eastAsia="sk-SK"/>
        </w:rPr>
        <w:t xml:space="preserve"> z 5 na 6  % z celkovej sumy svojich príjmov.</w:t>
      </w:r>
    </w:p>
    <w:p w14:paraId="57E0E148" w14:textId="77777777" w:rsidR="002A07B8" w:rsidRPr="009C4D9D" w:rsidRDefault="002A07B8" w:rsidP="009C4D9D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92F7F1D" w14:textId="18BE308E" w:rsidR="009C4D9D" w:rsidRPr="009C4D9D" w:rsidRDefault="009C4D9D" w:rsidP="009C4D9D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9C4D9D">
        <w:rPr>
          <w:rFonts w:eastAsia="Times New Roman"/>
          <w:color w:val="000000"/>
          <w:lang w:eastAsia="sk-SK"/>
        </w:rPr>
        <w:t>Vzhľadom</w:t>
      </w:r>
      <w:r w:rsidR="009D3DDF">
        <w:rPr>
          <w:rFonts w:eastAsia="Times New Roman"/>
          <w:color w:val="000000"/>
          <w:lang w:eastAsia="sk-SK"/>
        </w:rPr>
        <w:t xml:space="preserve"> na to</w:t>
      </w:r>
      <w:r w:rsidRPr="009C4D9D">
        <w:rPr>
          <w:rFonts w:eastAsia="Times New Roman"/>
          <w:color w:val="000000"/>
          <w:lang w:eastAsia="sk-SK"/>
        </w:rPr>
        <w:t>, že národnostné menšiny (predovšetkým tie, ktorých rozpočet predstavuje 0,7 – 1,4 % z celkového rozpočtu</w:t>
      </w:r>
      <w:r w:rsidR="00CB4250">
        <w:rPr>
          <w:rFonts w:eastAsia="Times New Roman"/>
          <w:color w:val="000000"/>
          <w:lang w:eastAsia="sk-SK"/>
        </w:rPr>
        <w:t xml:space="preserve"> Fondu</w:t>
      </w:r>
      <w:r w:rsidRPr="009C4D9D">
        <w:rPr>
          <w:rFonts w:eastAsia="Times New Roman"/>
          <w:color w:val="000000"/>
          <w:lang w:eastAsia="sk-SK"/>
        </w:rPr>
        <w:t>) sú zvyknuté niekoľko rokov na daný objem</w:t>
      </w:r>
      <w:r w:rsidR="00CB4250">
        <w:rPr>
          <w:rFonts w:eastAsia="Times New Roman"/>
          <w:color w:val="000000"/>
          <w:lang w:eastAsia="sk-SK"/>
        </w:rPr>
        <w:t xml:space="preserve"> prostriedkov na podporu ich kultúrnych aktivít, nebolo by správne, aby sa navrhované navýšenie prostriedkov na prevádzku Fondu premietlo do zníženia objemu zdrojov na podporu kultúrny národnostných menšín</w:t>
      </w:r>
      <w:r w:rsidRPr="009C4D9D">
        <w:rPr>
          <w:rFonts w:eastAsia="Times New Roman"/>
          <w:color w:val="000000"/>
          <w:lang w:eastAsia="sk-SK"/>
        </w:rPr>
        <w:t>. Ak by sa zmena percenta realizovala zo súčasného celkového rozpočtu definovaného zákonom došlo by ku kráteniu rozpočtov</w:t>
      </w:r>
      <w:r w:rsidR="00CB4250">
        <w:rPr>
          <w:rFonts w:eastAsia="Times New Roman"/>
          <w:color w:val="000000"/>
          <w:lang w:eastAsia="sk-SK"/>
        </w:rPr>
        <w:t xml:space="preserve"> na podporu kultúry </w:t>
      </w:r>
      <w:r w:rsidRPr="009C4D9D">
        <w:rPr>
          <w:rFonts w:eastAsia="Times New Roman"/>
          <w:color w:val="000000"/>
          <w:lang w:eastAsia="sk-SK"/>
        </w:rPr>
        <w:t xml:space="preserve"> jednotlivých </w:t>
      </w:r>
      <w:r w:rsidR="00CB4250">
        <w:rPr>
          <w:rFonts w:eastAsia="Times New Roman"/>
          <w:color w:val="000000"/>
          <w:lang w:eastAsia="sk-SK"/>
        </w:rPr>
        <w:t xml:space="preserve">národnostných </w:t>
      </w:r>
      <w:r w:rsidRPr="009C4D9D">
        <w:rPr>
          <w:rFonts w:eastAsia="Times New Roman"/>
          <w:color w:val="000000"/>
          <w:lang w:eastAsia="sk-SK"/>
        </w:rPr>
        <w:t xml:space="preserve">menšín, čo by </w:t>
      </w:r>
      <w:r w:rsidR="00CB4250">
        <w:rPr>
          <w:rFonts w:eastAsia="Times New Roman"/>
          <w:color w:val="000000"/>
          <w:lang w:eastAsia="sk-SK"/>
        </w:rPr>
        <w:t>príslušníci menšín mohli vnímať</w:t>
      </w:r>
      <w:r w:rsidRPr="009C4D9D">
        <w:rPr>
          <w:rFonts w:eastAsia="Times New Roman"/>
          <w:color w:val="000000"/>
          <w:lang w:eastAsia="sk-SK"/>
        </w:rPr>
        <w:t xml:space="preserve"> negatívne. Preto aby sa zabránilo kráteniu rozpočtov </w:t>
      </w:r>
      <w:r w:rsidR="00CB4250">
        <w:rPr>
          <w:rFonts w:eastAsia="Times New Roman"/>
          <w:color w:val="000000"/>
          <w:lang w:eastAsia="sk-SK"/>
        </w:rPr>
        <w:t xml:space="preserve">na podporu kultúry </w:t>
      </w:r>
      <w:r w:rsidRPr="009C4D9D">
        <w:rPr>
          <w:rFonts w:eastAsia="Times New Roman"/>
          <w:color w:val="000000"/>
          <w:lang w:eastAsia="sk-SK"/>
        </w:rPr>
        <w:t>jednotlivých národnostných menšín</w:t>
      </w:r>
      <w:r w:rsidR="00CB4250">
        <w:rPr>
          <w:rFonts w:eastAsia="Times New Roman"/>
          <w:color w:val="000000"/>
          <w:lang w:eastAsia="sk-SK"/>
        </w:rPr>
        <w:t>,</w:t>
      </w:r>
      <w:r w:rsidRPr="009C4D9D">
        <w:rPr>
          <w:rFonts w:eastAsia="Times New Roman"/>
          <w:color w:val="000000"/>
          <w:lang w:eastAsia="sk-SK"/>
        </w:rPr>
        <w:t xml:space="preserve"> je </w:t>
      </w:r>
      <w:r w:rsidR="00CB4250">
        <w:rPr>
          <w:rFonts w:eastAsia="Times New Roman"/>
          <w:color w:val="000000"/>
          <w:lang w:eastAsia="sk-SK"/>
        </w:rPr>
        <w:t>potrebné</w:t>
      </w:r>
      <w:r w:rsidRPr="009C4D9D">
        <w:rPr>
          <w:rFonts w:eastAsia="Times New Roman"/>
          <w:color w:val="000000"/>
          <w:lang w:eastAsia="sk-SK"/>
        </w:rPr>
        <w:t xml:space="preserve"> navýšiť aj celkovú sumu garantovanú zákonom z</w:t>
      </w:r>
      <w:r w:rsidR="00CB4250">
        <w:rPr>
          <w:rFonts w:eastAsia="Times New Roman"/>
          <w:color w:val="000000"/>
          <w:lang w:eastAsia="sk-SK"/>
        </w:rPr>
        <w:t>o súčasných 8 000 000 eur</w:t>
      </w:r>
      <w:r w:rsidRPr="009C4D9D">
        <w:rPr>
          <w:rFonts w:eastAsia="Times New Roman"/>
          <w:color w:val="000000"/>
          <w:lang w:eastAsia="sk-SK"/>
        </w:rPr>
        <w:t xml:space="preserve"> na </w:t>
      </w:r>
      <w:r w:rsidR="00D54ACB">
        <w:rPr>
          <w:rFonts w:eastAsia="Times New Roman"/>
          <w:color w:val="000000"/>
          <w:lang w:eastAsia="sk-SK"/>
        </w:rPr>
        <w:t>navrhovaných 8 20</w:t>
      </w:r>
      <w:r w:rsidR="00CB4250">
        <w:rPr>
          <w:rFonts w:eastAsia="Times New Roman"/>
          <w:color w:val="000000"/>
          <w:lang w:eastAsia="sk-SK"/>
        </w:rPr>
        <w:t>0 000 eur</w:t>
      </w:r>
      <w:r w:rsidRPr="009C4D9D">
        <w:rPr>
          <w:rFonts w:eastAsia="Times New Roman"/>
          <w:color w:val="000000"/>
          <w:lang w:eastAsia="sk-SK"/>
        </w:rPr>
        <w:t xml:space="preserve">. </w:t>
      </w:r>
      <w:r w:rsidR="00CB4250">
        <w:rPr>
          <w:rFonts w:eastAsia="Times New Roman"/>
          <w:color w:val="000000"/>
          <w:lang w:eastAsia="sk-SK"/>
        </w:rPr>
        <w:t>Navrhnuté ri</w:t>
      </w:r>
      <w:r w:rsidRPr="009C4D9D">
        <w:rPr>
          <w:rFonts w:eastAsia="Times New Roman"/>
          <w:color w:val="000000"/>
          <w:lang w:eastAsia="sk-SK"/>
        </w:rPr>
        <w:t xml:space="preserve">ešenie </w:t>
      </w:r>
      <w:r w:rsidR="00CB4250">
        <w:rPr>
          <w:rFonts w:eastAsia="Times New Roman"/>
          <w:color w:val="000000"/>
          <w:lang w:eastAsia="sk-SK"/>
        </w:rPr>
        <w:t xml:space="preserve">sa snaží o pristupovať s </w:t>
      </w:r>
      <w:r w:rsidRPr="009C4D9D">
        <w:rPr>
          <w:rFonts w:eastAsia="Times New Roman"/>
          <w:color w:val="000000"/>
          <w:lang w:eastAsia="sk-SK"/>
        </w:rPr>
        <w:t>citlivým rešpektom k</w:t>
      </w:r>
      <w:r w:rsidR="00CB4250">
        <w:rPr>
          <w:rFonts w:eastAsia="Times New Roman"/>
          <w:color w:val="000000"/>
          <w:lang w:eastAsia="sk-SK"/>
        </w:rPr>
        <w:t xml:space="preserve"> potrebám národnostných menšín</w:t>
      </w:r>
      <w:r w:rsidRPr="009C4D9D">
        <w:rPr>
          <w:rFonts w:eastAsia="Times New Roman"/>
          <w:color w:val="000000"/>
          <w:lang w:eastAsia="sk-SK"/>
        </w:rPr>
        <w:t xml:space="preserve"> tak, aby sa ich navrhovaná zmena nedotkla, teda aby im nebol znížený objem finančných prostriedkov zabezpečený týmto zákonom.</w:t>
      </w:r>
    </w:p>
    <w:p w14:paraId="5E2C7451" w14:textId="77777777" w:rsidR="00DE7B61" w:rsidRDefault="00DE7B61" w:rsidP="00DE7B61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A774022" w14:textId="77777777" w:rsidR="00DE7B61" w:rsidRPr="00FE67F3" w:rsidRDefault="00DE7B61" w:rsidP="00DE7B61">
      <w:pPr>
        <w:spacing w:after="0" w:line="276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bude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negatívny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vplyv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rozpočet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verejnej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správy</w:t>
      </w:r>
      <w:r w:rsidR="00D54ACB">
        <w:rPr>
          <w:rFonts w:eastAsia="Times New Roman"/>
          <w:color w:val="000000"/>
          <w:lang w:eastAsia="sk-SK"/>
        </w:rPr>
        <w:t xml:space="preserve"> vo výške 20</w:t>
      </w:r>
      <w:r>
        <w:rPr>
          <w:rFonts w:eastAsia="Times New Roman"/>
          <w:color w:val="000000"/>
          <w:lang w:eastAsia="sk-SK"/>
        </w:rPr>
        <w:t>0 000 eur ročne</w:t>
      </w:r>
      <w:r w:rsidRPr="00FE67F3">
        <w:rPr>
          <w:rFonts w:eastAsia="Times New Roman"/>
          <w:color w:val="000000"/>
          <w:lang w:eastAsia="sk-SK"/>
        </w:rPr>
        <w:t>,</w:t>
      </w:r>
      <w:r w:rsidRPr="00FE67F3">
        <w:rPr>
          <w:rFonts w:eastAsia="Times New Roman"/>
          <w:color w:val="000000"/>
          <w:spacing w:val="3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negatívny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vplyv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66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životné prostredie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ani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na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informatizáciu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spoločnosti</w:t>
      </w:r>
      <w:r>
        <w:rPr>
          <w:rFonts w:eastAsia="Times New Roman"/>
          <w:color w:val="000000"/>
          <w:lang w:eastAsia="sk-SK"/>
        </w:rPr>
        <w:t xml:space="preserve"> a nebude mať negatívny vplyv ani na podnikateľské prostredie a na služby verejnej správy pre občana</w:t>
      </w:r>
      <w:r w:rsidRPr="00FE67F3">
        <w:rPr>
          <w:rFonts w:eastAsia="Times New Roman"/>
          <w:color w:val="000000"/>
          <w:lang w:eastAsia="sk-SK"/>
        </w:rPr>
        <w:t>.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Rovnako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nebude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mať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34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  žiadne sociálne vplyvy</w:t>
      </w:r>
      <w:r>
        <w:rPr>
          <w:rFonts w:eastAsia="Times New Roman"/>
          <w:color w:val="000000"/>
          <w:lang w:eastAsia="sk-SK"/>
        </w:rPr>
        <w:t xml:space="preserve"> a</w:t>
      </w:r>
      <w:r w:rsidRPr="00FE67F3">
        <w:rPr>
          <w:rFonts w:eastAsia="Times New Roman"/>
          <w:color w:val="000000"/>
          <w:lang w:eastAsia="sk-SK"/>
        </w:rPr>
        <w:t xml:space="preserve"> ani vplyvy na manželstvo, rodičovstvo a rodinu.</w:t>
      </w:r>
    </w:p>
    <w:p w14:paraId="7BE44A17" w14:textId="77777777" w:rsidR="00DE7B61" w:rsidRDefault="00DE7B61" w:rsidP="00DE7B61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FFB4A37" w14:textId="77777777" w:rsidR="00DE7B61" w:rsidRDefault="00DE7B61" w:rsidP="00DE7B61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FE67F3">
        <w:rPr>
          <w:rFonts w:eastAsia="Times New Roman"/>
          <w:color w:val="000000"/>
          <w:lang w:eastAsia="sk-SK"/>
        </w:rPr>
        <w:t>Návrh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zákona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súlade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Ústavou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ústavnými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zákonmi</w:t>
      </w:r>
      <w:r w:rsidRPr="00FE67F3">
        <w:rPr>
          <w:rFonts w:eastAsia="Times New Roman"/>
          <w:color w:val="000000"/>
          <w:spacing w:val="42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</w:t>
      </w:r>
      <w:r>
        <w:rPr>
          <w:rFonts w:eastAsia="Times New Roman"/>
          <w:color w:val="000000"/>
          <w:lang w:eastAsia="sk-SK"/>
        </w:rPr>
        <w:t> </w:t>
      </w:r>
      <w:r w:rsidRPr="00FE67F3">
        <w:rPr>
          <w:rFonts w:eastAsia="Times New Roman"/>
          <w:color w:val="000000"/>
          <w:lang w:eastAsia="sk-SK"/>
        </w:rPr>
        <w:t>ostatnými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všeobecne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záväznými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právnymi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predpismi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Slovenskej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republiky,</w:t>
      </w:r>
      <w:r w:rsidRPr="00FE67F3">
        <w:rPr>
          <w:rFonts w:eastAsia="Times New Roman"/>
          <w:color w:val="000000"/>
          <w:spacing w:val="-9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 zmluvami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inými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medzinárodnými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dokumentmi,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ktorými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je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Slovenská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republika</w:t>
      </w:r>
      <w:r w:rsidRPr="00FE67F3">
        <w:rPr>
          <w:rFonts w:eastAsia="Times New Roman"/>
          <w:color w:val="000000"/>
          <w:spacing w:val="21"/>
          <w:lang w:eastAsia="sk-SK"/>
        </w:rPr>
        <w:t xml:space="preserve"> </w:t>
      </w:r>
      <w:r w:rsidRPr="00FE67F3">
        <w:rPr>
          <w:rFonts w:eastAsia="Times New Roman"/>
          <w:color w:val="000000"/>
          <w:lang w:eastAsia="sk-SK"/>
        </w:rPr>
        <w:t>viazaná, ako aj s právom Európskej únie.</w:t>
      </w:r>
    </w:p>
    <w:p w14:paraId="665B158A" w14:textId="77777777" w:rsidR="00DE7B61" w:rsidRDefault="00DE7B61" w:rsidP="00DE7B61">
      <w:pPr>
        <w:spacing w:after="0" w:line="276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F564F2F" w14:textId="77777777" w:rsidR="00DE7B61" w:rsidRDefault="00DE7B61" w:rsidP="00DE7B6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D28A82C" w14:textId="77777777" w:rsidR="00DE7B61" w:rsidRDefault="00DE7B61" w:rsidP="00DE7B6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BC8819D" w14:textId="77777777" w:rsidR="00DE7B61" w:rsidRDefault="00DE7B61" w:rsidP="00DE7B6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62157E0" w14:textId="77777777" w:rsidR="00DE7B61" w:rsidRDefault="00DE7B61" w:rsidP="00DE7B6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834FF2C" w14:textId="77777777" w:rsidR="00DE7B61" w:rsidRDefault="00DE7B61" w:rsidP="00DE7B6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42E09CF" w14:textId="77777777" w:rsidR="00DE7B61" w:rsidRDefault="00DE7B61">
      <w:pPr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br w:type="page"/>
      </w:r>
    </w:p>
    <w:p w14:paraId="553B2756" w14:textId="77777777" w:rsidR="00DE7B61" w:rsidRDefault="00DE7B61" w:rsidP="00DE7B61">
      <w:pPr>
        <w:spacing w:after="0"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lastRenderedPageBreak/>
        <w:t>Doložka zlučiteľnosti</w:t>
      </w:r>
    </w:p>
    <w:p w14:paraId="5960DF9D" w14:textId="77777777" w:rsidR="00DE7B61" w:rsidRDefault="00DE7B61" w:rsidP="00DE7B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746F6DE9" w14:textId="77777777" w:rsidR="00DE7B61" w:rsidRDefault="00DE7B61" w:rsidP="00DE7B61">
      <w:pPr>
        <w:spacing w:after="0" w:line="240" w:lineRule="auto"/>
      </w:pPr>
    </w:p>
    <w:p w14:paraId="71D888B7" w14:textId="77777777" w:rsidR="00DE7B61" w:rsidRDefault="00DE7B61" w:rsidP="00DE7B61">
      <w:pPr>
        <w:spacing w:after="0" w:line="240" w:lineRule="auto"/>
      </w:pPr>
    </w:p>
    <w:p w14:paraId="1B01C51A" w14:textId="77777777" w:rsidR="00DE7B61" w:rsidRDefault="00DE7B61" w:rsidP="00DE7B61">
      <w:pPr>
        <w:spacing w:after="0" w:line="240" w:lineRule="auto"/>
        <w:ind w:left="360" w:hanging="36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Poslanci Národnej rady Slovenskej republiky</w:t>
      </w:r>
      <w:r w:rsidR="009563FE" w:rsidRPr="009563FE">
        <w:t xml:space="preserve"> </w:t>
      </w:r>
      <w:r w:rsidR="007A20FC" w:rsidRPr="00D54ACB">
        <w:t xml:space="preserve">Ondrej Dostál, Zita </w:t>
      </w:r>
      <w:proofErr w:type="spellStart"/>
      <w:r w:rsidR="007A20FC" w:rsidRPr="00D54ACB">
        <w:t>Pleštinská</w:t>
      </w:r>
      <w:proofErr w:type="spellEnd"/>
      <w:r w:rsidR="007A20FC" w:rsidRPr="00D54ACB">
        <w:t>,</w:t>
      </w:r>
      <w:r w:rsidR="007A20FC">
        <w:t xml:space="preserve"> Peter Osuský, Vladimíra </w:t>
      </w:r>
      <w:proofErr w:type="spellStart"/>
      <w:r w:rsidR="007A20FC">
        <w:t>Marcinková</w:t>
      </w:r>
      <w:proofErr w:type="spellEnd"/>
      <w:r w:rsidR="007A20FC">
        <w:t xml:space="preserve"> a Peter Pollák.</w:t>
      </w:r>
      <w:r>
        <w:t> </w:t>
      </w:r>
    </w:p>
    <w:p w14:paraId="2DF32A39" w14:textId="77777777" w:rsidR="00DE7B61" w:rsidRDefault="00DE7B61" w:rsidP="00DE7B61">
      <w:pPr>
        <w:tabs>
          <w:tab w:val="left" w:pos="360"/>
        </w:tabs>
        <w:spacing w:after="0" w:line="240" w:lineRule="auto"/>
        <w:ind w:left="360"/>
      </w:pPr>
      <w:r>
        <w:t xml:space="preserve"> </w:t>
      </w:r>
    </w:p>
    <w:p w14:paraId="64A793E3" w14:textId="77777777" w:rsidR="00DE7B61" w:rsidRPr="00C776B5" w:rsidRDefault="00DE7B61" w:rsidP="00DE7B61">
      <w:pPr>
        <w:spacing w:after="0"/>
        <w:jc w:val="both"/>
        <w:rPr>
          <w:rFonts w:eastAsia="Times New Roman"/>
          <w:bCs/>
          <w:color w:val="222222"/>
          <w:lang w:eastAsia="sk-SK"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predpisu:</w:t>
      </w:r>
      <w:r w:rsidRPr="004A2541">
        <w:t xml:space="preserve"> </w:t>
      </w:r>
      <w:r>
        <w:t xml:space="preserve"> Návrh zákona</w:t>
      </w:r>
      <w:r w:rsidRPr="00C776B5">
        <w:rPr>
          <w:bCs/>
        </w:rPr>
        <w:t xml:space="preserve">, </w:t>
      </w:r>
      <w:r w:rsidRPr="00C762A3">
        <w:rPr>
          <w:rFonts w:eastAsia="Times New Roman"/>
          <w:bCs/>
          <w:color w:val="222222"/>
          <w:lang w:eastAsia="sk-SK"/>
        </w:rPr>
        <w:t>ktorým sa mení zákon č.</w:t>
      </w:r>
      <w:r>
        <w:rPr>
          <w:rFonts w:eastAsia="Times New Roman"/>
          <w:bCs/>
          <w:color w:val="222222"/>
          <w:lang w:eastAsia="sk-SK"/>
        </w:rPr>
        <w:t> </w:t>
      </w:r>
      <w:r w:rsidRPr="00C762A3">
        <w:rPr>
          <w:rFonts w:eastAsia="Times New Roman"/>
          <w:bCs/>
          <w:color w:val="222222"/>
          <w:lang w:eastAsia="sk-SK"/>
        </w:rPr>
        <w:t>138/2017 Z. z. o Fonde na podporu kultúry národnostných menšín a o zmene a doplnení niektorých zákonov v znení neskorších predpisov</w:t>
      </w:r>
      <w:r>
        <w:rPr>
          <w:rFonts w:eastAsia="Times New Roman"/>
          <w:bCs/>
          <w:color w:val="222222"/>
          <w:lang w:eastAsia="sk-SK"/>
        </w:rPr>
        <w:t>.</w:t>
      </w:r>
    </w:p>
    <w:p w14:paraId="0BE15ABD" w14:textId="77777777" w:rsidR="00DE7B61" w:rsidRPr="00C776B5" w:rsidRDefault="00DE7B61" w:rsidP="00DE7B61">
      <w:pPr>
        <w:spacing w:after="0" w:line="240" w:lineRule="auto"/>
        <w:ind w:left="360" w:hanging="360"/>
        <w:jc w:val="both"/>
        <w:rPr>
          <w:bCs/>
        </w:rPr>
      </w:pPr>
    </w:p>
    <w:p w14:paraId="5F62AE05" w14:textId="77777777" w:rsidR="00DE7B61" w:rsidRDefault="00DE7B61" w:rsidP="00DE7B61">
      <w:pPr>
        <w:spacing w:after="0" w:line="240" w:lineRule="auto"/>
        <w:ind w:left="360" w:hanging="360"/>
        <w:jc w:val="both"/>
      </w:pPr>
    </w:p>
    <w:p w14:paraId="67BAD9D8" w14:textId="77777777" w:rsidR="00DE7B61" w:rsidRDefault="00DE7B61" w:rsidP="00DE7B61">
      <w:pPr>
        <w:spacing w:after="0"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0644201E" w14:textId="77777777" w:rsidR="00DE7B61" w:rsidRDefault="00DE7B61" w:rsidP="00DE7B61">
      <w:pPr>
        <w:spacing w:after="0" w:line="240" w:lineRule="auto"/>
        <w:ind w:firstLine="360"/>
      </w:pPr>
    </w:p>
    <w:p w14:paraId="7E90E0E8" w14:textId="77777777" w:rsidR="00DE7B61" w:rsidRDefault="00DE7B61" w:rsidP="00DE7B61">
      <w:pPr>
        <w:spacing w:after="0" w:line="240" w:lineRule="auto"/>
        <w:ind w:left="709" w:hanging="349"/>
      </w:pPr>
      <w:r>
        <w:t>a)</w:t>
      </w:r>
      <w:r>
        <w:tab/>
        <w:t>nie je upravená v práve Európskej únie</w:t>
      </w:r>
    </w:p>
    <w:p w14:paraId="17112576" w14:textId="77777777" w:rsidR="00DE7B61" w:rsidRDefault="00DE7B61" w:rsidP="00DE7B61">
      <w:pPr>
        <w:spacing w:after="0" w:line="240" w:lineRule="auto"/>
        <w:ind w:left="709" w:hanging="349"/>
      </w:pPr>
    </w:p>
    <w:p w14:paraId="07D6D90B" w14:textId="77777777" w:rsidR="00DE7B61" w:rsidRDefault="00DE7B61" w:rsidP="00DE7B61">
      <w:pPr>
        <w:spacing w:after="0"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58511ED0" w14:textId="77777777" w:rsidR="00DE7B61" w:rsidRDefault="00DE7B61" w:rsidP="00DE7B61">
      <w:pPr>
        <w:spacing w:after="0" w:line="240" w:lineRule="auto"/>
        <w:ind w:left="709" w:hanging="349"/>
      </w:pPr>
    </w:p>
    <w:p w14:paraId="3B17E4A9" w14:textId="77777777" w:rsidR="00DE7B61" w:rsidRDefault="00DE7B61" w:rsidP="00DE7B61">
      <w:pPr>
        <w:spacing w:after="0"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1EABEBBB" w14:textId="77777777" w:rsidR="00DE7B61" w:rsidRDefault="00DE7B61" w:rsidP="00DE7B61">
      <w:pPr>
        <w:spacing w:after="0" w:line="240" w:lineRule="auto"/>
      </w:pPr>
    </w:p>
    <w:p w14:paraId="447F3196" w14:textId="77777777" w:rsidR="00DE7B61" w:rsidRDefault="00DE7B61" w:rsidP="00DE7B61">
      <w:pPr>
        <w:spacing w:after="0" w:line="240" w:lineRule="auto"/>
        <w:ind w:firstLine="360"/>
      </w:pPr>
      <w:r>
        <w:t>bezpredmetné </w:t>
      </w:r>
    </w:p>
    <w:p w14:paraId="5E9E1A5D" w14:textId="77777777" w:rsidR="00DE7B61" w:rsidRDefault="00DE7B61" w:rsidP="00DE7B61">
      <w:pPr>
        <w:spacing w:after="0" w:line="240" w:lineRule="auto"/>
        <w:ind w:firstLine="708"/>
      </w:pPr>
    </w:p>
    <w:p w14:paraId="72663793" w14:textId="77777777" w:rsidR="00DE7B61" w:rsidRDefault="00DE7B61" w:rsidP="00DE7B61">
      <w:pPr>
        <w:spacing w:after="0"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566F01C8" w14:textId="77777777" w:rsidR="00DE7B61" w:rsidRDefault="00DE7B61" w:rsidP="00DE7B61">
      <w:pPr>
        <w:spacing w:after="0" w:line="240" w:lineRule="auto"/>
      </w:pPr>
    </w:p>
    <w:p w14:paraId="7BA42766" w14:textId="77777777" w:rsidR="00DE7B61" w:rsidRDefault="00DE7B61" w:rsidP="00DE7B61">
      <w:pPr>
        <w:spacing w:after="0" w:line="240" w:lineRule="auto"/>
        <w:ind w:firstLine="360"/>
      </w:pPr>
      <w:r>
        <w:t>Stupeň zlučiteľnosti - úplný </w:t>
      </w:r>
    </w:p>
    <w:p w14:paraId="63887AC6" w14:textId="28303623" w:rsidR="00DE7B61" w:rsidRDefault="00DE7B61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  <w:r>
        <w:br/>
      </w:r>
    </w:p>
    <w:p w14:paraId="5C9999EE" w14:textId="0BB328AA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732BB621" w14:textId="6EF70EEA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17041BD3" w14:textId="13AC2806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4E8834C3" w14:textId="5A5CFAB9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3C0B7BE6" w14:textId="1F9D0797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6638E7F2" w14:textId="302722AE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686A3909" w14:textId="4E1B0794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7DFE9586" w14:textId="2ABB30F0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6A513962" w14:textId="49134868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03CD9587" w14:textId="00EE040F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461E66C6" w14:textId="1759A408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64F68DA3" w14:textId="61A49209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01834BB9" w14:textId="24FCB3A1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0D83DC8B" w14:textId="16B07031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09CCBFAA" w14:textId="0EE18CE7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7DE73538" w14:textId="29F1AFDA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37F3FBDD" w14:textId="26121392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1E858A0E" w14:textId="040DEF8A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25AB3A4E" w14:textId="34E88C84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5863770C" w14:textId="77777777" w:rsidR="00012AEB" w:rsidRDefault="00012AEB" w:rsidP="00DE7B61">
      <w:pPr>
        <w:tabs>
          <w:tab w:val="left" w:pos="360"/>
        </w:tabs>
        <w:spacing w:after="0" w:line="240" w:lineRule="auto"/>
        <w:ind w:left="360"/>
        <w:rPr>
          <w:b/>
          <w:bCs/>
          <w:sz w:val="28"/>
          <w:szCs w:val="28"/>
        </w:rPr>
      </w:pPr>
    </w:p>
    <w:p w14:paraId="05DAEE8D" w14:textId="77777777" w:rsidR="00DE7B61" w:rsidRDefault="00DE7B61" w:rsidP="00DE7B61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3AFE4AEC" w14:textId="77777777" w:rsidR="00DE7B61" w:rsidRDefault="00DE7B61" w:rsidP="00DE7B61">
      <w:pPr>
        <w:shd w:val="clear" w:color="auto" w:fill="FFFFFF"/>
        <w:spacing w:before="100" w:beforeAutospacing="1" w:after="0" w:line="240" w:lineRule="auto"/>
        <w:jc w:val="both"/>
        <w:rPr>
          <w:rFonts w:eastAsia="Times New Roman"/>
          <w:bCs/>
          <w:color w:val="222222"/>
          <w:lang w:eastAsia="sk-SK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B62449">
        <w:rPr>
          <w:bCs/>
        </w:rPr>
        <w:t xml:space="preserve">Návrh zákona, </w:t>
      </w:r>
      <w:r w:rsidRPr="00C762A3">
        <w:rPr>
          <w:rFonts w:eastAsia="Times New Roman"/>
          <w:bCs/>
          <w:color w:val="222222"/>
          <w:lang w:eastAsia="sk-SK"/>
        </w:rPr>
        <w:t>ktorým sa mení zákon č. 138/2017 Z. z. o Fonde na podporu kultúry národnostných menšín a o zmene a doplnení niektorých zákonov v znení neskorších predpisov</w:t>
      </w:r>
    </w:p>
    <w:p w14:paraId="488D2650" w14:textId="77777777" w:rsidR="00DE7B61" w:rsidRPr="002869FC" w:rsidRDefault="00DE7B61" w:rsidP="00DE7B61">
      <w:pPr>
        <w:shd w:val="clear" w:color="auto" w:fill="FFFFFF"/>
        <w:spacing w:before="100" w:beforeAutospacing="1" w:after="0" w:line="240" w:lineRule="auto"/>
        <w:jc w:val="both"/>
        <w:rPr>
          <w:bCs/>
        </w:rPr>
      </w:pPr>
    </w:p>
    <w:p w14:paraId="6A039816" w14:textId="77777777" w:rsidR="00DE7B61" w:rsidRDefault="00DE7B61" w:rsidP="00DE7B61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DE7B61" w14:paraId="0F8891DD" w14:textId="77777777" w:rsidTr="00AD4861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9B5" w14:textId="77777777" w:rsidR="00DE7B61" w:rsidRDefault="00DE7B61" w:rsidP="00AD4861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D5F2" w14:textId="77777777" w:rsidR="00DE7B61" w:rsidRDefault="00DE7B61" w:rsidP="00AD4861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5970" w14:textId="77777777" w:rsidR="00DE7B61" w:rsidRDefault="00DE7B61" w:rsidP="00AD4861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0430" w14:textId="77777777" w:rsidR="00DE7B61" w:rsidRDefault="00DE7B61" w:rsidP="00AD4861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DE7B61" w14:paraId="3E3AF948" w14:textId="77777777" w:rsidTr="00AD4861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7879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B2A5B5F" w14:textId="77777777" w:rsidR="00DE7B61" w:rsidRDefault="00DE7B61" w:rsidP="00AD4861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4C2A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BC73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5C6" w14:textId="77777777" w:rsidR="00DE7B61" w:rsidRDefault="00DE7B61" w:rsidP="00AD4861">
            <w:pPr>
              <w:spacing w:line="240" w:lineRule="auto"/>
              <w:jc w:val="center"/>
            </w:pPr>
            <w:r w:rsidRPr="00DE7B61">
              <w:rPr>
                <w:sz w:val="20"/>
              </w:rPr>
              <w:t>X</w:t>
            </w:r>
          </w:p>
        </w:tc>
      </w:tr>
      <w:tr w:rsidR="00DE7B61" w14:paraId="783F441D" w14:textId="77777777" w:rsidTr="00AD4861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1C84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DA3B" w14:textId="77777777" w:rsidR="00DE7B61" w:rsidRDefault="00DE7B61" w:rsidP="00AD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E107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9FB" w14:textId="77777777" w:rsidR="00DE7B61" w:rsidRDefault="00DE7B61" w:rsidP="00AD4861">
            <w:pPr>
              <w:spacing w:line="240" w:lineRule="auto"/>
              <w:jc w:val="center"/>
            </w:pPr>
          </w:p>
        </w:tc>
      </w:tr>
      <w:tr w:rsidR="00DE7B61" w14:paraId="5C82D36D" w14:textId="77777777" w:rsidTr="00AD4861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F5E3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 Sociálne vplyvy </w:t>
            </w:r>
          </w:p>
          <w:p w14:paraId="5AF9C7ED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3B77AD5C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7942693A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8DD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BE58440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F0F6D67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06AC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0E0" w14:textId="77777777" w:rsidR="00DE7B61" w:rsidRDefault="00DE7B61" w:rsidP="00AD4861">
            <w:pPr>
              <w:spacing w:line="240" w:lineRule="auto"/>
              <w:jc w:val="center"/>
            </w:pPr>
          </w:p>
        </w:tc>
      </w:tr>
      <w:tr w:rsidR="00DE7B61" w14:paraId="3D630379" w14:textId="77777777" w:rsidTr="00AD4861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E354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C21D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C001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CEBD" w14:textId="77777777" w:rsidR="00DE7B61" w:rsidRDefault="00DE7B61" w:rsidP="00AD4861">
            <w:pPr>
              <w:spacing w:line="240" w:lineRule="auto"/>
              <w:jc w:val="center"/>
            </w:pPr>
          </w:p>
        </w:tc>
      </w:tr>
      <w:tr w:rsidR="00DE7B61" w14:paraId="480CAB4A" w14:textId="77777777" w:rsidTr="00AD4861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187E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3F5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5ABD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8FE" w14:textId="77777777" w:rsidR="00DE7B61" w:rsidRDefault="00DE7B61" w:rsidP="00AD4861">
            <w:pPr>
              <w:spacing w:line="240" w:lineRule="auto"/>
              <w:jc w:val="center"/>
            </w:pPr>
          </w:p>
        </w:tc>
      </w:tr>
      <w:tr w:rsidR="00DE7B61" w14:paraId="05DB394A" w14:textId="77777777" w:rsidTr="00AD4861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08D5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9C8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6C30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8F" w14:textId="77777777" w:rsidR="00DE7B61" w:rsidRDefault="00DE7B61" w:rsidP="00AD4861">
            <w:pPr>
              <w:spacing w:line="240" w:lineRule="auto"/>
              <w:jc w:val="center"/>
            </w:pPr>
          </w:p>
        </w:tc>
      </w:tr>
      <w:tr w:rsidR="00DE7B61" w14:paraId="5896E818" w14:textId="77777777" w:rsidTr="00AD4861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011" w14:textId="77777777" w:rsidR="00DE7B61" w:rsidRDefault="00DE7B61" w:rsidP="00AD48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C140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B5B9" w14:textId="77777777" w:rsidR="00DE7B61" w:rsidRDefault="00DE7B61" w:rsidP="00AD48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59E" w14:textId="77777777" w:rsidR="00DE7B61" w:rsidRDefault="00DE7B61" w:rsidP="00AD4861">
            <w:pPr>
              <w:spacing w:line="240" w:lineRule="auto"/>
              <w:jc w:val="center"/>
            </w:pPr>
          </w:p>
        </w:tc>
      </w:tr>
    </w:tbl>
    <w:p w14:paraId="3052B550" w14:textId="77777777" w:rsidR="00DE7B61" w:rsidRDefault="00DE7B61" w:rsidP="00DE7B61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0029AAC" w14:textId="77777777" w:rsidR="00DE7B61" w:rsidRDefault="00DE7B61" w:rsidP="00DE7B61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EF4A5CE" w14:textId="77777777" w:rsidR="00DE7B61" w:rsidRDefault="00DE7B61" w:rsidP="00DE7B6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7A89AA45" w14:textId="77777777" w:rsidR="00DE7B61" w:rsidRDefault="00DE7B61" w:rsidP="00DE7B61">
      <w:r>
        <w:t xml:space="preserve">Bezpredmetné </w:t>
      </w:r>
    </w:p>
    <w:p w14:paraId="0E56227D" w14:textId="77777777" w:rsidR="00DE7B61" w:rsidRDefault="00DE7B61" w:rsidP="00DE7B6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975CDFC" w14:textId="77777777" w:rsidR="00DE7B61" w:rsidRDefault="00DE7B61" w:rsidP="00DE7B61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576BF557" w14:textId="77777777" w:rsidR="00DE7B61" w:rsidRDefault="00DE7B61" w:rsidP="00DE7B61">
      <w:pPr>
        <w:pStyle w:val="Zkladntext2"/>
        <w:spacing w:line="240" w:lineRule="auto"/>
        <w:outlineLvl w:val="0"/>
        <w:rPr>
          <w:b/>
          <w:bCs/>
        </w:rPr>
      </w:pPr>
    </w:p>
    <w:p w14:paraId="63AFFEAB" w14:textId="77777777" w:rsidR="00DE7B61" w:rsidRDefault="00DE7B61" w:rsidP="00DE7B61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1C9CDD2" w14:textId="77777777" w:rsidR="00DE7B61" w:rsidRDefault="00DE7B61" w:rsidP="00DE7B61">
      <w:r>
        <w:t xml:space="preserve">Bezpredmetné </w:t>
      </w:r>
    </w:p>
    <w:p w14:paraId="2281FDA5" w14:textId="77777777" w:rsidR="00DE7B61" w:rsidRPr="00FA7979" w:rsidRDefault="00DE7B61" w:rsidP="00DE7B61">
      <w:r w:rsidRPr="00FE67F3">
        <w:rPr>
          <w:rFonts w:eastAsia="Times New Roman"/>
          <w:b/>
          <w:bCs/>
          <w:color w:val="000000"/>
          <w:lang w:eastAsia="sk-SK"/>
        </w:rPr>
        <w:lastRenderedPageBreak/>
        <w:t>B.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FE67F3">
        <w:rPr>
          <w:rFonts w:eastAsia="Times New Roman"/>
          <w:b/>
          <w:bCs/>
          <w:color w:val="000000"/>
          <w:lang w:eastAsia="sk-SK"/>
        </w:rPr>
        <w:t xml:space="preserve">Osobitná časť </w:t>
      </w:r>
    </w:p>
    <w:p w14:paraId="6FEC5B36" w14:textId="77777777" w:rsidR="00DE7B61" w:rsidRDefault="00DE7B61" w:rsidP="00DE7B6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sk-SK"/>
        </w:rPr>
      </w:pPr>
    </w:p>
    <w:p w14:paraId="59741044" w14:textId="20606871" w:rsidR="00DE7B61" w:rsidRDefault="00DE7B61" w:rsidP="00DE7B6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 čl. I</w:t>
      </w:r>
    </w:p>
    <w:p w14:paraId="2D93867A" w14:textId="77777777" w:rsidR="004A30CD" w:rsidRPr="00695C04" w:rsidRDefault="004A30CD" w:rsidP="00DE7B61">
      <w:pPr>
        <w:spacing w:after="0" w:line="240" w:lineRule="auto"/>
        <w:jc w:val="both"/>
        <w:rPr>
          <w:rFonts w:eastAsia="Times New Roman"/>
          <w:color w:val="000000"/>
          <w:sz w:val="27"/>
          <w:szCs w:val="27"/>
          <w:lang w:eastAsia="sk-SK"/>
        </w:rPr>
      </w:pPr>
    </w:p>
    <w:p w14:paraId="54A0DF09" w14:textId="77777777" w:rsidR="00DE7B61" w:rsidRDefault="00DE7B61" w:rsidP="004A30CD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>K</w:t>
      </w:r>
      <w:r>
        <w:rPr>
          <w:rFonts w:eastAsia="Times New Roman"/>
          <w:b/>
          <w:bCs/>
          <w:color w:val="000000"/>
          <w:lang w:eastAsia="sk-SK"/>
        </w:rPr>
        <w:t> </w:t>
      </w:r>
      <w:r w:rsidRPr="00FE67F3">
        <w:rPr>
          <w:rFonts w:eastAsia="Times New Roman"/>
          <w:b/>
          <w:bCs/>
          <w:color w:val="000000"/>
          <w:lang w:eastAsia="sk-SK"/>
        </w:rPr>
        <w:t>bod</w:t>
      </w:r>
      <w:r>
        <w:rPr>
          <w:rFonts w:eastAsia="Times New Roman"/>
          <w:b/>
          <w:bCs/>
          <w:color w:val="000000"/>
          <w:lang w:eastAsia="sk-SK"/>
        </w:rPr>
        <w:t>u 1</w:t>
      </w:r>
    </w:p>
    <w:p w14:paraId="3A995069" w14:textId="77777777" w:rsidR="00DE7B61" w:rsidRDefault="00CB4250" w:rsidP="00DE7B61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bCs/>
          <w:color w:val="000000"/>
          <w:lang w:eastAsia="sk-SK"/>
        </w:rPr>
        <w:t xml:space="preserve">Navrhuje sa </w:t>
      </w:r>
      <w:r w:rsidR="003451AF">
        <w:rPr>
          <w:rFonts w:eastAsia="Times New Roman"/>
          <w:bCs/>
          <w:color w:val="000000"/>
          <w:lang w:eastAsia="sk-SK"/>
        </w:rPr>
        <w:t>znížiť minimálny podiel z príjmov Fondu z príspevku zo štátneho rozpočtu, z prostriedkov Európskej únie a z iných príjmov Fondu</w:t>
      </w:r>
      <w:r>
        <w:rPr>
          <w:rFonts w:eastAsia="Times New Roman"/>
          <w:bCs/>
          <w:color w:val="000000"/>
          <w:lang w:eastAsia="sk-SK"/>
        </w:rPr>
        <w:t>, ktor</w:t>
      </w:r>
      <w:r w:rsidR="003451AF">
        <w:rPr>
          <w:rFonts w:eastAsia="Times New Roman"/>
          <w:bCs/>
          <w:color w:val="000000"/>
          <w:lang w:eastAsia="sk-SK"/>
        </w:rPr>
        <w:t>ý</w:t>
      </w:r>
      <w:r>
        <w:rPr>
          <w:rFonts w:eastAsia="Times New Roman"/>
          <w:bCs/>
          <w:color w:val="000000"/>
          <w:lang w:eastAsia="sk-SK"/>
        </w:rPr>
        <w:t xml:space="preserve"> Fond používa na podpornú činnosť z 95 % na 94 %.</w:t>
      </w:r>
    </w:p>
    <w:p w14:paraId="26AE9474" w14:textId="77777777" w:rsidR="00CB4250" w:rsidRPr="00CB4250" w:rsidRDefault="00CB4250" w:rsidP="00DE7B61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lang w:eastAsia="sk-SK"/>
        </w:rPr>
      </w:pPr>
    </w:p>
    <w:p w14:paraId="1281E47C" w14:textId="77777777" w:rsidR="00DE7B61" w:rsidRDefault="00DE7B61" w:rsidP="004A30CD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K bodu 2</w:t>
      </w:r>
    </w:p>
    <w:p w14:paraId="1C272152" w14:textId="77777777" w:rsidR="00DE7B61" w:rsidRDefault="00CB4250" w:rsidP="00DE7B61">
      <w:pPr>
        <w:spacing w:after="0" w:line="240" w:lineRule="auto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  <w:t xml:space="preserve">Navrhuje sa zvýšiť </w:t>
      </w:r>
      <w:r w:rsidR="003451AF">
        <w:rPr>
          <w:rFonts w:eastAsia="Times New Roman"/>
          <w:color w:val="000000"/>
          <w:lang w:eastAsia="sk-SK"/>
        </w:rPr>
        <w:t xml:space="preserve">maximálny podiel </w:t>
      </w:r>
      <w:r w:rsidR="003451AF">
        <w:rPr>
          <w:rFonts w:eastAsia="Times New Roman"/>
          <w:bCs/>
          <w:color w:val="000000"/>
          <w:lang w:eastAsia="sk-SK"/>
        </w:rPr>
        <w:t>z príjmov Fondu z príspevku zo štátneho rozpočtu, z prostriedkov Európskej únie a z iných príjmov Fondu</w:t>
      </w:r>
      <w:r w:rsidR="003451AF">
        <w:rPr>
          <w:rFonts w:eastAsia="Times New Roman"/>
          <w:color w:val="000000"/>
          <w:lang w:eastAsia="sk-SK"/>
        </w:rPr>
        <w:t>, ktorý</w:t>
      </w:r>
      <w:r>
        <w:rPr>
          <w:rFonts w:eastAsia="Times New Roman"/>
          <w:color w:val="000000"/>
          <w:lang w:eastAsia="sk-SK"/>
        </w:rPr>
        <w:t xml:space="preserve"> je Fond oprávnený použiť na vlastnú prevádzku</w:t>
      </w:r>
      <w:r w:rsidR="003451AF">
        <w:rPr>
          <w:rFonts w:eastAsia="Times New Roman"/>
          <w:color w:val="000000"/>
          <w:lang w:eastAsia="sk-SK"/>
        </w:rPr>
        <w:t xml:space="preserve"> z 5 % na 6 %. </w:t>
      </w:r>
    </w:p>
    <w:p w14:paraId="24360A14" w14:textId="77777777" w:rsidR="00CB4250" w:rsidRPr="00114C49" w:rsidRDefault="00CB4250" w:rsidP="00DE7B61">
      <w:pPr>
        <w:spacing w:after="0" w:line="240" w:lineRule="auto"/>
        <w:jc w:val="both"/>
        <w:rPr>
          <w:rFonts w:eastAsia="Times New Roman"/>
          <w:color w:val="000000"/>
          <w:lang w:eastAsia="sk-SK"/>
        </w:rPr>
      </w:pPr>
    </w:p>
    <w:p w14:paraId="482D5916" w14:textId="77777777" w:rsidR="00DE7B61" w:rsidRDefault="00DE7B61" w:rsidP="004A30CD">
      <w:pPr>
        <w:spacing w:after="0" w:line="240" w:lineRule="auto"/>
        <w:ind w:firstLine="708"/>
        <w:jc w:val="both"/>
        <w:rPr>
          <w:rFonts w:eastAsia="Times New Roman"/>
          <w:color w:val="000000"/>
          <w:sz w:val="27"/>
          <w:szCs w:val="27"/>
          <w:lang w:eastAsia="sk-SK"/>
        </w:rPr>
      </w:pPr>
      <w:r w:rsidRPr="00FE67F3">
        <w:rPr>
          <w:rFonts w:eastAsia="Times New Roman"/>
          <w:b/>
          <w:bCs/>
          <w:color w:val="000000"/>
          <w:lang w:eastAsia="sk-SK"/>
        </w:rPr>
        <w:t xml:space="preserve">K bodu </w:t>
      </w:r>
      <w:r>
        <w:rPr>
          <w:rFonts w:eastAsia="Times New Roman"/>
          <w:b/>
          <w:bCs/>
          <w:color w:val="000000"/>
          <w:lang w:eastAsia="sk-SK"/>
        </w:rPr>
        <w:t>3</w:t>
      </w:r>
    </w:p>
    <w:p w14:paraId="0EBF8733" w14:textId="77777777" w:rsidR="00DE7B61" w:rsidRPr="00174070" w:rsidRDefault="003451AF" w:rsidP="00DE7B61">
      <w:pPr>
        <w:spacing w:after="0" w:line="240" w:lineRule="auto"/>
        <w:jc w:val="both"/>
        <w:rPr>
          <w:rFonts w:eastAsia="Times New Roman"/>
          <w:bCs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  <w:t>Navrhuje sa zvýšiť minimálnu zákonom garantovanú sumu, ktorú ministerstvo kultúry ročne poskytuje Fondu z 8 000 000 eur na 8 2</w:t>
      </w:r>
      <w:r w:rsidR="00D54ACB">
        <w:rPr>
          <w:rFonts w:eastAsia="Times New Roman"/>
          <w:color w:val="000000"/>
          <w:lang w:eastAsia="sk-SK"/>
        </w:rPr>
        <w:t>0</w:t>
      </w:r>
      <w:r w:rsidR="007A20FC">
        <w:rPr>
          <w:rFonts w:eastAsia="Times New Roman"/>
          <w:color w:val="000000"/>
          <w:lang w:eastAsia="sk-SK"/>
        </w:rPr>
        <w:t>0 000 eur (§ 21 ods. 1). Zároveň sa navrhuje s tým súvisiaca l</w:t>
      </w:r>
      <w:r w:rsidR="00174070">
        <w:rPr>
          <w:rFonts w:eastAsia="Times New Roman"/>
          <w:bCs/>
          <w:color w:val="000000"/>
          <w:lang w:eastAsia="sk-SK"/>
        </w:rPr>
        <w:t xml:space="preserve">egislatívno-technická zmena </w:t>
      </w:r>
      <w:r w:rsidR="007A20FC">
        <w:rPr>
          <w:rFonts w:eastAsia="Times New Roman"/>
          <w:bCs/>
          <w:color w:val="000000"/>
          <w:lang w:eastAsia="sk-SK"/>
        </w:rPr>
        <w:t>v § 21 ods. 3</w:t>
      </w:r>
      <w:r w:rsidR="00174070">
        <w:rPr>
          <w:rFonts w:eastAsia="Times New Roman"/>
          <w:bCs/>
          <w:color w:val="000000"/>
          <w:lang w:eastAsia="sk-SK"/>
        </w:rPr>
        <w:t xml:space="preserve">. </w:t>
      </w:r>
    </w:p>
    <w:p w14:paraId="64B259B6" w14:textId="77777777" w:rsidR="00174070" w:rsidRDefault="00174070" w:rsidP="00DE7B6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sk-SK"/>
        </w:rPr>
      </w:pPr>
    </w:p>
    <w:p w14:paraId="54C12C8C" w14:textId="77777777" w:rsidR="00F60A10" w:rsidRDefault="00F60A10" w:rsidP="004A30CD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9C64C8C" w14:textId="77777777" w:rsidR="00F60A10" w:rsidRDefault="00F60A10" w:rsidP="004A30CD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9287F13" w14:textId="11D6D56C" w:rsidR="00DE7B61" w:rsidRPr="002E5F36" w:rsidRDefault="00DE7B61" w:rsidP="004A30CD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b/>
          <w:bCs/>
          <w:color w:val="000000"/>
          <w:lang w:eastAsia="sk-SK"/>
        </w:rPr>
        <w:t>K čl. II</w:t>
      </w:r>
    </w:p>
    <w:p w14:paraId="119FBB38" w14:textId="77777777" w:rsidR="00DE7B61" w:rsidRDefault="00DE7B61" w:rsidP="003451AF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2E5F36">
        <w:rPr>
          <w:rFonts w:eastAsia="Times New Roman"/>
          <w:color w:val="000000"/>
          <w:lang w:eastAsia="sk-SK"/>
        </w:rPr>
        <w:t xml:space="preserve">Nadobudnutie účinnosti sa navrhuje na 1. </w:t>
      </w:r>
      <w:r w:rsidR="00D54ACB">
        <w:rPr>
          <w:rFonts w:eastAsia="Times New Roman"/>
          <w:color w:val="000000"/>
          <w:lang w:eastAsia="sk-SK"/>
        </w:rPr>
        <w:t>marca</w:t>
      </w:r>
      <w:r>
        <w:rPr>
          <w:rFonts w:eastAsia="Times New Roman"/>
          <w:color w:val="000000"/>
          <w:lang w:eastAsia="sk-SK"/>
        </w:rPr>
        <w:t xml:space="preserve"> nasledujúceho kalendárneho roka.</w:t>
      </w:r>
    </w:p>
    <w:p w14:paraId="37DE197A" w14:textId="77777777" w:rsidR="00DE7B61" w:rsidRPr="002E5F36" w:rsidRDefault="00DE7B61" w:rsidP="00DE7B61">
      <w:pPr>
        <w:spacing w:after="0" w:line="240" w:lineRule="auto"/>
        <w:ind w:firstLine="708"/>
        <w:jc w:val="both"/>
      </w:pPr>
    </w:p>
    <w:p w14:paraId="5E8437C2" w14:textId="77777777" w:rsidR="00627CDE" w:rsidRDefault="00627CDE"/>
    <w:sectPr w:rsidR="00627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28A8" w14:textId="77777777" w:rsidR="000777A3" w:rsidRDefault="000777A3">
      <w:pPr>
        <w:spacing w:after="0" w:line="240" w:lineRule="auto"/>
      </w:pPr>
      <w:r>
        <w:separator/>
      </w:r>
    </w:p>
  </w:endnote>
  <w:endnote w:type="continuationSeparator" w:id="0">
    <w:p w14:paraId="03F6D902" w14:textId="77777777" w:rsidR="000777A3" w:rsidRDefault="0007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05842"/>
      <w:docPartObj>
        <w:docPartGallery w:val="Page Numbers (Bottom of Page)"/>
        <w:docPartUnique/>
      </w:docPartObj>
    </w:sdtPr>
    <w:sdtEndPr/>
    <w:sdtContent>
      <w:p w14:paraId="17E0DEC5" w14:textId="77777777" w:rsidR="00FF7461" w:rsidRDefault="003451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0FC">
          <w:rPr>
            <w:noProof/>
          </w:rPr>
          <w:t>5</w:t>
        </w:r>
        <w:r>
          <w:fldChar w:fldCharType="end"/>
        </w:r>
      </w:p>
    </w:sdtContent>
  </w:sdt>
  <w:p w14:paraId="28CEDB13" w14:textId="77777777" w:rsidR="00ED5801" w:rsidRDefault="000777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D376" w14:textId="77777777" w:rsidR="000777A3" w:rsidRDefault="000777A3">
      <w:pPr>
        <w:spacing w:after="0" w:line="240" w:lineRule="auto"/>
      </w:pPr>
      <w:r>
        <w:separator/>
      </w:r>
    </w:p>
  </w:footnote>
  <w:footnote w:type="continuationSeparator" w:id="0">
    <w:p w14:paraId="49BB1C1C" w14:textId="77777777" w:rsidR="000777A3" w:rsidRDefault="00077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61"/>
    <w:rsid w:val="00012AEB"/>
    <w:rsid w:val="000777A3"/>
    <w:rsid w:val="000E5F14"/>
    <w:rsid w:val="000E78C0"/>
    <w:rsid w:val="00174070"/>
    <w:rsid w:val="002A07B8"/>
    <w:rsid w:val="002B1435"/>
    <w:rsid w:val="003451AF"/>
    <w:rsid w:val="004A30CD"/>
    <w:rsid w:val="00572B1E"/>
    <w:rsid w:val="00627CDE"/>
    <w:rsid w:val="006360E6"/>
    <w:rsid w:val="007A20FC"/>
    <w:rsid w:val="008740E4"/>
    <w:rsid w:val="00922D85"/>
    <w:rsid w:val="00953C7F"/>
    <w:rsid w:val="009563FE"/>
    <w:rsid w:val="009C4D9D"/>
    <w:rsid w:val="009D3DDF"/>
    <w:rsid w:val="009D492B"/>
    <w:rsid w:val="00AB2338"/>
    <w:rsid w:val="00C7364B"/>
    <w:rsid w:val="00CB2617"/>
    <w:rsid w:val="00CB4250"/>
    <w:rsid w:val="00D54ACB"/>
    <w:rsid w:val="00DE7B61"/>
    <w:rsid w:val="00EC76DA"/>
    <w:rsid w:val="00F6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D1F"/>
  <w15:chartTrackingRefBased/>
  <w15:docId w15:val="{1D6E1528-5149-4D69-936B-26EE5C9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B61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E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7B61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7B61"/>
    <w:pPr>
      <w:spacing w:after="120" w:line="240" w:lineRule="auto"/>
    </w:pPr>
    <w:rPr>
      <w:rFonts w:ascii="Calibri" w:eastAsia="Calibri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7B61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DE7B61"/>
    <w:pPr>
      <w:spacing w:after="120" w:line="480" w:lineRule="auto"/>
    </w:pPr>
    <w:rPr>
      <w:rFonts w:eastAsia="Calibri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DE7B61"/>
    <w:rPr>
      <w:rFonts w:ascii="Times New Roman" w:hAnsi="Times New Roman" w:cs="Times New Roman"/>
      <w:sz w:val="24"/>
      <w:szCs w:val="24"/>
    </w:rPr>
  </w:style>
  <w:style w:type="character" w:customStyle="1" w:styleId="Zkladntext2Char1">
    <w:name w:val="Základný text 2 Char1"/>
    <w:link w:val="Zkladntext2"/>
    <w:uiPriority w:val="99"/>
    <w:semiHidden/>
    <w:locked/>
    <w:rsid w:val="00DE7B61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1B31-16E0-4F94-A7AB-5C0D0DFB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Andrej Pitonak</cp:lastModifiedBy>
  <cp:revision>16</cp:revision>
  <cp:lastPrinted>2021-11-05T11:01:00Z</cp:lastPrinted>
  <dcterms:created xsi:type="dcterms:W3CDTF">2021-11-05T08:58:00Z</dcterms:created>
  <dcterms:modified xsi:type="dcterms:W3CDTF">2021-11-05T11:16:00Z</dcterms:modified>
</cp:coreProperties>
</file>