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15F9E31C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0E16FC77" w:rsidR="00D267B2" w:rsidRDefault="00D267B2" w:rsidP="001A584C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1A584C" w:rsidRPr="001A584C">
        <w:rPr>
          <w:rFonts w:ascii="Book Antiqua" w:hAnsi="Book Antiqua" w:cs="Arial"/>
          <w:bCs/>
        </w:rPr>
        <w:t>č</w:t>
      </w:r>
      <w:r w:rsidR="006049A1">
        <w:rPr>
          <w:rFonts w:ascii="Book Antiqua" w:hAnsi="Book Antiqua" w:cs="Arial"/>
          <w:bCs/>
        </w:rPr>
        <w:t>.</w:t>
      </w:r>
      <w:r w:rsidR="001A584C" w:rsidRPr="001A584C">
        <w:rPr>
          <w:rFonts w:ascii="Book Antiqua" w:hAnsi="Book Antiqua" w:cs="Arial"/>
          <w:bCs/>
        </w:rPr>
        <w:t xml:space="preserve"> </w:t>
      </w:r>
      <w:r w:rsidR="00AB2E33" w:rsidRPr="00AB2E33">
        <w:rPr>
          <w:rFonts w:ascii="Book Antiqua" w:hAnsi="Book Antiqua" w:cs="Arial"/>
          <w:bCs/>
        </w:rPr>
        <w:t>135/1961 Zb.  o pozemných komunikáciách (cestný zákon) v znení neskorších predpisov</w:t>
      </w:r>
      <w:r w:rsidR="00AB2E33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Marian Kotleba, </w:t>
      </w:r>
      <w:r w:rsidR="00AB2E33">
        <w:rPr>
          <w:rFonts w:ascii="Book Antiqua" w:hAnsi="Book Antiqua" w:cs="Arial"/>
          <w:color w:val="000000" w:themeColor="text1"/>
        </w:rPr>
        <w:t>Martin Beluský a</w:t>
      </w:r>
      <w:r w:rsidR="003A642B">
        <w:rPr>
          <w:rFonts w:ascii="Book Antiqua" w:hAnsi="Book Antiqua" w:cs="Arial"/>
          <w:color w:val="000000" w:themeColor="text1"/>
        </w:rPr>
        <w:t> Rastislav Schlosár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64833B66" w14:textId="2AE7AB07" w:rsidR="007774A2" w:rsidRDefault="003A3B7C" w:rsidP="007774A2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>
        <w:rPr>
          <w:rFonts w:ascii="Book Antiqua" w:hAnsi="Book Antiqua" w:cs="Arial"/>
          <w:b/>
          <w:bCs/>
          <w:color w:val="000000" w:themeColor="text1"/>
        </w:rPr>
        <w:t>Cieľom predloženého</w:t>
      </w:r>
      <w:r w:rsidR="00BD6389">
        <w:rPr>
          <w:rFonts w:ascii="Book Antiqua" w:hAnsi="Book Antiqua" w:cs="Arial"/>
          <w:b/>
          <w:bCs/>
          <w:color w:val="000000" w:themeColor="text1"/>
        </w:rPr>
        <w:t xml:space="preserve"> l</w:t>
      </w:r>
      <w:r>
        <w:rPr>
          <w:rFonts w:ascii="Book Antiqua" w:hAnsi="Book Antiqua" w:cs="Arial"/>
          <w:b/>
          <w:bCs/>
          <w:color w:val="000000" w:themeColor="text1"/>
        </w:rPr>
        <w:t>egislatívneho</w:t>
      </w:r>
      <w:r w:rsidR="00630413">
        <w:rPr>
          <w:rFonts w:ascii="Book Antiqua" w:hAnsi="Book Antiqua" w:cs="Arial"/>
          <w:b/>
          <w:bCs/>
          <w:color w:val="000000" w:themeColor="text1"/>
        </w:rPr>
        <w:t xml:space="preserve"> návrh</w:t>
      </w:r>
      <w:r>
        <w:rPr>
          <w:rFonts w:ascii="Book Antiqua" w:hAnsi="Book Antiqua" w:cs="Arial"/>
          <w:b/>
          <w:bCs/>
          <w:color w:val="000000" w:themeColor="text1"/>
        </w:rPr>
        <w:t>u</w:t>
      </w:r>
      <w:r w:rsidR="00630413">
        <w:rPr>
          <w:rFonts w:ascii="Book Antiqua" w:hAnsi="Book Antiqua" w:cs="Arial"/>
          <w:b/>
          <w:bCs/>
          <w:color w:val="000000" w:themeColor="text1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</w:rPr>
        <w:t>je ochrana obyvateľov miest a obcí pred zvýšením hlukom z diaľnic a rýchlostných ciest</w:t>
      </w:r>
      <w:r w:rsidR="009B7718">
        <w:rPr>
          <w:rFonts w:ascii="Book Antiqua" w:hAnsi="Book Antiqua" w:cs="Arial"/>
          <w:b/>
          <w:bCs/>
          <w:color w:val="000000" w:themeColor="text1"/>
        </w:rPr>
        <w:t>, a tým zníženie negatívnych dôsledkov dlhodobého pôsobenia hluku cestnej premávky na ľudský organizmus.</w:t>
      </w:r>
    </w:p>
    <w:p w14:paraId="71CFBEF6" w14:textId="60678A19" w:rsidR="00AD0BFE" w:rsidRPr="009B7718" w:rsidRDefault="009B7718" w:rsidP="00AD0BF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 w:cs="Arial"/>
          <w:bCs/>
          <w:color w:val="000000" w:themeColor="text1"/>
        </w:rPr>
        <w:t xml:space="preserve">V súčasne platnej legislatíve sa pri povoľovacom konaní stavieb diaľnic a ďalších ciest vyžadujú záväzné stanoviská dotknutých orgánov, medzi ktoré patria aj orgány verejného zdravotníctva. Tie podľa § 13 ods. 5 písm. d) </w:t>
      </w:r>
      <w:r w:rsidRPr="009B7718">
        <w:rPr>
          <w:rFonts w:ascii="Book Antiqua" w:hAnsi="Book Antiqua" w:cs="Arial"/>
          <w:bCs/>
          <w:color w:val="000000" w:themeColor="text1"/>
        </w:rPr>
        <w:t>zákona č. 355/2007 Z. z. o ochrane, podpore a rozvoji verejného zdravia posudzujú hlukovú záťaž, ak ide o stavbu diaľnice a cesty I. triedy, stavbu dráhy, stavbu vodnej cesty a stavbu letiska s prevádzkou motorových lietadiel.</w:t>
      </w:r>
      <w:r>
        <w:rPr>
          <w:rFonts w:ascii="Book Antiqua" w:hAnsi="Book Antiqua" w:cs="Arial"/>
          <w:bCs/>
          <w:color w:val="000000" w:themeColor="text1"/>
        </w:rPr>
        <w:t xml:space="preserve"> Prípustné hodn</w:t>
      </w:r>
      <w:r w:rsidRPr="009B7718">
        <w:rPr>
          <w:rFonts w:ascii="Book Antiqua" w:hAnsi="Book Antiqua" w:cs="Arial"/>
          <w:bCs/>
          <w:color w:val="000000" w:themeColor="text1"/>
        </w:rPr>
        <w:t xml:space="preserve">oty </w:t>
      </w:r>
      <w:r>
        <w:rPr>
          <w:rFonts w:ascii="Book Antiqua" w:hAnsi="Book Antiqua" w:cs="Arial"/>
          <w:bCs/>
          <w:color w:val="000000" w:themeColor="text1"/>
        </w:rPr>
        <w:t xml:space="preserve">hluku z dopravy upravuje vyhláška Ministerstva zdravotníctva Slovenskej republiky č. </w:t>
      </w:r>
      <w:r w:rsidRPr="009B7718">
        <w:rPr>
          <w:rFonts w:ascii="Book Antiqua" w:hAnsi="Book Antiqua"/>
        </w:rPr>
        <w:t>549/2007, ktorou sa ustanovujú podrobnosti o prípustných hodnotách hluku, infrazvuku a vibrácií a o požiadavkách na objektivizáciu hluku, infrazvuku a vibrácií v životnom prostredí</w:t>
      </w:r>
      <w:r>
        <w:rPr>
          <w:rFonts w:ascii="Book Antiqua" w:hAnsi="Book Antiqua"/>
        </w:rPr>
        <w:t>.</w:t>
      </w:r>
      <w:r w:rsidR="00AD0BFE">
        <w:rPr>
          <w:rFonts w:ascii="Book Antiqua" w:hAnsi="Book Antiqua"/>
        </w:rPr>
        <w:t xml:space="preserve"> V súčasnosti sú prípustné hodnoty stanovené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67"/>
        <w:gridCol w:w="3947"/>
        <w:gridCol w:w="1134"/>
        <w:gridCol w:w="2814"/>
      </w:tblGrid>
      <w:tr w:rsidR="009B7718" w:rsidRPr="009B7718" w14:paraId="181E6E3C" w14:textId="77777777" w:rsidTr="009B7718">
        <w:tc>
          <w:tcPr>
            <w:tcW w:w="1129" w:type="dxa"/>
          </w:tcPr>
          <w:p w14:paraId="3396235A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Kategória územia</w:t>
            </w:r>
          </w:p>
        </w:tc>
        <w:tc>
          <w:tcPr>
            <w:tcW w:w="3969" w:type="dxa"/>
          </w:tcPr>
          <w:p w14:paraId="21D6F064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Opis chráneného územia</w:t>
            </w:r>
          </w:p>
        </w:tc>
        <w:tc>
          <w:tcPr>
            <w:tcW w:w="1134" w:type="dxa"/>
          </w:tcPr>
          <w:p w14:paraId="4DD0E4C0" w14:textId="2653048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proofErr w:type="spellStart"/>
            <w:r w:rsidRPr="009B7718">
              <w:rPr>
                <w:rFonts w:ascii="Book Antiqua" w:hAnsi="Book Antiqua"/>
              </w:rPr>
              <w:t>Ref</w:t>
            </w:r>
            <w:proofErr w:type="spellEnd"/>
            <w:r w:rsidRPr="009B7718">
              <w:rPr>
                <w:rFonts w:ascii="Book Antiqua" w:hAnsi="Book Antiqua"/>
              </w:rPr>
              <w:t xml:space="preserve">. </w:t>
            </w:r>
            <w:proofErr w:type="spellStart"/>
            <w:r w:rsidRPr="009B7718">
              <w:rPr>
                <w:rFonts w:ascii="Book Antiqua" w:hAnsi="Book Antiqua"/>
              </w:rPr>
              <w:t>čas.inter</w:t>
            </w:r>
            <w:proofErr w:type="spellEnd"/>
            <w:r w:rsidRPr="009B7718">
              <w:rPr>
                <w:rFonts w:ascii="Book Antiqua" w:hAnsi="Book Antiqua"/>
              </w:rPr>
              <w:t>.</w:t>
            </w:r>
          </w:p>
        </w:tc>
        <w:tc>
          <w:tcPr>
            <w:tcW w:w="2830" w:type="dxa"/>
          </w:tcPr>
          <w:p w14:paraId="61E46AF8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Prípustné hodnoty (dB)</w:t>
            </w:r>
          </w:p>
          <w:p w14:paraId="02913803" w14:textId="2D806185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Hluk z dopravy</w:t>
            </w:r>
          </w:p>
        </w:tc>
      </w:tr>
      <w:tr w:rsidR="009B7718" w:rsidRPr="009B7718" w14:paraId="30C3793B" w14:textId="77777777" w:rsidTr="009B7718">
        <w:tc>
          <w:tcPr>
            <w:tcW w:w="1129" w:type="dxa"/>
          </w:tcPr>
          <w:p w14:paraId="6277AE8B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III.</w:t>
            </w:r>
          </w:p>
        </w:tc>
        <w:tc>
          <w:tcPr>
            <w:tcW w:w="3969" w:type="dxa"/>
          </w:tcPr>
          <w:p w14:paraId="246FE490" w14:textId="64290391" w:rsidR="009B7718" w:rsidRPr="009B7718" w:rsidRDefault="006818F2" w:rsidP="006818F2">
            <w:pPr>
              <w:jc w:val="both"/>
              <w:rPr>
                <w:rFonts w:ascii="Book Antiqua" w:hAnsi="Book Antiqua"/>
              </w:rPr>
            </w:pPr>
            <w:r w:rsidRPr="006818F2">
              <w:rPr>
                <w:rFonts w:ascii="Book Antiqua" w:hAnsi="Book Antiqua"/>
              </w:rPr>
              <w:t>Priestor pred oknami obytných miestností bytových a rodinných domov, priestor pred oknami chránených miestností školských budov, zdravotníckych zariadení a iných chránených</w:t>
            </w:r>
            <w:r>
              <w:rPr>
                <w:rFonts w:ascii="Book Antiqua" w:hAnsi="Book Antiqua"/>
              </w:rPr>
              <w:t xml:space="preserve"> </w:t>
            </w:r>
            <w:r w:rsidRPr="006818F2">
              <w:rPr>
                <w:rFonts w:ascii="Book Antiqua" w:hAnsi="Book Antiqua"/>
              </w:rPr>
              <w:t xml:space="preserve">objektov, vonkajší priestor </w:t>
            </w:r>
            <w:r>
              <w:rPr>
                <w:rFonts w:ascii="Book Antiqua" w:hAnsi="Book Antiqua"/>
              </w:rPr>
              <w:t xml:space="preserve">v obytnom a rekreačnom území </w:t>
            </w:r>
            <w:r w:rsidR="009B7718" w:rsidRPr="009B7718">
              <w:rPr>
                <w:rFonts w:ascii="Book Antiqua" w:hAnsi="Book Antiqua"/>
              </w:rPr>
              <w:t>v okolí diaľnic, ciest I. a II. triedy, miestnych komunikácií s hromadnou dopravou, železničných dráh a letísk, mestské centrá.</w:t>
            </w:r>
          </w:p>
        </w:tc>
        <w:tc>
          <w:tcPr>
            <w:tcW w:w="1134" w:type="dxa"/>
          </w:tcPr>
          <w:p w14:paraId="73A02886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deň</w:t>
            </w:r>
          </w:p>
          <w:p w14:paraId="623F9011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večer</w:t>
            </w:r>
          </w:p>
          <w:p w14:paraId="3B86D1E4" w14:textId="77777777" w:rsidR="009B7718" w:rsidRPr="009B7718" w:rsidRDefault="009B7718" w:rsidP="00496116">
            <w:pPr>
              <w:jc w:val="both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noc</w:t>
            </w:r>
          </w:p>
        </w:tc>
        <w:tc>
          <w:tcPr>
            <w:tcW w:w="2830" w:type="dxa"/>
          </w:tcPr>
          <w:p w14:paraId="3E2ED904" w14:textId="77777777" w:rsidR="009B7718" w:rsidRPr="009B7718" w:rsidRDefault="009B7718" w:rsidP="00B9015A">
            <w:pPr>
              <w:jc w:val="center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60</w:t>
            </w:r>
          </w:p>
          <w:p w14:paraId="26484958" w14:textId="77777777" w:rsidR="009B7718" w:rsidRPr="009B7718" w:rsidRDefault="009B7718" w:rsidP="00B9015A">
            <w:pPr>
              <w:jc w:val="center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60</w:t>
            </w:r>
          </w:p>
          <w:p w14:paraId="3E32751C" w14:textId="77777777" w:rsidR="009B7718" w:rsidRPr="009B7718" w:rsidRDefault="009B7718" w:rsidP="00B9015A">
            <w:pPr>
              <w:jc w:val="center"/>
              <w:rPr>
                <w:rFonts w:ascii="Book Antiqua" w:hAnsi="Book Antiqua"/>
              </w:rPr>
            </w:pPr>
            <w:r w:rsidRPr="009B7718">
              <w:rPr>
                <w:rFonts w:ascii="Book Antiqua" w:hAnsi="Book Antiqua"/>
              </w:rPr>
              <w:t>50</w:t>
            </w:r>
          </w:p>
        </w:tc>
      </w:tr>
    </w:tbl>
    <w:p w14:paraId="560E9FE7" w14:textId="77777777" w:rsidR="009B7718" w:rsidRPr="009B7718" w:rsidRDefault="009B7718" w:rsidP="009B7718">
      <w:pPr>
        <w:jc w:val="both"/>
        <w:rPr>
          <w:rFonts w:ascii="Book Antiqua" w:hAnsi="Book Antiqua"/>
        </w:rPr>
      </w:pPr>
    </w:p>
    <w:p w14:paraId="5F3B74CB" w14:textId="47F180ED" w:rsidR="00A62C6E" w:rsidRPr="00A62C6E" w:rsidRDefault="00A62C6E" w:rsidP="00A62C6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A62C6E">
        <w:rPr>
          <w:rFonts w:ascii="Book Antiqua" w:hAnsi="Book Antiqua" w:cs="Arial"/>
          <w:bCs/>
          <w:color w:val="000000" w:themeColor="text1"/>
        </w:rPr>
        <w:t xml:space="preserve">Problematika hluku je celosvetovo rozšírená. Hluk je závažný faktor aj preto, že jeho hladiny sa stále zvyšujú a poškodenie zdravia ľudí prebieha dlhodobo a skryto. So zvukom a napokon aj samotným </w:t>
      </w:r>
      <w:r w:rsidR="00F06433">
        <w:rPr>
          <w:rFonts w:ascii="Book Antiqua" w:hAnsi="Book Antiqua" w:cs="Arial"/>
          <w:bCs/>
          <w:color w:val="000000" w:themeColor="text1"/>
        </w:rPr>
        <w:t xml:space="preserve">hlukom sa človek stretáva denne. </w:t>
      </w:r>
      <w:r w:rsidRPr="00A62C6E">
        <w:rPr>
          <w:rFonts w:ascii="Book Antiqua" w:hAnsi="Book Antiqua" w:cs="Arial"/>
          <w:bCs/>
          <w:color w:val="000000" w:themeColor="text1"/>
        </w:rPr>
        <w:t>Oproti iným faktorom je tento faktor o to závažnejší, že pôsobí neustále, a to aj v čase určenom na oddych a relaxáciu a tiež v noci, v čase určenom na spánok</w:t>
      </w:r>
      <w:r w:rsidR="00F06433">
        <w:rPr>
          <w:rFonts w:ascii="Book Antiqua" w:hAnsi="Book Antiqua" w:cs="Arial"/>
          <w:bCs/>
          <w:color w:val="000000" w:themeColor="text1"/>
        </w:rPr>
        <w:t>.</w:t>
      </w:r>
    </w:p>
    <w:p w14:paraId="52153E20" w14:textId="77777777" w:rsidR="005716E9" w:rsidRDefault="00A62C6E" w:rsidP="00A62C6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A62C6E">
        <w:rPr>
          <w:rFonts w:ascii="Book Antiqua" w:hAnsi="Book Antiqua" w:cs="Arial"/>
          <w:bCs/>
          <w:color w:val="000000" w:themeColor="text1"/>
        </w:rPr>
        <w:t>Z fyziologického hľadiska sa zvuk definuje ako mechanické vlnenie vo frekvenčnom rozsahu, ktorý počuje ľudské ucho (16 – 20 000 Hz). Hluk je akýkoľvek nežiaduci zvuk, ktorý pôsobí na človeka rušivo, nepríjemne a v niektorých prípadoch dokonca poškodzuje jeho zdravie. Hluk sa čoraz častejšie stáva stresujúcim faktorom v mnohých situáciách. Pritom stres je rizikový faktor až u 90 % ochorení</w:t>
      </w:r>
      <w:r w:rsidR="00F06433">
        <w:rPr>
          <w:rFonts w:ascii="Book Antiqua" w:hAnsi="Book Antiqua" w:cs="Arial"/>
          <w:bCs/>
          <w:color w:val="000000" w:themeColor="text1"/>
        </w:rPr>
        <w:t>.</w:t>
      </w:r>
      <w:r w:rsidRPr="00A62C6E">
        <w:rPr>
          <w:rFonts w:ascii="Book Antiqua" w:hAnsi="Book Antiqua" w:cs="Arial"/>
          <w:bCs/>
          <w:color w:val="000000" w:themeColor="text1"/>
        </w:rPr>
        <w:t xml:space="preserve"> </w:t>
      </w:r>
    </w:p>
    <w:p w14:paraId="45909897" w14:textId="5431E871" w:rsidR="00A62C6E" w:rsidRDefault="00A62C6E" w:rsidP="00A62C6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A62C6E">
        <w:rPr>
          <w:rFonts w:ascii="Book Antiqua" w:hAnsi="Book Antiqua" w:cs="Arial"/>
          <w:bCs/>
          <w:color w:val="000000" w:themeColor="text1"/>
        </w:rPr>
        <w:lastRenderedPageBreak/>
        <w:t xml:space="preserve">Na základe epidemiologických štúdii bolo zistené u obyvateľov zvýšenie celkovej chorobnosti ako dôsledok pôsobenia chronického stresu. Zaznamenané boli poruchy krvného tlaku, ischemická choroba srdca, </w:t>
      </w:r>
      <w:proofErr w:type="spellStart"/>
      <w:r w:rsidRPr="00A62C6E">
        <w:rPr>
          <w:rFonts w:ascii="Book Antiqua" w:hAnsi="Book Antiqua" w:cs="Arial"/>
          <w:bCs/>
          <w:color w:val="000000" w:themeColor="text1"/>
        </w:rPr>
        <w:t>gastrointestinálne</w:t>
      </w:r>
      <w:proofErr w:type="spellEnd"/>
      <w:r w:rsidRPr="00A62C6E">
        <w:rPr>
          <w:rFonts w:ascii="Book Antiqua" w:hAnsi="Book Antiqua" w:cs="Arial"/>
          <w:bCs/>
          <w:color w:val="000000" w:themeColor="text1"/>
        </w:rPr>
        <w:t xml:space="preserve"> poruchy, zápalové ochorenia, nižšia odolnosť voči infekciám. Zistilo sa, že k ochoreniam dochádzalo až po dlhšej dobe strávenej v hlučnom prostredí. Pri cievnych ochoreniach po 5</w:t>
      </w:r>
      <w:r w:rsidR="00F06433">
        <w:rPr>
          <w:rFonts w:ascii="Book Antiqua" w:hAnsi="Book Antiqua" w:cs="Arial"/>
          <w:bCs/>
          <w:color w:val="000000" w:themeColor="text1"/>
        </w:rPr>
        <w:t xml:space="preserve"> </w:t>
      </w:r>
      <w:r w:rsidRPr="00A62C6E">
        <w:rPr>
          <w:rFonts w:ascii="Book Antiqua" w:hAnsi="Book Antiqua" w:cs="Arial"/>
          <w:bCs/>
          <w:color w:val="000000" w:themeColor="text1"/>
        </w:rPr>
        <w:t>-10 rokoch a pri nervových ochoreniach po 8</w:t>
      </w:r>
      <w:r w:rsidR="00F06433">
        <w:rPr>
          <w:rFonts w:ascii="Book Antiqua" w:hAnsi="Book Antiqua" w:cs="Arial"/>
          <w:bCs/>
          <w:color w:val="000000" w:themeColor="text1"/>
        </w:rPr>
        <w:t xml:space="preserve"> </w:t>
      </w:r>
      <w:r w:rsidRPr="00A62C6E">
        <w:rPr>
          <w:rFonts w:ascii="Book Antiqua" w:hAnsi="Book Antiqua" w:cs="Arial"/>
          <w:bCs/>
          <w:color w:val="000000" w:themeColor="text1"/>
        </w:rPr>
        <w:t>-</w:t>
      </w:r>
      <w:r w:rsidR="00F06433">
        <w:rPr>
          <w:rFonts w:ascii="Book Antiqua" w:hAnsi="Book Antiqua" w:cs="Arial"/>
          <w:bCs/>
          <w:color w:val="000000" w:themeColor="text1"/>
        </w:rPr>
        <w:t xml:space="preserve"> </w:t>
      </w:r>
      <w:r w:rsidRPr="00A62C6E">
        <w:rPr>
          <w:rFonts w:ascii="Book Antiqua" w:hAnsi="Book Antiqua" w:cs="Arial"/>
          <w:bCs/>
          <w:color w:val="000000" w:themeColor="text1"/>
        </w:rPr>
        <w:t>10 rokoch expozície hlukom.</w:t>
      </w:r>
      <w:r w:rsidR="00F06433">
        <w:rPr>
          <w:rFonts w:ascii="Book Antiqua" w:hAnsi="Book Antiqua" w:cs="Arial"/>
          <w:bCs/>
          <w:color w:val="000000" w:themeColor="text1"/>
        </w:rPr>
        <w:t xml:space="preserve"> Je to práve hluk z cestnej premávky, ktorý pôsobí na</w:t>
      </w:r>
      <w:r w:rsidR="005716E9">
        <w:rPr>
          <w:rFonts w:ascii="Book Antiqua" w:hAnsi="Book Antiqua" w:cs="Arial"/>
          <w:bCs/>
          <w:color w:val="000000" w:themeColor="text1"/>
        </w:rPr>
        <w:t xml:space="preserve"> ľudský organizmus nepretržite,</w:t>
      </w:r>
      <w:r w:rsidR="00F06433">
        <w:rPr>
          <w:rFonts w:ascii="Book Antiqua" w:hAnsi="Book Antiqua" w:cs="Arial"/>
          <w:bCs/>
          <w:color w:val="000000" w:themeColor="text1"/>
        </w:rPr>
        <w:t> dlhodobo</w:t>
      </w:r>
      <w:r w:rsidR="005716E9">
        <w:rPr>
          <w:rFonts w:ascii="Book Antiqua" w:hAnsi="Book Antiqua" w:cs="Arial"/>
          <w:bCs/>
          <w:color w:val="000000" w:themeColor="text1"/>
        </w:rPr>
        <w:t xml:space="preserve"> a vo vyšších hodnotách ako sú prípustné. A práve</w:t>
      </w:r>
      <w:r w:rsidR="00F06433">
        <w:rPr>
          <w:rFonts w:ascii="Book Antiqua" w:hAnsi="Book Antiqua" w:cs="Arial"/>
          <w:bCs/>
          <w:color w:val="000000" w:themeColor="text1"/>
        </w:rPr>
        <w:t xml:space="preserve"> preto by mu legislatíva mala venovať väčšiu pozornosť.</w:t>
      </w:r>
    </w:p>
    <w:p w14:paraId="27F4D138" w14:textId="3871A21F" w:rsidR="00F06433" w:rsidRDefault="005716E9" w:rsidP="00955A66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</w:t>
      </w:r>
      <w:r w:rsidR="00955A66">
        <w:rPr>
          <w:rFonts w:ascii="Book Antiqua" w:hAnsi="Book Antiqua" w:cs="Arial"/>
          <w:bCs/>
          <w:color w:val="000000" w:themeColor="text1"/>
        </w:rPr>
        <w:t>ýstavba diaľnic a rýchlostných ciest cez intravilány obcí je na Slovensku v oblasti ochrany pred hlukom značne podcenená. Viacero prípadov sťažností obyvateľov a nezávislých meraní preukazujú, že mnohé úseky</w:t>
      </w:r>
      <w:r w:rsidR="00955A66" w:rsidRPr="00955A66">
        <w:rPr>
          <w:rFonts w:ascii="Book Antiqua" w:hAnsi="Book Antiqua" w:cs="Arial"/>
          <w:bCs/>
          <w:color w:val="000000" w:themeColor="text1"/>
        </w:rPr>
        <w:t xml:space="preserve"> </w:t>
      </w:r>
      <w:r w:rsidR="00955A66">
        <w:rPr>
          <w:rFonts w:ascii="Book Antiqua" w:hAnsi="Book Antiqua" w:cs="Arial"/>
          <w:bCs/>
          <w:color w:val="000000" w:themeColor="text1"/>
        </w:rPr>
        <w:t xml:space="preserve">prechádzajúce popri obydlí občanov nespĺňajú zákonom stanovené parametre. </w:t>
      </w:r>
      <w:r w:rsidR="001F7053">
        <w:rPr>
          <w:rFonts w:ascii="Book Antiqua" w:hAnsi="Book Antiqua" w:cs="Arial"/>
          <w:bCs/>
          <w:color w:val="000000" w:themeColor="text1"/>
        </w:rPr>
        <w:t xml:space="preserve">Napríklad </w:t>
      </w:r>
      <w:r w:rsidR="00955A66" w:rsidRPr="00955A66">
        <w:rPr>
          <w:rFonts w:ascii="Book Antiqua" w:hAnsi="Book Antiqua" w:cs="Arial"/>
          <w:bCs/>
          <w:color w:val="000000" w:themeColor="text1"/>
        </w:rPr>
        <w:t>hluk z</w:t>
      </w:r>
      <w:r w:rsidR="001F7053">
        <w:rPr>
          <w:rFonts w:ascii="Book Antiqua" w:hAnsi="Book Antiqua" w:cs="Arial"/>
          <w:bCs/>
          <w:color w:val="000000" w:themeColor="text1"/>
        </w:rPr>
        <w:t> </w:t>
      </w:r>
      <w:r w:rsidR="00955A66" w:rsidRPr="00955A66">
        <w:rPr>
          <w:rFonts w:ascii="Book Antiqua" w:hAnsi="Book Antiqua" w:cs="Arial"/>
          <w:bCs/>
          <w:color w:val="000000" w:themeColor="text1"/>
        </w:rPr>
        <w:t>rýchlo</w:t>
      </w:r>
      <w:r w:rsidR="001F7053">
        <w:rPr>
          <w:rFonts w:ascii="Book Antiqua" w:hAnsi="Book Antiqua" w:cs="Arial"/>
          <w:bCs/>
          <w:color w:val="000000" w:themeColor="text1"/>
        </w:rPr>
        <w:t xml:space="preserve">stnej </w:t>
      </w:r>
      <w:r w:rsidR="00955A66" w:rsidRPr="00955A66">
        <w:rPr>
          <w:rFonts w:ascii="Book Antiqua" w:hAnsi="Book Antiqua" w:cs="Arial"/>
          <w:bCs/>
          <w:color w:val="000000" w:themeColor="text1"/>
        </w:rPr>
        <w:t xml:space="preserve">cesty R1 je v úseku medzi mestskými časťami Krškany a </w:t>
      </w:r>
      <w:proofErr w:type="spellStart"/>
      <w:r w:rsidR="00955A66" w:rsidRPr="00955A66">
        <w:rPr>
          <w:rFonts w:ascii="Book Antiqua" w:hAnsi="Book Antiqua" w:cs="Arial"/>
          <w:bCs/>
          <w:color w:val="000000" w:themeColor="text1"/>
        </w:rPr>
        <w:t>Janíkovce</w:t>
      </w:r>
      <w:proofErr w:type="spellEnd"/>
      <w:r w:rsidR="00955A66" w:rsidRPr="00955A66">
        <w:rPr>
          <w:rFonts w:ascii="Book Antiqua" w:hAnsi="Book Antiqua" w:cs="Arial"/>
          <w:bCs/>
          <w:color w:val="000000" w:themeColor="text1"/>
        </w:rPr>
        <w:t xml:space="preserve"> úplne nepochopiteľne bez protihlukových clôn odkrytá mestu. Úroveň doliehajúceho hluku miestami dosahuje až 90 decibelov</w:t>
      </w:r>
      <w:r w:rsidR="001F7053">
        <w:rPr>
          <w:rFonts w:ascii="Book Antiqua" w:hAnsi="Book Antiqua" w:cs="Arial"/>
          <w:bCs/>
          <w:color w:val="000000" w:themeColor="text1"/>
        </w:rPr>
        <w:t>, čo je o 30 dB viac ako je prípustné.</w:t>
      </w:r>
    </w:p>
    <w:p w14:paraId="0622EE67" w14:textId="3BBA23B5" w:rsidR="0077746F" w:rsidRPr="0077746F" w:rsidRDefault="0077746F" w:rsidP="00DF787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Nedávno bol medializovaný aj prípad mesta</w:t>
      </w:r>
      <w:r w:rsidRPr="0077746F">
        <w:rPr>
          <w:rFonts w:ascii="Book Antiqua" w:hAnsi="Book Antiqua" w:cs="Arial"/>
          <w:bCs/>
          <w:color w:val="000000" w:themeColor="text1"/>
        </w:rPr>
        <w:t xml:space="preserve"> Žarnovica</w:t>
      </w:r>
      <w:r>
        <w:rPr>
          <w:rFonts w:ascii="Book Antiqua" w:hAnsi="Book Antiqua" w:cs="Arial"/>
          <w:bCs/>
          <w:color w:val="000000" w:themeColor="text1"/>
        </w:rPr>
        <w:t>, ktorá</w:t>
      </w:r>
      <w:r w:rsidRPr="0077746F">
        <w:rPr>
          <w:rFonts w:ascii="Book Antiqua" w:hAnsi="Book Antiqua" w:cs="Arial"/>
          <w:bCs/>
          <w:color w:val="000000" w:themeColor="text1"/>
        </w:rPr>
        <w:t xml:space="preserve"> už niekoľko rokov žiada Ministerstvo dopravy a výstavby SR a Národnú diaľničnú spoločnosť BA vybudovať protihlukovú bariéru na rýchlostnej ceste R1, ktorá prechádza intravilánom mesta Žarnovica (Ulica </w:t>
      </w:r>
      <w:proofErr w:type="spellStart"/>
      <w:r w:rsidRPr="0077746F">
        <w:rPr>
          <w:rFonts w:ascii="Book Antiqua" w:hAnsi="Book Antiqua" w:cs="Arial"/>
          <w:bCs/>
          <w:color w:val="000000" w:themeColor="text1"/>
        </w:rPr>
        <w:t>Sa</w:t>
      </w:r>
      <w:r>
        <w:rPr>
          <w:rFonts w:ascii="Book Antiqua" w:hAnsi="Book Antiqua" w:cs="Arial"/>
          <w:bCs/>
          <w:color w:val="000000" w:themeColor="text1"/>
        </w:rPr>
        <w:t>ndrická</w:t>
      </w:r>
      <w:proofErr w:type="spellEnd"/>
      <w:r>
        <w:rPr>
          <w:rFonts w:ascii="Book Antiqua" w:hAnsi="Book Antiqua" w:cs="Arial"/>
          <w:bCs/>
          <w:color w:val="000000" w:themeColor="text1"/>
        </w:rPr>
        <w:t>, Fraňa Kráľa, Lukavica),</w:t>
      </w:r>
      <w:r w:rsidRPr="0077746F">
        <w:rPr>
          <w:rFonts w:ascii="Book Antiqua" w:hAnsi="Book Antiqua" w:cs="Arial"/>
          <w:bCs/>
          <w:color w:val="000000" w:themeColor="text1"/>
        </w:rPr>
        <w:t xml:space="preserve"> keďže táto nebola zhotovená v čase budovania rýchlostnej komunikácie. Termínov na budovanie protihlukovej bariéry bolo od kompetentný</w:t>
      </w:r>
      <w:r w:rsidR="00DF787E">
        <w:rPr>
          <w:rFonts w:ascii="Book Antiqua" w:hAnsi="Book Antiqua" w:cs="Arial"/>
          <w:bCs/>
          <w:color w:val="000000" w:themeColor="text1"/>
        </w:rPr>
        <w:t xml:space="preserve">ch už niekoľko, ktoré uplynuli. </w:t>
      </w:r>
      <w:r w:rsidRPr="0077746F">
        <w:rPr>
          <w:rFonts w:ascii="Book Antiqua" w:hAnsi="Book Antiqua" w:cs="Arial"/>
          <w:bCs/>
          <w:color w:val="000000" w:themeColor="text1"/>
        </w:rPr>
        <w:t xml:space="preserve">Naposledy mestu dňa 4.2.2021 bolo doručené oznámenie, kde </w:t>
      </w:r>
      <w:r w:rsidR="00DF787E">
        <w:rPr>
          <w:rFonts w:ascii="Book Antiqua" w:hAnsi="Book Antiqua" w:cs="Arial"/>
          <w:bCs/>
          <w:color w:val="000000" w:themeColor="text1"/>
        </w:rPr>
        <w:t>Ministerstvo dopravy SR</w:t>
      </w:r>
      <w:r w:rsidRPr="0077746F">
        <w:rPr>
          <w:rFonts w:ascii="Book Antiqua" w:hAnsi="Book Antiqua" w:cs="Arial"/>
          <w:bCs/>
          <w:color w:val="000000" w:themeColor="text1"/>
        </w:rPr>
        <w:t xml:space="preserve"> vydalo rozhodnutie, ktorým bolo Národnej diaľničnej spoločnosti BA ako správcovi rýchlostnej cesty R1 nariadené v termíne do 31.12.2031 zabezpečiť výstavbu protihlukových opatrení.</w:t>
      </w:r>
    </w:p>
    <w:p w14:paraId="31433974" w14:textId="633D581C" w:rsidR="00A62C6E" w:rsidRDefault="00497991" w:rsidP="007774A2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497991">
        <w:rPr>
          <w:rFonts w:ascii="Book Antiqua" w:hAnsi="Book Antiqua" w:cs="Arial"/>
          <w:bCs/>
          <w:color w:val="000000" w:themeColor="text1"/>
        </w:rPr>
        <w:t>Z</w:t>
      </w:r>
      <w:r>
        <w:rPr>
          <w:rFonts w:ascii="Book Antiqua" w:hAnsi="Book Antiqua" w:cs="Arial"/>
          <w:bCs/>
          <w:color w:val="000000" w:themeColor="text1"/>
        </w:rPr>
        <w:t> </w:t>
      </w:r>
      <w:r w:rsidRPr="00497991">
        <w:rPr>
          <w:rFonts w:ascii="Book Antiqua" w:hAnsi="Book Antiqua" w:cs="Arial"/>
          <w:bCs/>
          <w:color w:val="000000" w:themeColor="text1"/>
        </w:rPr>
        <w:t>týchto</w:t>
      </w:r>
      <w:r>
        <w:rPr>
          <w:rFonts w:ascii="Book Antiqua" w:hAnsi="Book Antiqua" w:cs="Arial"/>
          <w:bCs/>
          <w:color w:val="000000" w:themeColor="text1"/>
        </w:rPr>
        <w:t xml:space="preserve"> dôvodov predkladatelia navrhujú novelizovať </w:t>
      </w:r>
      <w:r w:rsidRPr="00497991">
        <w:rPr>
          <w:rFonts w:ascii="Book Antiqua" w:hAnsi="Book Antiqua" w:cs="Arial"/>
          <w:bCs/>
          <w:color w:val="000000" w:themeColor="text1"/>
        </w:rPr>
        <w:t>zákon č. 135/1961 Zb.  o pozemných komunikáciách (cestný zákon)</w:t>
      </w:r>
      <w:r>
        <w:rPr>
          <w:rFonts w:ascii="Book Antiqua" w:hAnsi="Book Antiqua" w:cs="Arial"/>
          <w:bCs/>
          <w:color w:val="000000" w:themeColor="text1"/>
        </w:rPr>
        <w:t>, v rámci ktorého sa zavedie explicitná podmienka, podľa ktorej ú</w:t>
      </w:r>
      <w:r w:rsidRPr="00497991">
        <w:rPr>
          <w:rFonts w:ascii="Book Antiqua" w:hAnsi="Book Antiqua" w:cs="Arial"/>
          <w:bCs/>
          <w:color w:val="000000" w:themeColor="text1"/>
        </w:rPr>
        <w:t>seky diaľnic</w:t>
      </w:r>
      <w:r w:rsidR="007C5C06">
        <w:rPr>
          <w:rFonts w:ascii="Book Antiqua" w:hAnsi="Book Antiqua" w:cs="Arial"/>
          <w:bCs/>
          <w:color w:val="000000" w:themeColor="text1"/>
        </w:rPr>
        <w:t xml:space="preserve"> a rýchlostných ciest</w:t>
      </w:r>
      <w:r w:rsidRPr="00497991">
        <w:rPr>
          <w:rFonts w:ascii="Book Antiqua" w:hAnsi="Book Antiqua" w:cs="Arial"/>
          <w:bCs/>
          <w:color w:val="000000" w:themeColor="text1"/>
        </w:rPr>
        <w:t>, ktorých os vozovky je vo vzdialenosti kratšej ako 150 m od hranice zastavaného územia o</w:t>
      </w:r>
      <w:r>
        <w:rPr>
          <w:rFonts w:ascii="Book Antiqua" w:hAnsi="Book Antiqua" w:cs="Arial"/>
          <w:bCs/>
          <w:color w:val="000000" w:themeColor="text1"/>
        </w:rPr>
        <w:t>bce</w:t>
      </w:r>
      <w:r w:rsidRPr="00497991">
        <w:rPr>
          <w:rFonts w:ascii="Book Antiqua" w:hAnsi="Book Antiqua" w:cs="Arial"/>
          <w:bCs/>
          <w:color w:val="000000" w:themeColor="text1"/>
        </w:rPr>
        <w:t xml:space="preserve"> alebo ktoré prechádzajú cez zastavané územie obce, musia byť vybavené protihlukovým opatrením, ktorého realizovaním sa dosiahne zníženie hlukovej záťaže spôsobenej cestnou dopravou</w:t>
      </w:r>
      <w:r>
        <w:rPr>
          <w:rFonts w:ascii="Book Antiqua" w:hAnsi="Book Antiqua" w:cs="Arial"/>
          <w:bCs/>
          <w:color w:val="000000" w:themeColor="text1"/>
        </w:rPr>
        <w:t xml:space="preserve"> na úroveň prípustnej hodnoty</w:t>
      </w:r>
      <w:r w:rsidRPr="00497991">
        <w:rPr>
          <w:rFonts w:ascii="Book Antiqua" w:hAnsi="Book Antiqua" w:cs="Arial"/>
          <w:bCs/>
          <w:color w:val="000000" w:themeColor="text1"/>
        </w:rPr>
        <w:t>.</w:t>
      </w:r>
      <w:r w:rsidR="007C5C06">
        <w:rPr>
          <w:rFonts w:ascii="Book Antiqua" w:hAnsi="Book Antiqua" w:cs="Arial"/>
          <w:bCs/>
          <w:color w:val="000000" w:themeColor="text1"/>
        </w:rPr>
        <w:t xml:space="preserve"> Tak isto sa zavádza povinnosť splnenia podmienky zníženia pre už postavené úseky diaľnic a rýchlostných ciest, a to do 2 rokoch od účinnosti tohto zákona.</w:t>
      </w:r>
    </w:p>
    <w:p w14:paraId="436A255B" w14:textId="03B87AE3" w:rsidR="0023360B" w:rsidRDefault="0023360B" w:rsidP="007774A2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Viacero štúdií a meraní ukazujú, že vo vzdialenosti od 100 do 150 metrov od diaľnice, </w:t>
      </w:r>
      <w:r w:rsidR="00417D95">
        <w:rPr>
          <w:rFonts w:ascii="Book Antiqua" w:hAnsi="Book Antiqua" w:cs="Arial"/>
          <w:bCs/>
          <w:color w:val="000000" w:themeColor="text1"/>
        </w:rPr>
        <w:t>sa hluk znižuje na prípustnú úroveň okolo 60 dB.</w:t>
      </w:r>
      <w:r w:rsidR="00B04D45">
        <w:rPr>
          <w:rFonts w:ascii="Book Antiqua" w:hAnsi="Book Antiqua" w:cs="Arial"/>
          <w:bCs/>
          <w:color w:val="000000" w:themeColor="text1"/>
        </w:rPr>
        <w:t xml:space="preserve"> Ako príklad uvádzame 2 merania:</w:t>
      </w:r>
    </w:p>
    <w:p w14:paraId="1E425D87" w14:textId="097FEA15" w:rsidR="00B04D45" w:rsidRPr="00B04D45" w:rsidRDefault="00B04D45" w:rsidP="00B04D45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B04D45">
        <w:rPr>
          <w:rFonts w:ascii="Book Antiqua" w:hAnsi="Book Antiqua" w:cs="Arial"/>
          <w:bCs/>
          <w:color w:val="000000" w:themeColor="text1"/>
        </w:rPr>
        <w:t>meranie hluku vo vzdialenosti 100 metrov od diaľ</w:t>
      </w:r>
      <w:r>
        <w:rPr>
          <w:rFonts w:ascii="Book Antiqua" w:hAnsi="Book Antiqua" w:cs="Arial"/>
          <w:bCs/>
          <w:color w:val="000000" w:themeColor="text1"/>
        </w:rPr>
        <w:t>nice, kde bol</w:t>
      </w:r>
      <w:r w:rsidRPr="00B04D45">
        <w:rPr>
          <w:rFonts w:ascii="Book Antiqua" w:hAnsi="Book Antiqua" w:cs="Arial"/>
          <w:bCs/>
          <w:color w:val="000000" w:themeColor="text1"/>
        </w:rPr>
        <w:t xml:space="preserve"> rýchlostný limit 120 km/h, premávka 3.200 vozidiel za hodinu s celkovou zaťaženosťou nákladnou dopravou 12 %</w:t>
      </w:r>
      <w:r>
        <w:rPr>
          <w:rFonts w:ascii="Book Antiqua" w:hAnsi="Book Antiqua" w:cs="Arial"/>
          <w:bCs/>
          <w:color w:val="000000" w:themeColor="text1"/>
        </w:rPr>
        <w:t>:</w:t>
      </w:r>
    </w:p>
    <w:p w14:paraId="4F2E0706" w14:textId="77777777" w:rsidR="0023360B" w:rsidRDefault="0023360B" w:rsidP="0023360B">
      <w:pPr>
        <w:jc w:val="both"/>
        <w:rPr>
          <w:noProof/>
          <w:lang w:eastAsia="sk-SK"/>
        </w:rPr>
      </w:pPr>
    </w:p>
    <w:p w14:paraId="33D04985" w14:textId="77777777" w:rsidR="0023360B" w:rsidRDefault="0023360B" w:rsidP="0023360B">
      <w:pPr>
        <w:jc w:val="both"/>
        <w:rPr>
          <w:noProof/>
          <w:lang w:eastAsia="sk-SK"/>
        </w:rPr>
      </w:pPr>
    </w:p>
    <w:p w14:paraId="58A15313" w14:textId="77777777" w:rsidR="0023360B" w:rsidRPr="0023360B" w:rsidRDefault="0023360B" w:rsidP="0023360B">
      <w:pPr>
        <w:jc w:val="both"/>
        <w:rPr>
          <w:rFonts w:ascii="Book Antiqua" w:hAnsi="Book Antiqua"/>
        </w:rPr>
      </w:pPr>
      <w:r w:rsidRPr="0023360B">
        <w:rPr>
          <w:rFonts w:ascii="Book Antiqua" w:hAnsi="Book Antiqua"/>
          <w:noProof/>
          <w:lang w:eastAsia="sk-SK"/>
        </w:rPr>
        <w:lastRenderedPageBreak/>
        <w:drawing>
          <wp:inline distT="0" distB="0" distL="0" distR="0" wp14:anchorId="501868A5" wp14:editId="53735D5A">
            <wp:extent cx="5486400" cy="2705100"/>
            <wp:effectExtent l="0" t="0" r="0" b="0"/>
            <wp:docPr id="1" name="Obrázok 1" descr="Road traffic noise at 100 m distance from a highway with a speed limit of 120 km/h. A total of 3200 vehicles per hour with 12% heavy traffic. Intermittency ratio (IR)=19%. The portions of the curve marked “gray” are used to calculate Leq,T,Ev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 traffic noise at 100 m distance from a highway with a speed limit of 120 km/h. A total of 3200 vehicles per hour with 12% heavy traffic. Intermittency ratio (IR)=19%. The portions of the curve marked “gray” are used to calculate Leq,T,Event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356A4" w14:textId="08BC4661" w:rsidR="0023360B" w:rsidRPr="00B04D45" w:rsidRDefault="00B04D45" w:rsidP="00B04D45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Závislosť hladiny hluku podľa vzdialenosti od meranej cesty. Graf ukazuje, že 4 prúdová diaľnica má prípustnú úroveň 60 dB vo vzdialenosti 150 m (500 </w:t>
      </w:r>
      <w:proofErr w:type="spellStart"/>
      <w:r>
        <w:rPr>
          <w:rFonts w:ascii="Book Antiqua" w:hAnsi="Book Antiqua" w:cs="Arial"/>
          <w:bCs/>
          <w:color w:val="000000" w:themeColor="text1"/>
        </w:rPr>
        <w:t>ft</w:t>
      </w:r>
      <w:proofErr w:type="spellEnd"/>
      <w:r>
        <w:rPr>
          <w:rFonts w:ascii="Book Antiqua" w:hAnsi="Book Antiqua" w:cs="Arial"/>
          <w:bCs/>
          <w:color w:val="000000" w:themeColor="text1"/>
        </w:rPr>
        <w:t>.):</w:t>
      </w:r>
    </w:p>
    <w:p w14:paraId="121FBD67" w14:textId="77777777" w:rsidR="0023360B" w:rsidRPr="0023360B" w:rsidRDefault="0023360B" w:rsidP="0023360B">
      <w:pPr>
        <w:jc w:val="both"/>
        <w:rPr>
          <w:rFonts w:ascii="Book Antiqua" w:hAnsi="Book Antiqua"/>
        </w:rPr>
      </w:pPr>
      <w:r w:rsidRPr="0023360B">
        <w:rPr>
          <w:rFonts w:ascii="Book Antiqua" w:hAnsi="Book Antiqua"/>
          <w:noProof/>
          <w:lang w:eastAsia="sk-SK"/>
        </w:rPr>
        <w:drawing>
          <wp:inline distT="0" distB="0" distL="0" distR="0" wp14:anchorId="0BD1369E" wp14:editId="7428F49B">
            <wp:extent cx="5760720" cy="3845210"/>
            <wp:effectExtent l="0" t="0" r="0" b="3175"/>
            <wp:docPr id="2" name="Obrázok 2" descr="Typical Highway Noise Levels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pical Highway Noise Levels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328E" w14:textId="59A0E31B" w:rsidR="002C41DB" w:rsidRPr="002C41DB" w:rsidRDefault="002C41DB" w:rsidP="0004785F">
      <w:pPr>
        <w:ind w:firstLine="708"/>
        <w:jc w:val="both"/>
        <w:rPr>
          <w:rFonts w:ascii="Book Antiqua" w:hAnsi="Book Antiqua"/>
        </w:rPr>
      </w:pPr>
      <w:r w:rsidRPr="002C41DB">
        <w:rPr>
          <w:rFonts w:ascii="Book Antiqua" w:hAnsi="Book Antiqua"/>
        </w:rPr>
        <w:t xml:space="preserve">Hluk narastá predovšetkým v okolí dopravných ťahov s automobilovou a železničnou dopravou. Tieto škodlivé akustické vplyvy, ktoré pôsobia na človeka, možno redukovať správnym navrhnutím protihlukových opatrení v podobe protihlukových clôn. Rozsah a parametre týchto </w:t>
      </w:r>
      <w:r w:rsidR="0004785F">
        <w:rPr>
          <w:rFonts w:ascii="Book Antiqua" w:hAnsi="Book Antiqua"/>
        </w:rPr>
        <w:t xml:space="preserve">clôn </w:t>
      </w:r>
      <w:r w:rsidRPr="002C41DB">
        <w:rPr>
          <w:rFonts w:ascii="Book Antiqua" w:hAnsi="Book Antiqua"/>
        </w:rPr>
        <w:t>vyplývajú z výpočtov hlukovej štúdie. Z hľadiska hluku sa v praxi používajú dva typy protihlukových stien:</w:t>
      </w:r>
      <w:r w:rsidR="0004785F">
        <w:rPr>
          <w:rFonts w:ascii="Book Antiqua" w:hAnsi="Book Antiqua"/>
        </w:rPr>
        <w:t xml:space="preserve"> odrazivé a </w:t>
      </w:r>
      <w:r w:rsidRPr="002C41DB">
        <w:rPr>
          <w:rFonts w:ascii="Book Antiqua" w:hAnsi="Book Antiqua"/>
        </w:rPr>
        <w:t>pohltivé.</w:t>
      </w:r>
    </w:p>
    <w:p w14:paraId="36C3B02B" w14:textId="5970BDC8" w:rsidR="00497991" w:rsidRPr="0004785F" w:rsidRDefault="002C41DB" w:rsidP="0004785F">
      <w:pPr>
        <w:ind w:firstLine="708"/>
        <w:jc w:val="both"/>
        <w:rPr>
          <w:rFonts w:ascii="Book Antiqua" w:hAnsi="Book Antiqua"/>
        </w:rPr>
      </w:pPr>
      <w:r w:rsidRPr="002C41DB">
        <w:rPr>
          <w:rFonts w:ascii="Book Antiqua" w:hAnsi="Book Antiqua"/>
        </w:rPr>
        <w:t xml:space="preserve">V mestách a obciach v priamom styku s obyvateľstvom, kde sa protihluková </w:t>
      </w:r>
      <w:r w:rsidR="0004785F">
        <w:rPr>
          <w:rFonts w:ascii="Book Antiqua" w:hAnsi="Book Antiqua"/>
        </w:rPr>
        <w:t xml:space="preserve">clona </w:t>
      </w:r>
      <w:r w:rsidRPr="002C41DB">
        <w:rPr>
          <w:rFonts w:ascii="Book Antiqua" w:hAnsi="Book Antiqua"/>
        </w:rPr>
        <w:t xml:space="preserve"> stáva súčasťou mestského prostredia a dotvára ho, sa pri návrhu </w:t>
      </w:r>
      <w:r w:rsidR="0004785F">
        <w:rPr>
          <w:rFonts w:ascii="Book Antiqua" w:hAnsi="Book Antiqua"/>
        </w:rPr>
        <w:t xml:space="preserve">protihlukovej clony </w:t>
      </w:r>
      <w:r w:rsidRPr="002C41DB">
        <w:rPr>
          <w:rFonts w:ascii="Book Antiqua" w:hAnsi="Book Antiqua"/>
        </w:rPr>
        <w:t xml:space="preserve">kladie dôraz na kritériá hlukovej ochrany. V intraviláne sa preto tvorba </w:t>
      </w:r>
      <w:r w:rsidR="0004785F">
        <w:rPr>
          <w:rFonts w:ascii="Book Antiqua" w:hAnsi="Book Antiqua"/>
        </w:rPr>
        <w:t>protihlukovej clony</w:t>
      </w:r>
      <w:r w:rsidRPr="002C41DB">
        <w:rPr>
          <w:rFonts w:ascii="Book Antiqua" w:hAnsi="Book Antiqua"/>
        </w:rPr>
        <w:t xml:space="preserve"> orientuje </w:t>
      </w:r>
      <w:r w:rsidRPr="002C41DB">
        <w:rPr>
          <w:rFonts w:ascii="Book Antiqua" w:hAnsi="Book Antiqua"/>
        </w:rPr>
        <w:lastRenderedPageBreak/>
        <w:t xml:space="preserve">na pohltivé materiály. Tieto materiály musia spĺňať hodnoty vzduchovej nepriezvučnosti a zvukovej pohltivosti, pričom hluková štúdia presne udáva výšky v jednotlivých úsekoch </w:t>
      </w:r>
      <w:r w:rsidR="0004785F">
        <w:rPr>
          <w:rFonts w:ascii="Book Antiqua" w:hAnsi="Book Antiqua"/>
        </w:rPr>
        <w:t>clony</w:t>
      </w:r>
      <w:r w:rsidRPr="002C41DB">
        <w:rPr>
          <w:rFonts w:ascii="Book Antiqua" w:hAnsi="Book Antiqua"/>
        </w:rPr>
        <w:t xml:space="preserve">. </w:t>
      </w:r>
    </w:p>
    <w:p w14:paraId="4CE0EF8F" w14:textId="18B703C3" w:rsidR="001A584C" w:rsidRDefault="00844B5D" w:rsidP="007774A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Predložený materiál </w:t>
      </w:r>
      <w:r w:rsidR="001A584C" w:rsidRPr="001A584C">
        <w:rPr>
          <w:rFonts w:ascii="Book Antiqua" w:hAnsi="Book Antiqua" w:cs="Arial"/>
          <w:color w:val="000000" w:themeColor="text1"/>
        </w:rPr>
        <w:t xml:space="preserve">má </w:t>
      </w:r>
      <w:r>
        <w:rPr>
          <w:rFonts w:ascii="Book Antiqua" w:hAnsi="Book Antiqua" w:cs="Arial"/>
          <w:color w:val="000000" w:themeColor="text1"/>
        </w:rPr>
        <w:t xml:space="preserve">negatívny </w:t>
      </w:r>
      <w:r w:rsidR="001A584C" w:rsidRPr="001A584C">
        <w:rPr>
          <w:rFonts w:ascii="Book Antiqua" w:hAnsi="Book Antiqua" w:cs="Arial"/>
          <w:color w:val="000000" w:themeColor="text1"/>
        </w:rPr>
        <w:t>dopad na štátny rozpočet, je v súlade so zákonmi, ústavnými zákonmi, Ústavou ako aj medzinárodnými zmluvami a dohodami.</w:t>
      </w:r>
    </w:p>
    <w:p w14:paraId="4DEAACCF" w14:textId="77777777" w:rsidR="00012899" w:rsidRPr="00356B93" w:rsidRDefault="00012899" w:rsidP="007774A2">
      <w:pPr>
        <w:ind w:firstLine="708"/>
        <w:jc w:val="both"/>
        <w:rPr>
          <w:rFonts w:ascii="Book Antiqua" w:hAnsi="Book Antiqua" w:cs="Arial"/>
          <w:color w:val="000000" w:themeColor="text1"/>
        </w:rPr>
      </w:pPr>
    </w:p>
    <w:p w14:paraId="38B7213F" w14:textId="77777777" w:rsidR="007774A2" w:rsidRPr="00A07A2E" w:rsidRDefault="007774A2" w:rsidP="00A07A2E">
      <w:pPr>
        <w:ind w:firstLine="708"/>
        <w:jc w:val="both"/>
        <w:rPr>
          <w:rFonts w:ascii="Book Antiqua" w:hAnsi="Book Antiqua" w:cs="Arial"/>
          <w:u w:val="single"/>
        </w:rPr>
      </w:pPr>
    </w:p>
    <w:p w14:paraId="139A1CC7" w14:textId="77777777" w:rsidR="00B3477B" w:rsidRPr="009F6924" w:rsidRDefault="00CF106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B3477B"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3C88F6B4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52420522" w14:textId="0BCDC43C" w:rsidR="003E0B7B" w:rsidRDefault="00844B5D" w:rsidP="003E0B7B">
      <w:pPr>
        <w:spacing w:before="120"/>
        <w:ind w:firstLine="708"/>
        <w:jc w:val="both"/>
        <w:rPr>
          <w:rFonts w:ascii="Book Antiqua" w:hAnsi="Book Antiqua"/>
          <w:bCs/>
        </w:rPr>
      </w:pPr>
      <w:r>
        <w:rPr>
          <w:rFonts w:ascii="Book Antiqua" w:hAnsi="Book Antiqua" w:cs="Arial"/>
          <w:color w:val="000000"/>
        </w:rPr>
        <w:t xml:space="preserve">Zavádza </w:t>
      </w:r>
      <w:r w:rsidR="003E0B7B">
        <w:rPr>
          <w:rFonts w:ascii="Book Antiqua" w:hAnsi="Book Antiqua" w:cs="Arial"/>
          <w:color w:val="000000"/>
        </w:rPr>
        <w:t>povinnosť pre všetky ú</w:t>
      </w:r>
      <w:r w:rsidR="003E0B7B" w:rsidRPr="00E87228">
        <w:rPr>
          <w:rFonts w:ascii="Book Antiqua" w:hAnsi="Book Antiqua"/>
          <w:bCs/>
        </w:rPr>
        <w:t>seky diaľnic</w:t>
      </w:r>
      <w:r w:rsidR="003E0B7B">
        <w:rPr>
          <w:rFonts w:ascii="Book Antiqua" w:hAnsi="Book Antiqua"/>
          <w:bCs/>
        </w:rPr>
        <w:t xml:space="preserve"> a rýchlostných ciest</w:t>
      </w:r>
      <w:r w:rsidR="003E0B7B" w:rsidRPr="00E87228">
        <w:rPr>
          <w:rFonts w:ascii="Book Antiqua" w:hAnsi="Book Antiqua"/>
          <w:bCs/>
        </w:rPr>
        <w:t xml:space="preserve">, </w:t>
      </w:r>
      <w:r w:rsidR="003E0B7B">
        <w:rPr>
          <w:rFonts w:ascii="Book Antiqua" w:hAnsi="Book Antiqua"/>
          <w:bCs/>
        </w:rPr>
        <w:t>ktoré prechádzajú cez mestá a obce</w:t>
      </w:r>
      <w:r w:rsidR="003E0B7B" w:rsidRPr="00E87228">
        <w:rPr>
          <w:rFonts w:ascii="Book Antiqua" w:hAnsi="Book Antiqua"/>
          <w:bCs/>
        </w:rPr>
        <w:t>, byť vybavené protihlukovým opatrením, ktorého realizovaním sa dosiahne zníženie hlukovej záťaže spôsobenej cestnou dopra</w:t>
      </w:r>
      <w:r w:rsidR="003E0B7B">
        <w:rPr>
          <w:rFonts w:ascii="Book Antiqua" w:hAnsi="Book Antiqua"/>
          <w:bCs/>
        </w:rPr>
        <w:t>vou na úroveň prípustnej hodnoty.</w:t>
      </w:r>
    </w:p>
    <w:p w14:paraId="6D6D30C7" w14:textId="4BEAF8AC" w:rsidR="00B3477B" w:rsidRDefault="00B3477B" w:rsidP="00B3477B">
      <w:pPr>
        <w:jc w:val="both"/>
        <w:rPr>
          <w:rFonts w:ascii="Book Antiqua" w:hAnsi="Book Antiqua" w:cs="Arial"/>
          <w:color w:val="000000"/>
        </w:rPr>
      </w:pPr>
    </w:p>
    <w:p w14:paraId="10F536E2" w14:textId="77777777" w:rsidR="00B3477B" w:rsidRPr="00B94FBD" w:rsidRDefault="00B3477B" w:rsidP="00B3477B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14:paraId="2A4747DB" w14:textId="4A2E66C1" w:rsidR="00B3477B" w:rsidRDefault="00C12356" w:rsidP="00B3477B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Za nesplnenie podmienky podľa bodu 1 sa navrhuje uloženie pokuty do výšky 1 milión eur</w:t>
      </w:r>
      <w:r w:rsidR="0051121F">
        <w:rPr>
          <w:rFonts w:ascii="Book Antiqua" w:hAnsi="Book Antiqua" w:cs="Arial"/>
          <w:color w:val="000000"/>
        </w:rPr>
        <w:t xml:space="preserve"> za každý kilometer a za každý omeškaný aj začatý mesiac od určeného termínu</w:t>
      </w:r>
      <w:bookmarkStart w:id="0" w:name="_GoBack"/>
      <w:bookmarkEnd w:id="0"/>
      <w:r>
        <w:rPr>
          <w:rFonts w:ascii="Book Antiqua" w:hAnsi="Book Antiqua" w:cs="Arial"/>
          <w:color w:val="000000"/>
        </w:rPr>
        <w:t>.</w:t>
      </w:r>
    </w:p>
    <w:p w14:paraId="4178EC88" w14:textId="77777777" w:rsidR="00C12356" w:rsidRDefault="00C12356" w:rsidP="00B3477B">
      <w:pPr>
        <w:ind w:firstLine="708"/>
        <w:jc w:val="both"/>
        <w:rPr>
          <w:rFonts w:ascii="Book Antiqua" w:hAnsi="Book Antiqua" w:cs="Arial"/>
          <w:color w:val="000000"/>
        </w:rPr>
      </w:pPr>
    </w:p>
    <w:p w14:paraId="7196BDD8" w14:textId="390D200F" w:rsidR="00C12356" w:rsidRPr="00B94FBD" w:rsidRDefault="00C12356" w:rsidP="00C12356">
      <w:pPr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>K bodu 3</w:t>
      </w:r>
    </w:p>
    <w:p w14:paraId="3EFDF34A" w14:textId="77777777" w:rsidR="00C12356" w:rsidRDefault="00C12356" w:rsidP="00C12356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V prechodných ustanoveniach sa povinnosť podľa bodu 1 stanovuje aj na už existujúce diaľnice, diaľnice vo výstavba a diaľnice, ktoré sú v procese stavebného konania.</w:t>
      </w:r>
    </w:p>
    <w:p w14:paraId="03DA87C2" w14:textId="77777777" w:rsidR="00C12356" w:rsidRDefault="00C12356" w:rsidP="00B3477B">
      <w:pPr>
        <w:ind w:firstLine="708"/>
        <w:jc w:val="both"/>
        <w:rPr>
          <w:rFonts w:ascii="Book Antiqua" w:hAnsi="Book Antiqua" w:cs="Arial"/>
          <w:color w:val="000000"/>
        </w:rPr>
      </w:pPr>
    </w:p>
    <w:p w14:paraId="0B9C688A" w14:textId="77777777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0A6330A8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1A4E4B31" w14:textId="4329DD99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="003E0B7B">
        <w:rPr>
          <w:rFonts w:ascii="Book Antiqua" w:hAnsi="Book Antiqua" w:cs="Arial"/>
          <w:color w:val="000000" w:themeColor="text1"/>
          <w:sz w:val="22"/>
          <w:szCs w:val="22"/>
        </w:rPr>
        <w:t>zákona dňa 1. júna 2022.</w:t>
      </w:r>
    </w:p>
    <w:p w14:paraId="48A74615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74E0C9F"/>
    <w:multiLevelType w:val="hybridMultilevel"/>
    <w:tmpl w:val="AADADA6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716864"/>
    <w:multiLevelType w:val="hybridMultilevel"/>
    <w:tmpl w:val="0E2066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1C6529"/>
    <w:multiLevelType w:val="hybridMultilevel"/>
    <w:tmpl w:val="8C9CA4E4"/>
    <w:lvl w:ilvl="0" w:tplc="00844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3051"/>
    <w:rsid w:val="00041289"/>
    <w:rsid w:val="0004785F"/>
    <w:rsid w:val="00060225"/>
    <w:rsid w:val="00075BB4"/>
    <w:rsid w:val="000F7285"/>
    <w:rsid w:val="00106558"/>
    <w:rsid w:val="00113515"/>
    <w:rsid w:val="00141368"/>
    <w:rsid w:val="001467BF"/>
    <w:rsid w:val="00152414"/>
    <w:rsid w:val="00160B4B"/>
    <w:rsid w:val="001757E3"/>
    <w:rsid w:val="0019528D"/>
    <w:rsid w:val="001A584C"/>
    <w:rsid w:val="001B226E"/>
    <w:rsid w:val="001D6141"/>
    <w:rsid w:val="001F7053"/>
    <w:rsid w:val="001F7EC9"/>
    <w:rsid w:val="00206CD6"/>
    <w:rsid w:val="00225163"/>
    <w:rsid w:val="0023360B"/>
    <w:rsid w:val="002359EA"/>
    <w:rsid w:val="00242AA7"/>
    <w:rsid w:val="00244146"/>
    <w:rsid w:val="0025190F"/>
    <w:rsid w:val="00263697"/>
    <w:rsid w:val="00276DD6"/>
    <w:rsid w:val="002C41DB"/>
    <w:rsid w:val="002E138E"/>
    <w:rsid w:val="0031752B"/>
    <w:rsid w:val="00341A59"/>
    <w:rsid w:val="00356B93"/>
    <w:rsid w:val="003849F5"/>
    <w:rsid w:val="00393CE9"/>
    <w:rsid w:val="003A3B7C"/>
    <w:rsid w:val="003A642B"/>
    <w:rsid w:val="003B4C3D"/>
    <w:rsid w:val="003B578C"/>
    <w:rsid w:val="003E0B7B"/>
    <w:rsid w:val="003E369F"/>
    <w:rsid w:val="003F1D03"/>
    <w:rsid w:val="003F78FD"/>
    <w:rsid w:val="00417D95"/>
    <w:rsid w:val="00441D94"/>
    <w:rsid w:val="00445164"/>
    <w:rsid w:val="00474892"/>
    <w:rsid w:val="00497991"/>
    <w:rsid w:val="004C79C5"/>
    <w:rsid w:val="004D7831"/>
    <w:rsid w:val="0051121F"/>
    <w:rsid w:val="00520652"/>
    <w:rsid w:val="005301E8"/>
    <w:rsid w:val="00550FB0"/>
    <w:rsid w:val="00553DAC"/>
    <w:rsid w:val="00567516"/>
    <w:rsid w:val="005716E9"/>
    <w:rsid w:val="005A4D24"/>
    <w:rsid w:val="005C05B1"/>
    <w:rsid w:val="005E234B"/>
    <w:rsid w:val="006049A1"/>
    <w:rsid w:val="00630413"/>
    <w:rsid w:val="006818F2"/>
    <w:rsid w:val="006B2D36"/>
    <w:rsid w:val="006C1AC0"/>
    <w:rsid w:val="006D29DE"/>
    <w:rsid w:val="00704E65"/>
    <w:rsid w:val="007421FF"/>
    <w:rsid w:val="00765895"/>
    <w:rsid w:val="007729B8"/>
    <w:rsid w:val="007747B0"/>
    <w:rsid w:val="00775B3B"/>
    <w:rsid w:val="0077746F"/>
    <w:rsid w:val="007774A2"/>
    <w:rsid w:val="00795DA3"/>
    <w:rsid w:val="007B1E3A"/>
    <w:rsid w:val="007B6E38"/>
    <w:rsid w:val="007C5C06"/>
    <w:rsid w:val="007D3F1A"/>
    <w:rsid w:val="007E5FC7"/>
    <w:rsid w:val="007F1998"/>
    <w:rsid w:val="007F6946"/>
    <w:rsid w:val="00800636"/>
    <w:rsid w:val="00802EBD"/>
    <w:rsid w:val="00844B5D"/>
    <w:rsid w:val="00847FAC"/>
    <w:rsid w:val="008667AA"/>
    <w:rsid w:val="00886A55"/>
    <w:rsid w:val="008E5F65"/>
    <w:rsid w:val="009529AB"/>
    <w:rsid w:val="00955A66"/>
    <w:rsid w:val="00957C06"/>
    <w:rsid w:val="00967F9F"/>
    <w:rsid w:val="009768C7"/>
    <w:rsid w:val="00991D46"/>
    <w:rsid w:val="009B76A8"/>
    <w:rsid w:val="009B7718"/>
    <w:rsid w:val="009D3EFB"/>
    <w:rsid w:val="00A07A2E"/>
    <w:rsid w:val="00A20494"/>
    <w:rsid w:val="00A2524E"/>
    <w:rsid w:val="00A62C6E"/>
    <w:rsid w:val="00A87007"/>
    <w:rsid w:val="00A9469E"/>
    <w:rsid w:val="00A96EFE"/>
    <w:rsid w:val="00A97A57"/>
    <w:rsid w:val="00AB2E33"/>
    <w:rsid w:val="00AD0BFE"/>
    <w:rsid w:val="00AD1F42"/>
    <w:rsid w:val="00AE2066"/>
    <w:rsid w:val="00B04D45"/>
    <w:rsid w:val="00B25A23"/>
    <w:rsid w:val="00B3477B"/>
    <w:rsid w:val="00B52508"/>
    <w:rsid w:val="00B9015A"/>
    <w:rsid w:val="00BB7F7C"/>
    <w:rsid w:val="00BD6389"/>
    <w:rsid w:val="00C12356"/>
    <w:rsid w:val="00C20723"/>
    <w:rsid w:val="00C525C6"/>
    <w:rsid w:val="00C800E9"/>
    <w:rsid w:val="00CB57E2"/>
    <w:rsid w:val="00CC6613"/>
    <w:rsid w:val="00CC780C"/>
    <w:rsid w:val="00CE43AE"/>
    <w:rsid w:val="00CF106B"/>
    <w:rsid w:val="00CF7977"/>
    <w:rsid w:val="00D0696B"/>
    <w:rsid w:val="00D13565"/>
    <w:rsid w:val="00D267B2"/>
    <w:rsid w:val="00D71388"/>
    <w:rsid w:val="00D827B3"/>
    <w:rsid w:val="00DC251B"/>
    <w:rsid w:val="00DF4AD4"/>
    <w:rsid w:val="00DF787E"/>
    <w:rsid w:val="00E602AB"/>
    <w:rsid w:val="00E930C7"/>
    <w:rsid w:val="00EA27A2"/>
    <w:rsid w:val="00ED2CE5"/>
    <w:rsid w:val="00EF2A0B"/>
    <w:rsid w:val="00F06433"/>
    <w:rsid w:val="00F127D1"/>
    <w:rsid w:val="00F148F8"/>
    <w:rsid w:val="00F21C8C"/>
    <w:rsid w:val="00F66365"/>
    <w:rsid w:val="00F71646"/>
    <w:rsid w:val="00F87688"/>
    <w:rsid w:val="00FE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B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125</cp:revision>
  <cp:lastPrinted>2020-06-16T11:02:00Z</cp:lastPrinted>
  <dcterms:created xsi:type="dcterms:W3CDTF">2019-08-22T16:37:00Z</dcterms:created>
  <dcterms:modified xsi:type="dcterms:W3CDTF">2021-11-03T09:28:00Z</dcterms:modified>
</cp:coreProperties>
</file>