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6400" w:rsidRPr="00346091" w:rsidRDefault="00386400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F156B" w:rsidRPr="00346091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6091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386400" w:rsidRPr="003460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20. októbra </w:t>
      </w:r>
      <w:r w:rsidRPr="00346091">
        <w:rPr>
          <w:rFonts w:ascii="Times New Roman" w:hAnsi="Times New Roman" w:cs="Times New Roman"/>
          <w:b/>
          <w:color w:val="auto"/>
          <w:sz w:val="24"/>
          <w:szCs w:val="24"/>
        </w:rPr>
        <w:t>2021,</w:t>
      </w:r>
    </w:p>
    <w:p w:rsidR="005F156B" w:rsidRPr="00346091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54307" w:rsidRPr="00346091" w:rsidRDefault="00D54307" w:rsidP="00FF2863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ktorým sa mení a dopĺňa zákon č. </w:t>
      </w:r>
      <w:r w:rsidR="00FF2863"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61/2015</w:t>
      </w:r>
      <w:r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 Z. z. o</w:t>
      </w:r>
      <w:r w:rsidR="00FF2863"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 odbornom vzdelávaní a príprave a o zmene a doplnení niektorých zákonov v znení zákona č. 209/2018 Z. z. </w:t>
      </w:r>
    </w:p>
    <w:p w:rsidR="00D54307" w:rsidRPr="00346091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D54307" w:rsidRPr="00346091" w:rsidRDefault="00D54307" w:rsidP="00386400">
      <w:pPr>
        <w:suppressAutoHyphens/>
        <w:ind w:firstLine="426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Národná rada Slovenskej republiky sa uzniesla na tomto zákone:</w:t>
      </w:r>
    </w:p>
    <w:p w:rsidR="00D54307" w:rsidRPr="00346091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E45BF1" w:rsidRPr="00346091" w:rsidRDefault="00E45BF1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D54307" w:rsidRPr="00346091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I</w:t>
      </w:r>
    </w:p>
    <w:p w:rsidR="00D54307" w:rsidRPr="00346091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:rsidR="00D54307" w:rsidRPr="00346091" w:rsidRDefault="00D54307" w:rsidP="00386400">
      <w:pPr>
        <w:suppressAutoHyphens/>
        <w:ind w:firstLine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 č. </w:t>
      </w:r>
      <w:r w:rsidR="00FF2863"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61/2015 </w:t>
      </w:r>
      <w:r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Z. z. o</w:t>
      </w:r>
      <w:r w:rsidR="00FF2863"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 odbornom vzdelávaní a príprave a o zmene a doplnení niektorých zákonov </w:t>
      </w:r>
      <w:r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v znení zákona č. </w:t>
      </w:r>
      <w:r w:rsidR="00FF2863"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209/2018 Z. z. </w:t>
      </w:r>
      <w:r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sa mení a dopĺňa takto:</w:t>
      </w:r>
    </w:p>
    <w:p w:rsidR="00D54307" w:rsidRPr="00346091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6541FC" w:rsidRPr="00346091" w:rsidRDefault="006541FC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4 odsek</w:t>
      </w:r>
      <w:r w:rsidR="00C07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znie:</w:t>
      </w:r>
    </w:p>
    <w:p w:rsidR="00C07253" w:rsidRPr="00346091" w:rsidRDefault="006541FC" w:rsidP="006541FC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„(2) Odborný výcvik sa organizuje ako odborný vyučovací predmet učebného odboru. Odborný výcvik sa organizuje aj ako odborný vyučovací predmet študijného odboru, ak sa vykonáva v rozsahu </w:t>
      </w:r>
      <w:r w:rsidR="00C07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podľa </w:t>
      </w:r>
      <w:r w:rsidR="00043D7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štátneho </w:t>
      </w:r>
      <w:r w:rsidR="00C07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vzdelávacieho programu pre prísluš</w:t>
      </w:r>
      <w:r w:rsidR="007A23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nú skupinu odborov vzdelávania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  <w:r w:rsidR="00C07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Odborný výcvik sa vykonáva pod vedením </w:t>
      </w:r>
      <w:r w:rsidR="00EC1E1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majstra odbornej výchovy, učiteľa odbornej praxe, </w:t>
      </w:r>
      <w:r w:rsidR="00C07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hlavného inštruktora alebo inštruktora.“.</w:t>
      </w:r>
    </w:p>
    <w:p w:rsidR="00B52140" w:rsidRPr="00346091" w:rsidRDefault="00B5214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4 ods. 4 </w:t>
      </w:r>
      <w:r w:rsidR="007A23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na konci pripája táto veta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 „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Ak sa praktické cvičenie vykonáva v dielni, vykonáva sa</w:t>
      </w:r>
      <w:r w:rsidR="00E70F7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pod vedením </w:t>
      </w:r>
      <w:r w:rsidR="0099595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učiteľa príslušného odborného vyučovacieho predmetu, 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učiteľa odbornej praxe</w:t>
      </w:r>
      <w:r w:rsidR="00F1079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alebo majstra odbornej výchovy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.“.</w:t>
      </w:r>
    </w:p>
    <w:p w:rsidR="003C5562" w:rsidRPr="00346091" w:rsidRDefault="003C556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6 sa dopĺňa odsekom 4, ktorý znie:</w:t>
      </w:r>
    </w:p>
    <w:p w:rsidR="003C5562" w:rsidRPr="00346091" w:rsidRDefault="003C5562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„(4) </w:t>
      </w:r>
      <w:r w:rsidR="002560E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Praktické vyučovanie v systéme duálneho vzdelávania sa môže vykonávať aj</w:t>
      </w:r>
    </w:p>
    <w:p w:rsidR="002560EC" w:rsidRPr="00346091" w:rsidRDefault="002560EC" w:rsidP="000E26EA">
      <w:pPr>
        <w:pStyle w:val="Odsekzoznamu"/>
        <w:numPr>
          <w:ilvl w:val="0"/>
          <w:numId w:val="5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pracovisku praktického vyučovania iného zamestnávateľa,</w:t>
      </w:r>
    </w:p>
    <w:p w:rsidR="002560EC" w:rsidRPr="00346091" w:rsidRDefault="002560EC" w:rsidP="000E26EA">
      <w:pPr>
        <w:pStyle w:val="Odsekzoznamu"/>
        <w:numPr>
          <w:ilvl w:val="0"/>
          <w:numId w:val="5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 nadpodnikovom vzdelávacom centre</w:t>
      </w:r>
      <w:r w:rsidR="00F1079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alebo</w:t>
      </w:r>
    </w:p>
    <w:p w:rsidR="002560EC" w:rsidRPr="00346091" w:rsidRDefault="002560EC" w:rsidP="000E26EA">
      <w:pPr>
        <w:pStyle w:val="Odsekzoznamu"/>
        <w:numPr>
          <w:ilvl w:val="0"/>
          <w:numId w:val="5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mimo územia Slovenskej republiky na pracovisku právnickej osoby, ktorá poskytuje praktické vyučovanie v</w:t>
      </w:r>
      <w:r w:rsidR="00946CF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systéme</w:t>
      </w:r>
      <w:r w:rsidR="00946CF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575E5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spĺňajúcom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A259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podmienky podľa § 10 ods. 3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.“. </w:t>
      </w:r>
    </w:p>
    <w:p w:rsidR="003C5562" w:rsidRPr="00346091" w:rsidRDefault="003C556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</w:t>
      </w:r>
      <w:r w:rsidR="00E57A9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7 odsek 3 znie:</w:t>
      </w:r>
    </w:p>
    <w:p w:rsidR="00E57A9B" w:rsidRPr="00346091" w:rsidRDefault="00E57A9B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„(3) V dielni žiak vykonáva</w:t>
      </w:r>
    </w:p>
    <w:p w:rsidR="00E57A9B" w:rsidRPr="00346091" w:rsidRDefault="00E57A9B" w:rsidP="000E26EA">
      <w:pPr>
        <w:pStyle w:val="Odsekzoznamu"/>
        <w:numPr>
          <w:ilvl w:val="0"/>
          <w:numId w:val="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odborný výcvik pod </w:t>
      </w:r>
      <w:r w:rsidR="001167B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vedením </w:t>
      </w:r>
      <w:r w:rsidR="00714B6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majstra odbo</w:t>
      </w:r>
      <w:r w:rsidR="00F25EC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rnej výchovy</w:t>
      </w:r>
      <w:r w:rsidR="00136D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alebo učiteľa odbornej praxe</w:t>
      </w:r>
      <w:r w:rsidR="00714B6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</w:p>
    <w:p w:rsidR="00E57A9B" w:rsidRPr="00346091" w:rsidRDefault="00E57A9B" w:rsidP="000E26EA">
      <w:pPr>
        <w:pStyle w:val="Odsekzoznamu"/>
        <w:numPr>
          <w:ilvl w:val="0"/>
          <w:numId w:val="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odbornú prax pod vedením učiteľa odbornej praxe alebo majstra odbornej výchovy alebo</w:t>
      </w:r>
    </w:p>
    <w:p w:rsidR="00E57A9B" w:rsidRPr="00346091" w:rsidRDefault="00E57A9B" w:rsidP="000E26EA">
      <w:pPr>
        <w:pStyle w:val="Odsekzoznamu"/>
        <w:numPr>
          <w:ilvl w:val="0"/>
          <w:numId w:val="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praktické cvičenie pod vedením</w:t>
      </w:r>
      <w:r w:rsidR="0099595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učiteľa príslušného odborného vyučovacieho predmetu,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učiteľa odbornej praxe</w:t>
      </w:r>
      <w:r w:rsidR="00001EA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alebo majstra odbornej výchovy.“.</w:t>
      </w:r>
    </w:p>
    <w:p w:rsidR="00001EA7" w:rsidRPr="00346091" w:rsidRDefault="00001EA7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8 ods. 3 písm. a) sa za slovo „</w:t>
      </w:r>
      <w:r w:rsidR="0019522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vedením“ vkladajú slová „hlavného inštruktora alebo“.</w:t>
      </w:r>
    </w:p>
    <w:p w:rsidR="00714B61" w:rsidRPr="00346091" w:rsidRDefault="00714B6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8 ods. 3 písmeno</w:t>
      </w:r>
      <w:r w:rsidR="00F635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5650C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</w:t>
      </w:r>
      <w:r w:rsidR="00F635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znie:</w:t>
      </w:r>
    </w:p>
    <w:p w:rsidR="00426066" w:rsidRPr="00346091" w:rsidRDefault="00714B61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„b) odborný výcvik pod vedením majstra odbornej výchovy</w:t>
      </w:r>
      <w:r w:rsidR="00136D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alebo učiteľa odbornej praxe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08761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alebo</w:t>
      </w:r>
      <w:r w:rsidR="00F635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F63539" w:rsidRPr="00346091" w:rsidRDefault="00F63539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V § 9</w:t>
      </w:r>
      <w:r w:rsidR="009F7F3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714B6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ods. 2 písmeno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b) </w:t>
      </w:r>
      <w:r w:rsidR="00714B6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znie:</w:t>
      </w:r>
    </w:p>
    <w:p w:rsidR="00714B61" w:rsidRPr="00346091" w:rsidRDefault="00714B61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„b) odborný výcvik pod vedením </w:t>
      </w:r>
      <w:r w:rsidR="00136D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majstra odbornej výchovy alebo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učiteľa odbornej praxe alebo“.</w:t>
      </w:r>
    </w:p>
    <w:p w:rsidR="00E57A9B" w:rsidRPr="00346091" w:rsidRDefault="00B5214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10 ods. 3 písm. b) sa </w:t>
      </w:r>
      <w:r w:rsidR="002560E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„na pracovisku praktického vyučovania a </w:t>
      </w:r>
      <w:bookmarkStart w:id="0" w:name="_Hlk75162375"/>
      <w:r w:rsidR="002560E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záväzok žiaka zúčastňovať sa na praktickom vyučovaní</w:t>
      </w:r>
      <w:r w:rsidR="007B0D6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priamo u zamestnávateľa podľa jeho </w:t>
      </w:r>
      <w:r w:rsidR="006C41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konkrétnych </w:t>
      </w:r>
      <w:r w:rsidR="007B0D6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potrieb a požiadaviek</w:t>
      </w:r>
      <w:bookmarkEnd w:id="0"/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7B0D6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nahrádzajú slovami „a záväzok žiaka zúčastňovať sa na praktickom vyučovaní podľa konkrétnych potrieb a požiadaviek zamestnávateľa“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FF4DDF" w:rsidRPr="00346091" w:rsidRDefault="00FF4DD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12 ods. 3 sa vypúšťa písmeno a).</w:t>
      </w:r>
    </w:p>
    <w:p w:rsidR="00FF4DDF" w:rsidRPr="00346091" w:rsidRDefault="00FF4DDF" w:rsidP="00FF4DD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Doterajšie písmená b) až f) sa označujú ako písmená a) až e).</w:t>
      </w:r>
    </w:p>
    <w:p w:rsidR="009007C0" w:rsidRPr="00346091" w:rsidRDefault="009007C0" w:rsidP="00E85684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12 ods. 3 písmeno e) znie:</w:t>
      </w:r>
    </w:p>
    <w:p w:rsidR="00FF4DDF" w:rsidRPr="00346091" w:rsidRDefault="009007C0" w:rsidP="009007C0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„e) čestné vyhlásenie zamestnávateľa, štatutárneho zástupcu zamestnávateľa, člena štatutárneho orgánu zamestnávateľa alebo vedúceho zamestnanca zamestnávateľa zodpovedného za praktické vyučovanie o tom, že nebol právoplatne odsúdený za úmyselný trestný čin.“.</w:t>
      </w:r>
    </w:p>
    <w:p w:rsidR="00A55497" w:rsidRPr="00346091" w:rsidRDefault="00A55497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12 odsek 4 znie:</w:t>
      </w:r>
    </w:p>
    <w:p w:rsidR="00A55497" w:rsidRPr="00346091" w:rsidRDefault="00A55497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„(4) Žiadateľ môže preukázať splnenie podmienok podľa odseku 3 písm. a) predložením písomného súhlasu iného zamestnávateľa, ktorý je držiteľom osvedčenia, alebo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predložením </w:t>
      </w:r>
      <w:r w:rsidR="00547E5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písomného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súhlasu strednej odbornej školy, ak </w:t>
      </w:r>
      <w:r w:rsidR="00043D7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žiadateľ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zabezpečí praktické vyučovanie</w:t>
      </w:r>
    </w:p>
    <w:p w:rsidR="00A55497" w:rsidRPr="00346091" w:rsidRDefault="00A55497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 rozsahu najviac 50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76C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% z celkového počtu hodín praktického vyučovania </w:t>
      </w:r>
      <w:r w:rsidR="009600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pracovisku praktického vyučovania </w:t>
      </w:r>
      <w:r w:rsidR="00D76C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iného zamestnávateľa, ktorý udelil písomný súhlas,</w:t>
      </w:r>
    </w:p>
    <w:p w:rsidR="00D76CE3" w:rsidRPr="00346091" w:rsidRDefault="00D76CE3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 rozsahu najviac 50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% z celkového počtu hodín praktického vyučovania v dielni,</w:t>
      </w:r>
    </w:p>
    <w:p w:rsidR="00D76CE3" w:rsidRPr="00346091" w:rsidRDefault="00D76CE3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inom mieste výkonu produktívnej práce alebo</w:t>
      </w:r>
    </w:p>
    <w:p w:rsidR="00F27282" w:rsidRPr="00346091" w:rsidRDefault="00D76CE3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kombináciou spôsobov podľa písmena a), b) alebo písmena c).“.  </w:t>
      </w:r>
    </w:p>
    <w:p w:rsidR="00F27282" w:rsidRPr="00346091" w:rsidRDefault="00F2728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14a sa vypúšťajú slová „okrem písm. a)“.</w:t>
      </w:r>
    </w:p>
    <w:p w:rsidR="003C7DDD" w:rsidRPr="00346091" w:rsidRDefault="0077131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16 ods. 2 písmeno o) znie:</w:t>
      </w:r>
    </w:p>
    <w:p w:rsidR="0077131F" w:rsidRPr="00346091" w:rsidRDefault="0077131F" w:rsidP="0077131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„o)</w:t>
      </w:r>
      <w:r w:rsidRPr="003460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spôsob finančného zabezpečenia majstra odbornej výchovy, učiteľa odbornej praxe, hlavného inštruktora alebo inštruktora</w:t>
      </w:r>
      <w:r w:rsidR="009007C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9007C0" w:rsidRPr="00346091"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9007C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ktorí sú zamestnancami strednej odbornej školy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pod vedením ktorých budú žiaci vykonávať praktické vyučovanie,“.</w:t>
      </w:r>
    </w:p>
    <w:p w:rsidR="00E536E4" w:rsidRPr="00346091" w:rsidRDefault="00E536E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16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vypúšťa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odsek 3.</w:t>
      </w:r>
    </w:p>
    <w:p w:rsidR="0007105F" w:rsidRPr="00346091" w:rsidRDefault="00C66674" w:rsidP="00C66674">
      <w:pPr>
        <w:tabs>
          <w:tab w:val="left" w:pos="426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Doterajšie odseky 4 až 11 sa označujú ako odseky 3 až 10.</w:t>
      </w:r>
    </w:p>
    <w:p w:rsidR="000C3160" w:rsidRPr="00346091" w:rsidRDefault="000C316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16 ods. 3 sa slová „odseku 5 alebo odseku 6“ nahrádzajú slovami „odseku 4 alebo odseku 5“.</w:t>
      </w:r>
    </w:p>
    <w:p w:rsidR="00547E59" w:rsidRPr="00346091" w:rsidRDefault="00E0612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V § 16 ods.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písm. c) sa 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slovo „predpisu,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5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)“ nahrádza slovami „predpisu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5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alebo“</w:t>
      </w:r>
      <w:r w:rsidR="00547E5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042878" w:rsidRPr="00346091" w:rsidRDefault="00547E59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16 ods.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="00E0612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</w:t>
      </w:r>
      <w:r w:rsidR="00E0612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vypúšťa </w:t>
      </w:r>
      <w:r w:rsidR="0004287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písmeno d)</w:t>
      </w:r>
      <w:r w:rsidR="00E0612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042878" w:rsidRPr="00346091" w:rsidRDefault="00042878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bookmarkStart w:id="1" w:name="_Hlk64815782"/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Doterajšie písmeno e) sa označuje ako písmeno d)</w:t>
      </w:r>
      <w:r w:rsidR="00F13ED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bookmarkEnd w:id="1"/>
    <w:p w:rsidR="00EE4121" w:rsidRPr="00346091" w:rsidRDefault="00D76CE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16 </w:t>
      </w:r>
      <w:r w:rsidR="002621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</w:t>
      </w:r>
      <w:r w:rsidR="009600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="00EE41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="00EE41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písmeno c) </w:t>
      </w:r>
      <w:r w:rsidR="00EE41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znie:</w:t>
      </w:r>
    </w:p>
    <w:p w:rsidR="00672F25" w:rsidRPr="00346091" w:rsidRDefault="00EE4121" w:rsidP="00C66674">
      <w:pPr>
        <w:tabs>
          <w:tab w:val="left" w:pos="577"/>
        </w:tabs>
        <w:suppressAutoHyphens/>
        <w:spacing w:before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    „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="00672F2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zanikla spôsobilosť  zamestnávateľa podľa § 15 ods. 1 písm. 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b) alebo písm. </w:t>
      </w:r>
      <w:r w:rsidR="00672F2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c) prvého bodu, druhého bodu alebo štvrtého bodu,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  <w:r w:rsidR="00672F2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544448" w:rsidRPr="00346091" w:rsidRDefault="0054444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16 ods.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písm. d) sa na konci bodka nahrádza slovom „alebo“.</w:t>
      </w:r>
    </w:p>
    <w:p w:rsidR="006A4472" w:rsidRPr="00346091" w:rsidRDefault="0096002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16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odsek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="006A447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dopĺňa </w:t>
      </w:r>
      <w:r w:rsidR="00575E5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písmenom e</w:t>
      </w:r>
      <w:r w:rsidR="0054444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), ktoré znie:</w:t>
      </w:r>
    </w:p>
    <w:p w:rsidR="00544448" w:rsidRPr="00346091" w:rsidRDefault="00575E54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„e</w:t>
      </w:r>
      <w:r w:rsidR="0054444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zamestnávateľovi bolo pozastavené alebo zaniklo živnostenské oprávnenie, ktoré zodpovedá obsahu vzdelávania v študijnom odbore alebo v učebnom odbore, v ktorom poskyt</w:t>
      </w:r>
      <w:r w:rsidR="00547E5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uje</w:t>
      </w:r>
      <w:r w:rsidR="0054444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praktické vyučovanie.“.</w:t>
      </w:r>
    </w:p>
    <w:p w:rsidR="008E3B21" w:rsidRPr="00346091" w:rsidRDefault="008E3B2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16 sa za odsek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vkladá nový odsek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ktorý znie:</w:t>
      </w:r>
    </w:p>
    <w:p w:rsidR="008E3B21" w:rsidRPr="00346091" w:rsidRDefault="008E3B21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„(</w:t>
      </w:r>
      <w:r w:rsidR="004A33D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Zmluva o duálnom vzdelávaní zaniká dňom </w:t>
      </w:r>
      <w:r w:rsidR="001E3EC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nadobudnutia </w:t>
      </w:r>
      <w:r w:rsidR="00F13ED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právoplatn</w:t>
      </w:r>
      <w:r w:rsidR="00FC3F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sti</w:t>
      </w:r>
      <w:r w:rsidR="00F13ED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rozhodnut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ia</w:t>
      </w:r>
      <w:r w:rsidR="00FC3F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F13ED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 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vyraden</w:t>
      </w:r>
      <w:r w:rsidR="00F13ED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í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strednej odbornej školy zo siete škôl a školských zariadení Slovenskej republiky.“.</w:t>
      </w:r>
    </w:p>
    <w:p w:rsidR="008E3B21" w:rsidRPr="00346091" w:rsidRDefault="008E3B21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Doterajšie odseky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až 1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0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označujú ako odseky 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7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až 1</w:t>
      </w:r>
      <w:r w:rsidR="0007105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A506F8" w:rsidRPr="00346091" w:rsidRDefault="00A506F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V § 16 ods. </w:t>
      </w:r>
      <w:r w:rsidR="00B4346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7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úvodnej vete sa číslo „5“ </w:t>
      </w:r>
      <w:r w:rsidR="00F1664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 slovami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</w:t>
      </w:r>
      <w:r w:rsidR="00F1664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4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alebo odseku </w:t>
      </w:r>
      <w:r w:rsidR="004A33D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F16646" w:rsidRPr="00346091" w:rsidRDefault="00F16646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16 ods. 8 sa číslo „6“ nahrádza číslom „5“</w:t>
      </w:r>
    </w:p>
    <w:p w:rsidR="00DC4D8F" w:rsidRPr="00346091" w:rsidRDefault="00E7535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18 sa dopĺňa odsek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3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 4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ktor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é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ejú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</w:p>
    <w:p w:rsidR="00CE40BD" w:rsidRPr="00346091" w:rsidRDefault="00E75358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„(3) </w:t>
      </w:r>
      <w:r w:rsidR="006E019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Stredná odborná škola doručí zamestnávateľovi, s ktorým má uzatvorenú zmluvu o duálnom vzdelávaní</w:t>
      </w:r>
      <w:r w:rsidR="00547E5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6E019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CE40BD" w:rsidRPr="00346091" w:rsidRDefault="00CE40BD" w:rsidP="000E26EA">
      <w:pPr>
        <w:pStyle w:val="Odsekzoznamu"/>
        <w:numPr>
          <w:ilvl w:val="0"/>
          <w:numId w:val="4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údaj o nenaplnenom počte žiakov podľa § 16 ods. 2 písm. f) a</w:t>
      </w:r>
    </w:p>
    <w:p w:rsidR="00CE40BD" w:rsidRPr="00346091" w:rsidRDefault="00CE40BD" w:rsidP="000E26EA">
      <w:pPr>
        <w:pStyle w:val="Odsekzoznamu"/>
        <w:numPr>
          <w:ilvl w:val="0"/>
          <w:numId w:val="4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zoznam prijatých </w:t>
      </w:r>
      <w:r w:rsidR="00F462B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uch</w:t>
      </w:r>
      <w:r w:rsidR="00650BB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</w:t>
      </w:r>
      <w:r w:rsidR="00F462B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dzačov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 zapísaných žiakov, ktorí nepriložili k prihláške </w:t>
      </w:r>
      <w:r w:rsidR="002034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vzdelávanie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potvrdenie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 rozsahu meno, priezvisko a študijný odbor alebo učebný odbor.</w:t>
      </w:r>
    </w:p>
    <w:p w:rsidR="00E75358" w:rsidRPr="00346091" w:rsidRDefault="00E85684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(4) 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Zamestnávateľ v súčinnosti so strednou odbornou školou informuje prijatých </w:t>
      </w:r>
      <w:r w:rsidR="00F462B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uchádzačov </w:t>
      </w:r>
      <w:r w:rsidR="00CE40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 zapísaných žiakov</w:t>
      </w:r>
      <w:r w:rsidR="00083B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prvého ročníka, ktorí nepriložili k prihláške na vzdelávanie potvrdenie, o možnosti uzatvorenia učebnej zmluvy.</w:t>
      </w:r>
      <w:r w:rsidR="006E019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AD44E8" w:rsidRPr="00346091" w:rsidRDefault="00AD44E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19</w:t>
      </w:r>
      <w:r w:rsidR="00083B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ods. 2 </w:t>
      </w:r>
      <w:r w:rsidR="00F2728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druhej vete </w:t>
      </w:r>
      <w:r w:rsidR="00083B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slovo „januára“ nahrádza slovom „augusta“ a slová „9 alebo odseku 10“ sa nahrádzajú slovami „10 alebo odseku 11“.</w:t>
      </w:r>
    </w:p>
    <w:p w:rsidR="00083B11" w:rsidRPr="00346091" w:rsidRDefault="00083B1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19 ods. 6 sa na konci pripájajú tieto slová</w:t>
      </w:r>
      <w:r w:rsidR="00304BE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„alebo písomnou dohodou podľa odseku 9“.</w:t>
      </w:r>
    </w:p>
    <w:p w:rsidR="00083B11" w:rsidRPr="00346091" w:rsidRDefault="00083B1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19 </w:t>
      </w:r>
      <w:r w:rsidR="009236C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ods. 8 úvodnej vete sa slovo „Žiak“ nahrádza slovami „Zákonný zástupca žiaka alebo plnoletý žiak“.</w:t>
      </w:r>
    </w:p>
    <w:p w:rsidR="00480A97" w:rsidRPr="00346091" w:rsidRDefault="00F41E9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V § 19 ods. 8 písm. a) sa slovo „stratil“ nahrádza slovami „žiak stratil“.</w:t>
      </w:r>
    </w:p>
    <w:p w:rsidR="009236CE" w:rsidRPr="00346091" w:rsidRDefault="009236CE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19 sa </w:t>
      </w:r>
      <w:r w:rsidR="0040345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 odsek 8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vkladá nový odsek 9, ktorý znie:</w:t>
      </w:r>
    </w:p>
    <w:p w:rsidR="009236CE" w:rsidRPr="00346091" w:rsidRDefault="009236CE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„(9) Zákonný zástupca žiaka alebo plnoletý žiak a zamestnávateľ môž</w:t>
      </w:r>
      <w:r w:rsidR="002034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ukončiť učebnú zmluvu aj písomnou dohodou, ak </w:t>
      </w:r>
      <w:r w:rsidR="00D756E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zákonný zástupca žiaka alebo plnoletý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žiak </w:t>
      </w:r>
      <w:r w:rsidR="00375B2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súčasne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uzatvorí novú učebnú zmluvu</w:t>
      </w:r>
      <w:r w:rsidR="0091529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 iným zamestnávateľom</w:t>
      </w:r>
      <w:r w:rsidR="00304BE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s ktorým má stredná odborná škola žiaka uzatvorenú zmluvu o duálnom vzdelávaní.“.</w:t>
      </w:r>
    </w:p>
    <w:p w:rsidR="0083252F" w:rsidRPr="00346091" w:rsidRDefault="00304BEF" w:rsidP="00304BE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Doterajšie odseky 9 až 11 sa označujú ako odseky 10 až 12.</w:t>
      </w:r>
    </w:p>
    <w:p w:rsidR="004A33D3" w:rsidRPr="00346091" w:rsidRDefault="004A33D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19 ods. 11 sa </w:t>
      </w:r>
      <w:r w:rsidR="00F1664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číslo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„6“ nahrádza </w:t>
      </w:r>
      <w:r w:rsidR="00F1664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číslom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„5“</w:t>
      </w:r>
      <w:r w:rsidR="00F1664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304BEF" w:rsidRPr="00346091" w:rsidRDefault="00304BE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19 ods. 12 sa </w:t>
      </w:r>
      <w:r w:rsidR="00D756E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„9 alebo odseku 10“ nahrádzajú slovami „10 alebo odseku 11“.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AF674B" w:rsidRPr="00346091" w:rsidRDefault="00AF674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19 sa dopĺňa odsekom 13, ktorý znie:</w:t>
      </w:r>
    </w:p>
    <w:p w:rsidR="00D12DF2" w:rsidRPr="00346091" w:rsidRDefault="00AF674B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„(13) </w:t>
      </w:r>
      <w:r w:rsidR="00487AB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Počas prerušenia štúdia žiaka zmluvný vzťa</w:t>
      </w:r>
      <w:r w:rsidR="001C17A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h založený učebnou zmluvou trvá. P</w:t>
      </w:r>
      <w:r w:rsidR="00487AB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ráva a povinnosti vyplývajúce zmluvným stranám z učebnej zmluvy sa neuplatňujú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.“.</w:t>
      </w:r>
    </w:p>
    <w:p w:rsidR="00047616" w:rsidRPr="00346091" w:rsidRDefault="0052403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21 ods. 6 druhej vete sa za slová „organizáciu praktického vyučovania“ vkladá čiarka a slová „</w:t>
      </w:r>
      <w:r w:rsidR="008A199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priebeh praktického vyučovania</w:t>
      </w:r>
      <w:r w:rsidR="004D6FD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28421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za slov</w:t>
      </w:r>
      <w:r w:rsidR="00777CE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="0028421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777CE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28421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majetku</w:t>
      </w:r>
      <w:r w:rsidR="00777CE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28421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vkladá čiarka a slová „</w:t>
      </w:r>
      <w:r w:rsidR="007B5DE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</w:t>
      </w:r>
      <w:r w:rsidR="003356C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dôvody ospravedlnenej neprítomnosti žiaka na praktickom vyučovaní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3B4942" w:rsidRPr="00346091" w:rsidRDefault="00CF62CC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V § 21b ods. 1 písmeno</w:t>
      </w:r>
      <w:r w:rsidR="003B494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a)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znie:</w:t>
      </w:r>
      <w:r w:rsidR="003B494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1446C7" w:rsidRPr="00346091" w:rsidRDefault="00CF62CC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„a) </w:t>
      </w:r>
      <w:r w:rsidR="001446C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je </w:t>
      </w:r>
    </w:p>
    <w:p w:rsidR="001446C7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1. v pracovnoprávnom vzťahu so zamestnávateľom,</w:t>
      </w:r>
    </w:p>
    <w:p w:rsidR="001446C7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2. v pracovnoprávnom vzťahu so strednou odbornou školou, ktorá má uzatvorenú zmluvu o duálnom vzdelávaní so zamestnávateľom, u ktorého vedie praktické vyučovanie,</w:t>
      </w:r>
    </w:p>
    <w:p w:rsidR="001446C7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3. v inom zmluvnom vzťahu so zamestnávateľom alebo</w:t>
      </w:r>
    </w:p>
    <w:p w:rsidR="00CF62CC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4. samostatne zárobkovo činn</w:t>
      </w:r>
      <w:r w:rsidR="006933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osob</w:t>
      </w:r>
      <w:r w:rsidR="006933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CF62C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FB2327" w:rsidRPr="00346091" w:rsidRDefault="0099534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21b ods. 2 sa na konci pripájajú tieto slová</w:t>
      </w:r>
      <w:r w:rsidR="00D756E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„alebo ak vykonával najmenej </w:t>
      </w:r>
      <w:r w:rsidR="00624F4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osem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rokov povolanie</w:t>
      </w:r>
      <w:r w:rsidR="008E193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alebo odborné činnosti v rozsahu vzdelávacích štandardov pre príslušný študijný odbor alebo pre príslušný učebný odbor“.</w:t>
      </w:r>
    </w:p>
    <w:p w:rsidR="008E1932" w:rsidRPr="00346091" w:rsidRDefault="008E193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21b sa dopĺňa odsekom 4, ktorý znie:</w:t>
      </w:r>
    </w:p>
    <w:p w:rsidR="008E1932" w:rsidRPr="00346091" w:rsidRDefault="008E1932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„(4) Potvrdenie o absolvovaní prípravy</w:t>
      </w:r>
      <w:r w:rsidR="00A56A9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hlavného inštruktor</w:t>
      </w:r>
      <w:r w:rsidR="00291FC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 podľa odseku 1 písm. e) sa nevyžaduje, ak hlavný inštruktor poskytuje praktické vyučovanie v systéme duálneho vzdelávania v študijnom odbore učiteľstvo pre materské školy a vychovávateľstvo.“. </w:t>
      </w:r>
    </w:p>
    <w:p w:rsidR="00CD6F94" w:rsidRPr="00346091" w:rsidRDefault="00CD6F9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22 ods. 1 písmeno</w:t>
      </w:r>
      <w:r w:rsidR="0097481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a)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znie:</w:t>
      </w:r>
    </w:p>
    <w:p w:rsidR="001446C7" w:rsidRPr="00346091" w:rsidRDefault="00CD6F94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„a) </w:t>
      </w:r>
      <w:r w:rsidR="001446C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je </w:t>
      </w:r>
    </w:p>
    <w:p w:rsidR="001446C7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1. v pracovnoprávnom vzťahu so zamestnávateľom,</w:t>
      </w:r>
    </w:p>
    <w:p w:rsidR="001446C7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2. v pracovnoprávnom vzťahu so strednou odbornou školou, ktorá má uzatvorenú zmluvu o duálnom vzdelávaní so zamestnávateľom, u ktorého vedie praktické vyučovanie,</w:t>
      </w:r>
    </w:p>
    <w:p w:rsidR="001446C7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3. v inom zmluvnom vzťahu so zamestnávateľom alebo</w:t>
      </w:r>
    </w:p>
    <w:p w:rsidR="00CD6F94" w:rsidRPr="00346091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4. samostatne zárobkovo činn</w:t>
      </w:r>
      <w:r w:rsidR="0099045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osob</w:t>
      </w:r>
      <w:r w:rsidR="0099045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CD6F9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  <w:r w:rsidR="0097481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97481C" w:rsidRPr="00346091" w:rsidRDefault="0040345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</w:t>
      </w:r>
      <w:r w:rsidR="0097481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22 odsek 2 znie:</w:t>
      </w:r>
    </w:p>
    <w:p w:rsidR="0097481C" w:rsidRPr="00346091" w:rsidRDefault="0097481C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„(2) Stupeň dosiahnutého vzdelania podľa odseku 1 písm. b) sa nevyžaduje, ak inštruktor vykonal skúšku na overenie odbornej spôsobilosti podľa osobitného predpisu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8c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pre príslušné povolanie alebo pre príslušné odborné činnosti</w:t>
      </w:r>
      <w:r w:rsidR="0044011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EF79B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alebo </w:t>
      </w:r>
      <w:r w:rsidR="00F1079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ak v</w:t>
      </w:r>
      <w:r w:rsidR="00EF79B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ykonával najmenej päť rokov povolanie alebo odborné činnosti v rozsahu vzdelávacích štandardov pre príslušný študijný odbor alebo pre príslušný učebný odbor.“.</w:t>
      </w:r>
    </w:p>
    <w:p w:rsidR="0097481C" w:rsidRPr="00346091" w:rsidRDefault="00EF79B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22 sa dopĺňa odsekom 4, ktorý znie:</w:t>
      </w:r>
    </w:p>
    <w:p w:rsidR="00EF79B3" w:rsidRPr="00346091" w:rsidRDefault="00EF79B3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„(4) Potvrdenie o absolvovaní prípravy inštruktora podľa odseku 1 písm. e) sa nevyžaduje, ak inštruktor poskytuje praktické vyučovanie v systéme duálneho vzdelávania v študijnom odbore učiteľstvo pre materské školy a vychovávateľstvo.“.</w:t>
      </w:r>
    </w:p>
    <w:p w:rsidR="0021751D" w:rsidRPr="00346091" w:rsidRDefault="0021751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22 sa vkladá § 22a</w:t>
      </w:r>
      <w:r w:rsidR="00E03E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ktorý vrátane nadpisu znie:</w:t>
      </w:r>
    </w:p>
    <w:p w:rsidR="0021751D" w:rsidRPr="00346091" w:rsidRDefault="0021751D" w:rsidP="0021751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„§</w:t>
      </w:r>
      <w:r w:rsidR="005D56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22a</w:t>
      </w:r>
    </w:p>
    <w:p w:rsidR="0021751D" w:rsidRPr="00346091" w:rsidRDefault="0021751D" w:rsidP="0021751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Nadpodnikové vzdelávacie centrum</w:t>
      </w:r>
    </w:p>
    <w:p w:rsidR="0021751D" w:rsidRPr="00346091" w:rsidRDefault="0021751D" w:rsidP="0021751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21751D" w:rsidRPr="00346091" w:rsidRDefault="0021751D" w:rsidP="000E26EA">
      <w:pPr>
        <w:pStyle w:val="Odsekzoznamu"/>
        <w:numPr>
          <w:ilvl w:val="0"/>
          <w:numId w:val="6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 môže popri svojom názve používať označenie nadpodnikové vzdelávacie centrum, ak</w:t>
      </w:r>
    </w:p>
    <w:p w:rsidR="0021751D" w:rsidRPr="00346091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poskytuje najmenej tri roky praktické vyučovanie v systéme duálneho vzdelávania žiakom, ktorí majú uzatvorenú učebnú zmluvu s iným zamestnávateľom,</w:t>
      </w:r>
    </w:p>
    <w:p w:rsidR="0021751D" w:rsidRPr="00346091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uskutočňuje  profesijný rozvoj pedagogických zamestnancov,</w:t>
      </w:r>
    </w:p>
    <w:p w:rsidR="0021751D" w:rsidRPr="00346091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uskutočňuje najmenej dva roky odbornú prípravu inštruktorov alebo hlavných inštruktorov,</w:t>
      </w:r>
    </w:p>
    <w:p w:rsidR="0021751D" w:rsidRPr="00346091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má schválenú stratégiu kvality odborného vzdelávania a prípravy podľa potrieb trhu práce,</w:t>
      </w:r>
    </w:p>
    <w:p w:rsidR="0021751D" w:rsidRPr="00346091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spolupracuje s vysokými školami pri rozvoji odborného vzdelávania a</w:t>
      </w:r>
      <w:r w:rsidR="008207C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prípravy</w:t>
      </w:r>
      <w:r w:rsidR="008207C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</w:t>
      </w:r>
    </w:p>
    <w:p w:rsidR="0044037E" w:rsidRPr="00346091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spĺňa ďalšie kritériá určené</w:t>
      </w:r>
      <w:r w:rsidR="0044037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vnútorným predpisom príslušnej stavovskej organizácie alebo príslušnej profesijnej organizácie.</w:t>
      </w:r>
    </w:p>
    <w:p w:rsidR="0021751D" w:rsidRPr="00346091" w:rsidRDefault="00F21F87" w:rsidP="000E26EA">
      <w:pPr>
        <w:pStyle w:val="Odsekzoznamu"/>
        <w:numPr>
          <w:ilvl w:val="0"/>
          <w:numId w:val="6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Oprávnen</w:t>
      </w:r>
      <w:r w:rsidR="004D217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ie </w:t>
      </w:r>
      <w:r w:rsidR="00694D5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používať označenie nadpodnikové vzdelávacie centrum udeľuje zamestnávateľovi </w:t>
      </w:r>
      <w:r w:rsidR="009720C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príslušná stavovská </w:t>
      </w:r>
      <w:r w:rsidR="008B3EF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organizácia </w:t>
      </w:r>
      <w:r w:rsidR="009720C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alebo príslušná profesijná organizácia.</w:t>
      </w:r>
      <w:r w:rsidR="0021751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9720C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Príslušná </w:t>
      </w:r>
      <w:r w:rsidR="008B3EF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stavovská organizácia alebo príslušná profesijná organizácia vykonáva kontrolu dodržiavania podmienok, za ktorých </w:t>
      </w:r>
      <w:r w:rsidR="004D217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udelila</w:t>
      </w:r>
      <w:r w:rsidR="008B3EF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oprávnen</w:t>
      </w:r>
      <w:r w:rsidR="004D217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ie</w:t>
      </w:r>
      <w:r w:rsidR="008B3EF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používať o</w:t>
      </w:r>
      <w:r w:rsidR="006F1C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značenie nadpodnikové vzdelávacie centrum. Príslušná stavovská organizácia alebo príslušná profesijná organizácia </w:t>
      </w:r>
      <w:r w:rsidR="004D217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odníme</w:t>
      </w:r>
      <w:r w:rsidR="006F1C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oprávneni</w:t>
      </w:r>
      <w:r w:rsidR="004D217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="006F1C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používať označenie nadpodnikové vzdelávacie centrum, ak zamestnávateľ prestane spĺňať podmienky podľa odseku 1.</w:t>
      </w:r>
    </w:p>
    <w:p w:rsidR="006F1C0B" w:rsidRPr="00346091" w:rsidRDefault="006F1C0B" w:rsidP="000E26EA">
      <w:pPr>
        <w:pStyle w:val="Odsekzoznamu"/>
        <w:numPr>
          <w:ilvl w:val="0"/>
          <w:numId w:val="6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Zamestnávateľ, ktorý má oprávnenie používať označenie nadpodnikové vzdelávacie centrum, môže na svojom vonkajšom označení uviesť „Nadpodnikové vzdelávacie centrum“.</w:t>
      </w:r>
      <w:r w:rsidR="001B2F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E50372" w:rsidRPr="00346091" w:rsidRDefault="00E5037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23 </w:t>
      </w:r>
      <w:r w:rsidR="00CD6F9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ods.</w:t>
      </w:r>
      <w:r w:rsidR="001831A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4 </w:t>
      </w:r>
      <w:r w:rsidR="00CD6F9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na konci pripája táto veta: „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Stredná odborná škola po dohode so zamestnávateľom umožní písomne poverenému zamestnancovi zamestnávateľa</w:t>
      </w:r>
      <w:r w:rsidR="009007C0" w:rsidRPr="003460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07C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účel zabezpečenia výchovno-vzdelávacieho procesu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nahliadnuť do pedagogickej dokumentácie a ďalšej dokumentácie žiaka, s ktorým má zamestnávateľ uzatvorenú učebnú zmluvu.“.</w:t>
      </w:r>
    </w:p>
    <w:p w:rsidR="00ED333B" w:rsidRPr="00346091" w:rsidRDefault="00ED333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24 ods. 1 písm. c) sa slová „rozhodne o tom“ nahrádzajú slovami „udelí príslušné oprávnenie“.</w:t>
      </w:r>
    </w:p>
    <w:p w:rsidR="0021751D" w:rsidRPr="00346091" w:rsidRDefault="00380665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24 sa </w:t>
      </w:r>
      <w:r w:rsidR="001831A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 odsek 2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vkladá nový odsek 3, ktorý znie:</w:t>
      </w:r>
    </w:p>
    <w:p w:rsidR="00380665" w:rsidRPr="00346091" w:rsidRDefault="00380665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„(3) Príslušná stavovská organizácia alebo príslušná profesijná organizácia vykonáva kontrolu dodržiavania podmienok, za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ktorých </w:t>
      </w:r>
      <w:r w:rsidR="00616B8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udelila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oprávnen</w:t>
      </w:r>
      <w:r w:rsidR="00616B8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používať označenie centrum odborného vzdelávania a prípravy. Príslušná stavovská organizácia alebo príslušná profesijná organizácia </w:t>
      </w:r>
      <w:r w:rsidR="00ED333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odníme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oprávneni</w:t>
      </w:r>
      <w:r w:rsidR="00ED333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používa</w:t>
      </w:r>
      <w:r w:rsidR="00ED333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ť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označenie centrum odborného vzdelávania a prípravy, ak stredná odborná škola prestane spĺňať podmienky podľa odseku 2.“. </w:t>
      </w:r>
    </w:p>
    <w:p w:rsidR="00380665" w:rsidRPr="00346091" w:rsidRDefault="00380665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Doterajší odsek 3 sa označuje ako odsek 4.</w:t>
      </w:r>
    </w:p>
    <w:p w:rsidR="00CB5C54" w:rsidRPr="00346091" w:rsidRDefault="00CB5C5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24a ods. 1 písm. c) sa za slovo „ročníka“ vkladajú slová „</w:t>
      </w:r>
      <w:r w:rsidR="005B12F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denn</w:t>
      </w:r>
      <w:r w:rsidR="005B12F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ej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5B12F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forme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štúdia“.</w:t>
      </w:r>
    </w:p>
    <w:p w:rsidR="00CB5C54" w:rsidRPr="00346091" w:rsidRDefault="00CB5C5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24a ods. 1 písm</w:t>
      </w:r>
      <w:r w:rsidR="00694D5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d) </w:t>
      </w:r>
      <w:r w:rsidR="00694D5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za slovo „žiakov“ vkladajú slová „v posledných dvoch ročníkoch v dennej forme štúdia“.</w:t>
      </w:r>
    </w:p>
    <w:p w:rsidR="00D70217" w:rsidRPr="00346091" w:rsidRDefault="00D70217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25 ods. 5 sa slová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55A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predpisu.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11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="00D55A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nahrádzajú slovami „predpisu,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11</w:t>
      </w:r>
      <w:r w:rsidR="00BD58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a to aj na účely úrazu.</w:t>
      </w:r>
      <w:r w:rsidR="00D55A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7860C4" w:rsidRPr="00346091" w:rsidRDefault="007860C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26 odsek</w:t>
      </w:r>
      <w:r w:rsidR="00B638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znie:</w:t>
      </w:r>
    </w:p>
    <w:p w:rsidR="00B83129" w:rsidRPr="00346091" w:rsidRDefault="007860C4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„(2) Zamestnávateľ, ktorý poskytuje praktické vyučovanie v systéme duálneho vzdelávania, </w:t>
      </w:r>
      <w:r w:rsidR="001831A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zabezpečuje žiakovi stravovanie počas praktického vyučovania podľa osobitného predpisu.</w:t>
      </w:r>
      <w:r w:rsidR="001831A9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12</w:t>
      </w:r>
      <w:r w:rsidR="001831A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)“.</w:t>
      </w:r>
    </w:p>
    <w:p w:rsidR="00B83129" w:rsidRPr="00346091" w:rsidRDefault="00B8312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Poznámka pod čiarou k odkazu 12 znie:</w:t>
      </w:r>
    </w:p>
    <w:p w:rsidR="009B26FA" w:rsidRPr="00346091" w:rsidRDefault="00B8312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12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="00CB04B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§ 152 Zákonníka práce.</w:t>
      </w:r>
      <w:r w:rsidR="001831A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AA0C55" w:rsidRPr="00346091" w:rsidRDefault="00AA0C55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26 odsek 4 znie:</w:t>
      </w:r>
    </w:p>
    <w:p w:rsidR="00AA0C55" w:rsidRPr="00346091" w:rsidRDefault="00AA0C55" w:rsidP="00AA0C55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„(4) Zamestnávateľ, na pracovisku ktorého sa vykonáva praktické vyučovanie podľa § 8, môže zabezpečiť žiakovi stravovanie počas praktického vyučovania podľa odseku 2 a uhradiť žiakovi zo svojich prostriedkov náklady podľa odseku 3.“.</w:t>
      </w:r>
    </w:p>
    <w:p w:rsidR="0019522C" w:rsidRPr="00346091" w:rsidRDefault="0019522C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27 od</w:t>
      </w:r>
      <w:r w:rsidR="00214CC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s.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4 </w:t>
      </w:r>
      <w:r w:rsidR="00214CC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písm. a) sa </w:t>
      </w:r>
      <w:r w:rsidR="00D7581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číslo „1,8“ nahrádza číslom „1,80“.</w:t>
      </w:r>
    </w:p>
    <w:p w:rsidR="00D75816" w:rsidRPr="00346091" w:rsidRDefault="00D75816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27 ods. 4 písm. b) sa číslo „1,8“ nahrádza číslom „1,81“ a číslo „2,4“ </w:t>
      </w:r>
      <w:r w:rsidR="0044011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 číslom „2,40“.</w:t>
      </w:r>
    </w:p>
    <w:p w:rsidR="00D75816" w:rsidRPr="00346091" w:rsidRDefault="00D75816" w:rsidP="00D75816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27 ods. 4 písm. c) sa číslo „2,4“ nahrádza číslom „2,41“ a číslo „3,0“ </w:t>
      </w:r>
      <w:r w:rsidR="0044011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 číslom „3,00“.</w:t>
      </w:r>
    </w:p>
    <w:p w:rsidR="00291E6D" w:rsidRPr="00346091" w:rsidRDefault="00291E6D" w:rsidP="00D75816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27 ods. 5 </w:t>
      </w:r>
      <w:r w:rsidR="00A669E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na konci pripája táto veta: „Priemerný prospech žiaka sa zaokrúh</w:t>
      </w:r>
      <w:r w:rsidR="005C0C4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ľuje</w:t>
      </w:r>
      <w:r w:rsidR="00A669E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 presnosťou na dve desatinné miesta</w:t>
      </w:r>
      <w:r w:rsidR="00F1079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nahor</w:t>
      </w:r>
      <w:r w:rsidR="006B6F4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="00A669E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5E75F2" w:rsidRPr="00346091" w:rsidRDefault="00B83129" w:rsidP="00412EC3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27 ods. 6 sa slová „</w:t>
      </w:r>
      <w:r w:rsidR="00637B0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</w:t>
      </w:r>
      <w:r w:rsidR="00637B0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acovisku praktického vyučovania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637B0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nahrádzajú slovami „žiakovi, ktorý sa pripravuje v systéme duálneho vzdelávania“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1674F9" w:rsidRPr="00346091" w:rsidRDefault="00E03EF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 § 29 sa 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vkladajú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§ 29a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 29b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ktor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é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ejú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</w:p>
    <w:p w:rsidR="00E03EFB" w:rsidRPr="00346091" w:rsidRDefault="00E03EFB" w:rsidP="00BF23B2">
      <w:pPr>
        <w:tabs>
          <w:tab w:val="left" w:pos="577"/>
        </w:tabs>
        <w:suppressAutoHyphens/>
        <w:spacing w:before="120" w:line="240" w:lineRule="auto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3D609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29a</w:t>
      </w:r>
    </w:p>
    <w:p w:rsidR="00AC578F" w:rsidRPr="00346091" w:rsidRDefault="00C465A1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Počas výnimočného stavu, núdzového stavu alebo mimoriadnej situácie môže ministerstvo </w:t>
      </w:r>
      <w:r w:rsidR="00AC578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školstva </w:t>
      </w:r>
      <w:r w:rsidR="001C17A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určiť </w:t>
      </w:r>
      <w:r w:rsidR="00833A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iné</w:t>
      </w:r>
      <w:r w:rsidR="001C17A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termíny súvisiace s</w:t>
      </w:r>
      <w:r w:rsidR="00833A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určovaním najvyššieho počtu žiakov prvého ročníka v dennej </w:t>
      </w:r>
      <w:r w:rsidR="00833A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forme štúdia</w:t>
      </w:r>
      <w:r w:rsidR="00A014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podľa</w:t>
      </w:r>
      <w:r w:rsidR="00833A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§ 31 a úpravou počtu žiakov prvého ročníka stredných škôl</w:t>
      </w:r>
      <w:r w:rsidR="00A014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podľa</w:t>
      </w:r>
      <w:r w:rsidR="00833A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§ 29</w:t>
      </w:r>
      <w:r w:rsidR="001C17A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1674F9" w:rsidRPr="00346091" w:rsidRDefault="001674F9" w:rsidP="00BF23B2">
      <w:pPr>
        <w:tabs>
          <w:tab w:val="left" w:pos="577"/>
        </w:tabs>
        <w:suppressAutoHyphens/>
        <w:spacing w:before="120" w:line="240" w:lineRule="auto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</w:t>
      </w:r>
      <w:r w:rsidR="003D609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29b</w:t>
      </w:r>
    </w:p>
    <w:p w:rsidR="001674F9" w:rsidRPr="00346091" w:rsidRDefault="001674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Zriaďovateľ môže zvýšiť určený počet žiakov prvého ročníka stredných škôl financovaných podľa osobitného predpisu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20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="0005060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</w:t>
      </w:r>
      <w:r w:rsidR="00C81C1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lebo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 nadväzujúcich ročníkoch odborov vzdelávania </w:t>
      </w:r>
      <w:r w:rsidR="0005060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najviac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 troch žiakov z dôvodu</w:t>
      </w:r>
    </w:p>
    <w:p w:rsidR="001674F9" w:rsidRPr="00346091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zmeny trvalého pobytu žiaka,</w:t>
      </w:r>
    </w:p>
    <w:p w:rsidR="001674F9" w:rsidRPr="00346091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opakovania ročníka žiakom,</w:t>
      </w:r>
    </w:p>
    <w:p w:rsidR="001674F9" w:rsidRPr="00346091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pokračovania štúdia žiaka po prerušení štúdia,</w:t>
      </w:r>
    </w:p>
    <w:p w:rsidR="001674F9" w:rsidRPr="00346091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prestupu žiaka z inej školy zo zdravotných dôvodov,</w:t>
      </w:r>
    </w:p>
    <w:p w:rsidR="001674F9" w:rsidRPr="00346091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osobitného spôsobu plnenia povinnej školskej dochádzky</w:t>
      </w:r>
      <w:r w:rsidR="0005060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1674F9" w:rsidRPr="00346091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preradenia žiaka do vyššieho ročníka bez absolvovania predchádzajúceho ročníka</w:t>
      </w:r>
      <w:r w:rsidR="00412EC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F92D22" w:rsidRPr="00346091" w:rsidRDefault="001446C7" w:rsidP="00ED07D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zmeny študijného odboru alebo učebného odboru v rámci príslušnej strednej odbornej</w:t>
      </w:r>
      <w:r w:rsidR="00ED07D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školy žiakom zo zdravotných dôvodov</w:t>
      </w:r>
      <w:r w:rsidR="00AB519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</w:p>
    <w:p w:rsidR="00412EC3" w:rsidRPr="00346091" w:rsidRDefault="00412EC3" w:rsidP="00ED07D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1755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F92D2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zmeny študijného odboru alebo učebného odboru na základe písomného vyjadrenia </w:t>
      </w:r>
      <w:r w:rsidR="00F92D22" w:rsidRPr="00346091">
        <w:rPr>
          <w:rFonts w:ascii="Times New Roman" w:hAnsi="Times New Roman" w:cs="Times New Roman"/>
          <w:color w:val="auto"/>
          <w:sz w:val="24"/>
          <w:szCs w:val="24"/>
        </w:rPr>
        <w:t>zariadenia poradenstva a prevencie</w:t>
      </w:r>
      <w:r w:rsidR="00F92D2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1755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alebo </w:t>
      </w:r>
    </w:p>
    <w:p w:rsidR="001674F9" w:rsidRPr="00346091" w:rsidRDefault="00412EC3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uzatvorenia učebnej zmluvy.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D655F3" w:rsidRPr="00346091" w:rsidRDefault="00C8272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V </w:t>
      </w:r>
      <w:r w:rsidR="00D655F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31 odsek 1 znie:</w:t>
      </w:r>
    </w:p>
    <w:p w:rsidR="00D655F3" w:rsidRPr="00346091" w:rsidRDefault="00D655F3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„(1) Samosprávny kraj </w:t>
      </w:r>
      <w:r w:rsidR="00F258B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spolupráci so subjektmi podľa § 28 ods. 3 písm. b) až f)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vydáva regionálnu stratégiu</w:t>
      </w:r>
      <w:r w:rsidRPr="003460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výchovy a vzdelávania v stredných školách vo svojej územnej pôsobnosti podľa analýz a prognóz o vývoji trhu práce najmenej raz za štyri roky</w:t>
      </w:r>
      <w:r w:rsidR="00694D5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zverejňuje ju na svojom webovom sídle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Vyhodnotenie priebežného plnenia </w:t>
      </w:r>
      <w:r w:rsidR="00EE63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regionálnej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stratégie výchovy a vzdelávania samosprávny kraj po prerokovaní v krajskej rade a rade vlády vydáva a zverejňuje na svojom webovom sídle každoročne do 31. októbra a vyhodnotenie záverečného plnenia </w:t>
      </w:r>
      <w:r w:rsidR="00EE63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regionálnej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stratégie </w:t>
      </w:r>
      <w:r w:rsidR="00EE63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výchovy a</w:t>
      </w:r>
      <w:r w:rsidR="00694D5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="00EE63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vzdelávania</w:t>
      </w:r>
      <w:r w:rsidR="00694D5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vydáva a zverejňuje na svojom webovom sídle</w:t>
      </w:r>
      <w:r w:rsidR="00EE63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 31. októbra posledného kalendárneho roka, na ktorý sa regionálna stratégia výchovy a vzdelávania vzťahuje.“.</w:t>
      </w:r>
    </w:p>
    <w:p w:rsidR="007F5BA5" w:rsidRPr="00346091" w:rsidRDefault="007F5BA5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31 ods. 3 sa za slovo „prerokovania“ vkladajú slová „s ministerstvom školstva a</w:t>
      </w:r>
      <w:r w:rsidR="00DE2DD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následného prerokovania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DE2DD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na konci </w:t>
      </w:r>
      <w:r w:rsidR="006F1B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pripája táto</w:t>
      </w:r>
      <w:r w:rsidR="00CE540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veta</w:t>
      </w:r>
      <w:r w:rsidR="00DE2DD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 „</w:t>
      </w:r>
      <w:r w:rsidR="006F1B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</w:t>
      </w:r>
      <w:r w:rsidR="00DE2DD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amosprávny kraj zasiela </w:t>
      </w:r>
      <w:r w:rsidR="00D478C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ministerstvu školstva </w:t>
      </w:r>
      <w:r w:rsidR="00DE2DD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návrh najvyššieho počtu žiakov prvého ročníka stredných škôl </w:t>
      </w:r>
      <w:r w:rsidR="006F1B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účely prerokovania </w:t>
      </w:r>
      <w:r w:rsidR="00DE2DD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 15. októbra</w:t>
      </w:r>
      <w:r w:rsidR="0028720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.“.</w:t>
      </w:r>
    </w:p>
    <w:p w:rsidR="00D655F3" w:rsidRPr="00346091" w:rsidRDefault="00C8272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</w:t>
      </w:r>
      <w:r w:rsidR="00A6780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31 ods. 8</w:t>
      </w:r>
      <w:r w:rsidR="00045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slov</w:t>
      </w:r>
      <w:r w:rsidR="001446C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</w:t>
      </w:r>
      <w:r w:rsidR="0004525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</w:t>
      </w:r>
      <w:r w:rsidR="0065610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učebné odbory, ktorých úspešným absolvovaním žiak získa nižšie stredné odborné vzdelanie</w:t>
      </w:r>
      <w:r w:rsidR="00F55CA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“ </w:t>
      </w:r>
      <w:r w:rsidR="001446C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nahrádzajú slovami</w:t>
      </w:r>
      <w:r w:rsidR="002375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C81BE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8D5AA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študijné odbory a učebné odbory v nadväzujúcich formách </w:t>
      </w:r>
      <w:r w:rsidR="000C316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odborného vzdelávania a prípravy</w:t>
      </w:r>
      <w:r w:rsidR="008D5AA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ED333B" w:rsidRPr="00346091" w:rsidRDefault="00ED333B" w:rsidP="00ED333B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V § 32 ods. 2 písmeno h) znie:</w:t>
      </w:r>
    </w:p>
    <w:p w:rsidR="00ED333B" w:rsidRPr="00346091" w:rsidRDefault="00ED333B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„h) udeľuje </w:t>
      </w:r>
      <w:r w:rsidR="006B5F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 odníma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oprávnenie strednej odbornej škol</w:t>
      </w:r>
      <w:r w:rsidR="007B4D7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používať označenie centrum odborného vzdelávania a prípravy a udeľuje </w:t>
      </w:r>
      <w:r w:rsidR="006B5F2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 odníma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oprávnenie </w:t>
      </w:r>
      <w:r w:rsidR="0093168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zamestnávateľovi</w:t>
      </w:r>
      <w:r w:rsidR="00C75FB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používať označenie nadpodnikové vzdelávacie centrum,“.</w:t>
      </w:r>
    </w:p>
    <w:p w:rsidR="00ED333B" w:rsidRPr="00346091" w:rsidRDefault="00ED333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2 písm. i) sa slovo „rozhodnutia“ nahrádza slovami „oprávnenia“.</w:t>
      </w:r>
    </w:p>
    <w:p w:rsidR="004F108D" w:rsidRPr="00346091" w:rsidRDefault="004F108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2 písm. j) sa na konci slovo „a“ nahrádza čiarkou.</w:t>
      </w:r>
    </w:p>
    <w:p w:rsidR="004F108D" w:rsidRPr="00346091" w:rsidRDefault="004F108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2 písm. k) sa na konci pripája</w:t>
      </w:r>
      <w:r w:rsidR="006E7F7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jú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478C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tieto </w:t>
      </w:r>
      <w:r w:rsidR="00F62A5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</w:t>
      </w:r>
      <w:r w:rsidR="006E7F7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</w:t>
      </w:r>
      <w:r w:rsidR="00D478C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„a</w:t>
      </w:r>
      <w:r w:rsidR="006E7F7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podieľa sa na tvorbe sústavy odborov vzdelávania</w:t>
      </w:r>
      <w:r w:rsidR="006F1BE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A6780C" w:rsidRPr="00346091" w:rsidRDefault="00C8272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32 </w:t>
      </w:r>
      <w:r w:rsidR="00F62A5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odsek</w:t>
      </w:r>
      <w:r w:rsidR="00A6780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 </w:t>
      </w:r>
      <w:r w:rsidR="007734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dopĺňa písmenom l), ktoré znie:</w:t>
      </w:r>
    </w:p>
    <w:p w:rsidR="00773436" w:rsidRPr="00346091" w:rsidRDefault="00773436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„l) schvaľuje stratégiu kvality odborného vzdelávania a prípravy podľa potrieb trhu práce vypracovanú zamestnávateľom.“.</w:t>
      </w:r>
    </w:p>
    <w:p w:rsidR="00773436" w:rsidRPr="00346091" w:rsidRDefault="004F108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4 sa slová „</w:t>
      </w:r>
      <w:r w:rsidR="007734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systéme duálneho vzde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lávania“ nahrádzajú slovami „</w:t>
      </w:r>
      <w:r w:rsidR="007734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odbornom vzdelávaní a príprave“ a slová „systém duálneho vzdelávania“ </w:t>
      </w:r>
      <w:r w:rsidR="00C81BE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="0077343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nahrádzajú slovami „odborné vzdelávanie a prípravu“.</w:t>
      </w:r>
    </w:p>
    <w:p w:rsidR="00773436" w:rsidRPr="00346091" w:rsidRDefault="00F154E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32 sa dopĺňa odsekom 7, ktorý znie:</w:t>
      </w:r>
    </w:p>
    <w:p w:rsidR="00F154E0" w:rsidRPr="00346091" w:rsidRDefault="00F154E0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„(7) Ministerstvo </w:t>
      </w:r>
      <w:r w:rsidR="004870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školstva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môže poskytnúť príslušnej stavovskej organizácii a príslušnej profesijnej organizácii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dotáciu</w:t>
      </w:r>
      <w:r w:rsidR="000E161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zabezpečenie výkonu vecnej pôsobnosti k odborom vzdelávania na príslušný školský rok.</w:t>
      </w:r>
      <w:r w:rsidR="004A546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Pri poskytovaní dotácií sa postupuje podľa osobitného predpisu</w:t>
      </w:r>
      <w:r w:rsidR="00F13ED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="004A5467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</w:t>
      </w:r>
      <w:r w:rsidR="00C146FF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</w:t>
      </w:r>
      <w:r w:rsidR="004A546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F154E0" w:rsidRPr="00346091" w:rsidRDefault="00F154E0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Poznámka pod čiarou k odkazu </w:t>
      </w:r>
      <w:r w:rsidR="00BF28B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</w:t>
      </w:r>
      <w:r w:rsidR="005767B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="00BF28B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znie:</w:t>
      </w:r>
    </w:p>
    <w:p w:rsidR="00BF28B7" w:rsidRPr="00346091" w:rsidRDefault="00BF28B7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C146FF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21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="004452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6c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zákon</w:t>
      </w:r>
      <w:r w:rsidR="0044523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č. 597/2003 Z. z. v znení neskorších predpisov.“.</w:t>
      </w:r>
    </w:p>
    <w:p w:rsidR="0030690B" w:rsidRPr="00346091" w:rsidRDefault="00F154E0" w:rsidP="002312F9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48 sa dopĺňa odse</w:t>
      </w:r>
      <w:r w:rsidR="00E766E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kom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4, ktor</w:t>
      </w:r>
      <w:r w:rsidR="00E766E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ý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</w:t>
      </w:r>
      <w:r w:rsidR="00E766E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</w:p>
    <w:p w:rsidR="00F154E0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(</w:t>
      </w:r>
      <w:r w:rsidR="00E766EF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Ospravedlnená neprítomnosť žiaka na praktickom vyučovaní z dôvodov, ktoré </w:t>
      </w:r>
      <w:r w:rsidR="00B7480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uprav</w:t>
      </w:r>
      <w:r w:rsidR="00B7480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il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vo vnútornom poriadku pracoviska praktického vyučovania</w:t>
      </w:r>
      <w:r w:rsidR="00B7480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započítava do </w:t>
      </w:r>
      <w:r w:rsidR="00EC301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počtu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hodín na účel</w:t>
      </w:r>
      <w:r w:rsidR="00B7480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poskytovania príspevku a na účel zníženia základu dane podľa osobitného predpisu.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="002D6EB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  <w:r w:rsidR="00F154E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     </w:t>
      </w:r>
    </w:p>
    <w:p w:rsidR="00540B4F" w:rsidRPr="00346091" w:rsidRDefault="00540B4F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Poznámk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 čiarou k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odkaz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 22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e:</w:t>
      </w:r>
    </w:p>
    <w:p w:rsidR="00540B4F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„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="00EC301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17 ods. 37 z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ákon</w:t>
      </w:r>
      <w:r w:rsidR="00EC301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="0030690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č. 595/2003 Z. z. o dani z príjmov v znení neskorších predpisov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="000D493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E766EF" w:rsidRPr="00346091" w:rsidRDefault="00E766E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4</w:t>
      </w:r>
      <w:r w:rsidR="008C4F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8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vkladá § 48a, ktorý znie:</w:t>
      </w:r>
    </w:p>
    <w:p w:rsidR="00E766EF" w:rsidRPr="00346091" w:rsidRDefault="00E766EF" w:rsidP="00BF23B2">
      <w:pPr>
        <w:tabs>
          <w:tab w:val="left" w:pos="577"/>
        </w:tabs>
        <w:suppressAutoHyphens/>
        <w:spacing w:before="120" w:line="240" w:lineRule="auto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1C1B4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48a</w:t>
      </w:r>
    </w:p>
    <w:p w:rsidR="00E766EF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(1) Ak ide o poskytovanie praktického vyučovania v </w:t>
      </w:r>
    </w:p>
    <w:p w:rsidR="00A510E8" w:rsidRPr="00346091" w:rsidRDefault="00E766EF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a)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  <w:t>študijnom odbore učiteľstvo pre materské školy a vychovávateľstvo, úlohy zamestnávateľa plní zriaďovateľ školy alebo zriaďovateľ školského zariadenia,</w:t>
      </w:r>
    </w:p>
    <w:p w:rsidR="00E766EF" w:rsidRPr="00346091" w:rsidRDefault="00E766EF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b)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  <w:t>skupine študijných odborov učiteľstvo, úlohy zamestnávateľa pln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í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centrum pre deti a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rodiny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fyzická osoba alebo právnická osoba, ktorá vykonáva opatrenia sociálnoprávnej ochrany detí a sociálnej kurately na základe akreditácie udelenej podľa osobitného predpisu,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</w:p>
    <w:p w:rsidR="00E766EF" w:rsidRPr="00346091" w:rsidRDefault="00E766EF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c)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  <w:t xml:space="preserve">skupine študijných odborov právne vedy, úlohy zamestnávateľa </w:t>
      </w:r>
      <w:r w:rsidR="002312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plní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poskytovateľ sociálnej služby zapísaný do registra poskytovateľov</w:t>
      </w:r>
      <w:r w:rsidR="000C3160" w:rsidRPr="0034609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C316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sociálnych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služieb podľa osobitného predpisu.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22b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</w:p>
    <w:p w:rsidR="002312F9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(2) Overenie spôsobilosti zamestnávateľa podľa odseku 1 sa nevyžaduje.“.</w:t>
      </w:r>
    </w:p>
    <w:p w:rsidR="002312F9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Poznámky pod čiarou k odkazom 22a a 22b znejú:</w:t>
      </w:r>
    </w:p>
    <w:p w:rsidR="002312F9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§ 77 až 86 zákona č. 305/2005 Z. z. o sociálnoprávnej ochrane detí a o sociálnej kuratele a o zmene a doplnení niektorých zákonov v znení neskorších predpisov.</w:t>
      </w:r>
    </w:p>
    <w:p w:rsidR="002312F9" w:rsidRPr="00346091" w:rsidRDefault="002312F9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22b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§ 62 zákona č. 448/2008 Z. z. o sociálnych službách a o zmene a doplnení zákona č. 455/1991 Zb. o živnostenskom podnikaní (živnostenský zákon) v znení neskorších predpisov v znení neskorších predpisov.</w:t>
      </w:r>
      <w:r w:rsidR="008C4F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AF618A" w:rsidRPr="00346091" w:rsidRDefault="00AF618A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49 sa za odsek 1 vkladá nový odsek 2, ktorý znie:</w:t>
      </w:r>
    </w:p>
    <w:p w:rsidR="00AF618A" w:rsidRPr="00346091" w:rsidRDefault="00AF618A" w:rsidP="00C66674">
      <w:pPr>
        <w:tabs>
          <w:tab w:val="left" w:pos="577"/>
        </w:tabs>
        <w:suppressAutoHyphens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bookmarkStart w:id="2" w:name="_Hlk75181141"/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„(2) V štvorročnom vzdelávacom programe alebo v päťročnom vzdelávacom programe študijného odboru v strednej odbornej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škole a v štvorročnom vzdelávacom programe učebného odboru v strednej odbornej škole sa </w:t>
      </w:r>
      <w:r w:rsidR="00412EC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môžu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všeobecne vzdelávacie predmety vyuč</w:t>
      </w:r>
      <w:r w:rsidR="00412EC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ovať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prednostne v prvých dvoch ročníkoch štúdia.“.</w:t>
      </w:r>
    </w:p>
    <w:bookmarkEnd w:id="2"/>
    <w:p w:rsidR="00AF618A" w:rsidRPr="00346091" w:rsidRDefault="00AF618A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Doterajšie odseky 2 a 3 sa označujú ako odseky 3 a 4.</w:t>
      </w:r>
    </w:p>
    <w:p w:rsidR="00AF618A" w:rsidRPr="00346091" w:rsidRDefault="00AF618A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C66674" w:rsidRPr="00346091" w:rsidRDefault="00C66674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C66674" w:rsidRPr="00346091" w:rsidRDefault="00C66674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C66674" w:rsidRPr="00346091" w:rsidRDefault="00C66674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F154E0" w:rsidRPr="00346091" w:rsidRDefault="001D212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49 sa vkladá § 49a, ktorý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vrátane nadpisu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znie:</w:t>
      </w:r>
    </w:p>
    <w:p w:rsidR="001D212D" w:rsidRPr="00346091" w:rsidRDefault="001D212D" w:rsidP="001D212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bookmarkStart w:id="3" w:name="_Hlk75181223"/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A62AD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49a</w:t>
      </w:r>
    </w:p>
    <w:p w:rsidR="001674F9" w:rsidRPr="00346091" w:rsidRDefault="001674F9" w:rsidP="001674F9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Experimentálne overovanie </w:t>
      </w:r>
    </w:p>
    <w:p w:rsidR="001674F9" w:rsidRPr="00346091" w:rsidRDefault="001674F9" w:rsidP="001674F9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Predmetom experimentálneho overovania je </w:t>
      </w:r>
      <w:r w:rsidR="0075530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vytvorenie alebo zmena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odbor</w:t>
      </w:r>
      <w:r w:rsidR="0075530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vzdelávania v strednej odbornej škole, strednej športovej škole, konzervatóriu alebo v škole umeleckého priemyslu.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Cieľom experimentálneho overovania je získať alebo overovať v praxi poznatky a skúsenosti na vytvorenie a</w:t>
      </w:r>
      <w:r w:rsidR="004A5467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lebo na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zmenu odborov vzdelávania.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Experimentálne overovanie riadi a schvaľuje na základe návrhu </w:t>
      </w:r>
      <w:r w:rsidR="002174C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podľa ods</w:t>
      </w:r>
      <w:r w:rsidR="00904D2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eku </w:t>
      </w:r>
      <w:r w:rsidR="002174C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4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školstva podľa cieľov a princípov výchovy a vzdelávania.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Návrh na experimentálne overovanie môže predložiť </w:t>
      </w:r>
    </w:p>
    <w:p w:rsidR="001674F9" w:rsidRPr="00346091" w:rsidRDefault="001674F9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vecne príslušné ministerstvo,</w:t>
      </w:r>
    </w:p>
    <w:p w:rsidR="00025F06" w:rsidRPr="00346091" w:rsidRDefault="00C64C6E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eastAsiaTheme="minorEastAsia" w:hAnsi="Times New Roman" w:cs="Times New Roman"/>
          <w:color w:val="auto"/>
          <w:sz w:val="24"/>
          <w:szCs w:val="24"/>
        </w:rPr>
        <w:t>organizácia zriadená ministerstvom školstva,</w:t>
      </w:r>
    </w:p>
    <w:p w:rsidR="001674F9" w:rsidRPr="00346091" w:rsidRDefault="001674F9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príslušná stavovská organizácia alebo príslušná profesijná organizácia alebo</w:t>
      </w:r>
    </w:p>
    <w:p w:rsidR="001674F9" w:rsidRPr="00346091" w:rsidRDefault="001674F9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príslušný športový zväz.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Experimentálne overovanie sa môže uskutočňovať aj z podnetu ministerstva školstva.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Návrh alebo podnet na experimentálne overovanie obsahuje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ciele, predmet a zdôvodnenie experimentálneho overovania,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odôvodnenie návrhu na základe prognóz vývoja na trhu práce,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časový harmonogram a metodiku experimentálneho overovania,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finančné, materiálne a personálne zabezpečenie experimentálneho overovania,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dohodu medzi realizátorom a garantom experimentálneho overovania,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 súhlas zriaďovateľa školy,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stanovisko vecne príslušného ministerstva o potrebe nového odboru vzdelávania,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popis vedomostí, zručnost</w:t>
      </w:r>
      <w:r w:rsidR="00904D2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í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kompetencií potrebných </w:t>
      </w:r>
      <w:r w:rsidR="00904D2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výkon povolania, skupiny povolaní alebo odborných činností, pre ktoré sa budú žiaci v experimentálne overovanom odbore vzdelávania pripravovať,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zoznam kvalifikácií, ktoré </w:t>
      </w:r>
      <w:r w:rsidR="002D32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žiaci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získa</w:t>
      </w:r>
      <w:r w:rsidR="00904D26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jú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úspešným absolvovaním vzdelávania v experimentálne overovanom odbore vzdelávania,</w:t>
      </w:r>
    </w:p>
    <w:p w:rsidR="001674F9" w:rsidRPr="00346091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ďalšie údaje, ktoré s experimentálnym overovaním bezprostredne súvisia.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školstva po dohode s navrhovateľom určí podmienky experimentálneho overovania</w:t>
      </w:r>
      <w:r w:rsidR="002D32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najmä</w:t>
      </w:r>
    </w:p>
    <w:p w:rsidR="001674F9" w:rsidRPr="00346091" w:rsidRDefault="001674F9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dátum začatia a dátum skončenia experimentálneho overovania,</w:t>
      </w:r>
    </w:p>
    <w:p w:rsidR="001674F9" w:rsidRPr="00346091" w:rsidRDefault="001674F9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ciele a predmet experimentálneho overovania,</w:t>
      </w:r>
    </w:p>
    <w:p w:rsidR="001674F9" w:rsidRPr="00346091" w:rsidRDefault="001674F9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spôsob priebežného hodnotenia a záverečného hodnotenia experimentálneho overovania vr</w:t>
      </w:r>
      <w:r w:rsidR="002D32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átane náležitostí ich výstupov,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:rsidR="001674F9" w:rsidRPr="00346091" w:rsidRDefault="00D36CD5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špecifické podmienky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experimentáln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eho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overovan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ia</w:t>
      </w:r>
      <w:r w:rsidR="001674F9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nového odboru vzdelávania.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Ministerstvo školstva schváli alebo zamietne návrh </w:t>
      </w:r>
      <w:r w:rsidR="00D36C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experimentálne</w:t>
      </w:r>
      <w:r w:rsidR="00D36C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overovani</w:t>
      </w:r>
      <w:r w:rsidR="00D36C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do </w:t>
      </w:r>
      <w:r w:rsidR="006B6F40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60 dní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od podania návrhu. Ministerstvo školstva schválený návrh </w:t>
      </w:r>
      <w:r w:rsidR="00D36C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experimentálne</w:t>
      </w:r>
      <w:r w:rsidR="00D36C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overovani</w:t>
      </w:r>
      <w:r w:rsidR="00D36CD5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alebo podnet na experimentálne overovanie zverejní na svojom webovom sídle.</w:t>
      </w:r>
    </w:p>
    <w:p w:rsidR="001674F9" w:rsidRPr="00346091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Garantom experimentálneho overovania je organizácia zriadená ministerstvom školstva na plnenie úloh v oblasti odborného vzdelávania a prípravy.</w:t>
      </w:r>
    </w:p>
    <w:p w:rsidR="001674F9" w:rsidRPr="00346091" w:rsidRDefault="001674F9" w:rsidP="00BF23B2">
      <w:pPr>
        <w:pStyle w:val="Odsekzoznamu"/>
        <w:numPr>
          <w:ilvl w:val="0"/>
          <w:numId w:val="8"/>
        </w:numPr>
        <w:tabs>
          <w:tab w:val="left" w:pos="851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Náklady na experimentálne overovanie zabezpečí vo svojom rozpočte zriaďovateľ školy. Náklady na experimentálne overovanie, ktoré začalo na podnet ministerstva školstva, zabezpečí ministerstvo školstva.</w:t>
      </w:r>
    </w:p>
    <w:p w:rsidR="001674F9" w:rsidRPr="00346091" w:rsidRDefault="001674F9" w:rsidP="00BF23B2">
      <w:pPr>
        <w:pStyle w:val="Odsekzoznamu"/>
        <w:numPr>
          <w:ilvl w:val="0"/>
          <w:numId w:val="8"/>
        </w:numPr>
        <w:tabs>
          <w:tab w:val="left" w:pos="851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Garant hodnotí experimentálne overovanie priebežne za každý školský rok najneskôr jeden mesiac po skončení školského roka a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predkladá 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priebežné hodnotenie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BC6DD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ministerstvu školstva;</w:t>
      </w:r>
      <w:r w:rsidR="004870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ak 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ide</w:t>
      </w:r>
      <w:r w:rsidR="004870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 experimentálne overovanie 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návrh</w:t>
      </w:r>
      <w:r w:rsidR="004870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podľa odseku 4</w:t>
      </w:r>
      <w:r w:rsidR="0097211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9929F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aj </w:t>
      </w:r>
      <w:r w:rsidR="004870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prí</w:t>
      </w:r>
      <w:r w:rsidR="00B470E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slušnému subjektu</w:t>
      </w:r>
      <w:r w:rsidR="0048702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1674F9" w:rsidRPr="00346091" w:rsidRDefault="001674F9" w:rsidP="00BF23B2">
      <w:pPr>
        <w:pStyle w:val="Odsekzoznamu"/>
        <w:numPr>
          <w:ilvl w:val="0"/>
          <w:numId w:val="8"/>
        </w:numPr>
        <w:tabs>
          <w:tab w:val="left" w:pos="851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Záverečné hodnotenie experimentálneho overovania spolu so stanoviskom </w:t>
      </w:r>
      <w:r w:rsidR="00637B0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príslušného subjektu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podľa odseku 4 predloží garant ministerstvu školstva do troch mesiacov od jeho ukončenia, najneskôr do 31. decembra kalendárneho roka, v ktorom bolo</w:t>
      </w:r>
      <w:r w:rsidR="002D32AC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experimentálne overovanie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ukončené. Ministerstvo školstva rozhodne o uplatnení výsledkov experimentálneho overovania v lehote do 30 dní odo dňa predloženia jeho záverečného hodnotenia.“.</w:t>
      </w:r>
    </w:p>
    <w:bookmarkEnd w:id="3"/>
    <w:p w:rsidR="00D466C3" w:rsidRPr="00346091" w:rsidRDefault="00D466C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57a sa vkladá § 57b, ktorý vrátane nadpisu znie:</w:t>
      </w:r>
    </w:p>
    <w:p w:rsidR="00D466C3" w:rsidRPr="00346091" w:rsidRDefault="00D466C3" w:rsidP="00BF23B2">
      <w:pPr>
        <w:tabs>
          <w:tab w:val="left" w:pos="577"/>
        </w:tabs>
        <w:suppressAutoHyphens/>
        <w:spacing w:before="120" w:line="240" w:lineRule="auto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bookmarkStart w:id="4" w:name="_Hlk75181440"/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„§</w:t>
      </w:r>
      <w:r w:rsidR="001C1B4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57b</w:t>
      </w:r>
    </w:p>
    <w:p w:rsidR="00D466C3" w:rsidRPr="00346091" w:rsidRDefault="00D466C3" w:rsidP="00BF23B2">
      <w:pPr>
        <w:tabs>
          <w:tab w:val="left" w:pos="577"/>
        </w:tabs>
        <w:suppressAutoHyphens/>
        <w:spacing w:before="120" w:line="240" w:lineRule="auto"/>
        <w:contextualSpacing w:val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Prechodné ustanovenia k úpravám účinným </w:t>
      </w:r>
      <w:r w:rsidR="003C1F3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 </w:t>
      </w:r>
      <w:r w:rsidR="00D9320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1. 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januára</w:t>
      </w:r>
      <w:r w:rsidR="00D9320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8D3ED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</w:t>
      </w:r>
    </w:p>
    <w:p w:rsidR="00BC6DD2" w:rsidRPr="00346091" w:rsidRDefault="00BC6DD2" w:rsidP="000E26EA">
      <w:pPr>
        <w:pStyle w:val="Odsekzoznamu"/>
        <w:numPr>
          <w:ilvl w:val="0"/>
          <w:numId w:val="1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Žiak, ktorý začal štúdium v študijnom odbore alebo učebnom odbore podľa predpisov účinných do 31. 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decembra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, dokončí štúdium podľa predpisov účinných do 31. 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decembra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:rsidR="002C0902" w:rsidRPr="00346091" w:rsidRDefault="002456EB" w:rsidP="000E26EA">
      <w:pPr>
        <w:pStyle w:val="Odsekzoznamu"/>
        <w:numPr>
          <w:ilvl w:val="0"/>
          <w:numId w:val="1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školstva do 28. februára 2022 určí minimálny počet  vyučovacích hodín odborného výcviku na účely ukončovania štúdia, ak žiak</w:t>
      </w:r>
      <w:r w:rsidR="00673D6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F43E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 dôvodu 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mimoriadnej situácie,</w:t>
      </w:r>
      <w:r w:rsidR="00583234" w:rsidRPr="003460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núdzového stavu alebo </w:t>
      </w:r>
      <w:r w:rsidR="002034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výnimočného stavu</w:t>
      </w:r>
      <w:r w:rsidR="00583234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vyhláseného v súvislosti s ochorením COVID-19</w:t>
      </w:r>
      <w:r w:rsidR="00203411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8C4FBD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neabsolvoval</w:t>
      </w:r>
      <w:r w:rsidR="00DF43E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22546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požadovaný počet </w:t>
      </w:r>
      <w:r w:rsidR="00DF43EB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vyučovacích hodín </w:t>
      </w:r>
      <w:r w:rsidR="00225462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odborného výcviku.</w:t>
      </w:r>
    </w:p>
    <w:p w:rsidR="0043114B" w:rsidRPr="00346091" w:rsidRDefault="002C0902" w:rsidP="000E26EA">
      <w:pPr>
        <w:pStyle w:val="Odsekzoznamu"/>
        <w:numPr>
          <w:ilvl w:val="0"/>
          <w:numId w:val="1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Od 1. </w:t>
      </w:r>
      <w:r w:rsidR="00777CE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januára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8D3EDA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do 31. </w:t>
      </w:r>
      <w:r w:rsidR="00777CE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decembra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777CE8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16543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môže </w:t>
      </w: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zamestnávateľ popri svojom názve používať označenie nadpodnikové vzdelávacie centrum, ak spĺňa kritériá určené vnútorným predpisom príslušnej stavovskej organizácie alebo príslušnej profesijnej organizácie. </w:t>
      </w:r>
      <w:r w:rsidR="00BF3C1E"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:rsidR="00D466C3" w:rsidRPr="00346091" w:rsidRDefault="00D466C3" w:rsidP="0043114B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:rsidR="00C66674" w:rsidRPr="00346091" w:rsidRDefault="00C66674">
      <w:pPr>
        <w:spacing w:after="200"/>
        <w:contextualSpacing w:val="0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4609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br w:type="page"/>
      </w:r>
    </w:p>
    <w:bookmarkEnd w:id="4"/>
    <w:p w:rsidR="00D54307" w:rsidRPr="00346091" w:rsidRDefault="00C81BE0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lastRenderedPageBreak/>
        <w:t xml:space="preserve">Čl. </w:t>
      </w:r>
      <w:r w:rsidR="00D54307" w:rsidRPr="00346091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II</w:t>
      </w:r>
    </w:p>
    <w:p w:rsidR="00D54307" w:rsidRPr="00346091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B137A8" w:rsidRDefault="00D54307" w:rsidP="00A87B13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Tento zákon nadobúda účinnosť 1. </w:t>
      </w:r>
      <w:r w:rsidR="008D3EDA"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januára 2022</w:t>
      </w:r>
      <w:r w:rsidR="00457E4E"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  <w:r w:rsidR="008D3EDA" w:rsidRPr="003460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</w:p>
    <w:p w:rsidR="00346091" w:rsidRDefault="00346091" w:rsidP="00A87B13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346091" w:rsidRDefault="00346091" w:rsidP="00A87B13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346091" w:rsidRPr="004A035D" w:rsidRDefault="00346091" w:rsidP="00346091">
      <w:pPr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rPr>
          <w:rFonts w:ascii="Times New Roman" w:hAnsi="Times New Roman"/>
          <w:sz w:val="24"/>
          <w:szCs w:val="24"/>
        </w:rPr>
      </w:pPr>
    </w:p>
    <w:p w:rsidR="00346091" w:rsidRDefault="00346091" w:rsidP="00346091">
      <w:pPr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346091" w:rsidRPr="004A035D" w:rsidRDefault="00346091" w:rsidP="00346091">
      <w:pPr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  <w:t>prezidentka  Slovenskej republiky</w:t>
      </w: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>predseda Národnej rady Slovenskej republiky</w:t>
      </w: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46091" w:rsidRPr="004A035D" w:rsidRDefault="00346091" w:rsidP="0034609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 xml:space="preserve">    predseda vlády Slovenskej republiky</w:t>
      </w:r>
    </w:p>
    <w:p w:rsidR="00346091" w:rsidRPr="00346091" w:rsidRDefault="00346091" w:rsidP="00A87B13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46091" w:rsidRPr="00346091" w:rsidSect="00ED56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63" w:rsidRDefault="00742B63" w:rsidP="00CF582B">
      <w:pPr>
        <w:spacing w:line="240" w:lineRule="auto"/>
      </w:pPr>
      <w:r>
        <w:separator/>
      </w:r>
    </w:p>
  </w:endnote>
  <w:endnote w:type="continuationSeparator" w:id="0">
    <w:p w:rsidR="00742B63" w:rsidRDefault="00742B63" w:rsidP="00CF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530148"/>
      <w:docPartObj>
        <w:docPartGallery w:val="Page Numbers (Bottom of Page)"/>
        <w:docPartUnique/>
      </w:docPartObj>
    </w:sdtPr>
    <w:sdtEndPr/>
    <w:sdtContent>
      <w:p w:rsidR="00BF23B2" w:rsidRDefault="00BF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91">
          <w:rPr>
            <w:noProof/>
          </w:rPr>
          <w:t>11</w:t>
        </w:r>
        <w:r>
          <w:fldChar w:fldCharType="end"/>
        </w:r>
      </w:p>
    </w:sdtContent>
  </w:sdt>
  <w:p w:rsidR="00BF23B2" w:rsidRDefault="00BF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63" w:rsidRDefault="00742B63" w:rsidP="00CF582B">
      <w:pPr>
        <w:spacing w:line="240" w:lineRule="auto"/>
      </w:pPr>
      <w:r>
        <w:separator/>
      </w:r>
    </w:p>
  </w:footnote>
  <w:footnote w:type="continuationSeparator" w:id="0">
    <w:p w:rsidR="00742B63" w:rsidRDefault="00742B63" w:rsidP="00CF5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0EB"/>
    <w:multiLevelType w:val="hybridMultilevel"/>
    <w:tmpl w:val="7B98E0A8"/>
    <w:lvl w:ilvl="0" w:tplc="F3C46FA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746724"/>
    <w:multiLevelType w:val="hybridMultilevel"/>
    <w:tmpl w:val="C9C4FCB0"/>
    <w:lvl w:ilvl="0" w:tplc="340ADF1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03C52C1"/>
    <w:multiLevelType w:val="hybridMultilevel"/>
    <w:tmpl w:val="94FCF7B8"/>
    <w:lvl w:ilvl="0" w:tplc="52B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A7AA4"/>
    <w:multiLevelType w:val="hybridMultilevel"/>
    <w:tmpl w:val="351259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E41"/>
    <w:multiLevelType w:val="hybridMultilevel"/>
    <w:tmpl w:val="9176D3F2"/>
    <w:lvl w:ilvl="0" w:tplc="6888C0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6B55D9A"/>
    <w:multiLevelType w:val="multilevel"/>
    <w:tmpl w:val="456CA7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D8001C"/>
    <w:multiLevelType w:val="hybridMultilevel"/>
    <w:tmpl w:val="EBFA8C28"/>
    <w:lvl w:ilvl="0" w:tplc="5FE8DD1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32E5365"/>
    <w:multiLevelType w:val="hybridMultilevel"/>
    <w:tmpl w:val="B7A4BFF0"/>
    <w:lvl w:ilvl="0" w:tplc="FBBC02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BF20E4A"/>
    <w:multiLevelType w:val="hybridMultilevel"/>
    <w:tmpl w:val="568A7B8A"/>
    <w:lvl w:ilvl="0" w:tplc="B506306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5F23C7B"/>
    <w:multiLevelType w:val="hybridMultilevel"/>
    <w:tmpl w:val="E5047AAE"/>
    <w:lvl w:ilvl="0" w:tplc="B23E623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AF86DD7"/>
    <w:multiLevelType w:val="hybridMultilevel"/>
    <w:tmpl w:val="528676AC"/>
    <w:lvl w:ilvl="0" w:tplc="0366C9D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CC4719B"/>
    <w:multiLevelType w:val="hybridMultilevel"/>
    <w:tmpl w:val="FF7CDA4E"/>
    <w:lvl w:ilvl="0" w:tplc="1DA231E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71AE0112"/>
    <w:multiLevelType w:val="hybridMultilevel"/>
    <w:tmpl w:val="74CA0632"/>
    <w:lvl w:ilvl="0" w:tplc="B60692B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777927AF"/>
    <w:multiLevelType w:val="hybridMultilevel"/>
    <w:tmpl w:val="B01A556C"/>
    <w:lvl w:ilvl="0" w:tplc="AA806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B"/>
    <w:rsid w:val="00001EA7"/>
    <w:rsid w:val="0000360A"/>
    <w:rsid w:val="0000416D"/>
    <w:rsid w:val="00010C91"/>
    <w:rsid w:val="00013520"/>
    <w:rsid w:val="00014B41"/>
    <w:rsid w:val="00016666"/>
    <w:rsid w:val="000167A4"/>
    <w:rsid w:val="000212D1"/>
    <w:rsid w:val="00021748"/>
    <w:rsid w:val="00023F50"/>
    <w:rsid w:val="00025F06"/>
    <w:rsid w:val="00033465"/>
    <w:rsid w:val="00037E6A"/>
    <w:rsid w:val="00042090"/>
    <w:rsid w:val="00042878"/>
    <w:rsid w:val="00043D7C"/>
    <w:rsid w:val="0004522D"/>
    <w:rsid w:val="00045253"/>
    <w:rsid w:val="00047616"/>
    <w:rsid w:val="00050600"/>
    <w:rsid w:val="0005228B"/>
    <w:rsid w:val="000528BB"/>
    <w:rsid w:val="00063E15"/>
    <w:rsid w:val="0007017F"/>
    <w:rsid w:val="0007105F"/>
    <w:rsid w:val="000736B1"/>
    <w:rsid w:val="0007388E"/>
    <w:rsid w:val="00074BA6"/>
    <w:rsid w:val="00083B11"/>
    <w:rsid w:val="000856A7"/>
    <w:rsid w:val="00085788"/>
    <w:rsid w:val="00085A1C"/>
    <w:rsid w:val="0008761A"/>
    <w:rsid w:val="00087B1A"/>
    <w:rsid w:val="00093EB0"/>
    <w:rsid w:val="00095AC1"/>
    <w:rsid w:val="000A191F"/>
    <w:rsid w:val="000A22B5"/>
    <w:rsid w:val="000A29FC"/>
    <w:rsid w:val="000A2CE4"/>
    <w:rsid w:val="000A4285"/>
    <w:rsid w:val="000A4BFF"/>
    <w:rsid w:val="000B6173"/>
    <w:rsid w:val="000B65C4"/>
    <w:rsid w:val="000C120A"/>
    <w:rsid w:val="000C1575"/>
    <w:rsid w:val="000C3160"/>
    <w:rsid w:val="000C3E19"/>
    <w:rsid w:val="000C559E"/>
    <w:rsid w:val="000C5633"/>
    <w:rsid w:val="000D10F4"/>
    <w:rsid w:val="000D1692"/>
    <w:rsid w:val="000D36F6"/>
    <w:rsid w:val="000D3B4A"/>
    <w:rsid w:val="000D4935"/>
    <w:rsid w:val="000D76EE"/>
    <w:rsid w:val="000E0F5A"/>
    <w:rsid w:val="000E161B"/>
    <w:rsid w:val="000E26EA"/>
    <w:rsid w:val="000E34A3"/>
    <w:rsid w:val="000E4157"/>
    <w:rsid w:val="000E55DF"/>
    <w:rsid w:val="000F1E48"/>
    <w:rsid w:val="000F4542"/>
    <w:rsid w:val="000F4D80"/>
    <w:rsid w:val="000F7255"/>
    <w:rsid w:val="000F770F"/>
    <w:rsid w:val="00100782"/>
    <w:rsid w:val="001034B3"/>
    <w:rsid w:val="00104DF8"/>
    <w:rsid w:val="001063A0"/>
    <w:rsid w:val="00106490"/>
    <w:rsid w:val="001157A9"/>
    <w:rsid w:val="00115A5D"/>
    <w:rsid w:val="001167BC"/>
    <w:rsid w:val="00117DA7"/>
    <w:rsid w:val="001214D7"/>
    <w:rsid w:val="00123797"/>
    <w:rsid w:val="001239CF"/>
    <w:rsid w:val="00124567"/>
    <w:rsid w:val="00124C73"/>
    <w:rsid w:val="001250D1"/>
    <w:rsid w:val="00125D55"/>
    <w:rsid w:val="001264BC"/>
    <w:rsid w:val="00126AC4"/>
    <w:rsid w:val="001305BD"/>
    <w:rsid w:val="00130BA0"/>
    <w:rsid w:val="0013104D"/>
    <w:rsid w:val="0013283C"/>
    <w:rsid w:val="00136D36"/>
    <w:rsid w:val="00140098"/>
    <w:rsid w:val="0014050D"/>
    <w:rsid w:val="001411CB"/>
    <w:rsid w:val="00141592"/>
    <w:rsid w:val="00143B35"/>
    <w:rsid w:val="001446C7"/>
    <w:rsid w:val="0014581E"/>
    <w:rsid w:val="00151B4E"/>
    <w:rsid w:val="0015254F"/>
    <w:rsid w:val="001537D5"/>
    <w:rsid w:val="001538EA"/>
    <w:rsid w:val="00156EB5"/>
    <w:rsid w:val="001613AD"/>
    <w:rsid w:val="00161686"/>
    <w:rsid w:val="001672AE"/>
    <w:rsid w:val="001674F9"/>
    <w:rsid w:val="00167AF5"/>
    <w:rsid w:val="0017042C"/>
    <w:rsid w:val="00172B20"/>
    <w:rsid w:val="00172F57"/>
    <w:rsid w:val="001803E6"/>
    <w:rsid w:val="001808B9"/>
    <w:rsid w:val="00181315"/>
    <w:rsid w:val="001831A9"/>
    <w:rsid w:val="001859A1"/>
    <w:rsid w:val="00186694"/>
    <w:rsid w:val="00193AA0"/>
    <w:rsid w:val="001941F3"/>
    <w:rsid w:val="001941F9"/>
    <w:rsid w:val="0019522C"/>
    <w:rsid w:val="0019574D"/>
    <w:rsid w:val="001966D2"/>
    <w:rsid w:val="00197893"/>
    <w:rsid w:val="001A1B30"/>
    <w:rsid w:val="001A5C3F"/>
    <w:rsid w:val="001A61D6"/>
    <w:rsid w:val="001A68A1"/>
    <w:rsid w:val="001A7924"/>
    <w:rsid w:val="001A7C27"/>
    <w:rsid w:val="001B13D7"/>
    <w:rsid w:val="001B2389"/>
    <w:rsid w:val="001B29F1"/>
    <w:rsid w:val="001B2F39"/>
    <w:rsid w:val="001B434C"/>
    <w:rsid w:val="001B478A"/>
    <w:rsid w:val="001C0B42"/>
    <w:rsid w:val="001C17A1"/>
    <w:rsid w:val="001C1B4A"/>
    <w:rsid w:val="001C41F4"/>
    <w:rsid w:val="001C7FEC"/>
    <w:rsid w:val="001D0843"/>
    <w:rsid w:val="001D0B18"/>
    <w:rsid w:val="001D13BC"/>
    <w:rsid w:val="001D212D"/>
    <w:rsid w:val="001D23EF"/>
    <w:rsid w:val="001D5765"/>
    <w:rsid w:val="001D6EC0"/>
    <w:rsid w:val="001D6F94"/>
    <w:rsid w:val="001E1C1C"/>
    <w:rsid w:val="001E3EC6"/>
    <w:rsid w:val="001F290D"/>
    <w:rsid w:val="001F4861"/>
    <w:rsid w:val="001F6AAF"/>
    <w:rsid w:val="0020012A"/>
    <w:rsid w:val="00200E6B"/>
    <w:rsid w:val="0020281B"/>
    <w:rsid w:val="00202B19"/>
    <w:rsid w:val="00203411"/>
    <w:rsid w:val="00203B56"/>
    <w:rsid w:val="00203DC4"/>
    <w:rsid w:val="0021161A"/>
    <w:rsid w:val="00211DDF"/>
    <w:rsid w:val="002121F5"/>
    <w:rsid w:val="00212530"/>
    <w:rsid w:val="0021389B"/>
    <w:rsid w:val="00214CC4"/>
    <w:rsid w:val="00214D7B"/>
    <w:rsid w:val="00214F47"/>
    <w:rsid w:val="0021560A"/>
    <w:rsid w:val="002174C8"/>
    <w:rsid w:val="0021751D"/>
    <w:rsid w:val="00217BC0"/>
    <w:rsid w:val="00222C90"/>
    <w:rsid w:val="00223F68"/>
    <w:rsid w:val="00225462"/>
    <w:rsid w:val="00225857"/>
    <w:rsid w:val="002272E7"/>
    <w:rsid w:val="0022739D"/>
    <w:rsid w:val="00230552"/>
    <w:rsid w:val="002312F9"/>
    <w:rsid w:val="0023411D"/>
    <w:rsid w:val="00234B92"/>
    <w:rsid w:val="0023570E"/>
    <w:rsid w:val="00236226"/>
    <w:rsid w:val="002375AC"/>
    <w:rsid w:val="00237D97"/>
    <w:rsid w:val="00240B2B"/>
    <w:rsid w:val="0024381B"/>
    <w:rsid w:val="0024533B"/>
    <w:rsid w:val="002456EB"/>
    <w:rsid w:val="00245798"/>
    <w:rsid w:val="002522E8"/>
    <w:rsid w:val="0025294D"/>
    <w:rsid w:val="002560EC"/>
    <w:rsid w:val="002578B8"/>
    <w:rsid w:val="00262139"/>
    <w:rsid w:val="00264C70"/>
    <w:rsid w:val="00265EED"/>
    <w:rsid w:val="00266C03"/>
    <w:rsid w:val="00267FA8"/>
    <w:rsid w:val="0027420B"/>
    <w:rsid w:val="002748BC"/>
    <w:rsid w:val="0027515A"/>
    <w:rsid w:val="00276D38"/>
    <w:rsid w:val="00284210"/>
    <w:rsid w:val="002861E8"/>
    <w:rsid w:val="00286628"/>
    <w:rsid w:val="00287205"/>
    <w:rsid w:val="00287D98"/>
    <w:rsid w:val="002914F5"/>
    <w:rsid w:val="00291E6D"/>
    <w:rsid w:val="00291FC6"/>
    <w:rsid w:val="0029227D"/>
    <w:rsid w:val="002941DD"/>
    <w:rsid w:val="00295337"/>
    <w:rsid w:val="002963C1"/>
    <w:rsid w:val="00296950"/>
    <w:rsid w:val="00297261"/>
    <w:rsid w:val="002A17D3"/>
    <w:rsid w:val="002A2379"/>
    <w:rsid w:val="002A4BDC"/>
    <w:rsid w:val="002A632A"/>
    <w:rsid w:val="002A69C0"/>
    <w:rsid w:val="002B3FF4"/>
    <w:rsid w:val="002B4E08"/>
    <w:rsid w:val="002C0902"/>
    <w:rsid w:val="002C302F"/>
    <w:rsid w:val="002C3EE4"/>
    <w:rsid w:val="002C4AAE"/>
    <w:rsid w:val="002D059C"/>
    <w:rsid w:val="002D1B64"/>
    <w:rsid w:val="002D1FF3"/>
    <w:rsid w:val="002D2EDD"/>
    <w:rsid w:val="002D2F89"/>
    <w:rsid w:val="002D32A2"/>
    <w:rsid w:val="002D32AC"/>
    <w:rsid w:val="002D41E6"/>
    <w:rsid w:val="002D605C"/>
    <w:rsid w:val="002D6EB3"/>
    <w:rsid w:val="002E1B06"/>
    <w:rsid w:val="002E1B86"/>
    <w:rsid w:val="002E562A"/>
    <w:rsid w:val="002E69F6"/>
    <w:rsid w:val="002E7DE6"/>
    <w:rsid w:val="002F1B01"/>
    <w:rsid w:val="002F22D6"/>
    <w:rsid w:val="002F24F1"/>
    <w:rsid w:val="002F2735"/>
    <w:rsid w:val="002F2901"/>
    <w:rsid w:val="002F29AC"/>
    <w:rsid w:val="002F3300"/>
    <w:rsid w:val="002F71B9"/>
    <w:rsid w:val="00300920"/>
    <w:rsid w:val="0030178B"/>
    <w:rsid w:val="00301E08"/>
    <w:rsid w:val="003037C7"/>
    <w:rsid w:val="00304BEF"/>
    <w:rsid w:val="00305ED5"/>
    <w:rsid w:val="0030690B"/>
    <w:rsid w:val="00310819"/>
    <w:rsid w:val="00311A2C"/>
    <w:rsid w:val="00314347"/>
    <w:rsid w:val="00316543"/>
    <w:rsid w:val="00317555"/>
    <w:rsid w:val="003264C1"/>
    <w:rsid w:val="00331F08"/>
    <w:rsid w:val="00333F0A"/>
    <w:rsid w:val="003356C4"/>
    <w:rsid w:val="00335AFF"/>
    <w:rsid w:val="00343E15"/>
    <w:rsid w:val="00343FE3"/>
    <w:rsid w:val="00344914"/>
    <w:rsid w:val="003449E3"/>
    <w:rsid w:val="00344FFB"/>
    <w:rsid w:val="00345ECD"/>
    <w:rsid w:val="00346091"/>
    <w:rsid w:val="0035357D"/>
    <w:rsid w:val="00357813"/>
    <w:rsid w:val="00361CB4"/>
    <w:rsid w:val="00365D70"/>
    <w:rsid w:val="00371D4E"/>
    <w:rsid w:val="00375B22"/>
    <w:rsid w:val="0037712E"/>
    <w:rsid w:val="003774D0"/>
    <w:rsid w:val="00377B4A"/>
    <w:rsid w:val="00380665"/>
    <w:rsid w:val="00380934"/>
    <w:rsid w:val="003815A1"/>
    <w:rsid w:val="003815F6"/>
    <w:rsid w:val="00383777"/>
    <w:rsid w:val="00383FB8"/>
    <w:rsid w:val="00386400"/>
    <w:rsid w:val="00390255"/>
    <w:rsid w:val="003905A4"/>
    <w:rsid w:val="00390821"/>
    <w:rsid w:val="00393859"/>
    <w:rsid w:val="003955C4"/>
    <w:rsid w:val="0039576B"/>
    <w:rsid w:val="00397300"/>
    <w:rsid w:val="003A00E1"/>
    <w:rsid w:val="003A1DF1"/>
    <w:rsid w:val="003A2598"/>
    <w:rsid w:val="003A2CC8"/>
    <w:rsid w:val="003A3C69"/>
    <w:rsid w:val="003A3CB7"/>
    <w:rsid w:val="003A7A23"/>
    <w:rsid w:val="003B39C5"/>
    <w:rsid w:val="003B4942"/>
    <w:rsid w:val="003B5C96"/>
    <w:rsid w:val="003B5CBE"/>
    <w:rsid w:val="003B6A0E"/>
    <w:rsid w:val="003B6CCB"/>
    <w:rsid w:val="003B7D52"/>
    <w:rsid w:val="003C1F32"/>
    <w:rsid w:val="003C2916"/>
    <w:rsid w:val="003C3B18"/>
    <w:rsid w:val="003C3EE7"/>
    <w:rsid w:val="003C5562"/>
    <w:rsid w:val="003C5CB3"/>
    <w:rsid w:val="003C6D65"/>
    <w:rsid w:val="003C757F"/>
    <w:rsid w:val="003C7DDD"/>
    <w:rsid w:val="003D0B3A"/>
    <w:rsid w:val="003D1FF8"/>
    <w:rsid w:val="003D2C48"/>
    <w:rsid w:val="003D2E50"/>
    <w:rsid w:val="003D5173"/>
    <w:rsid w:val="003D609E"/>
    <w:rsid w:val="003D6C86"/>
    <w:rsid w:val="003E18D2"/>
    <w:rsid w:val="003E345F"/>
    <w:rsid w:val="003E3757"/>
    <w:rsid w:val="003E3BDE"/>
    <w:rsid w:val="003E4A23"/>
    <w:rsid w:val="003E60CD"/>
    <w:rsid w:val="003E76F0"/>
    <w:rsid w:val="003E7FD0"/>
    <w:rsid w:val="003F28CF"/>
    <w:rsid w:val="003F304F"/>
    <w:rsid w:val="003F68FC"/>
    <w:rsid w:val="003F693F"/>
    <w:rsid w:val="003F7AAC"/>
    <w:rsid w:val="00402800"/>
    <w:rsid w:val="0040345B"/>
    <w:rsid w:val="00403573"/>
    <w:rsid w:val="00412CD9"/>
    <w:rsid w:val="00412EC3"/>
    <w:rsid w:val="004161D1"/>
    <w:rsid w:val="004177CC"/>
    <w:rsid w:val="004234A9"/>
    <w:rsid w:val="00423C55"/>
    <w:rsid w:val="00426066"/>
    <w:rsid w:val="0042616E"/>
    <w:rsid w:val="00430BC2"/>
    <w:rsid w:val="0043114B"/>
    <w:rsid w:val="004313E6"/>
    <w:rsid w:val="004325A6"/>
    <w:rsid w:val="00433125"/>
    <w:rsid w:val="00433FCC"/>
    <w:rsid w:val="0043407E"/>
    <w:rsid w:val="0043458D"/>
    <w:rsid w:val="00440115"/>
    <w:rsid w:val="0044037E"/>
    <w:rsid w:val="00445239"/>
    <w:rsid w:val="00445E71"/>
    <w:rsid w:val="00451C56"/>
    <w:rsid w:val="004549D7"/>
    <w:rsid w:val="00454AA1"/>
    <w:rsid w:val="00457E4E"/>
    <w:rsid w:val="00463D63"/>
    <w:rsid w:val="0047016B"/>
    <w:rsid w:val="00473217"/>
    <w:rsid w:val="00473730"/>
    <w:rsid w:val="00474CB1"/>
    <w:rsid w:val="00475605"/>
    <w:rsid w:val="00477326"/>
    <w:rsid w:val="00480A97"/>
    <w:rsid w:val="00481521"/>
    <w:rsid w:val="00482C4A"/>
    <w:rsid w:val="00487021"/>
    <w:rsid w:val="00487AB8"/>
    <w:rsid w:val="00490ECE"/>
    <w:rsid w:val="004917AA"/>
    <w:rsid w:val="0049189F"/>
    <w:rsid w:val="00492EFA"/>
    <w:rsid w:val="00494A52"/>
    <w:rsid w:val="00494E16"/>
    <w:rsid w:val="00496220"/>
    <w:rsid w:val="004971A7"/>
    <w:rsid w:val="004976AB"/>
    <w:rsid w:val="00497FA8"/>
    <w:rsid w:val="004A3112"/>
    <w:rsid w:val="004A33D3"/>
    <w:rsid w:val="004A4E1E"/>
    <w:rsid w:val="004A51CA"/>
    <w:rsid w:val="004A5467"/>
    <w:rsid w:val="004B165F"/>
    <w:rsid w:val="004B1FF8"/>
    <w:rsid w:val="004B321B"/>
    <w:rsid w:val="004B564D"/>
    <w:rsid w:val="004B5AB8"/>
    <w:rsid w:val="004C0F46"/>
    <w:rsid w:val="004C1F65"/>
    <w:rsid w:val="004C205F"/>
    <w:rsid w:val="004C370F"/>
    <w:rsid w:val="004C589B"/>
    <w:rsid w:val="004C7339"/>
    <w:rsid w:val="004D08C4"/>
    <w:rsid w:val="004D11A7"/>
    <w:rsid w:val="004D217E"/>
    <w:rsid w:val="004D45BB"/>
    <w:rsid w:val="004D646E"/>
    <w:rsid w:val="004D6FDC"/>
    <w:rsid w:val="004D76D4"/>
    <w:rsid w:val="004D79B3"/>
    <w:rsid w:val="004E0895"/>
    <w:rsid w:val="004E0A41"/>
    <w:rsid w:val="004E1F0B"/>
    <w:rsid w:val="004E2118"/>
    <w:rsid w:val="004E2A17"/>
    <w:rsid w:val="004E53C6"/>
    <w:rsid w:val="004E7684"/>
    <w:rsid w:val="004F108D"/>
    <w:rsid w:val="004F12FB"/>
    <w:rsid w:val="004F22D1"/>
    <w:rsid w:val="004F5226"/>
    <w:rsid w:val="004F5FEF"/>
    <w:rsid w:val="00500F7F"/>
    <w:rsid w:val="00501164"/>
    <w:rsid w:val="00502214"/>
    <w:rsid w:val="00502910"/>
    <w:rsid w:val="00503A12"/>
    <w:rsid w:val="00504BF4"/>
    <w:rsid w:val="00506EEA"/>
    <w:rsid w:val="00511C88"/>
    <w:rsid w:val="005148C7"/>
    <w:rsid w:val="00520971"/>
    <w:rsid w:val="00523B90"/>
    <w:rsid w:val="0052403B"/>
    <w:rsid w:val="0053050A"/>
    <w:rsid w:val="005328DF"/>
    <w:rsid w:val="00536D36"/>
    <w:rsid w:val="00536D72"/>
    <w:rsid w:val="0054081A"/>
    <w:rsid w:val="00540B4F"/>
    <w:rsid w:val="00540EB3"/>
    <w:rsid w:val="00541B78"/>
    <w:rsid w:val="00543024"/>
    <w:rsid w:val="00543F9E"/>
    <w:rsid w:val="005443B2"/>
    <w:rsid w:val="00544448"/>
    <w:rsid w:val="005457B8"/>
    <w:rsid w:val="00546A52"/>
    <w:rsid w:val="00547E59"/>
    <w:rsid w:val="00553307"/>
    <w:rsid w:val="005542AB"/>
    <w:rsid w:val="005559BF"/>
    <w:rsid w:val="00557184"/>
    <w:rsid w:val="00560416"/>
    <w:rsid w:val="00560CEB"/>
    <w:rsid w:val="00561D6C"/>
    <w:rsid w:val="00561EEB"/>
    <w:rsid w:val="00562B79"/>
    <w:rsid w:val="00563D4E"/>
    <w:rsid w:val="00564354"/>
    <w:rsid w:val="005650C6"/>
    <w:rsid w:val="005659B4"/>
    <w:rsid w:val="00571D87"/>
    <w:rsid w:val="00572450"/>
    <w:rsid w:val="00572DC1"/>
    <w:rsid w:val="0057304E"/>
    <w:rsid w:val="00575E54"/>
    <w:rsid w:val="00575FEC"/>
    <w:rsid w:val="005767B5"/>
    <w:rsid w:val="00583234"/>
    <w:rsid w:val="005839B3"/>
    <w:rsid w:val="00583A92"/>
    <w:rsid w:val="00586998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12F7"/>
    <w:rsid w:val="005B32C3"/>
    <w:rsid w:val="005B4513"/>
    <w:rsid w:val="005B5D92"/>
    <w:rsid w:val="005B64EE"/>
    <w:rsid w:val="005C0C4B"/>
    <w:rsid w:val="005C26E9"/>
    <w:rsid w:val="005C29F5"/>
    <w:rsid w:val="005C405B"/>
    <w:rsid w:val="005C7ABE"/>
    <w:rsid w:val="005D32C4"/>
    <w:rsid w:val="005D3733"/>
    <w:rsid w:val="005D375D"/>
    <w:rsid w:val="005D56E3"/>
    <w:rsid w:val="005D7970"/>
    <w:rsid w:val="005E1E1E"/>
    <w:rsid w:val="005E75F2"/>
    <w:rsid w:val="005F0B67"/>
    <w:rsid w:val="005F156B"/>
    <w:rsid w:val="005F1718"/>
    <w:rsid w:val="005F2818"/>
    <w:rsid w:val="005F31DB"/>
    <w:rsid w:val="005F4570"/>
    <w:rsid w:val="005F6193"/>
    <w:rsid w:val="005F6292"/>
    <w:rsid w:val="00600985"/>
    <w:rsid w:val="00601FB6"/>
    <w:rsid w:val="00602D67"/>
    <w:rsid w:val="00604318"/>
    <w:rsid w:val="00604589"/>
    <w:rsid w:val="00604A2E"/>
    <w:rsid w:val="00605CDE"/>
    <w:rsid w:val="00605DDC"/>
    <w:rsid w:val="00606747"/>
    <w:rsid w:val="006072E2"/>
    <w:rsid w:val="00611132"/>
    <w:rsid w:val="00612889"/>
    <w:rsid w:val="00612CD3"/>
    <w:rsid w:val="00615DE1"/>
    <w:rsid w:val="00615E9A"/>
    <w:rsid w:val="00616629"/>
    <w:rsid w:val="006168C5"/>
    <w:rsid w:val="00616B88"/>
    <w:rsid w:val="00620A83"/>
    <w:rsid w:val="00623D10"/>
    <w:rsid w:val="00624F46"/>
    <w:rsid w:val="00626E64"/>
    <w:rsid w:val="00627F4A"/>
    <w:rsid w:val="00630E61"/>
    <w:rsid w:val="00631416"/>
    <w:rsid w:val="0063178B"/>
    <w:rsid w:val="006322F5"/>
    <w:rsid w:val="0063404C"/>
    <w:rsid w:val="006342A0"/>
    <w:rsid w:val="00635988"/>
    <w:rsid w:val="00637B03"/>
    <w:rsid w:val="006432B4"/>
    <w:rsid w:val="00645DE9"/>
    <w:rsid w:val="00645ECD"/>
    <w:rsid w:val="006472F8"/>
    <w:rsid w:val="00650BB3"/>
    <w:rsid w:val="0065122F"/>
    <w:rsid w:val="00652C37"/>
    <w:rsid w:val="0065345D"/>
    <w:rsid w:val="006541FC"/>
    <w:rsid w:val="00656107"/>
    <w:rsid w:val="00656659"/>
    <w:rsid w:val="0065704C"/>
    <w:rsid w:val="00657BE2"/>
    <w:rsid w:val="00657D96"/>
    <w:rsid w:val="0066235C"/>
    <w:rsid w:val="0066246B"/>
    <w:rsid w:val="006638F0"/>
    <w:rsid w:val="006710F5"/>
    <w:rsid w:val="00672F25"/>
    <w:rsid w:val="00673D6A"/>
    <w:rsid w:val="006766B4"/>
    <w:rsid w:val="006770FA"/>
    <w:rsid w:val="0068019A"/>
    <w:rsid w:val="0068025D"/>
    <w:rsid w:val="00684825"/>
    <w:rsid w:val="00685353"/>
    <w:rsid w:val="00687D80"/>
    <w:rsid w:val="0069337B"/>
    <w:rsid w:val="00694176"/>
    <w:rsid w:val="00694D51"/>
    <w:rsid w:val="00695A36"/>
    <w:rsid w:val="0069600C"/>
    <w:rsid w:val="006972B3"/>
    <w:rsid w:val="006A0F3D"/>
    <w:rsid w:val="006A1E79"/>
    <w:rsid w:val="006A2CDF"/>
    <w:rsid w:val="006A2D03"/>
    <w:rsid w:val="006A37A8"/>
    <w:rsid w:val="006A4472"/>
    <w:rsid w:val="006A4BDC"/>
    <w:rsid w:val="006B5DAC"/>
    <w:rsid w:val="006B5E53"/>
    <w:rsid w:val="006B5F2B"/>
    <w:rsid w:val="006B6F40"/>
    <w:rsid w:val="006C41BD"/>
    <w:rsid w:val="006C4F6F"/>
    <w:rsid w:val="006D6CD9"/>
    <w:rsid w:val="006D78CC"/>
    <w:rsid w:val="006E019C"/>
    <w:rsid w:val="006E2F3F"/>
    <w:rsid w:val="006E4E32"/>
    <w:rsid w:val="006E4EE4"/>
    <w:rsid w:val="006E6AA9"/>
    <w:rsid w:val="006E7F7A"/>
    <w:rsid w:val="006F1BE3"/>
    <w:rsid w:val="006F1C0B"/>
    <w:rsid w:val="006F1EF8"/>
    <w:rsid w:val="006F3666"/>
    <w:rsid w:val="006F58B2"/>
    <w:rsid w:val="006F66FB"/>
    <w:rsid w:val="00700574"/>
    <w:rsid w:val="00701A49"/>
    <w:rsid w:val="00701A91"/>
    <w:rsid w:val="00702FED"/>
    <w:rsid w:val="00703E03"/>
    <w:rsid w:val="0070503C"/>
    <w:rsid w:val="00711DCA"/>
    <w:rsid w:val="00714B61"/>
    <w:rsid w:val="00722C40"/>
    <w:rsid w:val="00723367"/>
    <w:rsid w:val="007242EF"/>
    <w:rsid w:val="00735418"/>
    <w:rsid w:val="0073639C"/>
    <w:rsid w:val="007402C9"/>
    <w:rsid w:val="00740A74"/>
    <w:rsid w:val="00741679"/>
    <w:rsid w:val="0074276C"/>
    <w:rsid w:val="0074294E"/>
    <w:rsid w:val="00742B63"/>
    <w:rsid w:val="007460A9"/>
    <w:rsid w:val="00746E3C"/>
    <w:rsid w:val="00750B1B"/>
    <w:rsid w:val="00751A1E"/>
    <w:rsid w:val="00755307"/>
    <w:rsid w:val="00755758"/>
    <w:rsid w:val="007559A3"/>
    <w:rsid w:val="0076142C"/>
    <w:rsid w:val="00761716"/>
    <w:rsid w:val="00761CEF"/>
    <w:rsid w:val="00762ABB"/>
    <w:rsid w:val="00771281"/>
    <w:rsid w:val="0077131F"/>
    <w:rsid w:val="00772608"/>
    <w:rsid w:val="00773436"/>
    <w:rsid w:val="007767B1"/>
    <w:rsid w:val="00777CE8"/>
    <w:rsid w:val="00782D3A"/>
    <w:rsid w:val="00782F0B"/>
    <w:rsid w:val="007860C4"/>
    <w:rsid w:val="007865C3"/>
    <w:rsid w:val="007868AC"/>
    <w:rsid w:val="00790AA5"/>
    <w:rsid w:val="00791ADB"/>
    <w:rsid w:val="00792DC4"/>
    <w:rsid w:val="00793D9A"/>
    <w:rsid w:val="0079559D"/>
    <w:rsid w:val="0079710D"/>
    <w:rsid w:val="00797BBB"/>
    <w:rsid w:val="007A235F"/>
    <w:rsid w:val="007A47E3"/>
    <w:rsid w:val="007A6C90"/>
    <w:rsid w:val="007A78D4"/>
    <w:rsid w:val="007B0453"/>
    <w:rsid w:val="007B0D60"/>
    <w:rsid w:val="007B11A1"/>
    <w:rsid w:val="007B1E7F"/>
    <w:rsid w:val="007B2280"/>
    <w:rsid w:val="007B4D7B"/>
    <w:rsid w:val="007B552B"/>
    <w:rsid w:val="007B5DEA"/>
    <w:rsid w:val="007C00F7"/>
    <w:rsid w:val="007C0FBB"/>
    <w:rsid w:val="007C3741"/>
    <w:rsid w:val="007C3985"/>
    <w:rsid w:val="007C5976"/>
    <w:rsid w:val="007D0A4F"/>
    <w:rsid w:val="007D2EAF"/>
    <w:rsid w:val="007D393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5BA5"/>
    <w:rsid w:val="007F647B"/>
    <w:rsid w:val="007F6F6C"/>
    <w:rsid w:val="007F75E4"/>
    <w:rsid w:val="0080122C"/>
    <w:rsid w:val="00805A30"/>
    <w:rsid w:val="00806374"/>
    <w:rsid w:val="0081202E"/>
    <w:rsid w:val="008137B7"/>
    <w:rsid w:val="00820450"/>
    <w:rsid w:val="00820641"/>
    <w:rsid w:val="008207C5"/>
    <w:rsid w:val="00821293"/>
    <w:rsid w:val="008220B4"/>
    <w:rsid w:val="0082512F"/>
    <w:rsid w:val="0083178B"/>
    <w:rsid w:val="0083252F"/>
    <w:rsid w:val="00833205"/>
    <w:rsid w:val="00833A7B"/>
    <w:rsid w:val="00833D13"/>
    <w:rsid w:val="00843E56"/>
    <w:rsid w:val="0084497F"/>
    <w:rsid w:val="00844E9B"/>
    <w:rsid w:val="00846238"/>
    <w:rsid w:val="00846306"/>
    <w:rsid w:val="00846A11"/>
    <w:rsid w:val="00846BE3"/>
    <w:rsid w:val="008473DD"/>
    <w:rsid w:val="00850448"/>
    <w:rsid w:val="0085063E"/>
    <w:rsid w:val="00853674"/>
    <w:rsid w:val="00854DF6"/>
    <w:rsid w:val="00860696"/>
    <w:rsid w:val="00862C38"/>
    <w:rsid w:val="00864B69"/>
    <w:rsid w:val="008672A6"/>
    <w:rsid w:val="00872E5B"/>
    <w:rsid w:val="00874829"/>
    <w:rsid w:val="00874B66"/>
    <w:rsid w:val="00874C67"/>
    <w:rsid w:val="00881B36"/>
    <w:rsid w:val="0088289F"/>
    <w:rsid w:val="00885448"/>
    <w:rsid w:val="008855B7"/>
    <w:rsid w:val="00885C55"/>
    <w:rsid w:val="00885CF0"/>
    <w:rsid w:val="00890B31"/>
    <w:rsid w:val="00891EA8"/>
    <w:rsid w:val="0089402E"/>
    <w:rsid w:val="0089409D"/>
    <w:rsid w:val="008A06C3"/>
    <w:rsid w:val="008A1126"/>
    <w:rsid w:val="008A199D"/>
    <w:rsid w:val="008A37F1"/>
    <w:rsid w:val="008A3FAE"/>
    <w:rsid w:val="008A4F87"/>
    <w:rsid w:val="008B105D"/>
    <w:rsid w:val="008B1AE0"/>
    <w:rsid w:val="008B2DF7"/>
    <w:rsid w:val="008B3A3A"/>
    <w:rsid w:val="008B3EFE"/>
    <w:rsid w:val="008B4495"/>
    <w:rsid w:val="008B57C1"/>
    <w:rsid w:val="008B68F7"/>
    <w:rsid w:val="008C0EC5"/>
    <w:rsid w:val="008C47D8"/>
    <w:rsid w:val="008C4FBD"/>
    <w:rsid w:val="008C53CE"/>
    <w:rsid w:val="008C6042"/>
    <w:rsid w:val="008C73AB"/>
    <w:rsid w:val="008C754E"/>
    <w:rsid w:val="008C7DC3"/>
    <w:rsid w:val="008D103C"/>
    <w:rsid w:val="008D2A07"/>
    <w:rsid w:val="008D3EDA"/>
    <w:rsid w:val="008D5AAF"/>
    <w:rsid w:val="008D7CFD"/>
    <w:rsid w:val="008E1932"/>
    <w:rsid w:val="008E2251"/>
    <w:rsid w:val="008E3B21"/>
    <w:rsid w:val="008E5410"/>
    <w:rsid w:val="008E692E"/>
    <w:rsid w:val="008F2CF3"/>
    <w:rsid w:val="008F7EC4"/>
    <w:rsid w:val="009007C0"/>
    <w:rsid w:val="0090468A"/>
    <w:rsid w:val="00904D26"/>
    <w:rsid w:val="009079C2"/>
    <w:rsid w:val="00907DA5"/>
    <w:rsid w:val="00914D72"/>
    <w:rsid w:val="0091529A"/>
    <w:rsid w:val="00915EB9"/>
    <w:rsid w:val="0092071D"/>
    <w:rsid w:val="009236CE"/>
    <w:rsid w:val="00923E8E"/>
    <w:rsid w:val="009252FB"/>
    <w:rsid w:val="0092562B"/>
    <w:rsid w:val="00925746"/>
    <w:rsid w:val="0092650D"/>
    <w:rsid w:val="00931687"/>
    <w:rsid w:val="00931F1A"/>
    <w:rsid w:val="00932AFF"/>
    <w:rsid w:val="0093451A"/>
    <w:rsid w:val="00942119"/>
    <w:rsid w:val="00942E37"/>
    <w:rsid w:val="0094460A"/>
    <w:rsid w:val="00945752"/>
    <w:rsid w:val="00946CFD"/>
    <w:rsid w:val="00947A0F"/>
    <w:rsid w:val="009502C6"/>
    <w:rsid w:val="00950799"/>
    <w:rsid w:val="009513C8"/>
    <w:rsid w:val="00953305"/>
    <w:rsid w:val="00954DBF"/>
    <w:rsid w:val="00957D13"/>
    <w:rsid w:val="0096002B"/>
    <w:rsid w:val="00960BB0"/>
    <w:rsid w:val="0096731B"/>
    <w:rsid w:val="0097018F"/>
    <w:rsid w:val="009720C1"/>
    <w:rsid w:val="00972112"/>
    <w:rsid w:val="0097481C"/>
    <w:rsid w:val="00974DED"/>
    <w:rsid w:val="00975CCD"/>
    <w:rsid w:val="00980664"/>
    <w:rsid w:val="00980DF0"/>
    <w:rsid w:val="00980E39"/>
    <w:rsid w:val="00985EDC"/>
    <w:rsid w:val="00987D06"/>
    <w:rsid w:val="0099045C"/>
    <w:rsid w:val="0099168E"/>
    <w:rsid w:val="009929FB"/>
    <w:rsid w:val="00995340"/>
    <w:rsid w:val="00995955"/>
    <w:rsid w:val="00995F97"/>
    <w:rsid w:val="009A305F"/>
    <w:rsid w:val="009A4864"/>
    <w:rsid w:val="009A5597"/>
    <w:rsid w:val="009A626E"/>
    <w:rsid w:val="009B0CCE"/>
    <w:rsid w:val="009B1C63"/>
    <w:rsid w:val="009B26FA"/>
    <w:rsid w:val="009B2A4F"/>
    <w:rsid w:val="009C054F"/>
    <w:rsid w:val="009C1705"/>
    <w:rsid w:val="009C1C7B"/>
    <w:rsid w:val="009C32B2"/>
    <w:rsid w:val="009C4DDB"/>
    <w:rsid w:val="009C4F18"/>
    <w:rsid w:val="009D138C"/>
    <w:rsid w:val="009D446B"/>
    <w:rsid w:val="009D60F7"/>
    <w:rsid w:val="009D7246"/>
    <w:rsid w:val="009E4604"/>
    <w:rsid w:val="009E4C86"/>
    <w:rsid w:val="009E6B6F"/>
    <w:rsid w:val="009F4D12"/>
    <w:rsid w:val="009F72F6"/>
    <w:rsid w:val="009F7C15"/>
    <w:rsid w:val="009F7D62"/>
    <w:rsid w:val="009F7F3A"/>
    <w:rsid w:val="00A00DE8"/>
    <w:rsid w:val="00A014AC"/>
    <w:rsid w:val="00A01740"/>
    <w:rsid w:val="00A03388"/>
    <w:rsid w:val="00A03EE4"/>
    <w:rsid w:val="00A05F52"/>
    <w:rsid w:val="00A078FB"/>
    <w:rsid w:val="00A10417"/>
    <w:rsid w:val="00A108AB"/>
    <w:rsid w:val="00A124C2"/>
    <w:rsid w:val="00A13587"/>
    <w:rsid w:val="00A151CA"/>
    <w:rsid w:val="00A207AD"/>
    <w:rsid w:val="00A3365D"/>
    <w:rsid w:val="00A36FC8"/>
    <w:rsid w:val="00A37D3D"/>
    <w:rsid w:val="00A43C76"/>
    <w:rsid w:val="00A44F1F"/>
    <w:rsid w:val="00A459ED"/>
    <w:rsid w:val="00A4771F"/>
    <w:rsid w:val="00A47A50"/>
    <w:rsid w:val="00A47E04"/>
    <w:rsid w:val="00A506F8"/>
    <w:rsid w:val="00A510E8"/>
    <w:rsid w:val="00A534D0"/>
    <w:rsid w:val="00A5446A"/>
    <w:rsid w:val="00A55497"/>
    <w:rsid w:val="00A567B3"/>
    <w:rsid w:val="00A56A9B"/>
    <w:rsid w:val="00A57592"/>
    <w:rsid w:val="00A579C7"/>
    <w:rsid w:val="00A57F66"/>
    <w:rsid w:val="00A602E1"/>
    <w:rsid w:val="00A61D97"/>
    <w:rsid w:val="00A62398"/>
    <w:rsid w:val="00A62ADC"/>
    <w:rsid w:val="00A666B7"/>
    <w:rsid w:val="00A669E1"/>
    <w:rsid w:val="00A6780C"/>
    <w:rsid w:val="00A708CE"/>
    <w:rsid w:val="00A718ED"/>
    <w:rsid w:val="00A721C1"/>
    <w:rsid w:val="00A728B8"/>
    <w:rsid w:val="00A74298"/>
    <w:rsid w:val="00A74B6B"/>
    <w:rsid w:val="00A75901"/>
    <w:rsid w:val="00A763A8"/>
    <w:rsid w:val="00A77CBA"/>
    <w:rsid w:val="00A8094D"/>
    <w:rsid w:val="00A8488D"/>
    <w:rsid w:val="00A84C58"/>
    <w:rsid w:val="00A85F3A"/>
    <w:rsid w:val="00A87421"/>
    <w:rsid w:val="00A87B13"/>
    <w:rsid w:val="00A90E82"/>
    <w:rsid w:val="00A91DC2"/>
    <w:rsid w:val="00A92AAD"/>
    <w:rsid w:val="00A94C87"/>
    <w:rsid w:val="00A97C41"/>
    <w:rsid w:val="00AA0C55"/>
    <w:rsid w:val="00AA1600"/>
    <w:rsid w:val="00AA49D5"/>
    <w:rsid w:val="00AA659E"/>
    <w:rsid w:val="00AB5199"/>
    <w:rsid w:val="00AC000C"/>
    <w:rsid w:val="00AC578F"/>
    <w:rsid w:val="00AC7D9E"/>
    <w:rsid w:val="00AD10AF"/>
    <w:rsid w:val="00AD44E8"/>
    <w:rsid w:val="00AD5817"/>
    <w:rsid w:val="00AE0E68"/>
    <w:rsid w:val="00AE27BA"/>
    <w:rsid w:val="00AE2F37"/>
    <w:rsid w:val="00AE6026"/>
    <w:rsid w:val="00AF618A"/>
    <w:rsid w:val="00AF674B"/>
    <w:rsid w:val="00B001AB"/>
    <w:rsid w:val="00B0152C"/>
    <w:rsid w:val="00B038F6"/>
    <w:rsid w:val="00B041B0"/>
    <w:rsid w:val="00B04E4D"/>
    <w:rsid w:val="00B1225D"/>
    <w:rsid w:val="00B137A8"/>
    <w:rsid w:val="00B13E39"/>
    <w:rsid w:val="00B140DE"/>
    <w:rsid w:val="00B20E76"/>
    <w:rsid w:val="00B25742"/>
    <w:rsid w:val="00B267A5"/>
    <w:rsid w:val="00B27B91"/>
    <w:rsid w:val="00B27FBB"/>
    <w:rsid w:val="00B3705E"/>
    <w:rsid w:val="00B429E1"/>
    <w:rsid w:val="00B43462"/>
    <w:rsid w:val="00B45758"/>
    <w:rsid w:val="00B45892"/>
    <w:rsid w:val="00B46435"/>
    <w:rsid w:val="00B46D0D"/>
    <w:rsid w:val="00B46E11"/>
    <w:rsid w:val="00B470E1"/>
    <w:rsid w:val="00B47BAE"/>
    <w:rsid w:val="00B515CA"/>
    <w:rsid w:val="00B52140"/>
    <w:rsid w:val="00B53304"/>
    <w:rsid w:val="00B53957"/>
    <w:rsid w:val="00B57CE9"/>
    <w:rsid w:val="00B631BD"/>
    <w:rsid w:val="00B63216"/>
    <w:rsid w:val="00B638D5"/>
    <w:rsid w:val="00B639A4"/>
    <w:rsid w:val="00B63EA9"/>
    <w:rsid w:val="00B66045"/>
    <w:rsid w:val="00B71782"/>
    <w:rsid w:val="00B72525"/>
    <w:rsid w:val="00B72DE1"/>
    <w:rsid w:val="00B741CF"/>
    <w:rsid w:val="00B74806"/>
    <w:rsid w:val="00B76F06"/>
    <w:rsid w:val="00B7736B"/>
    <w:rsid w:val="00B825A7"/>
    <w:rsid w:val="00B83129"/>
    <w:rsid w:val="00B84459"/>
    <w:rsid w:val="00B84C96"/>
    <w:rsid w:val="00B84CF5"/>
    <w:rsid w:val="00B85AAC"/>
    <w:rsid w:val="00B864D1"/>
    <w:rsid w:val="00B87C2B"/>
    <w:rsid w:val="00B90DFB"/>
    <w:rsid w:val="00B91B72"/>
    <w:rsid w:val="00B95D82"/>
    <w:rsid w:val="00BA0FA2"/>
    <w:rsid w:val="00BA12C9"/>
    <w:rsid w:val="00BA1DA7"/>
    <w:rsid w:val="00BA2015"/>
    <w:rsid w:val="00BA2080"/>
    <w:rsid w:val="00BA2179"/>
    <w:rsid w:val="00BA497F"/>
    <w:rsid w:val="00BA5029"/>
    <w:rsid w:val="00BA56AC"/>
    <w:rsid w:val="00BB0FE5"/>
    <w:rsid w:val="00BB19E5"/>
    <w:rsid w:val="00BB2985"/>
    <w:rsid w:val="00BC0AE3"/>
    <w:rsid w:val="00BC1A19"/>
    <w:rsid w:val="00BC1F5F"/>
    <w:rsid w:val="00BC32FB"/>
    <w:rsid w:val="00BC3505"/>
    <w:rsid w:val="00BC6537"/>
    <w:rsid w:val="00BC6DD2"/>
    <w:rsid w:val="00BC7E66"/>
    <w:rsid w:val="00BD08DA"/>
    <w:rsid w:val="00BD0BA3"/>
    <w:rsid w:val="00BD31F4"/>
    <w:rsid w:val="00BD582B"/>
    <w:rsid w:val="00BD6FF3"/>
    <w:rsid w:val="00BE0CDE"/>
    <w:rsid w:val="00BE399C"/>
    <w:rsid w:val="00BE4D5A"/>
    <w:rsid w:val="00BE6A6E"/>
    <w:rsid w:val="00BE7C8C"/>
    <w:rsid w:val="00BF083B"/>
    <w:rsid w:val="00BF23B2"/>
    <w:rsid w:val="00BF28B7"/>
    <w:rsid w:val="00BF32A0"/>
    <w:rsid w:val="00BF3C1E"/>
    <w:rsid w:val="00C01CF2"/>
    <w:rsid w:val="00C02CED"/>
    <w:rsid w:val="00C0399A"/>
    <w:rsid w:val="00C06BC7"/>
    <w:rsid w:val="00C07253"/>
    <w:rsid w:val="00C10EC6"/>
    <w:rsid w:val="00C136F0"/>
    <w:rsid w:val="00C146FF"/>
    <w:rsid w:val="00C1504D"/>
    <w:rsid w:val="00C15E13"/>
    <w:rsid w:val="00C22ED0"/>
    <w:rsid w:val="00C244B6"/>
    <w:rsid w:val="00C247C7"/>
    <w:rsid w:val="00C27EFF"/>
    <w:rsid w:val="00C3234A"/>
    <w:rsid w:val="00C34D8C"/>
    <w:rsid w:val="00C358A7"/>
    <w:rsid w:val="00C4308A"/>
    <w:rsid w:val="00C439EF"/>
    <w:rsid w:val="00C44364"/>
    <w:rsid w:val="00C4452D"/>
    <w:rsid w:val="00C44B74"/>
    <w:rsid w:val="00C465A1"/>
    <w:rsid w:val="00C50F9A"/>
    <w:rsid w:val="00C5654A"/>
    <w:rsid w:val="00C5737C"/>
    <w:rsid w:val="00C62620"/>
    <w:rsid w:val="00C63933"/>
    <w:rsid w:val="00C63C4A"/>
    <w:rsid w:val="00C64C6E"/>
    <w:rsid w:val="00C6583A"/>
    <w:rsid w:val="00C65E65"/>
    <w:rsid w:val="00C66674"/>
    <w:rsid w:val="00C67AAF"/>
    <w:rsid w:val="00C7433D"/>
    <w:rsid w:val="00C74E73"/>
    <w:rsid w:val="00C75FB2"/>
    <w:rsid w:val="00C76938"/>
    <w:rsid w:val="00C81BE0"/>
    <w:rsid w:val="00C81C1B"/>
    <w:rsid w:val="00C82720"/>
    <w:rsid w:val="00C831FD"/>
    <w:rsid w:val="00C859AA"/>
    <w:rsid w:val="00C8698F"/>
    <w:rsid w:val="00C87A06"/>
    <w:rsid w:val="00C9252D"/>
    <w:rsid w:val="00C928E3"/>
    <w:rsid w:val="00C9573F"/>
    <w:rsid w:val="00C97C44"/>
    <w:rsid w:val="00CA1DD1"/>
    <w:rsid w:val="00CA3366"/>
    <w:rsid w:val="00CA537E"/>
    <w:rsid w:val="00CA6486"/>
    <w:rsid w:val="00CB04B0"/>
    <w:rsid w:val="00CB1FD4"/>
    <w:rsid w:val="00CB2BA9"/>
    <w:rsid w:val="00CB2EC5"/>
    <w:rsid w:val="00CB34C8"/>
    <w:rsid w:val="00CB5C54"/>
    <w:rsid w:val="00CC097C"/>
    <w:rsid w:val="00CC109E"/>
    <w:rsid w:val="00CC165C"/>
    <w:rsid w:val="00CC1755"/>
    <w:rsid w:val="00CC261A"/>
    <w:rsid w:val="00CC3D2C"/>
    <w:rsid w:val="00CC4335"/>
    <w:rsid w:val="00CC6711"/>
    <w:rsid w:val="00CD0759"/>
    <w:rsid w:val="00CD0E4E"/>
    <w:rsid w:val="00CD4829"/>
    <w:rsid w:val="00CD591C"/>
    <w:rsid w:val="00CD658D"/>
    <w:rsid w:val="00CD6F94"/>
    <w:rsid w:val="00CD7A3C"/>
    <w:rsid w:val="00CE2A85"/>
    <w:rsid w:val="00CE40BD"/>
    <w:rsid w:val="00CE527B"/>
    <w:rsid w:val="00CE5404"/>
    <w:rsid w:val="00CF04F9"/>
    <w:rsid w:val="00CF3B25"/>
    <w:rsid w:val="00CF5788"/>
    <w:rsid w:val="00CF582B"/>
    <w:rsid w:val="00CF5E92"/>
    <w:rsid w:val="00CF62CC"/>
    <w:rsid w:val="00D000B2"/>
    <w:rsid w:val="00D02227"/>
    <w:rsid w:val="00D02A20"/>
    <w:rsid w:val="00D02E25"/>
    <w:rsid w:val="00D05338"/>
    <w:rsid w:val="00D102C5"/>
    <w:rsid w:val="00D105CB"/>
    <w:rsid w:val="00D12DF2"/>
    <w:rsid w:val="00D130A3"/>
    <w:rsid w:val="00D23124"/>
    <w:rsid w:val="00D236C4"/>
    <w:rsid w:val="00D24C5E"/>
    <w:rsid w:val="00D262CE"/>
    <w:rsid w:val="00D317FB"/>
    <w:rsid w:val="00D32BDC"/>
    <w:rsid w:val="00D33CB4"/>
    <w:rsid w:val="00D34A93"/>
    <w:rsid w:val="00D36CD5"/>
    <w:rsid w:val="00D3739E"/>
    <w:rsid w:val="00D41144"/>
    <w:rsid w:val="00D46600"/>
    <w:rsid w:val="00D466C3"/>
    <w:rsid w:val="00D466F1"/>
    <w:rsid w:val="00D478CF"/>
    <w:rsid w:val="00D47C56"/>
    <w:rsid w:val="00D52F95"/>
    <w:rsid w:val="00D53ED2"/>
    <w:rsid w:val="00D54307"/>
    <w:rsid w:val="00D54730"/>
    <w:rsid w:val="00D55603"/>
    <w:rsid w:val="00D55A21"/>
    <w:rsid w:val="00D563C0"/>
    <w:rsid w:val="00D57902"/>
    <w:rsid w:val="00D61908"/>
    <w:rsid w:val="00D6256E"/>
    <w:rsid w:val="00D63653"/>
    <w:rsid w:val="00D645B0"/>
    <w:rsid w:val="00D653B5"/>
    <w:rsid w:val="00D655F3"/>
    <w:rsid w:val="00D66B62"/>
    <w:rsid w:val="00D678B1"/>
    <w:rsid w:val="00D70217"/>
    <w:rsid w:val="00D708A3"/>
    <w:rsid w:val="00D7379D"/>
    <w:rsid w:val="00D756EB"/>
    <w:rsid w:val="00D75816"/>
    <w:rsid w:val="00D75896"/>
    <w:rsid w:val="00D75E5B"/>
    <w:rsid w:val="00D76CE3"/>
    <w:rsid w:val="00D7772F"/>
    <w:rsid w:val="00D77A7D"/>
    <w:rsid w:val="00D82A4D"/>
    <w:rsid w:val="00D830F6"/>
    <w:rsid w:val="00D84D1D"/>
    <w:rsid w:val="00D863B5"/>
    <w:rsid w:val="00D86862"/>
    <w:rsid w:val="00D876E6"/>
    <w:rsid w:val="00D90077"/>
    <w:rsid w:val="00D909D9"/>
    <w:rsid w:val="00D91C8C"/>
    <w:rsid w:val="00D92A6B"/>
    <w:rsid w:val="00D93203"/>
    <w:rsid w:val="00D93D0A"/>
    <w:rsid w:val="00D958E2"/>
    <w:rsid w:val="00DA24C0"/>
    <w:rsid w:val="00DA319D"/>
    <w:rsid w:val="00DA32F5"/>
    <w:rsid w:val="00DA3C61"/>
    <w:rsid w:val="00DA4B39"/>
    <w:rsid w:val="00DB0656"/>
    <w:rsid w:val="00DB0E8E"/>
    <w:rsid w:val="00DB23FB"/>
    <w:rsid w:val="00DB3D49"/>
    <w:rsid w:val="00DB3E41"/>
    <w:rsid w:val="00DB6C7B"/>
    <w:rsid w:val="00DC09CF"/>
    <w:rsid w:val="00DC240E"/>
    <w:rsid w:val="00DC2893"/>
    <w:rsid w:val="00DC2A69"/>
    <w:rsid w:val="00DC3A5B"/>
    <w:rsid w:val="00DC4D8F"/>
    <w:rsid w:val="00DD0A96"/>
    <w:rsid w:val="00DD2204"/>
    <w:rsid w:val="00DD2D85"/>
    <w:rsid w:val="00DD5F15"/>
    <w:rsid w:val="00DD62F9"/>
    <w:rsid w:val="00DE0FC3"/>
    <w:rsid w:val="00DE2A40"/>
    <w:rsid w:val="00DE2DD8"/>
    <w:rsid w:val="00DE3CF5"/>
    <w:rsid w:val="00DE6EC4"/>
    <w:rsid w:val="00DF43EB"/>
    <w:rsid w:val="00DF7594"/>
    <w:rsid w:val="00E013C4"/>
    <w:rsid w:val="00E018E2"/>
    <w:rsid w:val="00E02C17"/>
    <w:rsid w:val="00E03EFB"/>
    <w:rsid w:val="00E0484C"/>
    <w:rsid w:val="00E054E5"/>
    <w:rsid w:val="00E05A3A"/>
    <w:rsid w:val="00E05C72"/>
    <w:rsid w:val="00E06128"/>
    <w:rsid w:val="00E06B4F"/>
    <w:rsid w:val="00E105F9"/>
    <w:rsid w:val="00E13EAC"/>
    <w:rsid w:val="00E15511"/>
    <w:rsid w:val="00E15B1D"/>
    <w:rsid w:val="00E20D31"/>
    <w:rsid w:val="00E24560"/>
    <w:rsid w:val="00E254AA"/>
    <w:rsid w:val="00E25F99"/>
    <w:rsid w:val="00E27B0F"/>
    <w:rsid w:val="00E318D9"/>
    <w:rsid w:val="00E319E1"/>
    <w:rsid w:val="00E329DD"/>
    <w:rsid w:val="00E32FF1"/>
    <w:rsid w:val="00E340AB"/>
    <w:rsid w:val="00E346B3"/>
    <w:rsid w:val="00E34F1C"/>
    <w:rsid w:val="00E4379C"/>
    <w:rsid w:val="00E44325"/>
    <w:rsid w:val="00E45BF1"/>
    <w:rsid w:val="00E4678F"/>
    <w:rsid w:val="00E47FBA"/>
    <w:rsid w:val="00E50372"/>
    <w:rsid w:val="00E5204C"/>
    <w:rsid w:val="00E523DF"/>
    <w:rsid w:val="00E52CD8"/>
    <w:rsid w:val="00E536E4"/>
    <w:rsid w:val="00E54727"/>
    <w:rsid w:val="00E553AE"/>
    <w:rsid w:val="00E55D48"/>
    <w:rsid w:val="00E57A9B"/>
    <w:rsid w:val="00E57CBF"/>
    <w:rsid w:val="00E57D69"/>
    <w:rsid w:val="00E6353B"/>
    <w:rsid w:val="00E70F7D"/>
    <w:rsid w:val="00E72FFC"/>
    <w:rsid w:val="00E73473"/>
    <w:rsid w:val="00E73F1F"/>
    <w:rsid w:val="00E745AA"/>
    <w:rsid w:val="00E75358"/>
    <w:rsid w:val="00E766EF"/>
    <w:rsid w:val="00E76A96"/>
    <w:rsid w:val="00E77989"/>
    <w:rsid w:val="00E829BB"/>
    <w:rsid w:val="00E843C7"/>
    <w:rsid w:val="00E84464"/>
    <w:rsid w:val="00E84D3B"/>
    <w:rsid w:val="00E85684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5A47"/>
    <w:rsid w:val="00EB6B3F"/>
    <w:rsid w:val="00EB76DB"/>
    <w:rsid w:val="00EC0C8B"/>
    <w:rsid w:val="00EC0E51"/>
    <w:rsid w:val="00EC1AA6"/>
    <w:rsid w:val="00EC1E19"/>
    <w:rsid w:val="00EC202A"/>
    <w:rsid w:val="00EC301D"/>
    <w:rsid w:val="00EC4BDC"/>
    <w:rsid w:val="00EC641E"/>
    <w:rsid w:val="00EC6616"/>
    <w:rsid w:val="00ED077F"/>
    <w:rsid w:val="00ED07DA"/>
    <w:rsid w:val="00ED09A6"/>
    <w:rsid w:val="00ED2884"/>
    <w:rsid w:val="00ED333B"/>
    <w:rsid w:val="00ED408D"/>
    <w:rsid w:val="00ED56BA"/>
    <w:rsid w:val="00ED6C6B"/>
    <w:rsid w:val="00EE35FD"/>
    <w:rsid w:val="00EE3E3E"/>
    <w:rsid w:val="00EE4121"/>
    <w:rsid w:val="00EE6336"/>
    <w:rsid w:val="00EE64F5"/>
    <w:rsid w:val="00EE7E18"/>
    <w:rsid w:val="00EE7EEF"/>
    <w:rsid w:val="00EF02D4"/>
    <w:rsid w:val="00EF1626"/>
    <w:rsid w:val="00EF79B3"/>
    <w:rsid w:val="00F00115"/>
    <w:rsid w:val="00F0028F"/>
    <w:rsid w:val="00F02E74"/>
    <w:rsid w:val="00F03A34"/>
    <w:rsid w:val="00F06086"/>
    <w:rsid w:val="00F066D3"/>
    <w:rsid w:val="00F10795"/>
    <w:rsid w:val="00F12736"/>
    <w:rsid w:val="00F13EDF"/>
    <w:rsid w:val="00F1465F"/>
    <w:rsid w:val="00F154E0"/>
    <w:rsid w:val="00F16646"/>
    <w:rsid w:val="00F168D2"/>
    <w:rsid w:val="00F208B5"/>
    <w:rsid w:val="00F21F87"/>
    <w:rsid w:val="00F23B7B"/>
    <w:rsid w:val="00F25201"/>
    <w:rsid w:val="00F258B7"/>
    <w:rsid w:val="00F25EC1"/>
    <w:rsid w:val="00F27282"/>
    <w:rsid w:val="00F27371"/>
    <w:rsid w:val="00F301FB"/>
    <w:rsid w:val="00F313B8"/>
    <w:rsid w:val="00F32CEE"/>
    <w:rsid w:val="00F33664"/>
    <w:rsid w:val="00F339C5"/>
    <w:rsid w:val="00F34689"/>
    <w:rsid w:val="00F34E91"/>
    <w:rsid w:val="00F35D13"/>
    <w:rsid w:val="00F36F69"/>
    <w:rsid w:val="00F41859"/>
    <w:rsid w:val="00F41E90"/>
    <w:rsid w:val="00F45AAC"/>
    <w:rsid w:val="00F462B9"/>
    <w:rsid w:val="00F51B32"/>
    <w:rsid w:val="00F55CAA"/>
    <w:rsid w:val="00F55DE2"/>
    <w:rsid w:val="00F62A54"/>
    <w:rsid w:val="00F631C6"/>
    <w:rsid w:val="00F63539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D22"/>
    <w:rsid w:val="00F92E38"/>
    <w:rsid w:val="00F9349C"/>
    <w:rsid w:val="00F9685C"/>
    <w:rsid w:val="00F96EBC"/>
    <w:rsid w:val="00FA2220"/>
    <w:rsid w:val="00FA2267"/>
    <w:rsid w:val="00FA27F4"/>
    <w:rsid w:val="00FB2327"/>
    <w:rsid w:val="00FB4AED"/>
    <w:rsid w:val="00FB6822"/>
    <w:rsid w:val="00FC0E37"/>
    <w:rsid w:val="00FC269F"/>
    <w:rsid w:val="00FC3F34"/>
    <w:rsid w:val="00FC6399"/>
    <w:rsid w:val="00FC7C47"/>
    <w:rsid w:val="00FD0BD4"/>
    <w:rsid w:val="00FD353B"/>
    <w:rsid w:val="00FD3631"/>
    <w:rsid w:val="00FD600B"/>
    <w:rsid w:val="00FE0E4C"/>
    <w:rsid w:val="00FE0EBD"/>
    <w:rsid w:val="00FE253E"/>
    <w:rsid w:val="00FE7F1D"/>
    <w:rsid w:val="00FF07FD"/>
    <w:rsid w:val="00FF22A0"/>
    <w:rsid w:val="00FF2863"/>
    <w:rsid w:val="00FF4DDF"/>
    <w:rsid w:val="00FF6E1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5F4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82B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82B"/>
    <w:rPr>
      <w:rFonts w:ascii="Arial" w:hAnsi="Arial" w:cs="Arial"/>
      <w:color w:val="000000"/>
      <w:lang w:eastAsia="sk-SK"/>
    </w:rPr>
  </w:style>
  <w:style w:type="paragraph" w:styleId="Revzia">
    <w:name w:val="Revision"/>
    <w:hidden/>
    <w:uiPriority w:val="99"/>
    <w:semiHidden/>
    <w:rsid w:val="00502214"/>
    <w:pPr>
      <w:spacing w:after="0" w:line="240" w:lineRule="auto"/>
    </w:pPr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vlastny-material"/>
    <f:field ref="objsubject" par="" edit="true" text=""/>
    <f:field ref="objcreatedby" par="" text="Bumberová, Veronika, Mgr."/>
    <f:field ref="objcreatedat" par="" text="19.1.2021 8:25:17"/>
    <f:field ref="objchangedby" par="" text="Administrator, System"/>
    <f:field ref="objmodifiedat" par="" text="19.1.2021 8:25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538211-129E-4ED4-95B4-E8C5E0FA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3440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2021-10-20T11:31:00Z</dcterms:created>
  <dcterms:modified xsi:type="dcterms:W3CDTF">2021-10-20T11:31:00Z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materiálu informovaná prostredníctvom zástupcov stavovských organizácií a&amp;nbsp;profesijných organizácií ako zástupcov zamestnávateľov a&amp;nbsp;samosprávnych krajov ako zriaďovateľov stredných škôl, k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61/2015 Z. z. o odbornom vzdelávaní a príprave a o zmene a doplnení niektorých zákonov v znení zákona č. 209/2018 Z. z.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61/2015 Z. z. o odbornom vzdelávaní a príprave a o zmene a doplnení niektorých zákonov v znení zákona č. 209/2018 Z. z.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2020/19280-A1810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LP/2020/578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právneho predpisu, čo by znamenalo, že systém odborného vzdelávania nebude reagovať na aktuálne podnety trhu práce.                    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vedy, výskumu a športu Slovenskej republiky predkladá návrh zákona, ktorým sa mení a&amp;nbsp;dopĺňa zákon č. 61/2015 Z. z. o&amp;nbsp;odbornom vzdelávaní a&amp;nbsp;príprave a&amp;nbsp;o&amp;nbsp;zmene a&amp;nbsp;doplnení n</vt:lpwstr>
  </property>
  <property fmtid="{D5CDD505-2E9C-101B-9397-08002B2CF9AE}" pid="150" name="FSC#SKEDITIONSLOVLEX@103.510:vytvorenedna">
    <vt:lpwstr>19. 1. 2021</vt:lpwstr>
  </property>
  <property fmtid="{D5CDD505-2E9C-101B-9397-08002B2CF9AE}" pid="151" name="FSC#COOSYSTEM@1.1:Container">
    <vt:lpwstr>COO.2145.1000.3.4214767</vt:lpwstr>
  </property>
  <property fmtid="{D5CDD505-2E9C-101B-9397-08002B2CF9AE}" pid="152" name="FSC#FSCFOLIO@1.1001:docpropproject">
    <vt:lpwstr/>
  </property>
</Properties>
</file>