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DA4" w:rsidRDefault="00665B2F">
      <w:pPr>
        <w:spacing w:line="360" w:lineRule="auto"/>
        <w:jc w:val="center"/>
        <w:rPr>
          <w:rFonts w:hint="default"/>
          <w:b/>
          <w:sz w:val="32"/>
        </w:rPr>
      </w:pPr>
      <w:r>
        <w:rPr>
          <w:b/>
          <w:sz w:val="32"/>
        </w:rPr>
        <w:t>NÁRODNÁ  RADA  SLOVENSKEJ  REPUBLIKY</w:t>
      </w:r>
    </w:p>
    <w:p w:rsidR="00EA3DA4" w:rsidRDefault="00665B2F">
      <w:pPr>
        <w:spacing w:line="360" w:lineRule="auto"/>
        <w:jc w:val="center"/>
        <w:rPr>
          <w:rFonts w:hint="default"/>
          <w:sz w:val="32"/>
        </w:rPr>
      </w:pPr>
      <w:r>
        <w:rPr>
          <w:b/>
          <w:sz w:val="32"/>
        </w:rPr>
        <w:t>VII</w:t>
      </w:r>
      <w:r w:rsidR="00453969">
        <w:rPr>
          <w:rFonts w:hint="default"/>
          <w:b/>
          <w:sz w:val="32"/>
        </w:rPr>
        <w:t>I</w:t>
      </w:r>
      <w:bookmarkStart w:id="0" w:name="_GoBack"/>
      <w:bookmarkEnd w:id="0"/>
      <w:r>
        <w:rPr>
          <w:b/>
          <w:sz w:val="32"/>
        </w:rPr>
        <w:t>. volebné obdobie</w:t>
      </w:r>
    </w:p>
    <w:p w:rsidR="00EA3DA4" w:rsidRDefault="00665B2F">
      <w:pPr>
        <w:spacing w:line="360" w:lineRule="auto"/>
        <w:jc w:val="center"/>
        <w:rPr>
          <w:rFonts w:hint="default"/>
        </w:rPr>
      </w:pPr>
      <w:r>
        <w:t>_____________________________________________________________________</w:t>
      </w:r>
    </w:p>
    <w:p w:rsidR="00EA3DA4" w:rsidRDefault="00453969">
      <w:pPr>
        <w:spacing w:line="360" w:lineRule="auto"/>
        <w:rPr>
          <w:rFonts w:hint="default"/>
        </w:rPr>
      </w:pPr>
    </w:p>
    <w:p w:rsidR="00EA3DA4" w:rsidRDefault="00665B2F">
      <w:pPr>
        <w:spacing w:line="360" w:lineRule="auto"/>
        <w:rPr>
          <w:rFonts w:hint="default"/>
        </w:rPr>
      </w:pPr>
      <w:r>
        <w:t>Číslo: CRD-</w:t>
      </w:r>
      <w:r w:rsidR="004F0324">
        <w:rPr>
          <w:rFonts w:hint="default"/>
        </w:rPr>
        <w:t>666</w:t>
      </w:r>
      <w:r>
        <w:t>/20</w:t>
      </w:r>
      <w:r w:rsidR="004F0324">
        <w:rPr>
          <w:rFonts w:hint="default"/>
        </w:rPr>
        <w:t>21</w:t>
      </w:r>
    </w:p>
    <w:p w:rsidR="00EA3DA4" w:rsidRPr="00292349" w:rsidRDefault="004F0324">
      <w:pPr>
        <w:spacing w:line="360" w:lineRule="auto"/>
        <w:jc w:val="center"/>
        <w:rPr>
          <w:rFonts w:hint="default"/>
          <w:b/>
          <w:spacing w:val="60"/>
          <w:sz w:val="32"/>
          <w:szCs w:val="32"/>
        </w:rPr>
      </w:pPr>
      <w:r>
        <w:rPr>
          <w:rFonts w:hint="default"/>
          <w:b/>
          <w:spacing w:val="60"/>
          <w:sz w:val="32"/>
          <w:szCs w:val="32"/>
        </w:rPr>
        <w:t>490</w:t>
      </w:r>
      <w:r w:rsidR="00665B2F" w:rsidRPr="00292349">
        <w:rPr>
          <w:b/>
          <w:spacing w:val="60"/>
          <w:sz w:val="32"/>
          <w:szCs w:val="32"/>
        </w:rPr>
        <w:t>a</w:t>
      </w:r>
    </w:p>
    <w:p w:rsidR="00AD5D68" w:rsidRDefault="00453969">
      <w:pPr>
        <w:spacing w:line="360" w:lineRule="auto"/>
        <w:jc w:val="center"/>
        <w:rPr>
          <w:rFonts w:hint="default"/>
          <w:b/>
          <w:spacing w:val="60"/>
          <w:sz w:val="32"/>
        </w:rPr>
      </w:pPr>
    </w:p>
    <w:p w:rsidR="00EA3DA4" w:rsidRDefault="00665B2F">
      <w:pPr>
        <w:spacing w:line="360" w:lineRule="auto"/>
        <w:jc w:val="center"/>
        <w:rPr>
          <w:rFonts w:hint="default"/>
          <w:b/>
          <w:spacing w:val="60"/>
          <w:sz w:val="32"/>
        </w:rPr>
      </w:pPr>
      <w:r>
        <w:rPr>
          <w:b/>
          <w:spacing w:val="60"/>
          <w:sz w:val="32"/>
        </w:rPr>
        <w:t xml:space="preserve">Spoločná  správa </w:t>
      </w:r>
    </w:p>
    <w:p w:rsidR="00EA3DA4" w:rsidRPr="00A6091D" w:rsidRDefault="00453969">
      <w:pPr>
        <w:spacing w:line="360" w:lineRule="auto"/>
        <w:jc w:val="both"/>
        <w:rPr>
          <w:rFonts w:hint="default"/>
          <w:b/>
        </w:rPr>
      </w:pPr>
    </w:p>
    <w:p w:rsidR="009A3B37" w:rsidRPr="00665B2F" w:rsidRDefault="004F0324" w:rsidP="004F0324">
      <w:pPr>
        <w:tabs>
          <w:tab w:val="left" w:pos="567"/>
        </w:tabs>
        <w:jc w:val="both"/>
        <w:rPr>
          <w:rFonts w:hint="default"/>
          <w:b/>
        </w:rPr>
      </w:pPr>
      <w:r w:rsidRPr="00665B2F">
        <w:rPr>
          <w:b/>
        </w:rPr>
        <w:t xml:space="preserve">o  výsledku prerokovania návrhu na vyslovenie súhlasu </w:t>
      </w:r>
      <w:r w:rsidRPr="004F0324">
        <w:rPr>
          <w:rFonts w:eastAsiaTheme="minorEastAsia"/>
          <w:b/>
          <w:bCs/>
          <w:kern w:val="32"/>
          <w:lang w:eastAsia="en-US"/>
        </w:rPr>
        <w:t>Národnej rady Slovenskej republiky s Partnerskou</w:t>
      </w:r>
      <w:r w:rsidRPr="004F0324">
        <w:rPr>
          <w:rFonts w:eastAsiaTheme="minorEastAsia"/>
          <w:b/>
          <w:lang w:eastAsia="en-US"/>
        </w:rPr>
        <w:t xml:space="preserve"> dohodou o vzťahoch a spolupráci medzi Európskou úniou a jej členskými štátmi na jednej strane a Novým Zélandom na strane druhej (tlač 490)</w:t>
      </w:r>
      <w:r w:rsidRPr="004F0324">
        <w:rPr>
          <w:rFonts w:eastAsiaTheme="minorEastAsia" w:hint="default"/>
          <w:b/>
          <w:lang w:eastAsia="en-US"/>
        </w:rPr>
        <w:t xml:space="preserve"> </w:t>
      </w:r>
      <w:r w:rsidR="00665B2F" w:rsidRPr="00665B2F">
        <w:rPr>
          <w:b/>
        </w:rPr>
        <w:t xml:space="preserve">vo výboroch Národnej rady Slovenskej republiky </w:t>
      </w:r>
    </w:p>
    <w:p w:rsidR="00EA3DA4" w:rsidRDefault="00665B2F">
      <w:pPr>
        <w:spacing w:line="360" w:lineRule="auto"/>
        <w:rPr>
          <w:rFonts w:hint="default"/>
          <w:b/>
        </w:rPr>
      </w:pPr>
      <w:r>
        <w:rPr>
          <w:b/>
        </w:rPr>
        <w:t>___________________________________________________________________________</w:t>
      </w:r>
    </w:p>
    <w:p w:rsidR="00EA3DA4" w:rsidRDefault="00453969">
      <w:pPr>
        <w:spacing w:line="360" w:lineRule="auto"/>
        <w:rPr>
          <w:rFonts w:hint="default"/>
          <w:b/>
        </w:rPr>
      </w:pPr>
    </w:p>
    <w:p w:rsidR="00EA3DA4" w:rsidRPr="001E05B1" w:rsidRDefault="00665B2F" w:rsidP="001E05B1">
      <w:pPr>
        <w:pStyle w:val="Zkladntext"/>
        <w:ind w:firstLine="708"/>
        <w:rPr>
          <w:rFonts w:hint="default"/>
          <w:b/>
          <w:lang w:eastAsia="cs-CZ"/>
        </w:rPr>
      </w:pPr>
      <w:r>
        <w:t>Predseda Národnej rady Slovenskej republiky s</w:t>
      </w:r>
      <w:r w:rsidRPr="00005762">
        <w:rPr>
          <w:szCs w:val="24"/>
        </w:rPr>
        <w:t xml:space="preserve">vojím rozhodnutím č. </w:t>
      </w:r>
      <w:r w:rsidR="004F0324">
        <w:rPr>
          <w:rFonts w:hint="default"/>
          <w:szCs w:val="24"/>
        </w:rPr>
        <w:t>536</w:t>
      </w:r>
      <w:r w:rsidRPr="00005762">
        <w:rPr>
          <w:szCs w:val="24"/>
        </w:rPr>
        <w:t xml:space="preserve"> z </w:t>
      </w:r>
      <w:r w:rsidR="008A5FB1">
        <w:rPr>
          <w:rFonts w:hint="default"/>
          <w:szCs w:val="24"/>
        </w:rPr>
        <w:t>26</w:t>
      </w:r>
      <w:r w:rsidRPr="00005762">
        <w:rPr>
          <w:szCs w:val="24"/>
        </w:rPr>
        <w:t>. </w:t>
      </w:r>
      <w:r w:rsidR="004F0324">
        <w:rPr>
          <w:rFonts w:hint="default"/>
          <w:szCs w:val="24"/>
        </w:rPr>
        <w:t>apríl</w:t>
      </w:r>
      <w:r>
        <w:rPr>
          <w:szCs w:val="24"/>
        </w:rPr>
        <w:t xml:space="preserve">a </w:t>
      </w:r>
      <w:r w:rsidRPr="00005762">
        <w:rPr>
          <w:szCs w:val="24"/>
        </w:rPr>
        <w:t>20</w:t>
      </w:r>
      <w:r w:rsidR="004F0324">
        <w:rPr>
          <w:rFonts w:hint="default"/>
          <w:szCs w:val="24"/>
        </w:rPr>
        <w:t>21</w:t>
      </w:r>
      <w:r w:rsidRPr="00005762">
        <w:rPr>
          <w:szCs w:val="24"/>
        </w:rPr>
        <w:t xml:space="preserve"> pridelil </w:t>
      </w:r>
      <w:r w:rsidRPr="001E05B1">
        <w:rPr>
          <w:lang w:eastAsia="cs-CZ"/>
        </w:rPr>
        <w:t>návrh na vyslovenie súhlasu Národnej rady Slovenskej republik</w:t>
      </w:r>
      <w:r w:rsidRPr="00D76689">
        <w:rPr>
          <w:lang w:eastAsia="cs-CZ"/>
        </w:rPr>
        <w:t xml:space="preserve">y </w:t>
      </w:r>
      <w:r w:rsidRPr="00D76689">
        <w:t xml:space="preserve">s </w:t>
      </w:r>
      <w:r w:rsidR="00D76689" w:rsidRPr="00D76689">
        <w:rPr>
          <w:rFonts w:eastAsiaTheme="minorEastAsia"/>
          <w:bCs/>
          <w:kern w:val="32"/>
          <w:lang w:eastAsia="en-US"/>
        </w:rPr>
        <w:t>Partnerskou</w:t>
      </w:r>
      <w:r w:rsidR="00D76689" w:rsidRPr="00D76689">
        <w:rPr>
          <w:rFonts w:eastAsiaTheme="minorEastAsia"/>
          <w:lang w:eastAsia="en-US"/>
        </w:rPr>
        <w:t xml:space="preserve"> dohodou o vzťahoch a spolupráci medzi Európskou úniou a jej členskými štátmi na jednej strane a Novým Zélandom na strane druhej (tlač 490)</w:t>
      </w:r>
      <w:r w:rsidR="00D76689" w:rsidRPr="00D76689">
        <w:rPr>
          <w:rFonts w:eastAsiaTheme="minorEastAsia" w:hint="default"/>
          <w:lang w:eastAsia="en-US"/>
        </w:rPr>
        <w:t xml:space="preserve"> </w:t>
      </w:r>
      <w:r w:rsidRPr="00005762">
        <w:rPr>
          <w:lang w:eastAsia="cs-CZ"/>
        </w:rPr>
        <w:t xml:space="preserve">na  prerokovanie </w:t>
      </w:r>
      <w:r w:rsidRPr="001E05B1">
        <w:rPr>
          <w:lang w:eastAsia="cs-CZ"/>
        </w:rPr>
        <w:t>Ústavnoprávnemu výboru Národnej rady Slovenskej republiky</w:t>
      </w:r>
      <w:r w:rsidR="00D76689">
        <w:rPr>
          <w:rFonts w:hint="default"/>
          <w:lang w:eastAsia="cs-CZ"/>
        </w:rPr>
        <w:t>, Zahraničnému výboru Národnej rady Slovenskej republiky</w:t>
      </w:r>
      <w:r w:rsidRPr="001E05B1">
        <w:rPr>
          <w:lang w:eastAsia="cs-CZ"/>
        </w:rPr>
        <w:t xml:space="preserve"> a </w:t>
      </w:r>
      <w:r>
        <w:rPr>
          <w:lang w:eastAsia="cs-CZ"/>
        </w:rPr>
        <w:t>Výboru Národnej rady Slovenskej republiky pre európske záležitosti. Zároveň určil, aby Výbor Národnej</w:t>
      </w:r>
      <w:r>
        <w:t xml:space="preserve"> rady Slovenskej republiky pre európske záležitosti ako gestorský výbor podal Národnej rade Slovenskej republiky správu o výsledku prerokovania uvedeného materiálu vo výboroch a návrh na uznesenie Národnej rady Slovenskej republiky. </w:t>
      </w:r>
    </w:p>
    <w:p w:rsidR="00EA3DA4" w:rsidRDefault="00453969" w:rsidP="00A61E2C">
      <w:pPr>
        <w:pStyle w:val="Zkladntext"/>
        <w:rPr>
          <w:rFonts w:hint="default"/>
        </w:rPr>
      </w:pPr>
    </w:p>
    <w:p w:rsidR="001E05B1" w:rsidRDefault="00665B2F" w:rsidP="001E05B1">
      <w:pPr>
        <w:pStyle w:val="Zkladntext"/>
        <w:ind w:firstLine="708"/>
        <w:rPr>
          <w:rFonts w:hint="default"/>
        </w:rPr>
      </w:pPr>
      <w:r w:rsidRPr="001E05B1">
        <w:t xml:space="preserve">Výbor Národnej rady Slovenskej republiky pre európske záležitosti uznesením č. </w:t>
      </w:r>
      <w:r w:rsidR="00D76689">
        <w:rPr>
          <w:rFonts w:hint="default"/>
        </w:rPr>
        <w:t>65</w:t>
      </w:r>
      <w:r w:rsidRPr="001E05B1">
        <w:t xml:space="preserve"> z </w:t>
      </w:r>
      <w:r w:rsidR="00D76689">
        <w:rPr>
          <w:rFonts w:hint="default"/>
        </w:rPr>
        <w:t>26</w:t>
      </w:r>
      <w:r w:rsidRPr="001E05B1">
        <w:t xml:space="preserve">. </w:t>
      </w:r>
      <w:r w:rsidR="00D76689">
        <w:rPr>
          <w:rFonts w:hint="default"/>
        </w:rPr>
        <w:t>apríl</w:t>
      </w:r>
      <w:r w:rsidRPr="001E05B1">
        <w:t>a</w:t>
      </w:r>
      <w:r>
        <w:t xml:space="preserve"> </w:t>
      </w:r>
      <w:r w:rsidRPr="00C34405">
        <w:t>20</w:t>
      </w:r>
      <w:r w:rsidR="008A5FB1">
        <w:rPr>
          <w:rFonts w:hint="default"/>
        </w:rPr>
        <w:t>21 a</w:t>
      </w:r>
      <w:r w:rsidR="00D76689">
        <w:rPr>
          <w:rFonts w:hint="default"/>
        </w:rPr>
        <w:t xml:space="preserve"> </w:t>
      </w:r>
      <w:r w:rsidR="00D76689">
        <w:rPr>
          <w:rFonts w:hint="default"/>
          <w:lang w:eastAsia="cs-CZ"/>
        </w:rPr>
        <w:t>Zahraničný výbor Národnej rady Slovenskej republiky</w:t>
      </w:r>
      <w:r w:rsidR="00D76689" w:rsidRPr="00C34405">
        <w:t xml:space="preserve"> </w:t>
      </w:r>
      <w:r w:rsidR="00D76689">
        <w:t xml:space="preserve">uznesením č. </w:t>
      </w:r>
      <w:r w:rsidR="008A5FB1">
        <w:rPr>
          <w:rFonts w:hint="default"/>
        </w:rPr>
        <w:t>50</w:t>
      </w:r>
      <w:r w:rsidR="00D76689" w:rsidRPr="007D5064">
        <w:t xml:space="preserve"> z </w:t>
      </w:r>
      <w:r w:rsidR="008A5FB1" w:rsidRPr="008A5FB1">
        <w:rPr>
          <w:rFonts w:hint="default"/>
        </w:rPr>
        <w:t>11</w:t>
      </w:r>
      <w:r w:rsidR="00D76689" w:rsidRPr="008A5FB1">
        <w:t xml:space="preserve">. </w:t>
      </w:r>
      <w:r w:rsidR="008A5FB1" w:rsidRPr="008A5FB1">
        <w:rPr>
          <w:rFonts w:hint="default"/>
        </w:rPr>
        <w:t>máj</w:t>
      </w:r>
      <w:r w:rsidR="00D76689" w:rsidRPr="008A5FB1">
        <w:rPr>
          <w:rFonts w:hint="default"/>
        </w:rPr>
        <w:t>a</w:t>
      </w:r>
      <w:r w:rsidR="00D76689" w:rsidRPr="008A5FB1">
        <w:t xml:space="preserve"> 20</w:t>
      </w:r>
      <w:r w:rsidR="00D76689" w:rsidRPr="008A5FB1">
        <w:rPr>
          <w:rFonts w:hint="default"/>
        </w:rPr>
        <w:t>2</w:t>
      </w:r>
      <w:r w:rsidR="00D76689">
        <w:rPr>
          <w:rFonts w:hint="default"/>
        </w:rPr>
        <w:t xml:space="preserve">1 </w:t>
      </w:r>
      <w:r w:rsidRPr="00C34405">
        <w:t>odporučili Národnej rade Slovenskej r</w:t>
      </w:r>
      <w:r w:rsidRPr="00665B2F">
        <w:t xml:space="preserve">epubliky </w:t>
      </w:r>
      <w:r w:rsidR="00D76689" w:rsidRPr="00D76689">
        <w:rPr>
          <w:rFonts w:hint="default"/>
        </w:rPr>
        <w:t>podľa čl. 86 písm. d) Ústavy Slovenskej republiky</w:t>
      </w:r>
      <w:r w:rsidR="00D76689">
        <w:rPr>
          <w:rFonts w:hint="default"/>
        </w:rPr>
        <w:t xml:space="preserve"> </w:t>
      </w:r>
      <w:r w:rsidRPr="00665B2F">
        <w:t xml:space="preserve">vysloviť súhlas s </w:t>
      </w:r>
      <w:r w:rsidR="00D76689" w:rsidRPr="00D76689">
        <w:rPr>
          <w:rFonts w:eastAsiaTheme="minorEastAsia"/>
          <w:bCs/>
          <w:kern w:val="32"/>
          <w:lang w:eastAsia="en-US"/>
        </w:rPr>
        <w:t>Partnerskou</w:t>
      </w:r>
      <w:r w:rsidR="00D76689" w:rsidRPr="00D76689">
        <w:rPr>
          <w:rFonts w:eastAsiaTheme="minorEastAsia"/>
          <w:lang w:eastAsia="en-US"/>
        </w:rPr>
        <w:t xml:space="preserve"> dohodou o vzťahoch a spolupráci medzi Európskou úniou a jej členskými štátmi na jednej strane a Novým Zélandom na strane druhej</w:t>
      </w:r>
      <w:r w:rsidR="00D76689">
        <w:rPr>
          <w:rFonts w:eastAsiaTheme="minorEastAsia"/>
          <w:lang w:eastAsia="en-US"/>
        </w:rPr>
        <w:t xml:space="preserve"> </w:t>
      </w:r>
      <w:r>
        <w:t xml:space="preserve">a </w:t>
      </w:r>
      <w:r w:rsidRPr="00665B2F">
        <w:t xml:space="preserve">rozhodnúť, že </w:t>
      </w:r>
      <w:r w:rsidR="00D76689" w:rsidRPr="00D76689">
        <w:rPr>
          <w:rFonts w:eastAsiaTheme="minorEastAsia"/>
          <w:bCs/>
          <w:kern w:val="32"/>
          <w:lang w:eastAsia="en-US"/>
        </w:rPr>
        <w:t>Partnersk</w:t>
      </w:r>
      <w:r w:rsidR="00D76689">
        <w:rPr>
          <w:rFonts w:eastAsiaTheme="minorEastAsia" w:hint="default"/>
          <w:bCs/>
          <w:kern w:val="32"/>
          <w:lang w:eastAsia="en-US"/>
        </w:rPr>
        <w:t>á</w:t>
      </w:r>
      <w:r w:rsidR="00D76689" w:rsidRPr="00D76689">
        <w:rPr>
          <w:rFonts w:eastAsiaTheme="minorEastAsia"/>
          <w:lang w:eastAsia="en-US"/>
        </w:rPr>
        <w:t xml:space="preserve"> dohod</w:t>
      </w:r>
      <w:r w:rsidR="00D76689">
        <w:rPr>
          <w:rFonts w:eastAsiaTheme="minorEastAsia" w:hint="default"/>
          <w:lang w:eastAsia="en-US"/>
        </w:rPr>
        <w:t>a</w:t>
      </w:r>
      <w:r w:rsidR="00D76689" w:rsidRPr="00D76689">
        <w:rPr>
          <w:rFonts w:eastAsiaTheme="minorEastAsia"/>
          <w:lang w:eastAsia="en-US"/>
        </w:rPr>
        <w:t xml:space="preserve"> o vzťahoch a spolupráci medzi Európskou úniou a jej členskými štátmi na jednej strane a Novým Zélandom na strane druhej </w:t>
      </w:r>
      <w:r>
        <w:t>je medzinárodnou zmluvou podľa článku 7 ods. 5 Ústavy Slovenskej republiky, ktorá má prednosť pred zákonmi.</w:t>
      </w:r>
      <w:r w:rsidR="008A5FB1">
        <w:rPr>
          <w:rFonts w:hint="default"/>
        </w:rPr>
        <w:t xml:space="preserve"> </w:t>
      </w:r>
    </w:p>
    <w:p w:rsidR="008A5FB1" w:rsidRDefault="008A5FB1" w:rsidP="001E05B1">
      <w:pPr>
        <w:pStyle w:val="Zkladntext"/>
        <w:ind w:firstLine="708"/>
        <w:rPr>
          <w:rFonts w:hint="default"/>
        </w:rPr>
      </w:pPr>
    </w:p>
    <w:p w:rsidR="008A5FB1" w:rsidRPr="004259DA" w:rsidRDefault="008A5FB1" w:rsidP="001E05B1">
      <w:pPr>
        <w:pStyle w:val="Zkladntext"/>
        <w:ind w:firstLine="708"/>
        <w:rPr>
          <w:rFonts w:hint="default"/>
        </w:rPr>
      </w:pPr>
      <w:r>
        <w:rPr>
          <w:rFonts w:hint="default"/>
        </w:rPr>
        <w:t>Ústavnoprávny výbor Národnej rady Slovenskej republiky návrh prerokoval 10. júna 2021, ale neprijal uznesenie, keďže návrh uznesenia nezískal podporu potrebnej nadpolovičnej väčšiny všetkých poslancov.</w:t>
      </w:r>
    </w:p>
    <w:p w:rsidR="001E05B1" w:rsidRDefault="00453969" w:rsidP="00C86E00">
      <w:pPr>
        <w:pStyle w:val="Zkladntext"/>
        <w:ind w:firstLine="708"/>
        <w:rPr>
          <w:rFonts w:hint="default"/>
        </w:rPr>
      </w:pPr>
    </w:p>
    <w:p w:rsidR="000828E8" w:rsidRPr="002F348D" w:rsidRDefault="00665B2F" w:rsidP="00995967">
      <w:pPr>
        <w:spacing w:line="360" w:lineRule="auto"/>
        <w:ind w:firstLine="708"/>
        <w:jc w:val="both"/>
        <w:rPr>
          <w:rFonts w:hint="default"/>
        </w:rPr>
      </w:pPr>
      <w:r>
        <w:t xml:space="preserve">Výbor Národnej </w:t>
      </w:r>
      <w:r w:rsidRPr="00D766C7">
        <w:t xml:space="preserve">rady Slovenskej republiky pre európske záležitosti rokoval ako gestorský výbor </w:t>
      </w:r>
      <w:r w:rsidR="008A5FB1">
        <w:rPr>
          <w:rFonts w:hint="default"/>
        </w:rPr>
        <w:t>21</w:t>
      </w:r>
      <w:r w:rsidRPr="00D766C7">
        <w:t xml:space="preserve">. </w:t>
      </w:r>
      <w:r w:rsidR="008A5FB1">
        <w:rPr>
          <w:rFonts w:hint="default"/>
        </w:rPr>
        <w:t>októbr</w:t>
      </w:r>
      <w:r w:rsidRPr="00D766C7">
        <w:t>a 20</w:t>
      </w:r>
      <w:r w:rsidR="00D76689">
        <w:rPr>
          <w:rFonts w:hint="default"/>
        </w:rPr>
        <w:t>2</w:t>
      </w:r>
      <w:r w:rsidRPr="00D766C7">
        <w:t xml:space="preserve">1 a uznesením č. </w:t>
      </w:r>
      <w:r w:rsidR="008A5FB1">
        <w:rPr>
          <w:rFonts w:hint="default"/>
        </w:rPr>
        <w:t>83</w:t>
      </w:r>
      <w:r w:rsidRPr="00D766C7">
        <w:t xml:space="preserve"> </w:t>
      </w:r>
      <w:r w:rsidRPr="00665B2F">
        <w:t>schválil  spoločnú správu</w:t>
      </w:r>
      <w:r w:rsidRPr="00665B2F">
        <w:rPr>
          <w:spacing w:val="60"/>
        </w:rPr>
        <w:t xml:space="preserve"> </w:t>
      </w:r>
      <w:r w:rsidRPr="00D766C7">
        <w:t xml:space="preserve">o výsledku prerokovania uvedeného materiálu vo výboroch Národnej rady Slovenskej republiky (tlač </w:t>
      </w:r>
      <w:r w:rsidR="00D76689">
        <w:rPr>
          <w:rFonts w:hint="default"/>
        </w:rPr>
        <w:t>490</w:t>
      </w:r>
      <w:r w:rsidRPr="00D766C7">
        <w:t xml:space="preserve">a). Gestorský výbor zároveň určil poslanca Národnej rady Slovenskej republiky </w:t>
      </w:r>
      <w:r w:rsidR="008A5FB1">
        <w:rPr>
          <w:rFonts w:hint="default"/>
        </w:rPr>
        <w:t>Ľudovíta Gogu</w:t>
      </w:r>
      <w:r w:rsidRPr="00D766C7">
        <w:t xml:space="preserve"> za spravodajcu výboru.</w:t>
      </w:r>
      <w:r>
        <w:t xml:space="preserve"> </w:t>
      </w:r>
    </w:p>
    <w:p w:rsidR="00374BE8" w:rsidRDefault="00453969">
      <w:pPr>
        <w:spacing w:line="360" w:lineRule="auto"/>
        <w:jc w:val="center"/>
        <w:rPr>
          <w:rFonts w:hint="default"/>
        </w:rPr>
      </w:pPr>
    </w:p>
    <w:p w:rsidR="00374BE8" w:rsidRDefault="00453969">
      <w:pPr>
        <w:spacing w:line="360" w:lineRule="auto"/>
        <w:jc w:val="center"/>
        <w:rPr>
          <w:rFonts w:hint="default"/>
        </w:rPr>
      </w:pPr>
    </w:p>
    <w:p w:rsidR="00D55FA6" w:rsidRDefault="00665B2F" w:rsidP="00D55FA6">
      <w:pPr>
        <w:spacing w:line="360" w:lineRule="auto"/>
        <w:jc w:val="center"/>
        <w:rPr>
          <w:rFonts w:hint="default"/>
        </w:rPr>
      </w:pPr>
      <w:r>
        <w:tab/>
      </w:r>
      <w:r>
        <w:tab/>
      </w:r>
    </w:p>
    <w:p w:rsidR="000E5AEC" w:rsidRDefault="00453969" w:rsidP="000E5AEC">
      <w:pPr>
        <w:spacing w:line="360" w:lineRule="auto"/>
        <w:rPr>
          <w:rFonts w:hint="default"/>
        </w:rPr>
      </w:pPr>
    </w:p>
    <w:p w:rsidR="00BC76C1" w:rsidRDefault="00453969" w:rsidP="000E5AEC">
      <w:pPr>
        <w:spacing w:line="360" w:lineRule="auto"/>
        <w:rPr>
          <w:rFonts w:hint="default"/>
        </w:rPr>
      </w:pPr>
    </w:p>
    <w:p w:rsidR="0002227B" w:rsidRDefault="00453969" w:rsidP="000E5AEC">
      <w:pPr>
        <w:spacing w:line="360" w:lineRule="auto"/>
        <w:rPr>
          <w:rFonts w:hint="default"/>
        </w:rPr>
      </w:pPr>
    </w:p>
    <w:p w:rsidR="0002227B" w:rsidRDefault="00453969" w:rsidP="000E5AEC">
      <w:pPr>
        <w:spacing w:line="360" w:lineRule="auto"/>
        <w:rPr>
          <w:rFonts w:hint="default"/>
        </w:rPr>
      </w:pPr>
    </w:p>
    <w:p w:rsidR="00D76689" w:rsidRPr="00523D18" w:rsidRDefault="00665B2F" w:rsidP="00D76689">
      <w:pPr>
        <w:tabs>
          <w:tab w:val="left" w:pos="567"/>
        </w:tabs>
        <w:ind w:firstLine="708"/>
        <w:jc w:val="both"/>
        <w:rPr>
          <w:rFonts w:hint="default"/>
          <w:b/>
        </w:rPr>
      </w:pPr>
      <w:r>
        <w:t xml:space="preserve">  </w:t>
      </w:r>
      <w:r>
        <w:tab/>
        <w:t xml:space="preserve">    </w:t>
      </w:r>
      <w:r w:rsidR="008A5FB1">
        <w:rPr>
          <w:rFonts w:hint="default"/>
        </w:rPr>
        <w:tab/>
      </w:r>
      <w:r w:rsidR="008A5FB1">
        <w:rPr>
          <w:rFonts w:hint="default"/>
        </w:rPr>
        <w:tab/>
      </w:r>
      <w:r w:rsidR="008A5FB1">
        <w:rPr>
          <w:rFonts w:hint="default"/>
        </w:rPr>
        <w:tab/>
      </w:r>
      <w:r w:rsidR="008A5FB1">
        <w:rPr>
          <w:rFonts w:hint="default"/>
        </w:rPr>
        <w:tab/>
      </w:r>
      <w:r w:rsidR="008A5FB1">
        <w:rPr>
          <w:rFonts w:hint="default"/>
        </w:rPr>
        <w:tab/>
        <w:t xml:space="preserve">      </w:t>
      </w:r>
      <w:r w:rsidR="00D76689">
        <w:rPr>
          <w:rFonts w:hint="default"/>
        </w:rPr>
        <w:t xml:space="preserve"> </w:t>
      </w:r>
      <w:r w:rsidR="008A5FB1">
        <w:rPr>
          <w:rFonts w:hint="default"/>
          <w:b/>
        </w:rPr>
        <w:t>Vladimíra Marcinková, v. r.</w:t>
      </w:r>
    </w:p>
    <w:p w:rsidR="00D76689" w:rsidRPr="00523D18" w:rsidRDefault="00D76689" w:rsidP="00D76689">
      <w:pPr>
        <w:tabs>
          <w:tab w:val="left" w:pos="567"/>
        </w:tabs>
        <w:ind w:firstLine="708"/>
        <w:jc w:val="both"/>
        <w:rPr>
          <w:rFonts w:hint="default"/>
        </w:rPr>
      </w:pPr>
      <w:r>
        <w:rPr>
          <w:rFonts w:hint="default"/>
          <w:b/>
        </w:rPr>
        <w:tab/>
      </w:r>
      <w:r w:rsidRPr="00523D18">
        <w:rPr>
          <w:b/>
        </w:rPr>
        <w:tab/>
      </w:r>
      <w:r w:rsidRPr="00523D18">
        <w:rPr>
          <w:b/>
        </w:rPr>
        <w:tab/>
      </w:r>
      <w:r>
        <w:tab/>
      </w:r>
      <w:r>
        <w:tab/>
      </w:r>
      <w:r>
        <w:tab/>
      </w:r>
      <w:r>
        <w:tab/>
      </w:r>
      <w:r w:rsidR="008A5FB1">
        <w:rPr>
          <w:rFonts w:hint="default"/>
        </w:rPr>
        <w:t xml:space="preserve">  p</w:t>
      </w:r>
      <w:r w:rsidRPr="00523D18">
        <w:t>redsed</w:t>
      </w:r>
      <w:r>
        <w:t xml:space="preserve">níčka </w:t>
      </w:r>
      <w:r w:rsidRPr="00523D18">
        <w:t>výboru</w:t>
      </w:r>
    </w:p>
    <w:p w:rsidR="00D76689" w:rsidRDefault="00D76689" w:rsidP="00D76689">
      <w:pPr>
        <w:ind w:firstLine="708"/>
        <w:rPr>
          <w:rFonts w:hint="default"/>
        </w:rPr>
      </w:pPr>
      <w:r>
        <w:rPr>
          <w:rFonts w:hint="default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BB15C3" w:rsidRDefault="00453969" w:rsidP="00D76689">
      <w:pPr>
        <w:ind w:left="5664"/>
        <w:jc w:val="both"/>
        <w:rPr>
          <w:rFonts w:hint="default"/>
        </w:rPr>
      </w:pPr>
    </w:p>
    <w:p w:rsidR="00BB15C3" w:rsidRDefault="00453969" w:rsidP="00A049B3">
      <w:pPr>
        <w:spacing w:line="360" w:lineRule="auto"/>
        <w:rPr>
          <w:rFonts w:hint="default"/>
        </w:rPr>
      </w:pPr>
    </w:p>
    <w:p w:rsidR="00BB15C3" w:rsidRDefault="00453969" w:rsidP="00F6069C">
      <w:pPr>
        <w:spacing w:line="360" w:lineRule="auto"/>
        <w:jc w:val="center"/>
        <w:rPr>
          <w:rFonts w:hint="default"/>
        </w:rPr>
      </w:pPr>
    </w:p>
    <w:p w:rsidR="00F6069C" w:rsidRDefault="00453969" w:rsidP="00F6069C">
      <w:pPr>
        <w:spacing w:line="360" w:lineRule="auto"/>
        <w:jc w:val="center"/>
        <w:rPr>
          <w:rFonts w:hint="default"/>
        </w:rPr>
      </w:pPr>
    </w:p>
    <w:p w:rsidR="007D657D" w:rsidRDefault="00665B2F" w:rsidP="00F6069C">
      <w:pPr>
        <w:spacing w:line="360" w:lineRule="auto"/>
        <w:rPr>
          <w:rFonts w:hint="default"/>
        </w:rPr>
      </w:pPr>
      <w:r w:rsidRPr="00103B81">
        <w:t xml:space="preserve">Bratislava  </w:t>
      </w:r>
      <w:r w:rsidR="008A5FB1">
        <w:rPr>
          <w:rFonts w:hint="default"/>
        </w:rPr>
        <w:t>21</w:t>
      </w:r>
      <w:r w:rsidRPr="00103B81">
        <w:t xml:space="preserve">. </w:t>
      </w:r>
      <w:r w:rsidR="008A5FB1">
        <w:rPr>
          <w:rFonts w:hint="default"/>
        </w:rPr>
        <w:t>októbra</w:t>
      </w:r>
      <w:r>
        <w:t xml:space="preserve"> </w:t>
      </w:r>
      <w:r w:rsidRPr="00103B81">
        <w:t>20</w:t>
      </w:r>
      <w:r w:rsidR="00D76689">
        <w:rPr>
          <w:rFonts w:hint="default"/>
        </w:rPr>
        <w:t>2</w:t>
      </w:r>
      <w:r w:rsidRPr="00103B81">
        <w:t>1</w:t>
      </w:r>
    </w:p>
    <w:p w:rsidR="00F6069C" w:rsidRDefault="00453969" w:rsidP="006D2F41">
      <w:pPr>
        <w:spacing w:line="360" w:lineRule="auto"/>
        <w:rPr>
          <w:rFonts w:hint="default"/>
        </w:rPr>
      </w:pPr>
    </w:p>
    <w:p w:rsidR="00F6069C" w:rsidRDefault="00453969" w:rsidP="006D2F41">
      <w:pPr>
        <w:spacing w:line="360" w:lineRule="auto"/>
        <w:rPr>
          <w:rFonts w:hint="default"/>
        </w:rPr>
      </w:pPr>
    </w:p>
    <w:p w:rsidR="00F6069C" w:rsidRDefault="00453969" w:rsidP="006D2F41">
      <w:pPr>
        <w:spacing w:line="360" w:lineRule="auto"/>
        <w:rPr>
          <w:rFonts w:hint="default"/>
        </w:rPr>
      </w:pPr>
    </w:p>
    <w:p w:rsidR="00F6069C" w:rsidRDefault="00453969" w:rsidP="006D2F41">
      <w:pPr>
        <w:spacing w:line="360" w:lineRule="auto"/>
        <w:rPr>
          <w:rFonts w:hint="default"/>
        </w:rPr>
      </w:pPr>
    </w:p>
    <w:p w:rsidR="00F6069C" w:rsidRDefault="00453969" w:rsidP="006D2F41">
      <w:pPr>
        <w:spacing w:line="360" w:lineRule="auto"/>
        <w:rPr>
          <w:rFonts w:hint="default"/>
        </w:rPr>
      </w:pPr>
    </w:p>
    <w:p w:rsidR="00F6069C" w:rsidRDefault="00453969" w:rsidP="006D2F41">
      <w:pPr>
        <w:spacing w:line="360" w:lineRule="auto"/>
        <w:rPr>
          <w:rFonts w:hint="default"/>
        </w:rPr>
      </w:pPr>
    </w:p>
    <w:p w:rsidR="00F6069C" w:rsidRDefault="00453969" w:rsidP="006D2F41">
      <w:pPr>
        <w:spacing w:line="360" w:lineRule="auto"/>
        <w:rPr>
          <w:rFonts w:hint="default"/>
        </w:rPr>
      </w:pPr>
    </w:p>
    <w:p w:rsidR="00F6069C" w:rsidRDefault="00453969" w:rsidP="006D2F41">
      <w:pPr>
        <w:spacing w:line="360" w:lineRule="auto"/>
        <w:rPr>
          <w:rFonts w:hint="default"/>
        </w:rPr>
      </w:pPr>
    </w:p>
    <w:p w:rsidR="00F6069C" w:rsidRDefault="00453969" w:rsidP="006D2F41">
      <w:pPr>
        <w:spacing w:line="360" w:lineRule="auto"/>
        <w:rPr>
          <w:rFonts w:hint="default"/>
        </w:rPr>
      </w:pPr>
    </w:p>
    <w:p w:rsidR="00F6069C" w:rsidRDefault="00453969" w:rsidP="006D2F41">
      <w:pPr>
        <w:spacing w:line="360" w:lineRule="auto"/>
        <w:rPr>
          <w:rFonts w:hint="default"/>
        </w:rPr>
      </w:pPr>
    </w:p>
    <w:p w:rsidR="00794711" w:rsidRDefault="00794711" w:rsidP="00794711">
      <w:pPr>
        <w:keepNext/>
        <w:ind w:left="567"/>
        <w:jc w:val="center"/>
        <w:outlineLvl w:val="0"/>
        <w:rPr>
          <w:rFonts w:hint="default"/>
          <w:bCs/>
          <w:kern w:val="32"/>
          <w:sz w:val="32"/>
          <w:szCs w:val="32"/>
        </w:rPr>
      </w:pPr>
      <w:r>
        <w:rPr>
          <w:bCs/>
          <w:kern w:val="32"/>
          <w:sz w:val="32"/>
          <w:szCs w:val="32"/>
        </w:rPr>
        <w:lastRenderedPageBreak/>
        <w:t>NÁRODNÁ RADA SLOVENSKEJ REPUBLIKY</w:t>
      </w:r>
    </w:p>
    <w:p w:rsidR="00794711" w:rsidRDefault="00794711" w:rsidP="00794711">
      <w:pPr>
        <w:keepNext/>
        <w:ind w:left="567"/>
        <w:jc w:val="center"/>
        <w:outlineLvl w:val="0"/>
        <w:rPr>
          <w:rFonts w:hint="default"/>
          <w:bCs/>
          <w:kern w:val="32"/>
          <w:sz w:val="32"/>
          <w:szCs w:val="32"/>
        </w:rPr>
      </w:pPr>
      <w:r>
        <w:rPr>
          <w:bCs/>
          <w:kern w:val="32"/>
          <w:sz w:val="32"/>
          <w:szCs w:val="32"/>
        </w:rPr>
        <w:t>VIII. volebné obdobie</w:t>
      </w:r>
    </w:p>
    <w:p w:rsidR="00794711" w:rsidRDefault="00794711" w:rsidP="00794711">
      <w:pPr>
        <w:keepNext/>
        <w:keepLines/>
        <w:jc w:val="both"/>
        <w:rPr>
          <w:rFonts w:hint="default"/>
          <w:spacing w:val="20"/>
        </w:rPr>
      </w:pPr>
    </w:p>
    <w:p w:rsidR="00794711" w:rsidRDefault="00794711" w:rsidP="00794711">
      <w:pPr>
        <w:autoSpaceDE w:val="0"/>
        <w:autoSpaceDN w:val="0"/>
        <w:jc w:val="center"/>
        <w:rPr>
          <w:rFonts w:eastAsiaTheme="minorEastAsia" w:hint="default"/>
          <w:b/>
          <w:bCs/>
          <w:spacing w:val="20"/>
          <w:lang w:eastAsia="en-US"/>
        </w:rPr>
      </w:pPr>
      <w:r>
        <w:rPr>
          <w:rFonts w:eastAsiaTheme="minorEastAsia"/>
          <w:b/>
          <w:noProof/>
          <w:spacing w:val="20"/>
        </w:rPr>
        <w:drawing>
          <wp:inline distT="0" distB="0" distL="0" distR="0" wp14:anchorId="4C9685CC" wp14:editId="4597C15F">
            <wp:extent cx="690880" cy="818515"/>
            <wp:effectExtent l="0" t="0" r="0" b="63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711" w:rsidRDefault="00794711" w:rsidP="00794711">
      <w:pPr>
        <w:keepNext/>
        <w:keepLines/>
        <w:jc w:val="center"/>
        <w:outlineLvl w:val="0"/>
        <w:rPr>
          <w:rFonts w:hint="default"/>
          <w:b/>
          <w:bCs/>
          <w:kern w:val="28"/>
        </w:rPr>
      </w:pPr>
    </w:p>
    <w:p w:rsidR="00794711" w:rsidRDefault="00794711" w:rsidP="00794711">
      <w:pPr>
        <w:keepNext/>
        <w:keepLines/>
        <w:jc w:val="center"/>
        <w:outlineLvl w:val="0"/>
        <w:rPr>
          <w:rFonts w:hint="default"/>
          <w:b/>
          <w:bCs/>
          <w:kern w:val="28"/>
          <w:sz w:val="40"/>
          <w:szCs w:val="40"/>
        </w:rPr>
      </w:pPr>
      <w:r>
        <w:rPr>
          <w:b/>
          <w:bCs/>
          <w:kern w:val="28"/>
          <w:sz w:val="40"/>
          <w:szCs w:val="40"/>
        </w:rPr>
        <w:t>č......</w:t>
      </w:r>
    </w:p>
    <w:p w:rsidR="00794711" w:rsidRDefault="00794711" w:rsidP="00794711">
      <w:pPr>
        <w:keepNext/>
        <w:ind w:left="567"/>
        <w:jc w:val="center"/>
        <w:outlineLvl w:val="0"/>
        <w:rPr>
          <w:rFonts w:hint="default"/>
          <w:bCs/>
          <w:kern w:val="32"/>
          <w:sz w:val="32"/>
          <w:szCs w:val="32"/>
        </w:rPr>
      </w:pPr>
    </w:p>
    <w:p w:rsidR="00794711" w:rsidRDefault="00794711" w:rsidP="00794711">
      <w:pPr>
        <w:keepNext/>
        <w:ind w:left="567"/>
        <w:jc w:val="center"/>
        <w:outlineLvl w:val="0"/>
        <w:rPr>
          <w:rFonts w:hint="default"/>
          <w:bCs/>
          <w:kern w:val="32"/>
          <w:sz w:val="32"/>
          <w:szCs w:val="32"/>
        </w:rPr>
      </w:pPr>
      <w:r>
        <w:rPr>
          <w:bCs/>
          <w:kern w:val="32"/>
          <w:sz w:val="32"/>
          <w:szCs w:val="32"/>
        </w:rPr>
        <w:t>UZNESENIE</w:t>
      </w:r>
    </w:p>
    <w:p w:rsidR="00794711" w:rsidRDefault="00794711" w:rsidP="00794711">
      <w:pPr>
        <w:keepNext/>
        <w:ind w:left="567"/>
        <w:jc w:val="center"/>
        <w:outlineLvl w:val="0"/>
        <w:rPr>
          <w:rFonts w:hint="default"/>
          <w:bCs/>
          <w:kern w:val="32"/>
          <w:sz w:val="32"/>
          <w:szCs w:val="32"/>
        </w:rPr>
      </w:pPr>
      <w:r>
        <w:rPr>
          <w:bCs/>
          <w:kern w:val="32"/>
          <w:sz w:val="32"/>
          <w:szCs w:val="32"/>
        </w:rPr>
        <w:t>NÁRODNEJ RADY SLOVENSKEJ REPUBLIKY</w:t>
      </w:r>
    </w:p>
    <w:p w:rsidR="00794711" w:rsidRDefault="00794711" w:rsidP="00794711">
      <w:pPr>
        <w:autoSpaceDE w:val="0"/>
        <w:autoSpaceDN w:val="0"/>
        <w:jc w:val="center"/>
        <w:outlineLvl w:val="0"/>
        <w:rPr>
          <w:rFonts w:eastAsiaTheme="minorEastAsia" w:hint="default"/>
          <w:lang w:eastAsia="en-US"/>
        </w:rPr>
      </w:pPr>
    </w:p>
    <w:p w:rsidR="00794711" w:rsidRDefault="00794711" w:rsidP="00794711">
      <w:pPr>
        <w:autoSpaceDE w:val="0"/>
        <w:autoSpaceDN w:val="0"/>
        <w:jc w:val="center"/>
        <w:rPr>
          <w:rFonts w:eastAsiaTheme="minorEastAsia" w:hint="default"/>
          <w:lang w:eastAsia="en-US"/>
        </w:rPr>
      </w:pPr>
      <w:r>
        <w:rPr>
          <w:rFonts w:eastAsiaTheme="minorEastAsia"/>
          <w:lang w:eastAsia="en-US"/>
        </w:rPr>
        <w:t>z ...............</w:t>
      </w:r>
    </w:p>
    <w:p w:rsidR="00794711" w:rsidRDefault="00794711" w:rsidP="00794711">
      <w:pPr>
        <w:autoSpaceDE w:val="0"/>
        <w:autoSpaceDN w:val="0"/>
        <w:jc w:val="center"/>
        <w:rPr>
          <w:rFonts w:eastAsiaTheme="minorEastAsia" w:hint="default"/>
          <w:lang w:eastAsia="en-US"/>
        </w:rPr>
      </w:pPr>
    </w:p>
    <w:p w:rsidR="00794711" w:rsidRDefault="00794711" w:rsidP="00794711">
      <w:pPr>
        <w:autoSpaceDE w:val="0"/>
        <w:autoSpaceDN w:val="0"/>
        <w:ind w:left="60"/>
        <w:jc w:val="both"/>
        <w:rPr>
          <w:rFonts w:eastAsiaTheme="minorEastAsia" w:hint="default"/>
          <w:b/>
          <w:bCs/>
          <w:lang w:eastAsia="en-US"/>
        </w:rPr>
      </w:pPr>
      <w:r>
        <w:rPr>
          <w:rFonts w:eastAsiaTheme="minorEastAsia"/>
          <w:lang w:eastAsia="en-US"/>
        </w:rPr>
        <w:t xml:space="preserve">k návrhu </w:t>
      </w:r>
      <w:r>
        <w:rPr>
          <w:rFonts w:eastAsiaTheme="minorEastAsia"/>
          <w:bCs/>
          <w:kern w:val="32"/>
          <w:lang w:eastAsia="en-US"/>
        </w:rPr>
        <w:t>na vyslovenie súhlasu Národnej rady Slovenskej republiky s Partnerskou</w:t>
      </w:r>
      <w:r w:rsidRPr="0048520F">
        <w:rPr>
          <w:rFonts w:eastAsiaTheme="minorEastAsia"/>
          <w:lang w:eastAsia="en-US"/>
        </w:rPr>
        <w:t xml:space="preserve"> dohod</w:t>
      </w:r>
      <w:r>
        <w:rPr>
          <w:rFonts w:eastAsiaTheme="minorEastAsia"/>
          <w:lang w:eastAsia="en-US"/>
        </w:rPr>
        <w:t>ou</w:t>
      </w:r>
      <w:r w:rsidRPr="0048520F">
        <w:rPr>
          <w:rFonts w:eastAsiaTheme="minorEastAsia"/>
          <w:lang w:eastAsia="en-US"/>
        </w:rPr>
        <w:t xml:space="preserve"> </w:t>
      </w:r>
      <w:r>
        <w:rPr>
          <w:rFonts w:eastAsiaTheme="minorEastAsia"/>
          <w:lang w:eastAsia="en-US"/>
        </w:rPr>
        <w:t xml:space="preserve">o vzťahoch a spolupráci </w:t>
      </w:r>
      <w:r w:rsidRPr="0048520F">
        <w:rPr>
          <w:rFonts w:eastAsiaTheme="minorEastAsia"/>
          <w:lang w:eastAsia="en-US"/>
        </w:rPr>
        <w:t>medzi Európskou úniou a jej členskými štát</w:t>
      </w:r>
      <w:r>
        <w:rPr>
          <w:rFonts w:eastAsiaTheme="minorEastAsia"/>
          <w:lang w:eastAsia="en-US"/>
        </w:rPr>
        <w:t>mi na jednej strane a Novým Zélandom</w:t>
      </w:r>
      <w:r w:rsidRPr="0048520F">
        <w:rPr>
          <w:rFonts w:eastAsiaTheme="minorEastAsia"/>
          <w:lang w:eastAsia="en-US"/>
        </w:rPr>
        <w:t xml:space="preserve"> na strane druhej</w:t>
      </w:r>
    </w:p>
    <w:p w:rsidR="00794711" w:rsidRDefault="00794711" w:rsidP="00794711">
      <w:pPr>
        <w:widowControl w:val="0"/>
        <w:jc w:val="both"/>
        <w:rPr>
          <w:rFonts w:hint="default"/>
          <w:lang w:eastAsia="en-US"/>
        </w:rPr>
      </w:pPr>
    </w:p>
    <w:p w:rsidR="00794711" w:rsidRDefault="00794711" w:rsidP="00794711">
      <w:pPr>
        <w:widowControl w:val="0"/>
        <w:autoSpaceDE w:val="0"/>
        <w:autoSpaceDN w:val="0"/>
        <w:jc w:val="both"/>
        <w:rPr>
          <w:rFonts w:eastAsiaTheme="minorEastAsia" w:hint="default"/>
          <w:lang w:eastAsia="en-US"/>
        </w:rPr>
      </w:pPr>
    </w:p>
    <w:p w:rsidR="00794711" w:rsidRDefault="00794711" w:rsidP="00794711">
      <w:pPr>
        <w:widowControl w:val="0"/>
        <w:autoSpaceDE w:val="0"/>
        <w:autoSpaceDN w:val="0"/>
        <w:jc w:val="both"/>
        <w:rPr>
          <w:rFonts w:eastAsiaTheme="minorEastAsia" w:hint="default"/>
          <w:sz w:val="32"/>
          <w:szCs w:val="32"/>
          <w:lang w:eastAsia="en-US"/>
        </w:rPr>
      </w:pPr>
      <w:r>
        <w:rPr>
          <w:rFonts w:eastAsiaTheme="minorEastAsia"/>
          <w:b/>
          <w:bCs/>
          <w:sz w:val="32"/>
          <w:szCs w:val="32"/>
          <w:lang w:eastAsia="en-US"/>
        </w:rPr>
        <w:t>Národná rada Slovenskej republiky</w:t>
      </w:r>
    </w:p>
    <w:p w:rsidR="00794711" w:rsidRDefault="00794711" w:rsidP="00794711">
      <w:pPr>
        <w:widowControl w:val="0"/>
        <w:autoSpaceDE w:val="0"/>
        <w:autoSpaceDN w:val="0"/>
        <w:jc w:val="both"/>
        <w:rPr>
          <w:rFonts w:eastAsiaTheme="minorEastAsia" w:hint="default"/>
          <w:lang w:eastAsia="en-US"/>
        </w:rPr>
      </w:pPr>
    </w:p>
    <w:p w:rsidR="00794711" w:rsidRDefault="00794711" w:rsidP="00794711">
      <w:pPr>
        <w:widowControl w:val="0"/>
        <w:autoSpaceDE w:val="0"/>
        <w:autoSpaceDN w:val="0"/>
        <w:ind w:firstLine="708"/>
        <w:jc w:val="both"/>
        <w:rPr>
          <w:rFonts w:eastAsiaTheme="minorEastAsia" w:hint="default"/>
          <w:lang w:eastAsia="en-US"/>
        </w:rPr>
      </w:pPr>
      <w:r>
        <w:rPr>
          <w:rFonts w:eastAsiaTheme="minorEastAsia"/>
          <w:lang w:eastAsia="en-US"/>
        </w:rPr>
        <w:t>podľa čl. 86 písm. d) Ústavy Slovenskej republiky</w:t>
      </w:r>
    </w:p>
    <w:p w:rsidR="00794711" w:rsidRDefault="00794711" w:rsidP="00794711">
      <w:pPr>
        <w:widowControl w:val="0"/>
        <w:autoSpaceDE w:val="0"/>
        <w:autoSpaceDN w:val="0"/>
        <w:jc w:val="both"/>
        <w:rPr>
          <w:rFonts w:eastAsiaTheme="minorEastAsia" w:hint="default"/>
          <w:lang w:eastAsia="en-US"/>
        </w:rPr>
      </w:pPr>
      <w:r>
        <w:rPr>
          <w:rFonts w:eastAsiaTheme="minorEastAsia"/>
          <w:lang w:eastAsia="en-US"/>
        </w:rPr>
        <w:t xml:space="preserve"> </w:t>
      </w:r>
    </w:p>
    <w:p w:rsidR="00794711" w:rsidRDefault="00794711" w:rsidP="00794711">
      <w:pPr>
        <w:widowControl w:val="0"/>
        <w:autoSpaceDE w:val="0"/>
        <w:autoSpaceDN w:val="0"/>
        <w:jc w:val="both"/>
        <w:rPr>
          <w:rFonts w:eastAsiaTheme="minorEastAsia" w:hint="default"/>
          <w:b/>
          <w:bCs/>
          <w:sz w:val="28"/>
          <w:szCs w:val="28"/>
          <w:lang w:eastAsia="en-US"/>
        </w:rPr>
      </w:pPr>
      <w:r>
        <w:rPr>
          <w:rFonts w:eastAsiaTheme="minorEastAsia"/>
          <w:b/>
          <w:bCs/>
          <w:sz w:val="28"/>
          <w:szCs w:val="28"/>
          <w:lang w:eastAsia="en-US"/>
        </w:rPr>
        <w:t>A.  v y s l o v u j e  s ú h l a s</w:t>
      </w:r>
    </w:p>
    <w:p w:rsidR="00794711" w:rsidRDefault="00794711" w:rsidP="00794711">
      <w:pPr>
        <w:widowControl w:val="0"/>
        <w:autoSpaceDE w:val="0"/>
        <w:autoSpaceDN w:val="0"/>
        <w:jc w:val="both"/>
        <w:rPr>
          <w:rFonts w:eastAsiaTheme="minorEastAsia" w:hint="default"/>
          <w:b/>
          <w:bCs/>
          <w:lang w:eastAsia="en-US"/>
        </w:rPr>
      </w:pPr>
    </w:p>
    <w:p w:rsidR="00794711" w:rsidRDefault="00794711" w:rsidP="00794711">
      <w:pPr>
        <w:autoSpaceDE w:val="0"/>
        <w:autoSpaceDN w:val="0"/>
        <w:ind w:left="708"/>
        <w:jc w:val="both"/>
        <w:rPr>
          <w:rFonts w:eastAsiaTheme="minorEastAsia" w:hint="default"/>
          <w:bCs/>
          <w:lang w:eastAsia="en-US"/>
        </w:rPr>
      </w:pPr>
      <w:r>
        <w:rPr>
          <w:rFonts w:eastAsiaTheme="minorEastAsia"/>
          <w:lang w:eastAsia="en-US"/>
        </w:rPr>
        <w:t>s </w:t>
      </w:r>
      <w:r>
        <w:rPr>
          <w:rFonts w:eastAsiaTheme="minorEastAsia"/>
          <w:bCs/>
          <w:kern w:val="32"/>
          <w:lang w:eastAsia="en-US"/>
        </w:rPr>
        <w:t>Partnerskou</w:t>
      </w:r>
      <w:r w:rsidRPr="0048520F">
        <w:rPr>
          <w:rFonts w:eastAsiaTheme="minorEastAsia"/>
          <w:lang w:eastAsia="en-US"/>
        </w:rPr>
        <w:t xml:space="preserve"> dohod</w:t>
      </w:r>
      <w:r>
        <w:rPr>
          <w:rFonts w:eastAsiaTheme="minorEastAsia"/>
          <w:lang w:eastAsia="en-US"/>
        </w:rPr>
        <w:t>ou</w:t>
      </w:r>
      <w:r w:rsidRPr="0048520F">
        <w:rPr>
          <w:rFonts w:eastAsiaTheme="minorEastAsia"/>
          <w:lang w:eastAsia="en-US"/>
        </w:rPr>
        <w:t xml:space="preserve"> </w:t>
      </w:r>
      <w:r>
        <w:rPr>
          <w:rFonts w:eastAsiaTheme="minorEastAsia"/>
          <w:lang w:eastAsia="en-US"/>
        </w:rPr>
        <w:t xml:space="preserve">o vzťahoch a spolupráci </w:t>
      </w:r>
      <w:r w:rsidRPr="0048520F">
        <w:rPr>
          <w:rFonts w:eastAsiaTheme="minorEastAsia"/>
          <w:lang w:eastAsia="en-US"/>
        </w:rPr>
        <w:t>medzi Európskou úniou a jej členskými štát</w:t>
      </w:r>
      <w:r>
        <w:rPr>
          <w:rFonts w:eastAsiaTheme="minorEastAsia"/>
          <w:lang w:eastAsia="en-US"/>
        </w:rPr>
        <w:t>mi na jednej strane a Novým Zélandom</w:t>
      </w:r>
      <w:r w:rsidRPr="0048520F">
        <w:rPr>
          <w:rFonts w:eastAsiaTheme="minorEastAsia"/>
          <w:lang w:eastAsia="en-US"/>
        </w:rPr>
        <w:t xml:space="preserve"> na strane druhej</w:t>
      </w:r>
      <w:r>
        <w:rPr>
          <w:rFonts w:eastAsiaTheme="minorEastAsia"/>
          <w:lang w:eastAsia="en-US"/>
        </w:rPr>
        <w:t>;</w:t>
      </w:r>
    </w:p>
    <w:p w:rsidR="00794711" w:rsidRDefault="00794711" w:rsidP="00794711">
      <w:pPr>
        <w:autoSpaceDE w:val="0"/>
        <w:autoSpaceDN w:val="0"/>
        <w:ind w:left="708"/>
        <w:jc w:val="both"/>
        <w:rPr>
          <w:rFonts w:eastAsiaTheme="minorEastAsia" w:hint="default"/>
          <w:lang w:eastAsia="en-US"/>
        </w:rPr>
      </w:pPr>
    </w:p>
    <w:p w:rsidR="00794711" w:rsidRDefault="00794711" w:rsidP="00794711">
      <w:pPr>
        <w:widowControl w:val="0"/>
        <w:autoSpaceDE w:val="0"/>
        <w:autoSpaceDN w:val="0"/>
        <w:jc w:val="both"/>
        <w:rPr>
          <w:rFonts w:eastAsiaTheme="minorEastAsia" w:hint="default"/>
          <w:b/>
          <w:bCs/>
          <w:lang w:eastAsia="en-US"/>
        </w:rPr>
      </w:pPr>
    </w:p>
    <w:p w:rsidR="00794711" w:rsidRDefault="00794711" w:rsidP="00794711">
      <w:pPr>
        <w:widowControl w:val="0"/>
        <w:autoSpaceDE w:val="0"/>
        <w:autoSpaceDN w:val="0"/>
        <w:jc w:val="both"/>
        <w:rPr>
          <w:rFonts w:eastAsiaTheme="minorEastAsia" w:hint="default"/>
          <w:b/>
          <w:bCs/>
          <w:sz w:val="28"/>
          <w:szCs w:val="28"/>
          <w:lang w:eastAsia="en-US"/>
        </w:rPr>
      </w:pPr>
      <w:r>
        <w:rPr>
          <w:rFonts w:eastAsiaTheme="minorEastAsia"/>
          <w:b/>
          <w:bCs/>
          <w:sz w:val="28"/>
          <w:szCs w:val="28"/>
          <w:lang w:eastAsia="en-US"/>
        </w:rPr>
        <w:t>B.  r o z h o d l a, že</w:t>
      </w:r>
    </w:p>
    <w:p w:rsidR="00794711" w:rsidRDefault="00794711" w:rsidP="00794711">
      <w:pPr>
        <w:widowControl w:val="0"/>
        <w:autoSpaceDE w:val="0"/>
        <w:autoSpaceDN w:val="0"/>
        <w:jc w:val="both"/>
        <w:rPr>
          <w:rFonts w:eastAsiaTheme="minorEastAsia" w:hint="default"/>
          <w:lang w:eastAsia="en-US"/>
        </w:rPr>
      </w:pPr>
    </w:p>
    <w:p w:rsidR="00794711" w:rsidRDefault="00794711" w:rsidP="00794711">
      <w:pPr>
        <w:autoSpaceDE w:val="0"/>
        <w:autoSpaceDN w:val="0"/>
        <w:ind w:left="705"/>
        <w:jc w:val="both"/>
        <w:rPr>
          <w:rFonts w:eastAsiaTheme="minorEastAsia" w:hint="default"/>
          <w:lang w:eastAsia="en-US"/>
        </w:rPr>
      </w:pPr>
      <w:r>
        <w:rPr>
          <w:rFonts w:eastAsiaTheme="minorEastAsia"/>
          <w:bCs/>
          <w:kern w:val="32"/>
          <w:lang w:eastAsia="en-US"/>
        </w:rPr>
        <w:t>Partnerská</w:t>
      </w:r>
      <w:r w:rsidRPr="0048520F">
        <w:rPr>
          <w:rFonts w:eastAsiaTheme="minorEastAsia"/>
          <w:lang w:eastAsia="en-US"/>
        </w:rPr>
        <w:t xml:space="preserve"> dohod</w:t>
      </w:r>
      <w:r>
        <w:rPr>
          <w:rFonts w:eastAsiaTheme="minorEastAsia"/>
          <w:lang w:eastAsia="en-US"/>
        </w:rPr>
        <w:t>a</w:t>
      </w:r>
      <w:r w:rsidRPr="0048520F">
        <w:rPr>
          <w:rFonts w:eastAsiaTheme="minorEastAsia"/>
          <w:lang w:eastAsia="en-US"/>
        </w:rPr>
        <w:t xml:space="preserve"> </w:t>
      </w:r>
      <w:r>
        <w:rPr>
          <w:rFonts w:eastAsiaTheme="minorEastAsia"/>
          <w:lang w:eastAsia="en-US"/>
        </w:rPr>
        <w:t xml:space="preserve">o vzťahoch a spolupráci </w:t>
      </w:r>
      <w:r w:rsidRPr="0048520F">
        <w:rPr>
          <w:rFonts w:eastAsiaTheme="minorEastAsia"/>
          <w:lang w:eastAsia="en-US"/>
        </w:rPr>
        <w:t>medzi Európskou úniou a jej členskými štát</w:t>
      </w:r>
      <w:r>
        <w:rPr>
          <w:rFonts w:eastAsiaTheme="minorEastAsia"/>
          <w:lang w:eastAsia="en-US"/>
        </w:rPr>
        <w:t>mi na jednej strane a Novým Zélandom</w:t>
      </w:r>
      <w:r w:rsidRPr="0048520F">
        <w:rPr>
          <w:rFonts w:eastAsiaTheme="minorEastAsia"/>
          <w:lang w:eastAsia="en-US"/>
        </w:rPr>
        <w:t xml:space="preserve"> na strane druhej</w:t>
      </w:r>
      <w:r>
        <w:rPr>
          <w:rFonts w:eastAsiaTheme="minorEastAsia"/>
          <w:lang w:eastAsia="en-US"/>
        </w:rPr>
        <w:t xml:space="preserve"> je medzinárodnou zmluvou podľa článku 7 ods. 5 Ústavy Slovenskej republiky, ktorá má prednosť pred zákonmi.</w:t>
      </w:r>
    </w:p>
    <w:p w:rsidR="00794711" w:rsidRDefault="00794711" w:rsidP="00794711">
      <w:pPr>
        <w:jc w:val="center"/>
        <w:rPr>
          <w:rFonts w:hint="default"/>
          <w:b/>
          <w:sz w:val="25"/>
          <w:szCs w:val="25"/>
        </w:rPr>
      </w:pPr>
    </w:p>
    <w:p w:rsidR="00794711" w:rsidRPr="008B19CD" w:rsidRDefault="00794711" w:rsidP="00794711">
      <w:pPr>
        <w:rPr>
          <w:rFonts w:hint="default"/>
        </w:rPr>
      </w:pPr>
    </w:p>
    <w:p w:rsidR="00F6069C" w:rsidRPr="00A47B64" w:rsidRDefault="00453969" w:rsidP="00794711">
      <w:pPr>
        <w:keepNext/>
        <w:ind w:left="567"/>
        <w:jc w:val="center"/>
        <w:outlineLvl w:val="0"/>
        <w:rPr>
          <w:rFonts w:hint="default"/>
        </w:rPr>
      </w:pPr>
    </w:p>
    <w:sectPr w:rsidR="00F6069C" w:rsidRPr="00A47B64"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BB1" w:rsidRDefault="00665B2F">
      <w:pPr>
        <w:rPr>
          <w:rFonts w:hint="default"/>
        </w:rPr>
      </w:pPr>
      <w:r>
        <w:separator/>
      </w:r>
    </w:p>
  </w:endnote>
  <w:endnote w:type="continuationSeparator" w:id="0">
    <w:p w:rsidR="008B7BB1" w:rsidRDefault="00665B2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FE8" w:rsidRDefault="00665B2F">
    <w:pPr>
      <w:pStyle w:val="Pta"/>
      <w:framePr w:wrap="around" w:vAnchor="text" w:hAnchor="margin" w:xAlign="center"/>
      <w:rPr>
        <w:rStyle w:val="slostrany"/>
        <w:rFonts w:hint="default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C1FE8" w:rsidRDefault="00453969">
    <w:pPr>
      <w:pStyle w:val="Pta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BB1" w:rsidRDefault="00665B2F">
      <w:pPr>
        <w:rPr>
          <w:rFonts w:hint="default"/>
        </w:rPr>
      </w:pPr>
      <w:r>
        <w:separator/>
      </w:r>
    </w:p>
  </w:footnote>
  <w:footnote w:type="continuationSeparator" w:id="0">
    <w:p w:rsidR="008B7BB1" w:rsidRDefault="00665B2F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0154"/>
    <w:multiLevelType w:val="hybridMultilevel"/>
    <w:tmpl w:val="D53AD436"/>
    <w:lvl w:ilvl="0" w:tplc="5138698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eastAsia"/>
        <w:b w:val="0"/>
      </w:rPr>
    </w:lvl>
    <w:lvl w:ilvl="1" w:tplc="8004AD08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B3542C3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EE42F09C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206AD172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8402E802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5C827110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F348CB5C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32E035D2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1" w15:restartNumberingAfterBreak="0">
    <w:nsid w:val="1FE36D21"/>
    <w:multiLevelType w:val="hybridMultilevel"/>
    <w:tmpl w:val="E0CA4A44"/>
    <w:lvl w:ilvl="0" w:tplc="8C147CAC">
      <w:start w:val="3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eastAsia"/>
        <w:b w:val="0"/>
      </w:rPr>
    </w:lvl>
    <w:lvl w:ilvl="1" w:tplc="72CC82FA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5186048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6CBA954E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650AC8F8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851850C4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FD7E755A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73A88ED0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22CC64A2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2" w15:restartNumberingAfterBreak="0">
    <w:nsid w:val="26026287"/>
    <w:multiLevelType w:val="hybridMultilevel"/>
    <w:tmpl w:val="44D056A2"/>
    <w:lvl w:ilvl="0" w:tplc="6AB05BA6">
      <w:start w:val="16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eastAsia"/>
      </w:rPr>
    </w:lvl>
    <w:lvl w:ilvl="1" w:tplc="6EFACE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3633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F38BC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F18E1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CA9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7C40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3464A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ACA33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35CD33F5"/>
    <w:multiLevelType w:val="hybridMultilevel"/>
    <w:tmpl w:val="13E0DAE8"/>
    <w:lvl w:ilvl="0" w:tplc="0F1044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eastAsia"/>
        <w:b w:val="0"/>
      </w:rPr>
    </w:lvl>
    <w:lvl w:ilvl="1" w:tplc="6F4C52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EAE90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FA25E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2E8A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5FAFF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76ECC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B2E8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F809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6819479D"/>
    <w:multiLevelType w:val="hybridMultilevel"/>
    <w:tmpl w:val="3DB4AF28"/>
    <w:lvl w:ilvl="0" w:tplc="71EE2A1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eastAsia"/>
      </w:rPr>
    </w:lvl>
    <w:lvl w:ilvl="1" w:tplc="0EA2B256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/>
      </w:rPr>
    </w:lvl>
    <w:lvl w:ilvl="2" w:tplc="2152C3E4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/>
      </w:rPr>
    </w:lvl>
    <w:lvl w:ilvl="3" w:tplc="A2CA97BA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/>
      </w:rPr>
    </w:lvl>
    <w:lvl w:ilvl="4" w:tplc="43D0CE02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/>
      </w:rPr>
    </w:lvl>
    <w:lvl w:ilvl="5" w:tplc="A2E4B01C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/>
      </w:rPr>
    </w:lvl>
    <w:lvl w:ilvl="6" w:tplc="B1BC075C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/>
      </w:rPr>
    </w:lvl>
    <w:lvl w:ilvl="7" w:tplc="BB5E8A7A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/>
      </w:rPr>
    </w:lvl>
    <w:lvl w:ilvl="8" w:tplc="EFA67094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/>
      </w:rPr>
    </w:lvl>
  </w:abstractNum>
  <w:abstractNum w:abstractNumId="5" w15:restartNumberingAfterBreak="0">
    <w:nsid w:val="6EFD3C16"/>
    <w:multiLevelType w:val="hybridMultilevel"/>
    <w:tmpl w:val="1EC25FEC"/>
    <w:lvl w:ilvl="0" w:tplc="1B0634E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eastAsia"/>
      </w:rPr>
    </w:lvl>
    <w:lvl w:ilvl="1" w:tplc="22B6267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96689B00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DD78BD18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D8909EAC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B22AAB70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56D0EB70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D9F089CC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EEE2D900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6" w15:restartNumberingAfterBreak="0">
    <w:nsid w:val="74901754"/>
    <w:multiLevelType w:val="singleLevel"/>
    <w:tmpl w:val="732A6E5A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7" w15:restartNumberingAfterBreak="0">
    <w:nsid w:val="7ABB1E47"/>
    <w:multiLevelType w:val="hybridMultilevel"/>
    <w:tmpl w:val="1F72AEB8"/>
    <w:lvl w:ilvl="0" w:tplc="DDBCFA02">
      <w:start w:val="3"/>
      <w:numFmt w:val="decimal"/>
      <w:lvlText w:val="%1."/>
      <w:lvlJc w:val="left"/>
      <w:pPr>
        <w:ind w:left="360" w:hanging="360"/>
      </w:pPr>
      <w:rPr>
        <w:rFonts w:cs="Times New Roman" w:hint="cs"/>
        <w:rtl w:val="0"/>
        <w:cs w:val="0"/>
      </w:rPr>
    </w:lvl>
    <w:lvl w:ilvl="1" w:tplc="A26807E8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 w:tplc="C0CCE544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 w:tplc="E0B060E8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 w:tplc="15B8AE18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 w:tplc="5CB0210A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 w:tplc="D11E1948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 w:tplc="64904180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 w:tplc="2796EA0A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80"/>
    <w:rsid w:val="00437B80"/>
    <w:rsid w:val="00453969"/>
    <w:rsid w:val="004F0324"/>
    <w:rsid w:val="00665B2F"/>
    <w:rsid w:val="00794711"/>
    <w:rsid w:val="00845BC5"/>
    <w:rsid w:val="008A5FB1"/>
    <w:rsid w:val="008B7BB1"/>
    <w:rsid w:val="00AE0544"/>
    <w:rsid w:val="00D76689"/>
    <w:rsid w:val="00E9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B7B40"/>
  <w15:docId w15:val="{EB2F46DB-6E4D-4C9D-9CB4-85908D0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rFonts w:hint="cs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qFormat/>
    <w:rsid w:val="001E3D64"/>
    <w:pPr>
      <w:keepNext/>
      <w:jc w:val="both"/>
      <w:outlineLvl w:val="1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qFormat/>
    <w:rsid w:val="001E3D64"/>
    <w:pPr>
      <w:keepNext/>
      <w:spacing w:line="360" w:lineRule="auto"/>
      <w:ind w:left="708" w:hanging="708"/>
      <w:jc w:val="center"/>
      <w:outlineLvl w:val="4"/>
    </w:pPr>
    <w:rPr>
      <w:rFonts w:ascii="Arial" w:hAnsi="Arial" w:cs="Arial"/>
      <w:bCs/>
      <w:sz w:val="3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6069C"/>
    <w:pPr>
      <w:spacing w:before="240" w:after="60"/>
      <w:outlineLvl w:val="5"/>
    </w:pPr>
    <w:rPr>
      <w:rFonts w:ascii="Calibri" w:hAnsi="Calibri" w:hint="eastAsia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6069C"/>
    <w:pPr>
      <w:spacing w:before="240" w:after="60"/>
      <w:outlineLvl w:val="6"/>
    </w:pPr>
    <w:rPr>
      <w:rFonts w:ascii="Calibri" w:hAnsi="Calibri" w:hint="eastAs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libri Light" w:eastAsia="Times New Roman" w:hAnsi="Calibri Light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="Calibri" w:eastAsia="Times New Roman" w:hAnsi="Calibri" w:cs="Times New Roman" w:hint="eastAsia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sid w:val="00F6069C"/>
    <w:rPr>
      <w:rFonts w:ascii="Calibri" w:eastAsia="Times New Roman" w:hAnsi="Calibri" w:cs="Times New Roman" w:hint="eastAsia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F6069C"/>
    <w:rPr>
      <w:rFonts w:ascii="Calibri" w:eastAsia="Times New Roman" w:hAnsi="Calibri" w:cs="Times New Roman" w:hint="eastAsia"/>
      <w:sz w:val="24"/>
      <w:szCs w:val="24"/>
      <w:rtl w:val="0"/>
      <w: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character" w:styleId="slostrany">
    <w:name w:val="page number"/>
    <w:basedOn w:val="Predvolenpsmoodseku"/>
    <w:uiPriority w:val="99"/>
    <w:rPr>
      <w:rFonts w:cs="Times New Roman" w:hint="cs"/>
      <w:rtl w:val="0"/>
      <w:cs w:val="0"/>
    </w:rPr>
  </w:style>
  <w:style w:type="paragraph" w:styleId="Zkladntext3">
    <w:name w:val="Body Text 3"/>
    <w:basedOn w:val="Normlny"/>
    <w:link w:val="Zkladntext3Char"/>
    <w:uiPriority w:val="99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 w:hint="cs"/>
      <w:sz w:val="16"/>
      <w:szCs w:val="16"/>
      <w:rtl w:val="0"/>
      <w:cs w:val="0"/>
    </w:rPr>
  </w:style>
  <w:style w:type="paragraph" w:styleId="Zarkazkladnhotextu2">
    <w:name w:val="Body Text Indent 2"/>
    <w:basedOn w:val="Normlny"/>
    <w:link w:val="Zarkazkladnhotextu2Char"/>
    <w:uiPriority w:val="99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Zarkazkladnhotextu">
    <w:name w:val="Body Text Indent"/>
    <w:basedOn w:val="Normlny"/>
    <w:link w:val="ZarkazkladnhotextuChar"/>
    <w:uiPriority w:val="99"/>
    <w:pPr>
      <w:spacing w:line="360" w:lineRule="auto"/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Nzov">
    <w:name w:val="Title"/>
    <w:basedOn w:val="Normlny"/>
    <w:link w:val="NzovChar"/>
    <w:uiPriority w:val="10"/>
    <w:qFormat/>
    <w:rsid w:val="001E3D64"/>
    <w:pPr>
      <w:spacing w:line="360" w:lineRule="auto"/>
      <w:jc w:val="center"/>
    </w:pPr>
    <w:rPr>
      <w:b/>
      <w:sz w:val="32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libri Light" w:eastAsia="Times New Roman" w:hAnsi="Calibri Light" w:cs="Times New Roman" w:hint="eastAsia"/>
      <w:b/>
      <w:bCs/>
      <w:kern w:val="28"/>
      <w:sz w:val="32"/>
      <w:szCs w:val="32"/>
      <w:rtl w:val="0"/>
      <w:cs w:val="0"/>
    </w:rPr>
  </w:style>
  <w:style w:type="paragraph" w:styleId="Textbubliny">
    <w:name w:val="Balloon Text"/>
    <w:basedOn w:val="Normlny"/>
    <w:link w:val="TextbublinyChar"/>
    <w:uiPriority w:val="99"/>
    <w:semiHidden/>
    <w:rsid w:val="00BA7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Segoe UI" w:hAnsi="Segoe UI" w:cs="Segoe UI" w:hint="cs"/>
      <w:sz w:val="18"/>
      <w:szCs w:val="18"/>
      <w:rtl w:val="0"/>
      <w:cs w:val="0"/>
    </w:rPr>
  </w:style>
  <w:style w:type="paragraph" w:styleId="Hlavika">
    <w:name w:val="header"/>
    <w:basedOn w:val="Normlny"/>
    <w:link w:val="HlavikaChar"/>
    <w:uiPriority w:val="99"/>
    <w:rsid w:val="00EB15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B156C"/>
    <w:rPr>
      <w:rFonts w:cs="Times New Roman" w:hint="cs"/>
      <w:sz w:val="24"/>
      <w:rtl w:val="0"/>
      <w:cs w:val="0"/>
    </w:rPr>
  </w:style>
  <w:style w:type="paragraph" w:styleId="Zkladntext2">
    <w:name w:val="Body Text 2"/>
    <w:basedOn w:val="Normlny"/>
    <w:link w:val="Zkladntext2Char"/>
    <w:uiPriority w:val="99"/>
    <w:rsid w:val="00A049B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049B3"/>
    <w:rPr>
      <w:rFonts w:cs="Times New Roman" w:hint="cs"/>
      <w:sz w:val="24"/>
      <w:rtl w:val="0"/>
      <w:cs w:val="0"/>
    </w:rPr>
  </w:style>
  <w:style w:type="character" w:customStyle="1" w:styleId="awspan1">
    <w:name w:val="awspan1"/>
    <w:rsid w:val="00A47B64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Spoločná správa UPV tlač 507</vt:lpstr>
    </vt:vector>
  </TitlesOfParts>
  <Manager>Magdaléna Šuchaňová</Manager>
  <Company>Kancelaria NR SR, ÚPV NR SR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UPV tlač 507</dc:title>
  <dc:subject>tlač 507, schôdza 36., 6. december 2007</dc:subject>
  <dc:creator>Viera Ebringerová</dc:creator>
  <cp:keywords>vyslovenie nedôvery predsedovi vlády SR R. Ficovi</cp:keywords>
  <dc:description>návrh skupiny poslancov NR SR</dc:description>
  <cp:lastModifiedBy>Krošláková, Mária, JUDr.</cp:lastModifiedBy>
  <cp:revision>3</cp:revision>
  <cp:lastPrinted>2021-10-21T08:15:00Z</cp:lastPrinted>
  <dcterms:created xsi:type="dcterms:W3CDTF">2021-10-20T12:13:00Z</dcterms:created>
  <dcterms:modified xsi:type="dcterms:W3CDTF">2021-10-21T08:20:00Z</dcterms:modified>
  <cp:category>spoločná správa</cp:category>
</cp:coreProperties>
</file>