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332472">
        <w:t>76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6B273B">
        <w:rPr>
          <w:rFonts w:ascii="Times New Roman" w:hAnsi="Times New Roman"/>
          <w:color w:val="auto"/>
          <w:lang w:val="sk-SK"/>
        </w:rPr>
        <w:t>1228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885282">
        <w:rPr>
          <w:rFonts w:ascii="Times New Roman" w:hAnsi="Times New Roman"/>
          <w:iCs/>
          <w:color w:val="auto"/>
          <w:lang w:val="sk-SK"/>
        </w:rPr>
        <w:t>2021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994D70" w:rsidRDefault="00994D70" w:rsidP="00720E42">
      <w:pPr>
        <w:jc w:val="center"/>
        <w:rPr>
          <w:b/>
          <w:sz w:val="32"/>
          <w:szCs w:val="28"/>
        </w:rPr>
      </w:pPr>
    </w:p>
    <w:p w:rsidR="00720E42" w:rsidRPr="00B152E7" w:rsidRDefault="00BA3441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226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332472">
        <w:t>18</w:t>
      </w:r>
      <w:r w:rsidR="00720E42" w:rsidRPr="00B152E7">
        <w:t xml:space="preserve">. </w:t>
      </w:r>
      <w:r w:rsidR="00332472">
        <w:t xml:space="preserve">októbra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9A5D96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proofErr w:type="spellStart"/>
      <w:r w:rsidR="00332472" w:rsidRPr="00332472">
        <w:rPr>
          <w:color w:val="auto"/>
        </w:rPr>
        <w:t>vládnemu</w:t>
      </w:r>
      <w:proofErr w:type="spellEnd"/>
      <w:r w:rsidR="00332472" w:rsidRPr="00332472">
        <w:rPr>
          <w:color w:val="auto"/>
        </w:rPr>
        <w:t xml:space="preserve"> návrhu </w:t>
      </w:r>
      <w:r w:rsidR="006B273B" w:rsidRPr="006B273B">
        <w:rPr>
          <w:color w:val="auto"/>
        </w:rPr>
        <w:t xml:space="preserve">zákona, </w:t>
      </w:r>
      <w:proofErr w:type="spellStart"/>
      <w:r w:rsidR="006B273B" w:rsidRPr="006B273B">
        <w:rPr>
          <w:color w:val="auto"/>
        </w:rPr>
        <w:t>ktorým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sa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mení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dopĺňa</w:t>
      </w:r>
      <w:proofErr w:type="spellEnd"/>
      <w:r w:rsidR="006B273B" w:rsidRPr="006B273B">
        <w:rPr>
          <w:color w:val="auto"/>
        </w:rPr>
        <w:t xml:space="preserve"> zákon č. </w:t>
      </w:r>
      <w:proofErr w:type="gramStart"/>
      <w:r w:rsidR="006B273B" w:rsidRPr="006B273B">
        <w:rPr>
          <w:color w:val="auto"/>
        </w:rPr>
        <w:t>483/2001 Z. z. o bankách</w:t>
      </w:r>
      <w:proofErr w:type="gramEnd"/>
      <w:r w:rsidR="006B273B" w:rsidRPr="006B273B">
        <w:rPr>
          <w:color w:val="auto"/>
        </w:rPr>
        <w:t xml:space="preserve"> a o </w:t>
      </w:r>
      <w:proofErr w:type="spellStart"/>
      <w:r w:rsidR="006B273B" w:rsidRPr="006B273B">
        <w:rPr>
          <w:color w:val="auto"/>
        </w:rPr>
        <w:t>zmene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doplnení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niektorých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zákonov</w:t>
      </w:r>
      <w:proofErr w:type="spellEnd"/>
      <w:r w:rsidR="006B273B" w:rsidRPr="006B273B">
        <w:rPr>
          <w:color w:val="auto"/>
        </w:rPr>
        <w:t xml:space="preserve"> v </w:t>
      </w:r>
      <w:proofErr w:type="spellStart"/>
      <w:r w:rsidR="006B273B" w:rsidRPr="006B273B">
        <w:rPr>
          <w:color w:val="auto"/>
        </w:rPr>
        <w:t>znení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neskorších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predpisov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ktorým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sa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menia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dopĺňajú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niektoré</w:t>
      </w:r>
      <w:proofErr w:type="spellEnd"/>
      <w:r w:rsidR="006B273B" w:rsidRPr="006B273B">
        <w:rPr>
          <w:color w:val="auto"/>
        </w:rPr>
        <w:t xml:space="preserve"> zákony</w:t>
      </w:r>
      <w:r w:rsidR="006B273B" w:rsidRPr="006B273B">
        <w:rPr>
          <w:b/>
          <w:color w:val="auto"/>
        </w:rPr>
        <w:t xml:space="preserve"> (tlač 604)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6B273B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332472" w:rsidRPr="00332472">
        <w:rPr>
          <w:color w:val="auto"/>
        </w:rPr>
        <w:t>vládnym</w:t>
      </w:r>
      <w:proofErr w:type="spellEnd"/>
      <w:r w:rsidR="00332472" w:rsidRPr="00332472">
        <w:rPr>
          <w:color w:val="auto"/>
        </w:rPr>
        <w:t xml:space="preserve"> </w:t>
      </w:r>
      <w:proofErr w:type="spellStart"/>
      <w:r w:rsidR="00332472" w:rsidRPr="00332472">
        <w:rPr>
          <w:color w:val="auto"/>
        </w:rPr>
        <w:t>návrhom</w:t>
      </w:r>
      <w:proofErr w:type="spellEnd"/>
      <w:r w:rsidR="00332472" w:rsidRPr="00332472">
        <w:rPr>
          <w:color w:val="auto"/>
        </w:rPr>
        <w:t xml:space="preserve"> </w:t>
      </w:r>
      <w:r w:rsidR="006B273B" w:rsidRPr="006B273B">
        <w:rPr>
          <w:color w:val="auto"/>
        </w:rPr>
        <w:t xml:space="preserve">zákona, </w:t>
      </w:r>
      <w:proofErr w:type="spellStart"/>
      <w:r w:rsidR="006B273B" w:rsidRPr="006B273B">
        <w:rPr>
          <w:color w:val="auto"/>
        </w:rPr>
        <w:t>ktorým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sa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mení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dopĺňa</w:t>
      </w:r>
      <w:proofErr w:type="spellEnd"/>
      <w:r w:rsidR="006B273B" w:rsidRPr="006B273B">
        <w:rPr>
          <w:color w:val="auto"/>
        </w:rPr>
        <w:t xml:space="preserve"> zákon č. </w:t>
      </w:r>
      <w:proofErr w:type="gramStart"/>
      <w:r w:rsidR="006B273B" w:rsidRPr="006B273B">
        <w:rPr>
          <w:color w:val="auto"/>
        </w:rPr>
        <w:t>483/2001 Z. z. o bankách</w:t>
      </w:r>
      <w:proofErr w:type="gramEnd"/>
      <w:r w:rsidR="006B273B" w:rsidRPr="006B273B">
        <w:rPr>
          <w:color w:val="auto"/>
        </w:rPr>
        <w:t xml:space="preserve"> a o </w:t>
      </w:r>
      <w:proofErr w:type="spellStart"/>
      <w:r w:rsidR="006B273B" w:rsidRPr="006B273B">
        <w:rPr>
          <w:color w:val="auto"/>
        </w:rPr>
        <w:t>zmene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doplnení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niektorých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zákonov</w:t>
      </w:r>
      <w:proofErr w:type="spellEnd"/>
      <w:r w:rsidR="006B273B" w:rsidRPr="006B273B">
        <w:rPr>
          <w:color w:val="auto"/>
        </w:rPr>
        <w:t xml:space="preserve"> v </w:t>
      </w:r>
      <w:proofErr w:type="spellStart"/>
      <w:r w:rsidR="006B273B" w:rsidRPr="006B273B">
        <w:rPr>
          <w:color w:val="auto"/>
        </w:rPr>
        <w:t>znení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neskorších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predpisov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ktorým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sa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menia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dopĺňajú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niektoré</w:t>
      </w:r>
      <w:proofErr w:type="spellEnd"/>
      <w:r w:rsidR="006B273B" w:rsidRPr="006B273B">
        <w:rPr>
          <w:color w:val="auto"/>
        </w:rPr>
        <w:t xml:space="preserve"> zákony</w:t>
      </w:r>
      <w:r w:rsidR="006B273B" w:rsidRPr="006B273B">
        <w:rPr>
          <w:b/>
          <w:color w:val="auto"/>
        </w:rPr>
        <w:t xml:space="preserve"> (tlač 604);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332472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332472">
        <w:rPr>
          <w:color w:val="auto"/>
        </w:rPr>
        <w:t>vládny</w:t>
      </w:r>
      <w:proofErr w:type="spellEnd"/>
      <w:r w:rsidRPr="00332472">
        <w:rPr>
          <w:color w:val="auto"/>
        </w:rPr>
        <w:t xml:space="preserve"> návrh </w:t>
      </w:r>
      <w:r w:rsidR="006B273B" w:rsidRPr="006B273B">
        <w:rPr>
          <w:color w:val="auto"/>
        </w:rPr>
        <w:t xml:space="preserve">zákona, </w:t>
      </w:r>
      <w:proofErr w:type="spellStart"/>
      <w:r w:rsidR="006B273B" w:rsidRPr="006B273B">
        <w:rPr>
          <w:color w:val="auto"/>
        </w:rPr>
        <w:t>ktorým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sa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mení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dopĺňa</w:t>
      </w:r>
      <w:proofErr w:type="spellEnd"/>
      <w:r w:rsidR="006B273B" w:rsidRPr="006B273B">
        <w:rPr>
          <w:color w:val="auto"/>
        </w:rPr>
        <w:t xml:space="preserve"> zákon č. </w:t>
      </w:r>
      <w:proofErr w:type="gramStart"/>
      <w:r w:rsidR="006B273B" w:rsidRPr="006B273B">
        <w:rPr>
          <w:color w:val="auto"/>
        </w:rPr>
        <w:t>483/2001 Z. z. o bankách</w:t>
      </w:r>
      <w:proofErr w:type="gramEnd"/>
      <w:r w:rsidR="006B273B" w:rsidRPr="006B273B">
        <w:rPr>
          <w:color w:val="auto"/>
        </w:rPr>
        <w:t xml:space="preserve"> a o </w:t>
      </w:r>
      <w:proofErr w:type="spellStart"/>
      <w:r w:rsidR="006B273B" w:rsidRPr="006B273B">
        <w:rPr>
          <w:color w:val="auto"/>
        </w:rPr>
        <w:t>zmene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doplnení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niektorých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zákonov</w:t>
      </w:r>
      <w:proofErr w:type="spellEnd"/>
      <w:r w:rsidR="006B273B" w:rsidRPr="006B273B">
        <w:rPr>
          <w:color w:val="auto"/>
        </w:rPr>
        <w:t xml:space="preserve"> v </w:t>
      </w:r>
      <w:proofErr w:type="spellStart"/>
      <w:r w:rsidR="006B273B" w:rsidRPr="006B273B">
        <w:rPr>
          <w:color w:val="auto"/>
        </w:rPr>
        <w:t>znení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neskorších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predpisov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ktorým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sa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menia</w:t>
      </w:r>
      <w:proofErr w:type="spellEnd"/>
      <w:r w:rsidR="006B273B" w:rsidRPr="006B273B">
        <w:rPr>
          <w:color w:val="auto"/>
        </w:rPr>
        <w:t xml:space="preserve"> a </w:t>
      </w:r>
      <w:proofErr w:type="spellStart"/>
      <w:r w:rsidR="006B273B" w:rsidRPr="006B273B">
        <w:rPr>
          <w:color w:val="auto"/>
        </w:rPr>
        <w:t>dopĺňajú</w:t>
      </w:r>
      <w:proofErr w:type="spellEnd"/>
      <w:r w:rsidR="006B273B" w:rsidRPr="006B273B">
        <w:rPr>
          <w:color w:val="auto"/>
        </w:rPr>
        <w:t xml:space="preserve"> </w:t>
      </w:r>
      <w:proofErr w:type="spellStart"/>
      <w:r w:rsidR="006B273B" w:rsidRPr="006B273B">
        <w:rPr>
          <w:color w:val="auto"/>
        </w:rPr>
        <w:t>niektoré</w:t>
      </w:r>
      <w:proofErr w:type="spellEnd"/>
      <w:r w:rsidR="006B273B" w:rsidRPr="006B273B">
        <w:rPr>
          <w:color w:val="auto"/>
        </w:rPr>
        <w:t xml:space="preserve"> zákony</w:t>
      </w:r>
      <w:r w:rsidR="006B273B" w:rsidRPr="006B273B">
        <w:rPr>
          <w:b/>
          <w:color w:val="auto"/>
        </w:rPr>
        <w:t xml:space="preserve"> (tlač 604)</w:t>
      </w:r>
      <w:r w:rsidR="00437810" w:rsidRPr="009A5D96">
        <w:rPr>
          <w:b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Pr="00332472">
        <w:rPr>
          <w:rFonts w:ascii="AT*Toronto CE" w:hAnsi="AT*Toronto CE"/>
          <w:bCs/>
          <w:color w:val="000000"/>
        </w:rPr>
        <w:t xml:space="preserve"> </w:t>
      </w:r>
      <w:r w:rsidRPr="00A46160">
        <w:rPr>
          <w:rFonts w:ascii="AT*Toronto CE" w:hAnsi="AT*Toronto CE"/>
          <w:bCs/>
          <w:color w:val="000000"/>
        </w:rPr>
        <w:t>s </w:t>
      </w:r>
      <w:proofErr w:type="spellStart"/>
      <w:r w:rsidRPr="00A46160">
        <w:rPr>
          <w:rFonts w:ascii="AT*Toronto CE" w:hAnsi="AT*Toronto CE"/>
          <w:bCs/>
          <w:color w:val="000000"/>
        </w:rPr>
        <w:t>pozmeňujúcimi</w:t>
      </w:r>
      <w:proofErr w:type="spellEnd"/>
      <w:r w:rsidRPr="00A46160">
        <w:rPr>
          <w:rFonts w:ascii="AT*Toronto CE" w:hAnsi="AT*Toronto CE"/>
          <w:bCs/>
          <w:color w:val="000000"/>
        </w:rPr>
        <w:t xml:space="preserve"> a </w:t>
      </w:r>
      <w:proofErr w:type="spellStart"/>
      <w:r w:rsidRPr="00A46160">
        <w:rPr>
          <w:rFonts w:ascii="AT*Toronto CE" w:hAnsi="AT*Toronto CE"/>
          <w:bCs/>
          <w:color w:val="000000"/>
        </w:rPr>
        <w:t>doplňujúcimi</w:t>
      </w:r>
      <w:proofErr w:type="spellEnd"/>
      <w:r w:rsidRPr="00A46160">
        <w:rPr>
          <w:rFonts w:ascii="AT*Toronto CE" w:hAnsi="AT*Toronto CE"/>
          <w:bCs/>
          <w:color w:val="000000"/>
        </w:rPr>
        <w:t xml:space="preserve"> </w:t>
      </w:r>
      <w:proofErr w:type="spellStart"/>
      <w:r w:rsidRPr="00A46160">
        <w:rPr>
          <w:rFonts w:ascii="AT*Toronto CE" w:hAnsi="AT*Toronto CE"/>
          <w:bCs/>
          <w:color w:val="000000"/>
        </w:rPr>
        <w:t>návrhmi</w:t>
      </w:r>
      <w:proofErr w:type="spellEnd"/>
      <w:r w:rsidRPr="00A46160">
        <w:rPr>
          <w:rFonts w:ascii="AT*Toronto CE" w:hAnsi="AT*Toronto CE"/>
          <w:bCs/>
          <w:color w:val="000000"/>
        </w:rPr>
        <w:t xml:space="preserve"> uvedený</w:t>
      </w:r>
      <w:r w:rsidRPr="00A46160">
        <w:rPr>
          <w:bCs/>
          <w:color w:val="000000"/>
        </w:rPr>
        <w:t>mi v </w:t>
      </w:r>
      <w:proofErr w:type="spellStart"/>
      <w:r w:rsidRPr="00A46160">
        <w:rPr>
          <w:bCs/>
          <w:color w:val="000000"/>
        </w:rPr>
        <w:t>prílohe</w:t>
      </w:r>
      <w:proofErr w:type="spellEnd"/>
      <w:r w:rsidRPr="00A46160">
        <w:rPr>
          <w:bCs/>
          <w:color w:val="000000"/>
        </w:rPr>
        <w:t>;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9A5D96">
        <w:t>financie a rozpočet</w:t>
      </w:r>
      <w:r w:rsidR="00437810">
        <w:t>.</w:t>
      </w:r>
    </w:p>
    <w:p w:rsidR="00885282" w:rsidRPr="00B152E7" w:rsidRDefault="00885282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E473DD" w:rsidRDefault="00E473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E473DD" w:rsidRDefault="00E473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E473DD" w:rsidRDefault="00E473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9A5D96" w:rsidRDefault="00D0422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</w:t>
      </w: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E473DD">
        <w:rPr>
          <w:bCs/>
          <w:i/>
          <w:iCs/>
        </w:rPr>
        <w:t xml:space="preserve">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D04222" w:rsidP="00D04222">
      <w:pPr>
        <w:ind w:left="5672" w:firstLine="709"/>
        <w:jc w:val="both"/>
      </w:pPr>
      <w:r>
        <w:t xml:space="preserve"> 76.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BA3441">
        <w:rPr>
          <w:bCs/>
        </w:rPr>
        <w:t>Príloha k uzneseniu č. 226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2B637A" w:rsidRDefault="00D04222" w:rsidP="00774C1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Pr="00332472">
        <w:t xml:space="preserve">vládnemu návrhu </w:t>
      </w:r>
      <w:r w:rsidR="006B273B">
        <w:t>zákona, ktorým sa mení a dopĺňa zákon č. 483/2001 Z. z. o bankách a o zmene a doplnení niektorých zákonov v znení neskorších predpisov a ktorým sa menia a dopĺňajú niektoré zákony</w:t>
      </w:r>
      <w:r w:rsidR="006B273B" w:rsidRPr="006C6711">
        <w:rPr>
          <w:b/>
        </w:rPr>
        <w:t xml:space="preserve"> </w:t>
      </w:r>
      <w:r w:rsidR="006B273B">
        <w:rPr>
          <w:b/>
        </w:rPr>
        <w:t>(tlač 604</w:t>
      </w:r>
      <w:r w:rsidR="006B273B" w:rsidRPr="006C6711">
        <w:rPr>
          <w:b/>
        </w:rPr>
        <w:t>)</w:t>
      </w:r>
    </w:p>
    <w:p w:rsidR="00885282" w:rsidRDefault="00885282" w:rsidP="005D0EBD">
      <w:pPr>
        <w:spacing w:line="240" w:lineRule="atLeast"/>
        <w:jc w:val="both"/>
      </w:pPr>
    </w:p>
    <w:p w:rsidR="00925035" w:rsidRDefault="00925035" w:rsidP="005D0EBD">
      <w:pPr>
        <w:spacing w:line="240" w:lineRule="atLeast"/>
        <w:jc w:val="both"/>
      </w:pPr>
    </w:p>
    <w:p w:rsidR="00925035" w:rsidRDefault="00925035" w:rsidP="00925035">
      <w:pPr>
        <w:pStyle w:val="Odsekzoznamu"/>
        <w:numPr>
          <w:ilvl w:val="0"/>
          <w:numId w:val="32"/>
        </w:numPr>
        <w:spacing w:line="360" w:lineRule="auto"/>
        <w:ind w:left="0" w:firstLine="0"/>
        <w:contextualSpacing/>
        <w:jc w:val="both"/>
        <w:rPr>
          <w:b/>
        </w:rPr>
      </w:pPr>
      <w:r>
        <w:rPr>
          <w:b/>
        </w:rPr>
        <w:t>K čl. I bodu 20 (§ 68 ods. 4)</w:t>
      </w:r>
    </w:p>
    <w:p w:rsidR="00925035" w:rsidRDefault="00925035" w:rsidP="00925035">
      <w:pPr>
        <w:spacing w:before="240" w:line="360" w:lineRule="auto"/>
        <w:jc w:val="both"/>
        <w:rPr>
          <w:rFonts w:eastAsia="Calibri"/>
        </w:rPr>
      </w:pPr>
      <w:r>
        <w:rPr>
          <w:rFonts w:eastAsia="Calibri"/>
        </w:rPr>
        <w:t>V čl. I</w:t>
      </w:r>
      <w:bookmarkStart w:id="0" w:name="_Hlk68449124"/>
      <w:r>
        <w:t xml:space="preserve"> </w:t>
      </w:r>
      <w:r>
        <w:rPr>
          <w:rFonts w:eastAsia="Calibri"/>
        </w:rPr>
        <w:t>bode 20 (§ 68 ods. 4) sa slová „záväzkov podľa odseku 3 sa musí“ nahrádzajú slovami „výpočet záväzkov podľa odseku 3 sa musia“.</w:t>
      </w:r>
      <w:bookmarkEnd w:id="0"/>
    </w:p>
    <w:p w:rsidR="00925035" w:rsidRDefault="00925035" w:rsidP="00925035">
      <w:pPr>
        <w:ind w:left="4247"/>
        <w:jc w:val="both"/>
        <w:rPr>
          <w:rFonts w:eastAsia="Calibri"/>
        </w:rPr>
      </w:pPr>
      <w:r>
        <w:rPr>
          <w:rFonts w:eastAsia="Calibri"/>
        </w:rPr>
        <w:t>Spresnenie textu - ide o dva výpočty, ktoré sa musia zakladať na rovnakej metodike.</w:t>
      </w:r>
    </w:p>
    <w:p w:rsidR="00925035" w:rsidRDefault="00925035" w:rsidP="00925035">
      <w:pPr>
        <w:spacing w:line="360" w:lineRule="auto"/>
        <w:rPr>
          <w:rFonts w:cs="Calibri"/>
          <w:b/>
        </w:rPr>
      </w:pPr>
    </w:p>
    <w:p w:rsidR="00925035" w:rsidRDefault="00925035" w:rsidP="00925035">
      <w:pPr>
        <w:spacing w:line="360" w:lineRule="auto"/>
        <w:rPr>
          <w:b/>
        </w:rPr>
      </w:pPr>
      <w:r>
        <w:rPr>
          <w:b/>
        </w:rPr>
        <w:t>2.</w:t>
      </w:r>
      <w:r>
        <w:rPr>
          <w:b/>
        </w:rPr>
        <w:tab/>
        <w:t>K čl. I bodu 20 (§ 71 ods. 2)</w:t>
      </w:r>
    </w:p>
    <w:p w:rsidR="00925035" w:rsidRDefault="00925035" w:rsidP="00925035">
      <w:pPr>
        <w:spacing w:line="360" w:lineRule="auto"/>
        <w:jc w:val="both"/>
        <w:rPr>
          <w:rFonts w:cs="Calibri"/>
        </w:rPr>
      </w:pPr>
      <w:r>
        <w:t>V čl. I bode 20 (§ 71 ods. 2) sa vypúšťa slovo „nepresahuje“ a za slová „</w:t>
      </w:r>
      <w:r>
        <w:rPr>
          <w:bCs/>
        </w:rPr>
        <w:t>odseku 1 písm. c)“ sa vkladajú slová „nesmie presiahnuť“.</w:t>
      </w:r>
    </w:p>
    <w:p w:rsidR="00925035" w:rsidRDefault="00925035" w:rsidP="00925035">
      <w:pPr>
        <w:spacing w:before="240"/>
        <w:ind w:left="4247"/>
        <w:jc w:val="both"/>
      </w:pPr>
      <w:r>
        <w:t>Ide o formulačnú úpravu textu v záujme jazykovej správnosti a zosúladenie s obdobnou formuláciou v § 71 ods. 3.</w:t>
      </w:r>
    </w:p>
    <w:p w:rsidR="00925035" w:rsidRDefault="00925035" w:rsidP="00925035">
      <w:pPr>
        <w:ind w:left="4247"/>
        <w:jc w:val="both"/>
      </w:pPr>
    </w:p>
    <w:p w:rsidR="00925035" w:rsidRDefault="00925035" w:rsidP="00925035">
      <w:pPr>
        <w:spacing w:line="360" w:lineRule="auto"/>
        <w:rPr>
          <w:b/>
        </w:rPr>
      </w:pPr>
      <w:r>
        <w:rPr>
          <w:b/>
        </w:rPr>
        <w:t>3.</w:t>
      </w:r>
      <w:r>
        <w:rPr>
          <w:b/>
        </w:rPr>
        <w:tab/>
        <w:t>K čl. I bodu 20 (§ 73 ods. 1)</w:t>
      </w:r>
    </w:p>
    <w:p w:rsidR="00925035" w:rsidRDefault="00925035" w:rsidP="00925035">
      <w:pPr>
        <w:spacing w:line="360" w:lineRule="auto"/>
        <w:jc w:val="both"/>
      </w:pPr>
      <w:r>
        <w:t>V čl. I bode 20 (§ 73 ods. 1) sa slovo „tvoria“ nahrádza slovom „sú“.</w:t>
      </w:r>
    </w:p>
    <w:p w:rsidR="00925035" w:rsidRDefault="00925035" w:rsidP="00925035">
      <w:pPr>
        <w:spacing w:before="240"/>
        <w:ind w:left="4247"/>
        <w:jc w:val="both"/>
      </w:pPr>
      <w:r>
        <w:t>Ide o formulačné spresnenie textu.</w:t>
      </w:r>
    </w:p>
    <w:p w:rsidR="00925035" w:rsidRDefault="00925035" w:rsidP="00925035">
      <w:pPr>
        <w:ind w:left="4247"/>
        <w:jc w:val="both"/>
      </w:pPr>
    </w:p>
    <w:p w:rsidR="00925035" w:rsidRDefault="00925035" w:rsidP="00925035">
      <w:pPr>
        <w:ind w:left="4247"/>
        <w:jc w:val="both"/>
      </w:pPr>
    </w:p>
    <w:p w:rsidR="00925035" w:rsidRDefault="00925035" w:rsidP="00925035">
      <w:pPr>
        <w:spacing w:line="360" w:lineRule="auto"/>
        <w:rPr>
          <w:b/>
        </w:rPr>
      </w:pPr>
      <w:r>
        <w:rPr>
          <w:b/>
        </w:rPr>
        <w:t>4</w:t>
      </w:r>
      <w:r>
        <w:t>.</w:t>
      </w:r>
      <w:r>
        <w:rPr>
          <w:b/>
        </w:rPr>
        <w:tab/>
        <w:t>K čl. I bodu 28 (§ 82 ods. 4 a 8)</w:t>
      </w:r>
    </w:p>
    <w:p w:rsidR="00925035" w:rsidRDefault="00925035" w:rsidP="00925035">
      <w:pPr>
        <w:spacing w:line="360" w:lineRule="auto"/>
        <w:jc w:val="both"/>
      </w:pPr>
      <w:r>
        <w:t>V čl. I bode 28 (§ 82 ods. 4 a 8) sa slovo „splatností“ nahrádza slovom „splatnosti“.</w:t>
      </w:r>
    </w:p>
    <w:p w:rsidR="00925035" w:rsidRDefault="00925035" w:rsidP="00925035">
      <w:pPr>
        <w:spacing w:before="240"/>
        <w:ind w:left="4247"/>
        <w:jc w:val="both"/>
      </w:pPr>
      <w:r>
        <w:t>Formulačnú úprava - zosúladenie s obdobou formuláciou v § 82 ods. 3.</w:t>
      </w:r>
    </w:p>
    <w:p w:rsidR="00925035" w:rsidRDefault="00925035" w:rsidP="00925035">
      <w:pPr>
        <w:spacing w:before="240" w:line="360" w:lineRule="auto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K čl. I bodu 31 (§ 122ye ods. 2)</w:t>
      </w:r>
    </w:p>
    <w:p w:rsidR="00925035" w:rsidRDefault="00925035" w:rsidP="00925035">
      <w:pPr>
        <w:spacing w:line="360" w:lineRule="auto"/>
        <w:jc w:val="both"/>
      </w:pPr>
      <w:r>
        <w:t>V čl. I bode 31 (§ 122ye ods. 2) druhej vete sa za slová „</w:t>
      </w:r>
      <w:r>
        <w:rPr>
          <w:bCs/>
        </w:rPr>
        <w:t>kryté dlhopisy“ vkladajú slová „podľa tohto zákona“</w:t>
      </w:r>
      <w:r>
        <w:t>.</w:t>
      </w:r>
    </w:p>
    <w:p w:rsidR="00925035" w:rsidRDefault="00925035" w:rsidP="00925035">
      <w:pPr>
        <w:ind w:left="4247"/>
        <w:jc w:val="both"/>
      </w:pPr>
      <w:r>
        <w:lastRenderedPageBreak/>
        <w:t>Id</w:t>
      </w:r>
      <w:bookmarkStart w:id="1" w:name="_GoBack"/>
      <w:bookmarkEnd w:id="1"/>
      <w:r>
        <w:t>e o legislatívne spresnenie prechodného ustanovenia.</w:t>
      </w:r>
    </w:p>
    <w:p w:rsidR="00925035" w:rsidRDefault="00925035" w:rsidP="00925035">
      <w:pPr>
        <w:spacing w:line="360" w:lineRule="auto"/>
        <w:jc w:val="both"/>
      </w:pPr>
    </w:p>
    <w:p w:rsidR="00925035" w:rsidRDefault="00925035" w:rsidP="00925035">
      <w:pPr>
        <w:spacing w:line="360" w:lineRule="auto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 xml:space="preserve">K čl. IX bodu 3 </w:t>
      </w:r>
    </w:p>
    <w:p w:rsidR="00925035" w:rsidRDefault="00925035" w:rsidP="00925035">
      <w:pPr>
        <w:spacing w:before="240" w:line="360" w:lineRule="auto"/>
        <w:jc w:val="both"/>
        <w:rPr>
          <w:rFonts w:eastAsia="Calibri"/>
        </w:rPr>
      </w:pPr>
      <w:r>
        <w:t xml:space="preserve">V čl. IX bode 3 úvodnej vete sa </w:t>
      </w:r>
      <w:r>
        <w:rPr>
          <w:rFonts w:eastAsia="Calibri"/>
        </w:rPr>
        <w:t>slovo „štvrtým“ nahrádza slovom „piatym“ a označenie bodu „4.“ sa nahrádza označením „5.“.</w:t>
      </w:r>
    </w:p>
    <w:p w:rsidR="00925035" w:rsidRDefault="00925035" w:rsidP="00925035">
      <w:pPr>
        <w:ind w:left="4247"/>
        <w:jc w:val="both"/>
        <w:rPr>
          <w:rFonts w:eastAsia="Calibri"/>
        </w:rPr>
      </w:pPr>
      <w:r>
        <w:rPr>
          <w:rFonts w:eastAsia="Calibri"/>
        </w:rPr>
        <w:t>Legislatívno-technická úprava - platné znenie prílohy k zákonu má štyri body (bod 4 bol doplnený zákonom č. 209/2021 Z. z.).</w:t>
      </w:r>
    </w:p>
    <w:p w:rsidR="00925035" w:rsidRDefault="00925035" w:rsidP="005D0EBD">
      <w:pPr>
        <w:spacing w:line="240" w:lineRule="atLeast"/>
        <w:jc w:val="both"/>
      </w:pPr>
    </w:p>
    <w:sectPr w:rsidR="0092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BD91FED"/>
    <w:multiLevelType w:val="hybridMultilevel"/>
    <w:tmpl w:val="2F5EB5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4"/>
  </w:num>
  <w:num w:numId="5">
    <w:abstractNumId w:val="4"/>
  </w:num>
  <w:num w:numId="6">
    <w:abstractNumId w:val="1"/>
  </w:num>
  <w:num w:numId="7">
    <w:abstractNumId w:val="23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6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20"/>
  </w:num>
  <w:num w:numId="18">
    <w:abstractNumId w:val="2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20E42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25035"/>
    <w:rsid w:val="00946264"/>
    <w:rsid w:val="00976F71"/>
    <w:rsid w:val="00977D3D"/>
    <w:rsid w:val="00992331"/>
    <w:rsid w:val="00994D70"/>
    <w:rsid w:val="009A5D96"/>
    <w:rsid w:val="009C2138"/>
    <w:rsid w:val="009E3B1B"/>
    <w:rsid w:val="009E424B"/>
    <w:rsid w:val="00A070FA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3441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473DD"/>
    <w:rsid w:val="00E92710"/>
    <w:rsid w:val="00EB0740"/>
    <w:rsid w:val="00EE7C3E"/>
    <w:rsid w:val="00EF66C7"/>
    <w:rsid w:val="00F12013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1552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8F00-EABD-486B-8154-2371676C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2020-11-19T09:17:00Z</cp:lastPrinted>
  <dcterms:created xsi:type="dcterms:W3CDTF">2021-10-07T11:59:00Z</dcterms:created>
  <dcterms:modified xsi:type="dcterms:W3CDTF">2021-10-18T15:57:00Z</dcterms:modified>
</cp:coreProperties>
</file>