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32472">
        <w:t>76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332472">
        <w:rPr>
          <w:rFonts w:ascii="Times New Roman" w:hAnsi="Times New Roman"/>
          <w:color w:val="auto"/>
          <w:lang w:val="sk-SK"/>
        </w:rPr>
        <w:t>1585</w:t>
      </w:r>
      <w:r w:rsidR="00885282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0F049C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222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32472">
        <w:t>18</w:t>
      </w:r>
      <w:r w:rsidR="00720E42" w:rsidRPr="00B152E7">
        <w:t xml:space="preserve">. </w:t>
      </w:r>
      <w:r w:rsidR="00332472">
        <w:t xml:space="preserve">októbra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332472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332472" w:rsidRPr="00332472">
        <w:rPr>
          <w:color w:val="auto"/>
        </w:rPr>
        <w:t>vládnemu</w:t>
      </w:r>
      <w:proofErr w:type="spellEnd"/>
      <w:r w:rsidR="00332472" w:rsidRPr="00332472">
        <w:rPr>
          <w:color w:val="auto"/>
        </w:rPr>
        <w:t xml:space="preserve"> návrhu zákona, </w:t>
      </w:r>
      <w:proofErr w:type="spellStart"/>
      <w:r w:rsidR="00332472" w:rsidRPr="00332472">
        <w:rPr>
          <w:color w:val="auto"/>
        </w:rPr>
        <w:t>ktorým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sa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mení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dopĺňa</w:t>
      </w:r>
      <w:proofErr w:type="spellEnd"/>
      <w:r w:rsidR="00332472" w:rsidRPr="00332472">
        <w:rPr>
          <w:color w:val="auto"/>
        </w:rPr>
        <w:t xml:space="preserve"> zákon č. 462/2007 Z. z. o </w:t>
      </w:r>
      <w:proofErr w:type="spellStart"/>
      <w:r w:rsidR="00332472" w:rsidRPr="00332472">
        <w:rPr>
          <w:color w:val="auto"/>
        </w:rPr>
        <w:t>organizácii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pracovného</w:t>
      </w:r>
      <w:proofErr w:type="spellEnd"/>
      <w:r w:rsidR="00332472" w:rsidRPr="00332472">
        <w:rPr>
          <w:color w:val="auto"/>
        </w:rPr>
        <w:t xml:space="preserve"> času v </w:t>
      </w:r>
      <w:proofErr w:type="spellStart"/>
      <w:r w:rsidR="00332472" w:rsidRPr="00332472">
        <w:rPr>
          <w:color w:val="auto"/>
        </w:rPr>
        <w:t>doprave</w:t>
      </w:r>
      <w:proofErr w:type="spellEnd"/>
      <w:r w:rsidR="00332472" w:rsidRPr="00332472">
        <w:rPr>
          <w:color w:val="auto"/>
        </w:rPr>
        <w:t xml:space="preserve"> a o </w:t>
      </w:r>
      <w:proofErr w:type="spellStart"/>
      <w:r w:rsidR="00332472" w:rsidRPr="00332472">
        <w:rPr>
          <w:color w:val="auto"/>
        </w:rPr>
        <w:t>zmene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doplnení</w:t>
      </w:r>
      <w:proofErr w:type="spellEnd"/>
      <w:r w:rsidR="00332472" w:rsidRPr="00332472">
        <w:rPr>
          <w:color w:val="auto"/>
        </w:rPr>
        <w:t xml:space="preserve"> zákona č. 125/2006 Z. z. o </w:t>
      </w:r>
      <w:proofErr w:type="spellStart"/>
      <w:r w:rsidR="00332472" w:rsidRPr="00332472">
        <w:rPr>
          <w:color w:val="auto"/>
        </w:rPr>
        <w:t>inšpekcii</w:t>
      </w:r>
      <w:proofErr w:type="spellEnd"/>
      <w:r w:rsidR="00332472" w:rsidRPr="00332472">
        <w:rPr>
          <w:color w:val="auto"/>
        </w:rPr>
        <w:t xml:space="preserve"> práce a o </w:t>
      </w:r>
      <w:proofErr w:type="spellStart"/>
      <w:r w:rsidR="00332472" w:rsidRPr="00332472">
        <w:rPr>
          <w:color w:val="auto"/>
        </w:rPr>
        <w:t>zmene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doplnení</w:t>
      </w:r>
      <w:proofErr w:type="spellEnd"/>
      <w:r w:rsidR="00332472" w:rsidRPr="00332472">
        <w:rPr>
          <w:color w:val="auto"/>
        </w:rPr>
        <w:t xml:space="preserve"> zákona č. 82/2005 Z. z. o </w:t>
      </w:r>
      <w:proofErr w:type="spellStart"/>
      <w:r w:rsidR="00332472" w:rsidRPr="00332472">
        <w:rPr>
          <w:color w:val="auto"/>
        </w:rPr>
        <w:t>nelegálnej</w:t>
      </w:r>
      <w:proofErr w:type="spellEnd"/>
      <w:r w:rsidR="00332472" w:rsidRPr="00332472">
        <w:rPr>
          <w:color w:val="auto"/>
        </w:rPr>
        <w:t xml:space="preserve"> práci a </w:t>
      </w:r>
      <w:proofErr w:type="spellStart"/>
      <w:r w:rsidR="00332472" w:rsidRPr="00332472">
        <w:rPr>
          <w:color w:val="auto"/>
        </w:rPr>
        <w:t>nelegálnom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zamestnávaní</w:t>
      </w:r>
      <w:proofErr w:type="spellEnd"/>
      <w:r w:rsidR="00332472" w:rsidRPr="00332472">
        <w:rPr>
          <w:color w:val="auto"/>
        </w:rPr>
        <w:t xml:space="preserve"> a o </w:t>
      </w:r>
      <w:proofErr w:type="spellStart"/>
      <w:r w:rsidR="00332472" w:rsidRPr="00332472">
        <w:rPr>
          <w:color w:val="auto"/>
        </w:rPr>
        <w:t>zmene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doplnení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niektorých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zákonov</w:t>
      </w:r>
      <w:proofErr w:type="spellEnd"/>
      <w:r w:rsidR="00332472" w:rsidRPr="00332472">
        <w:rPr>
          <w:color w:val="auto"/>
        </w:rPr>
        <w:t xml:space="preserve"> v </w:t>
      </w:r>
      <w:proofErr w:type="spellStart"/>
      <w:r w:rsidR="00332472" w:rsidRPr="00332472">
        <w:rPr>
          <w:color w:val="auto"/>
        </w:rPr>
        <w:t>znení</w:t>
      </w:r>
      <w:proofErr w:type="spellEnd"/>
      <w:r w:rsidR="00332472" w:rsidRPr="00332472">
        <w:rPr>
          <w:color w:val="auto"/>
        </w:rPr>
        <w:t xml:space="preserve"> zákona č. </w:t>
      </w:r>
      <w:proofErr w:type="gramStart"/>
      <w:r w:rsidR="00332472" w:rsidRPr="00332472">
        <w:rPr>
          <w:color w:val="auto"/>
        </w:rPr>
        <w:t xml:space="preserve">309/2007 Z. z. v </w:t>
      </w:r>
      <w:proofErr w:type="spellStart"/>
      <w:r w:rsidR="00332472" w:rsidRPr="00332472">
        <w:rPr>
          <w:color w:val="auto"/>
        </w:rPr>
        <w:t>znení</w:t>
      </w:r>
      <w:proofErr w:type="spellEnd"/>
      <w:proofErr w:type="gram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neskorších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predpisov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ktorým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sa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menia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dopĺňajú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niektoré</w:t>
      </w:r>
      <w:proofErr w:type="spellEnd"/>
      <w:r w:rsidR="00332472" w:rsidRPr="00332472">
        <w:rPr>
          <w:color w:val="auto"/>
        </w:rPr>
        <w:t xml:space="preserve"> zákony</w:t>
      </w:r>
      <w:r w:rsidR="00332472" w:rsidRPr="00332472">
        <w:rPr>
          <w:rFonts w:cs="Arial"/>
          <w:color w:val="auto"/>
          <w:szCs w:val="22"/>
        </w:rPr>
        <w:t xml:space="preserve"> (</w:t>
      </w:r>
      <w:r w:rsidR="00332472" w:rsidRPr="00332472">
        <w:rPr>
          <w:rFonts w:cs="Arial"/>
          <w:b/>
          <w:color w:val="auto"/>
          <w:szCs w:val="22"/>
        </w:rPr>
        <w:t>tlač 656</w:t>
      </w:r>
      <w:r w:rsidR="00332472" w:rsidRPr="00332472">
        <w:rPr>
          <w:rFonts w:cs="Arial"/>
          <w:color w:val="auto"/>
          <w:szCs w:val="22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332472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32472" w:rsidRPr="00332472">
        <w:rPr>
          <w:color w:val="auto"/>
        </w:rPr>
        <w:t>vládnym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návrhom</w:t>
      </w:r>
      <w:proofErr w:type="spellEnd"/>
      <w:r w:rsidR="00332472" w:rsidRPr="00332472">
        <w:rPr>
          <w:color w:val="auto"/>
        </w:rPr>
        <w:t xml:space="preserve"> zákona, </w:t>
      </w:r>
      <w:proofErr w:type="spellStart"/>
      <w:r w:rsidR="00332472" w:rsidRPr="00332472">
        <w:rPr>
          <w:color w:val="auto"/>
        </w:rPr>
        <w:t>ktorým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sa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mení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dopĺňa</w:t>
      </w:r>
      <w:proofErr w:type="spellEnd"/>
      <w:r w:rsidR="00332472" w:rsidRPr="00332472">
        <w:rPr>
          <w:color w:val="auto"/>
        </w:rPr>
        <w:t xml:space="preserve"> zákon č. 462/2007 Z. z. o </w:t>
      </w:r>
      <w:proofErr w:type="spellStart"/>
      <w:r w:rsidR="00332472" w:rsidRPr="00332472">
        <w:rPr>
          <w:color w:val="auto"/>
        </w:rPr>
        <w:t>organizácii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pracovného</w:t>
      </w:r>
      <w:proofErr w:type="spellEnd"/>
      <w:r w:rsidR="00332472" w:rsidRPr="00332472">
        <w:rPr>
          <w:color w:val="auto"/>
        </w:rPr>
        <w:t xml:space="preserve"> času v </w:t>
      </w:r>
      <w:proofErr w:type="spellStart"/>
      <w:r w:rsidR="00332472" w:rsidRPr="00332472">
        <w:rPr>
          <w:color w:val="auto"/>
        </w:rPr>
        <w:t>doprave</w:t>
      </w:r>
      <w:proofErr w:type="spellEnd"/>
      <w:r w:rsidR="00332472" w:rsidRPr="00332472">
        <w:rPr>
          <w:color w:val="auto"/>
        </w:rPr>
        <w:t xml:space="preserve"> a o </w:t>
      </w:r>
      <w:proofErr w:type="spellStart"/>
      <w:r w:rsidR="00332472" w:rsidRPr="00332472">
        <w:rPr>
          <w:color w:val="auto"/>
        </w:rPr>
        <w:t>zmene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doplnení</w:t>
      </w:r>
      <w:proofErr w:type="spellEnd"/>
      <w:r w:rsidR="00332472" w:rsidRPr="00332472">
        <w:rPr>
          <w:color w:val="auto"/>
        </w:rPr>
        <w:t xml:space="preserve"> zákona č. 125/2006 Z. z. o </w:t>
      </w:r>
      <w:proofErr w:type="spellStart"/>
      <w:r w:rsidR="00332472" w:rsidRPr="00332472">
        <w:rPr>
          <w:color w:val="auto"/>
        </w:rPr>
        <w:t>inšpekcii</w:t>
      </w:r>
      <w:proofErr w:type="spellEnd"/>
      <w:r w:rsidR="00332472" w:rsidRPr="00332472">
        <w:rPr>
          <w:color w:val="auto"/>
        </w:rPr>
        <w:t xml:space="preserve"> práce a o </w:t>
      </w:r>
      <w:proofErr w:type="spellStart"/>
      <w:r w:rsidR="00332472" w:rsidRPr="00332472">
        <w:rPr>
          <w:color w:val="auto"/>
        </w:rPr>
        <w:t>zmene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doplnení</w:t>
      </w:r>
      <w:proofErr w:type="spellEnd"/>
      <w:r w:rsidR="00332472" w:rsidRPr="00332472">
        <w:rPr>
          <w:color w:val="auto"/>
        </w:rPr>
        <w:t xml:space="preserve"> zákona č. 82/2005 Z. z. o </w:t>
      </w:r>
      <w:proofErr w:type="spellStart"/>
      <w:r w:rsidR="00332472" w:rsidRPr="00332472">
        <w:rPr>
          <w:color w:val="auto"/>
        </w:rPr>
        <w:t>nelegálnej</w:t>
      </w:r>
      <w:proofErr w:type="spellEnd"/>
      <w:r w:rsidR="00332472" w:rsidRPr="00332472">
        <w:rPr>
          <w:color w:val="auto"/>
        </w:rPr>
        <w:t xml:space="preserve"> práci a </w:t>
      </w:r>
      <w:proofErr w:type="spellStart"/>
      <w:r w:rsidR="00332472" w:rsidRPr="00332472">
        <w:rPr>
          <w:color w:val="auto"/>
        </w:rPr>
        <w:t>nelegálnom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zamestnávaní</w:t>
      </w:r>
      <w:proofErr w:type="spellEnd"/>
      <w:r w:rsidR="00332472" w:rsidRPr="00332472">
        <w:rPr>
          <w:color w:val="auto"/>
        </w:rPr>
        <w:t xml:space="preserve"> a o </w:t>
      </w:r>
      <w:proofErr w:type="spellStart"/>
      <w:r w:rsidR="00332472" w:rsidRPr="00332472">
        <w:rPr>
          <w:color w:val="auto"/>
        </w:rPr>
        <w:t>zmene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doplnení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niektorých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zákonov</w:t>
      </w:r>
      <w:proofErr w:type="spellEnd"/>
      <w:r w:rsidR="00332472" w:rsidRPr="00332472">
        <w:rPr>
          <w:color w:val="auto"/>
        </w:rPr>
        <w:t xml:space="preserve"> v </w:t>
      </w:r>
      <w:proofErr w:type="spellStart"/>
      <w:r w:rsidR="00332472" w:rsidRPr="00332472">
        <w:rPr>
          <w:color w:val="auto"/>
        </w:rPr>
        <w:t>znení</w:t>
      </w:r>
      <w:proofErr w:type="spellEnd"/>
      <w:r w:rsidR="00332472" w:rsidRPr="00332472">
        <w:rPr>
          <w:color w:val="auto"/>
        </w:rPr>
        <w:t xml:space="preserve"> zákona č. </w:t>
      </w:r>
      <w:proofErr w:type="gramStart"/>
      <w:r w:rsidR="00332472" w:rsidRPr="00332472">
        <w:rPr>
          <w:color w:val="auto"/>
        </w:rPr>
        <w:t xml:space="preserve">309/2007 Z. z. v </w:t>
      </w:r>
      <w:proofErr w:type="spellStart"/>
      <w:r w:rsidR="00332472" w:rsidRPr="00332472">
        <w:rPr>
          <w:color w:val="auto"/>
        </w:rPr>
        <w:t>znení</w:t>
      </w:r>
      <w:proofErr w:type="spellEnd"/>
      <w:proofErr w:type="gram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neskorších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predpisov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ktorým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sa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menia</w:t>
      </w:r>
      <w:proofErr w:type="spellEnd"/>
      <w:r w:rsidR="00332472" w:rsidRPr="00332472">
        <w:rPr>
          <w:color w:val="auto"/>
        </w:rPr>
        <w:t xml:space="preserve"> a </w:t>
      </w:r>
      <w:proofErr w:type="spellStart"/>
      <w:r w:rsidR="00332472" w:rsidRPr="00332472">
        <w:rPr>
          <w:color w:val="auto"/>
        </w:rPr>
        <w:t>dopĺňajú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niektoré</w:t>
      </w:r>
      <w:proofErr w:type="spellEnd"/>
      <w:r w:rsidR="00332472" w:rsidRPr="00332472">
        <w:rPr>
          <w:color w:val="auto"/>
        </w:rPr>
        <w:t xml:space="preserve"> zákony</w:t>
      </w:r>
      <w:r w:rsidR="00332472" w:rsidRPr="00332472">
        <w:rPr>
          <w:rFonts w:cs="Arial"/>
          <w:color w:val="auto"/>
          <w:szCs w:val="22"/>
        </w:rPr>
        <w:t xml:space="preserve"> (</w:t>
      </w:r>
      <w:r w:rsidR="00332472" w:rsidRPr="00332472">
        <w:rPr>
          <w:rFonts w:cs="Arial"/>
          <w:b/>
          <w:color w:val="auto"/>
          <w:szCs w:val="22"/>
        </w:rPr>
        <w:t>tlač 656</w:t>
      </w:r>
      <w:r w:rsidR="00332472" w:rsidRPr="00332472">
        <w:rPr>
          <w:rFonts w:cs="Arial"/>
          <w:color w:val="auto"/>
          <w:szCs w:val="22"/>
        </w:rPr>
        <w:t>)</w:t>
      </w:r>
      <w:r w:rsidR="00901424" w:rsidRPr="00332472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332472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332472">
        <w:rPr>
          <w:color w:val="auto"/>
        </w:rPr>
        <w:t>vládny</w:t>
      </w:r>
      <w:proofErr w:type="spellEnd"/>
      <w:r w:rsidRPr="00332472">
        <w:rPr>
          <w:color w:val="auto"/>
        </w:rPr>
        <w:t xml:space="preserve"> návrh zákona, </w:t>
      </w:r>
      <w:proofErr w:type="spellStart"/>
      <w:r w:rsidRPr="00332472">
        <w:rPr>
          <w:color w:val="auto"/>
        </w:rPr>
        <w:t>ktorým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sa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mení</w:t>
      </w:r>
      <w:proofErr w:type="spellEnd"/>
      <w:r w:rsidRPr="00332472">
        <w:rPr>
          <w:color w:val="auto"/>
        </w:rPr>
        <w:t xml:space="preserve"> a </w:t>
      </w:r>
      <w:proofErr w:type="spellStart"/>
      <w:r w:rsidRPr="00332472">
        <w:rPr>
          <w:color w:val="auto"/>
        </w:rPr>
        <w:t>dopĺňa</w:t>
      </w:r>
      <w:proofErr w:type="spellEnd"/>
      <w:r w:rsidRPr="00332472">
        <w:rPr>
          <w:color w:val="auto"/>
        </w:rPr>
        <w:t xml:space="preserve"> zákon č. 462/2007 Z. z. o </w:t>
      </w:r>
      <w:proofErr w:type="spellStart"/>
      <w:r w:rsidRPr="00332472">
        <w:rPr>
          <w:color w:val="auto"/>
        </w:rPr>
        <w:t>organizácii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pracovného</w:t>
      </w:r>
      <w:proofErr w:type="spellEnd"/>
      <w:r w:rsidRPr="00332472">
        <w:rPr>
          <w:color w:val="auto"/>
        </w:rPr>
        <w:t xml:space="preserve"> času v </w:t>
      </w:r>
      <w:proofErr w:type="spellStart"/>
      <w:r w:rsidRPr="00332472">
        <w:rPr>
          <w:color w:val="auto"/>
        </w:rPr>
        <w:t>doprave</w:t>
      </w:r>
      <w:proofErr w:type="spellEnd"/>
      <w:r w:rsidRPr="00332472">
        <w:rPr>
          <w:color w:val="auto"/>
        </w:rPr>
        <w:t xml:space="preserve"> a o </w:t>
      </w:r>
      <w:proofErr w:type="spellStart"/>
      <w:r w:rsidRPr="00332472">
        <w:rPr>
          <w:color w:val="auto"/>
        </w:rPr>
        <w:t>zmene</w:t>
      </w:r>
      <w:proofErr w:type="spellEnd"/>
      <w:r w:rsidRPr="00332472">
        <w:rPr>
          <w:color w:val="auto"/>
        </w:rPr>
        <w:t xml:space="preserve"> a </w:t>
      </w:r>
      <w:proofErr w:type="spellStart"/>
      <w:r w:rsidRPr="00332472">
        <w:rPr>
          <w:color w:val="auto"/>
        </w:rPr>
        <w:t>doplnení</w:t>
      </w:r>
      <w:proofErr w:type="spellEnd"/>
      <w:r w:rsidRPr="00332472">
        <w:rPr>
          <w:color w:val="auto"/>
        </w:rPr>
        <w:t xml:space="preserve"> zákona č. 125/2006 Z. z. o </w:t>
      </w:r>
      <w:proofErr w:type="spellStart"/>
      <w:r w:rsidRPr="00332472">
        <w:rPr>
          <w:color w:val="auto"/>
        </w:rPr>
        <w:t>inšpekcii</w:t>
      </w:r>
      <w:proofErr w:type="spellEnd"/>
      <w:r w:rsidRPr="00332472">
        <w:rPr>
          <w:color w:val="auto"/>
        </w:rPr>
        <w:t xml:space="preserve"> práce a o </w:t>
      </w:r>
      <w:proofErr w:type="spellStart"/>
      <w:r w:rsidRPr="00332472">
        <w:rPr>
          <w:color w:val="auto"/>
        </w:rPr>
        <w:t>zmene</w:t>
      </w:r>
      <w:proofErr w:type="spellEnd"/>
      <w:r w:rsidRPr="00332472">
        <w:rPr>
          <w:color w:val="auto"/>
        </w:rPr>
        <w:t xml:space="preserve"> a </w:t>
      </w:r>
      <w:proofErr w:type="spellStart"/>
      <w:r w:rsidRPr="00332472">
        <w:rPr>
          <w:color w:val="auto"/>
        </w:rPr>
        <w:t>doplnení</w:t>
      </w:r>
      <w:proofErr w:type="spellEnd"/>
      <w:r w:rsidRPr="00332472">
        <w:rPr>
          <w:color w:val="auto"/>
        </w:rPr>
        <w:t xml:space="preserve"> zákona č. 82/2005 Z. z. o </w:t>
      </w:r>
      <w:proofErr w:type="spellStart"/>
      <w:r w:rsidRPr="00332472">
        <w:rPr>
          <w:color w:val="auto"/>
        </w:rPr>
        <w:t>nelegálnej</w:t>
      </w:r>
      <w:proofErr w:type="spellEnd"/>
      <w:r w:rsidRPr="00332472">
        <w:rPr>
          <w:color w:val="auto"/>
        </w:rPr>
        <w:t xml:space="preserve"> práci a </w:t>
      </w:r>
      <w:proofErr w:type="spellStart"/>
      <w:r w:rsidRPr="00332472">
        <w:rPr>
          <w:color w:val="auto"/>
        </w:rPr>
        <w:t>nelegálnom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zamestnávaní</w:t>
      </w:r>
      <w:proofErr w:type="spellEnd"/>
      <w:r w:rsidRPr="00332472">
        <w:rPr>
          <w:color w:val="auto"/>
        </w:rPr>
        <w:t xml:space="preserve"> a o </w:t>
      </w:r>
      <w:proofErr w:type="spellStart"/>
      <w:r w:rsidRPr="00332472">
        <w:rPr>
          <w:color w:val="auto"/>
        </w:rPr>
        <w:t>zmene</w:t>
      </w:r>
      <w:proofErr w:type="spellEnd"/>
      <w:r w:rsidRPr="00332472">
        <w:rPr>
          <w:color w:val="auto"/>
        </w:rPr>
        <w:t xml:space="preserve"> a </w:t>
      </w:r>
      <w:proofErr w:type="spellStart"/>
      <w:r w:rsidRPr="00332472">
        <w:rPr>
          <w:color w:val="auto"/>
        </w:rPr>
        <w:t>doplnení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niektorých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zákonov</w:t>
      </w:r>
      <w:proofErr w:type="spellEnd"/>
      <w:r w:rsidRPr="00332472">
        <w:rPr>
          <w:color w:val="auto"/>
        </w:rPr>
        <w:t xml:space="preserve"> v </w:t>
      </w:r>
      <w:proofErr w:type="spellStart"/>
      <w:r w:rsidRPr="00332472">
        <w:rPr>
          <w:color w:val="auto"/>
        </w:rPr>
        <w:t>znení</w:t>
      </w:r>
      <w:proofErr w:type="spellEnd"/>
      <w:r w:rsidRPr="00332472">
        <w:rPr>
          <w:color w:val="auto"/>
        </w:rPr>
        <w:t xml:space="preserve"> zákona č. </w:t>
      </w:r>
      <w:proofErr w:type="gramStart"/>
      <w:r w:rsidRPr="00332472">
        <w:rPr>
          <w:color w:val="auto"/>
        </w:rPr>
        <w:t xml:space="preserve">309/2007 Z. z. v </w:t>
      </w:r>
      <w:proofErr w:type="spellStart"/>
      <w:r w:rsidRPr="00332472">
        <w:rPr>
          <w:color w:val="auto"/>
        </w:rPr>
        <w:t>znení</w:t>
      </w:r>
      <w:proofErr w:type="spellEnd"/>
      <w:proofErr w:type="gram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neskorších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predpisov</w:t>
      </w:r>
      <w:proofErr w:type="spellEnd"/>
      <w:r w:rsidRPr="00332472">
        <w:rPr>
          <w:color w:val="auto"/>
        </w:rPr>
        <w:t xml:space="preserve"> a </w:t>
      </w:r>
      <w:proofErr w:type="spellStart"/>
      <w:r w:rsidRPr="00332472">
        <w:rPr>
          <w:color w:val="auto"/>
        </w:rPr>
        <w:t>ktorým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sa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menia</w:t>
      </w:r>
      <w:proofErr w:type="spellEnd"/>
      <w:r w:rsidRPr="00332472">
        <w:rPr>
          <w:color w:val="auto"/>
        </w:rPr>
        <w:t xml:space="preserve"> a </w:t>
      </w:r>
      <w:proofErr w:type="spellStart"/>
      <w:r w:rsidRPr="00332472">
        <w:rPr>
          <w:color w:val="auto"/>
        </w:rPr>
        <w:t>dopĺňajú</w:t>
      </w:r>
      <w:proofErr w:type="spellEnd"/>
      <w:r w:rsidRPr="00332472">
        <w:rPr>
          <w:color w:val="auto"/>
        </w:rPr>
        <w:t xml:space="preserve"> </w:t>
      </w:r>
      <w:proofErr w:type="spellStart"/>
      <w:r w:rsidRPr="00332472">
        <w:rPr>
          <w:color w:val="auto"/>
        </w:rPr>
        <w:t>niektoré</w:t>
      </w:r>
      <w:proofErr w:type="spellEnd"/>
      <w:r w:rsidRPr="00332472">
        <w:rPr>
          <w:color w:val="auto"/>
        </w:rPr>
        <w:t xml:space="preserve"> zákony</w:t>
      </w:r>
      <w:r w:rsidRPr="00332472">
        <w:rPr>
          <w:rFonts w:cs="Arial"/>
          <w:color w:val="auto"/>
          <w:szCs w:val="22"/>
        </w:rPr>
        <w:t xml:space="preserve"> (</w:t>
      </w:r>
      <w:r w:rsidRPr="00332472">
        <w:rPr>
          <w:rFonts w:cs="Arial"/>
          <w:b/>
          <w:color w:val="auto"/>
          <w:szCs w:val="22"/>
        </w:rPr>
        <w:t>tlač 656</w:t>
      </w:r>
      <w:r w:rsidRPr="00332472">
        <w:rPr>
          <w:rFonts w:cs="Arial"/>
          <w:color w:val="auto"/>
          <w:szCs w:val="22"/>
        </w:rPr>
        <w:t>)</w:t>
      </w:r>
      <w:r w:rsidR="00437810" w:rsidRPr="00332472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Pr="00332472">
        <w:rPr>
          <w:rFonts w:ascii="AT*Toronto CE" w:hAnsi="AT*Toronto CE"/>
          <w:bCs/>
          <w:color w:val="000000"/>
        </w:rPr>
        <w:t xml:space="preserve"> </w:t>
      </w:r>
      <w:r w:rsidRPr="00A46160">
        <w:rPr>
          <w:rFonts w:ascii="AT*Toronto CE" w:hAnsi="AT*Toronto CE"/>
          <w:bCs/>
          <w:color w:val="000000"/>
        </w:rPr>
        <w:t>s </w:t>
      </w:r>
      <w:proofErr w:type="spellStart"/>
      <w:r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Pr="00A46160">
        <w:rPr>
          <w:rFonts w:ascii="AT*Toronto CE" w:hAnsi="AT*Toronto CE"/>
          <w:bCs/>
          <w:color w:val="000000"/>
        </w:rPr>
        <w:t>návrhmi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uvedený</w:t>
      </w:r>
      <w:r w:rsidRPr="00A46160">
        <w:rPr>
          <w:bCs/>
          <w:color w:val="000000"/>
        </w:rPr>
        <w:t>mi v </w:t>
      </w:r>
      <w:proofErr w:type="spellStart"/>
      <w:r w:rsidRPr="00A46160">
        <w:rPr>
          <w:bCs/>
          <w:color w:val="000000"/>
        </w:rPr>
        <w:t>prílohe</w:t>
      </w:r>
      <w:proofErr w:type="spellEnd"/>
      <w:r w:rsidRPr="00A46160">
        <w:rPr>
          <w:bCs/>
          <w:color w:val="000000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437810">
        <w:t>sociálne veci.</w:t>
      </w:r>
    </w:p>
    <w:p w:rsidR="00885282" w:rsidRPr="00B152E7" w:rsidRDefault="00885282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D04222" w:rsidRDefault="00D0422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  <w:t xml:space="preserve">   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04222" w:rsidP="00D04222">
      <w:pPr>
        <w:ind w:left="5672" w:firstLine="709"/>
        <w:jc w:val="both"/>
      </w:pPr>
      <w:r>
        <w:t xml:space="preserve"> 76.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>Príloha k uznes</w:t>
      </w:r>
      <w:r w:rsidR="000F049C">
        <w:rPr>
          <w:bCs/>
        </w:rPr>
        <w:t>eniu č. 222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885282" w:rsidRDefault="00D04222" w:rsidP="00D0422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Pr="00332472">
        <w:t>vládnemu návrhu zákona,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</w:t>
      </w:r>
      <w:r w:rsidRPr="00332472">
        <w:rPr>
          <w:rFonts w:cs="Arial"/>
          <w:szCs w:val="22"/>
        </w:rPr>
        <w:t xml:space="preserve"> (</w:t>
      </w:r>
      <w:r w:rsidRPr="00332472">
        <w:rPr>
          <w:rFonts w:cs="Arial"/>
          <w:b/>
          <w:szCs w:val="22"/>
        </w:rPr>
        <w:t>tlač 656</w:t>
      </w:r>
      <w:r w:rsidRPr="00332472">
        <w:rPr>
          <w:rFonts w:cs="Arial"/>
          <w:szCs w:val="22"/>
        </w:rPr>
        <w:t>)</w:t>
      </w:r>
    </w:p>
    <w:p w:rsidR="002B637A" w:rsidRDefault="002B637A" w:rsidP="005D0EBD">
      <w:pPr>
        <w:spacing w:line="240" w:lineRule="atLeast"/>
        <w:jc w:val="both"/>
      </w:pPr>
    </w:p>
    <w:p w:rsidR="00885282" w:rsidRDefault="00885282" w:rsidP="005D0EBD">
      <w:pPr>
        <w:spacing w:line="240" w:lineRule="atLeast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 7. bode, § 30 ods. 2 sa na konci pripája čiarka a tieto slová: „pričom každý kontrolný orgán vykonáva kontrolu na svojom území“.</w:t>
      </w:r>
    </w:p>
    <w:p w:rsidR="00F71947" w:rsidRDefault="00F71947" w:rsidP="00F71947">
      <w:pPr>
        <w:pStyle w:val="Odsekzoznamu"/>
        <w:spacing w:after="120"/>
        <w:ind w:left="2832"/>
        <w:jc w:val="both"/>
      </w:pPr>
      <w:r>
        <w:t>Legislatívno-technická úprava dopĺňajúca ustanovenie v súlade s čl. 5 smernice 2006/22/ES (čl. 2 ods. 5 smernice 2020/1057), ktorý ustanovuje povinnosť členských štátov vykonávať s inými členskými štátmi zosúladené kontroly týkajúce sa vodičov a vozidiel, a to najmenej 6-krát ročne  za účasti najmenej dvoch členských štátov, pričom každý vykonáva kontrolu na svojom vlastnom území.</w:t>
      </w:r>
    </w:p>
    <w:p w:rsidR="00F71947" w:rsidRDefault="00F71947" w:rsidP="00F71947">
      <w:pPr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 7. bode, § 30 ods. 2 sa nad slovom „predpisu“ odkaz 16a nahrádza odkazom 7 a vypúšťajú sa vety „Poznámka pod čiarou k odkazu 16a znie: „</w:t>
      </w:r>
      <w:r>
        <w:rPr>
          <w:sz w:val="16"/>
          <w:szCs w:val="16"/>
        </w:rPr>
        <w:t>16a</w:t>
      </w:r>
      <w:r>
        <w:t>) Nariadenie  (ES) č. 561/2006 v platnom znení. Nariadenie (EÚ) č. 165/2014 v platnom znení.“.“.</w:t>
      </w:r>
    </w:p>
    <w:p w:rsidR="00F71947" w:rsidRDefault="00262505" w:rsidP="00F71947">
      <w:pPr>
        <w:pStyle w:val="Odsekzoznamu"/>
        <w:spacing w:after="120" w:line="360" w:lineRule="auto"/>
        <w:jc w:val="both"/>
        <w:rPr>
          <w:rFonts w:eastAsiaTheme="minorHAnsi"/>
          <w:lang w:eastAsia="en-US"/>
        </w:rPr>
      </w:pPr>
      <w:r>
        <w:t>V tejto súvislosti sa v 10</w:t>
      </w:r>
      <w:bookmarkStart w:id="0" w:name="_GoBack"/>
      <w:bookmarkEnd w:id="0"/>
      <w:r w:rsidR="00F71947">
        <w:t>. bode, § 31 ods. 4 odkaz 16a nahrádza odkazom 7 dvakrát, v 12. bode, § 31a sa odkazy a poznámky pod čiarou 16b, 16c a 16d označia ako odkazy a poznámky pod čiarou 16a, 16b a 16c a zároveň sa upraví úvodná veta k týmto poznámkam pod čiarou a v 13. bode, § 33 písm. e) sa odkaz 16b nahrádza odkazom 16a.</w:t>
      </w:r>
    </w:p>
    <w:p w:rsidR="00F71947" w:rsidRDefault="00F71947" w:rsidP="00F71947">
      <w:pPr>
        <w:spacing w:after="120"/>
        <w:ind w:left="2832"/>
        <w:jc w:val="both"/>
      </w:pPr>
      <w:r>
        <w:t>Legislatívno-technická úprava s cieľom odstránenia duplicitnej, obsahovo totožnej poznámky pod čiarou, nakoľko odkaz 16a obsahovo zodpovedá navrhovanému odkazu 7 v čl. I bode 2 návrhu zákona.</w:t>
      </w:r>
    </w:p>
    <w:p w:rsidR="00F71947" w:rsidRDefault="00F71947" w:rsidP="00F71947">
      <w:pPr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 9. bode, § 31 ods. 3 sa na konci prvej vety pripája čiarka a tieto slová: „pričom každý kontrolný orgán vykonáva kontrolu na svojom území“.</w:t>
      </w:r>
    </w:p>
    <w:p w:rsidR="00F71947" w:rsidRDefault="00F71947" w:rsidP="00F71947">
      <w:pPr>
        <w:pStyle w:val="Odsekzoznamu"/>
        <w:spacing w:after="120"/>
        <w:ind w:left="2832"/>
        <w:jc w:val="both"/>
      </w:pPr>
      <w:r>
        <w:lastRenderedPageBreak/>
        <w:t>Legislatívno-technická úprava dopĺňajúca ustanovenie v súlade s čl. 5 smernice 2006/22/ES (čl. 2 ods. 5 smernice 2020/1057), ktorý ustanovuje povinnosť členských štátov vykonávať s inými členskými štátmi zosúladené kontroly týkajúce sa vodičov a vozidiel, a to najmenej 6-krát ročne  za účasti najmenej dvoch členských štátov, pričom každý vykonáva kontrolu na svojom vlastnom území.</w:t>
      </w:r>
    </w:p>
    <w:p w:rsidR="00F71947" w:rsidRDefault="00F71947" w:rsidP="00F71947">
      <w:pPr>
        <w:pStyle w:val="Odsekzoznamu"/>
        <w:spacing w:after="120" w:line="360" w:lineRule="auto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 12. bode, § 31a ods. 1 predvetí a v 13. bode, § 33 písm. e) sa slová „vnútroštátnych predpisov Slovenskej republiky“ nahrádzajú slovami „všeobecne záväzných právnych predpisov“.</w:t>
      </w:r>
    </w:p>
    <w:p w:rsidR="00F71947" w:rsidRDefault="00F71947" w:rsidP="00F71947">
      <w:pPr>
        <w:spacing w:after="120"/>
        <w:ind w:left="2832"/>
        <w:jc w:val="both"/>
      </w:pPr>
      <w:r>
        <w:t>Legislatívno-technická úprava terminologicky precizuje ustanovenie v súlade so zaužívanou terminológiou.</w:t>
      </w:r>
    </w:p>
    <w:p w:rsidR="00F71947" w:rsidRDefault="00F71947" w:rsidP="00F71947">
      <w:pPr>
        <w:spacing w:after="120"/>
        <w:ind w:left="2832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 12. bode, § 31a ods. 3 sa za slovo „zároveň“ vkladá slovo „žiadajúci“.</w:t>
      </w:r>
    </w:p>
    <w:p w:rsidR="00F71947" w:rsidRDefault="00F71947" w:rsidP="00F71947">
      <w:pPr>
        <w:spacing w:after="120"/>
        <w:ind w:left="2832"/>
        <w:jc w:val="both"/>
      </w:pPr>
      <w:r>
        <w:t>Legislatívno-technická úprava dopĺňa chýbajúce určenie orgánu členského štátu v súlade s čl. 8 ods. 2 smernice 2006/22/ES.</w:t>
      </w:r>
    </w:p>
    <w:p w:rsidR="00F71947" w:rsidRDefault="00F71947" w:rsidP="00F71947">
      <w:pPr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 sa vypúšťajú 14., 16. a 36. bod.</w:t>
      </w:r>
    </w:p>
    <w:p w:rsidR="00F71947" w:rsidRDefault="00F71947" w:rsidP="00F71947">
      <w:pPr>
        <w:spacing w:after="120" w:line="360" w:lineRule="auto"/>
        <w:ind w:firstLine="708"/>
        <w:jc w:val="both"/>
      </w:pPr>
      <w:r>
        <w:t>Doterajšie body sa primerane prečíslujú.</w:t>
      </w:r>
    </w:p>
    <w:p w:rsidR="00F71947" w:rsidRDefault="00F71947" w:rsidP="00F71947">
      <w:pPr>
        <w:spacing w:after="120"/>
        <w:ind w:left="2832"/>
        <w:jc w:val="both"/>
      </w:pPr>
      <w:r>
        <w:t>Legislatívno-technická úprava v súlade s 26. bodom Prílohy č. 2, Legislatívno-technické pokyny, Legislatívnych pravidiel tvorby zákonov (č. 19/1997 Z. z.).</w:t>
      </w:r>
      <w:r>
        <w:tab/>
      </w:r>
      <w:r>
        <w:tab/>
      </w:r>
    </w:p>
    <w:p w:rsidR="00F71947" w:rsidRDefault="00F71947" w:rsidP="00F71947">
      <w:pPr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 17. bode v § 34 ods. 1 písm. k) sa odkaz „22b“ označuje ako odkaz „22aa“ a v úvodnej vete k poznámke pod čiarou a v poznámke pod čiarou sa označenie odkazu „22b“ označuje ako odkaz „22a“.</w:t>
      </w:r>
    </w:p>
    <w:p w:rsidR="00F71947" w:rsidRDefault="00F71947" w:rsidP="00F71947">
      <w:pPr>
        <w:pStyle w:val="Bezriadkovania"/>
        <w:tabs>
          <w:tab w:val="left" w:pos="4395"/>
        </w:tabs>
        <w:spacing w:after="120"/>
        <w:ind w:left="2832"/>
        <w:jc w:val="both"/>
      </w:pPr>
      <w:r>
        <w:t>Legislatívno-technická úprava. V zmysle Legislatívnych pravidiel tvorby zákonov (č. 19/1997 Z. z.) sa poznámky pod čiarou a odkazy na poznámky pod čiarou číslujú priebežne (47. bod Prílohy č. 2, Legislatívno-technické pokyny).</w:t>
      </w:r>
      <w:r>
        <w:tab/>
        <w:t xml:space="preserve">  </w:t>
      </w:r>
    </w:p>
    <w:p w:rsidR="00F71947" w:rsidRDefault="00F71947" w:rsidP="00F71947">
      <w:pPr>
        <w:pStyle w:val="Bezriadkovania"/>
        <w:tabs>
          <w:tab w:val="left" w:pos="4395"/>
        </w:tabs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 18. bode v § 34 ods. 2 písm. c) druhom bode sa odkaz „22c“ označuje ako odkaz „22ab“ a v úvodnej vete k poznámke pod čiarou a v poznámke pod čiarou sa označenie odkazu „22c“ označuje ako odkaz „22ab“.</w:t>
      </w:r>
    </w:p>
    <w:p w:rsidR="00F71947" w:rsidRDefault="00F71947" w:rsidP="00F71947">
      <w:pPr>
        <w:pStyle w:val="Bezriadkovania"/>
        <w:tabs>
          <w:tab w:val="left" w:pos="4395"/>
        </w:tabs>
        <w:spacing w:after="120"/>
        <w:ind w:left="2832"/>
        <w:jc w:val="both"/>
      </w:pPr>
      <w:r>
        <w:t xml:space="preserve">Legislatívno-technická úprava. V zmysle Legislatívnych pravidiel tvorby zákonov (č. 19/1997 Z. z.) sa poznámky pod čiarou a odkazy na </w:t>
      </w:r>
      <w:r>
        <w:lastRenderedPageBreak/>
        <w:t>poznámky pod čiarou číslujú priebežne (47. bod Prílohy č. 2, Legislatívno-technické pokyny).</w:t>
      </w:r>
    </w:p>
    <w:p w:rsidR="00F71947" w:rsidRDefault="00F71947" w:rsidP="00F71947">
      <w:pPr>
        <w:pStyle w:val="Bezriadkovania"/>
        <w:tabs>
          <w:tab w:val="left" w:pos="4395"/>
        </w:tabs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spacing w:after="120" w:line="360" w:lineRule="auto"/>
        <w:contextualSpacing/>
        <w:jc w:val="both"/>
      </w:pPr>
      <w:r>
        <w:t>V čl. I, 21. bode, § 36 ods. 5 sa za slová „sfalšovaná alebo“ vkladajú slová „používa kartu vodiča,“.</w:t>
      </w:r>
    </w:p>
    <w:p w:rsidR="00F71947" w:rsidRDefault="00F71947" w:rsidP="00F71947">
      <w:pPr>
        <w:spacing w:after="120"/>
        <w:ind w:left="2832"/>
        <w:jc w:val="both"/>
      </w:pPr>
      <w:r>
        <w:t>Legislatívno-technická úprava terminologicky precizuje ustanovenie rovnako ako v bode 19.</w:t>
      </w:r>
    </w:p>
    <w:p w:rsidR="00F71947" w:rsidRDefault="00F71947" w:rsidP="00F71947">
      <w:pPr>
        <w:spacing w:after="120"/>
        <w:ind w:left="2832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tabs>
          <w:tab w:val="left" w:pos="284"/>
        </w:tabs>
        <w:spacing w:after="120" w:line="360" w:lineRule="auto"/>
        <w:contextualSpacing/>
        <w:jc w:val="both"/>
      </w:pPr>
      <w:r>
        <w:t>V čl. I, 42. bode, prílohe č. 1. časti A. písm. b) 10. bode v poznámke pod čiarou k odkazu 31d sa vypúšťajú slová „z 1. júla 1970 vyhlásená</w:t>
      </w:r>
      <w:r>
        <w:rPr>
          <w:spacing w:val="-9"/>
        </w:rPr>
        <w:t xml:space="preserve"> </w:t>
      </w:r>
      <w:r>
        <w:t>vyhláškou</w:t>
      </w:r>
      <w:r>
        <w:rPr>
          <w:spacing w:val="-9"/>
        </w:rPr>
        <w:t xml:space="preserve"> </w:t>
      </w:r>
      <w:r>
        <w:t>ministra</w:t>
      </w:r>
      <w:r>
        <w:rPr>
          <w:spacing w:val="-9"/>
        </w:rPr>
        <w:t xml:space="preserve"> </w:t>
      </w:r>
      <w:r>
        <w:t>zahraničných</w:t>
      </w:r>
      <w:r>
        <w:rPr>
          <w:spacing w:val="-9"/>
        </w:rPr>
        <w:t xml:space="preserve"> </w:t>
      </w:r>
      <w:r>
        <w:t>vecí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108/1976</w:t>
      </w:r>
      <w:r>
        <w:rPr>
          <w:spacing w:val="-9"/>
        </w:rPr>
        <w:t xml:space="preserve"> </w:t>
      </w:r>
      <w:r>
        <w:t>Zb.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znení zmeny</w:t>
      </w:r>
      <w:r>
        <w:rPr>
          <w:spacing w:val="5"/>
        </w:rPr>
        <w:t xml:space="preserve"> </w:t>
      </w:r>
      <w:r>
        <w:t>vyhlásenej</w:t>
      </w:r>
      <w:r>
        <w:rPr>
          <w:spacing w:val="5"/>
        </w:rPr>
        <w:t xml:space="preserve"> </w:t>
      </w:r>
      <w:r>
        <w:t>vyhláškou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82/1984</w:t>
      </w:r>
      <w:r>
        <w:rPr>
          <w:spacing w:val="5"/>
        </w:rPr>
        <w:t xml:space="preserve"> </w:t>
      </w:r>
      <w:r>
        <w:t>Zb.“.</w:t>
      </w:r>
    </w:p>
    <w:p w:rsidR="00F71947" w:rsidRDefault="00F71947" w:rsidP="00F71947">
      <w:pPr>
        <w:pStyle w:val="Odsekzoznamu"/>
        <w:tabs>
          <w:tab w:val="left" w:pos="284"/>
        </w:tabs>
        <w:spacing w:after="120" w:line="360" w:lineRule="auto"/>
        <w:jc w:val="both"/>
      </w:pPr>
    </w:p>
    <w:p w:rsidR="00F71947" w:rsidRDefault="00F71947" w:rsidP="00F71947">
      <w:pPr>
        <w:pStyle w:val="Odsekzoznamu"/>
        <w:tabs>
          <w:tab w:val="left" w:pos="284"/>
        </w:tabs>
        <w:spacing w:after="120"/>
        <w:ind w:left="2832"/>
        <w:jc w:val="both"/>
      </w:pPr>
      <w:r>
        <w:t>Legislatívno-technická úprava skracujúca citáciu medzinárodnej zmluvy v poznámke pod čiarou, keďže úplná citácia spolu s uvedením publikačného zdroja sa nachádza v poznámke pod čiarou k odkazu 8.</w:t>
      </w:r>
    </w:p>
    <w:p w:rsidR="00F71947" w:rsidRDefault="00F71947" w:rsidP="00F71947">
      <w:pPr>
        <w:pStyle w:val="Odsekzoznamu"/>
        <w:tabs>
          <w:tab w:val="left" w:pos="284"/>
        </w:tabs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tabs>
          <w:tab w:val="left" w:pos="284"/>
        </w:tabs>
        <w:spacing w:after="120" w:line="360" w:lineRule="auto"/>
        <w:contextualSpacing/>
        <w:jc w:val="both"/>
      </w:pPr>
      <w:r>
        <w:t>V čl. I, 42. bode, prílohe č. 1. časti A. písm. f) poznámke pod čiarou k odkazu 31f sa slová „Čl. 16 ods. 2“ nahrádzajú slovami „Čl. 16 ods. 2 a 3“.</w:t>
      </w:r>
    </w:p>
    <w:p w:rsidR="00F71947" w:rsidRDefault="00F71947" w:rsidP="00F71947">
      <w:pPr>
        <w:tabs>
          <w:tab w:val="left" w:pos="284"/>
        </w:tabs>
        <w:spacing w:after="120"/>
        <w:ind w:left="2832"/>
        <w:jc w:val="both"/>
      </w:pPr>
      <w:r>
        <w:t>Legislatívno-technická úprava spresňujúca implementačné opatrenie k nariadeniu (ES) č. 561/2006 doplnením súvisiacich ustanovení v poznámke pod čiarou.</w:t>
      </w:r>
    </w:p>
    <w:p w:rsidR="00F71947" w:rsidRDefault="00F71947" w:rsidP="00F71947">
      <w:pPr>
        <w:tabs>
          <w:tab w:val="left" w:pos="284"/>
        </w:tabs>
        <w:spacing w:after="120"/>
        <w:ind w:left="1701"/>
        <w:jc w:val="both"/>
      </w:pPr>
    </w:p>
    <w:p w:rsidR="00F71947" w:rsidRDefault="00F71947" w:rsidP="00F71947">
      <w:pPr>
        <w:pStyle w:val="Odsekzoznamu"/>
        <w:numPr>
          <w:ilvl w:val="0"/>
          <w:numId w:val="32"/>
        </w:numPr>
        <w:tabs>
          <w:tab w:val="left" w:pos="284"/>
        </w:tabs>
        <w:spacing w:after="120" w:line="360" w:lineRule="auto"/>
        <w:contextualSpacing/>
        <w:jc w:val="both"/>
      </w:pPr>
      <w:r>
        <w:t>V čl. I, 42. bode, prílohe č. 1. časti B ods. 1 písm. e) sa slová „podnikov, pokiaľ ide o úhradu ubytovania vodičov“ nahrádzajú slovami „dopravných podnikov, pokiaľ ide o úhradu nákladov vodiča na ubytovanie“.</w:t>
      </w:r>
    </w:p>
    <w:p w:rsidR="00F71947" w:rsidRDefault="00F71947" w:rsidP="00F71947">
      <w:pPr>
        <w:tabs>
          <w:tab w:val="left" w:pos="284"/>
        </w:tabs>
        <w:spacing w:after="120"/>
        <w:ind w:left="2832"/>
        <w:jc w:val="both"/>
      </w:pPr>
      <w:r>
        <w:t>Legislatívno-technická úprava terminologicky precizuje navrhované znenie jednak v kontexte prílohy č. 1 časti B., ako aj v nadväznosti na § 37 ods. 2 písm. e).</w:t>
      </w:r>
    </w:p>
    <w:p w:rsidR="00F71947" w:rsidRDefault="00F71947" w:rsidP="005D0EBD">
      <w:pPr>
        <w:spacing w:line="240" w:lineRule="atLeast"/>
        <w:jc w:val="both"/>
      </w:pPr>
    </w:p>
    <w:sectPr w:rsidR="00F7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7370576"/>
    <w:multiLevelType w:val="hybridMultilevel"/>
    <w:tmpl w:val="6D363734"/>
    <w:lvl w:ilvl="0" w:tplc="3F82C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4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20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619D"/>
    <w:rsid w:val="000678E9"/>
    <w:rsid w:val="000743AE"/>
    <w:rsid w:val="000A08EA"/>
    <w:rsid w:val="000B7B4B"/>
    <w:rsid w:val="000C7B41"/>
    <w:rsid w:val="000D6ACE"/>
    <w:rsid w:val="000F03E9"/>
    <w:rsid w:val="000F049C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2505"/>
    <w:rsid w:val="002655C7"/>
    <w:rsid w:val="002901FA"/>
    <w:rsid w:val="002B637A"/>
    <w:rsid w:val="002E4760"/>
    <w:rsid w:val="002E7596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46264"/>
    <w:rsid w:val="00976F71"/>
    <w:rsid w:val="00977D3D"/>
    <w:rsid w:val="00992331"/>
    <w:rsid w:val="009C2138"/>
    <w:rsid w:val="009E3B1B"/>
    <w:rsid w:val="009E424B"/>
    <w:rsid w:val="00A070FA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71947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A5FB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8C73-B980-485D-B6A2-26789B30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15</cp:revision>
  <cp:lastPrinted>2020-11-19T09:17:00Z</cp:lastPrinted>
  <dcterms:created xsi:type="dcterms:W3CDTF">2021-08-09T07:33:00Z</dcterms:created>
  <dcterms:modified xsi:type="dcterms:W3CDTF">2021-10-19T06:17:00Z</dcterms:modified>
</cp:coreProperties>
</file>