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B7" w:rsidRPr="006045CB" w:rsidRDefault="00A340BB" w:rsidP="001B23B7">
      <w:pPr>
        <w:spacing w:after="0" w:line="240" w:lineRule="auto"/>
        <w:jc w:val="center"/>
        <w:rPr>
          <w:rFonts w:ascii="Times New Roman" w:hAnsi="Times New Roman"/>
          <w:b/>
          <w:sz w:val="28"/>
          <w:szCs w:val="28"/>
          <w:lang w:eastAsia="sk-SK"/>
        </w:rPr>
      </w:pPr>
      <w:bookmarkStart w:id="0" w:name="_GoBack"/>
      <w:bookmarkEnd w:id="0"/>
      <w:r>
        <w:rPr>
          <w:rFonts w:ascii="Times New Roman" w:hAnsi="Times New Roman"/>
          <w:b/>
          <w:sz w:val="28"/>
          <w:szCs w:val="28"/>
          <w:lang w:eastAsia="sk-SK"/>
        </w:rPr>
        <w:t>D</w:t>
      </w:r>
      <w:r w:rsidR="001B23B7" w:rsidRPr="006045CB">
        <w:rPr>
          <w:rFonts w:ascii="Times New Roman" w:hAnsi="Times New Roman"/>
          <w:b/>
          <w:sz w:val="28"/>
          <w:szCs w:val="28"/>
          <w:lang w:eastAsia="sk-SK"/>
        </w:rPr>
        <w:t>oložka vybraných vplyvov</w:t>
      </w:r>
    </w:p>
    <w:p w:rsidR="001B23B7" w:rsidRPr="00B043B4" w:rsidRDefault="001B23B7" w:rsidP="001B23B7">
      <w:pPr>
        <w:spacing w:after="200" w:line="276" w:lineRule="auto"/>
        <w:ind w:left="426"/>
        <w:contextualSpacing/>
        <w:rPr>
          <w:rFonts w:ascii="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hAnsi="Times New Roman"/>
                <w:b/>
              </w:rPr>
            </w:pPr>
            <w:r w:rsidRPr="00B043B4">
              <w:rPr>
                <w:rFonts w:ascii="Times New Roman" w:hAnsi="Times New Roman"/>
                <w:b/>
              </w:rPr>
              <w:t>Názov materiálu</w:t>
            </w:r>
          </w:p>
        </w:tc>
      </w:tr>
      <w:tr w:rsidR="001B23B7" w:rsidRPr="00B043B4" w:rsidTr="000800FC">
        <w:tc>
          <w:tcPr>
            <w:tcW w:w="9180" w:type="dxa"/>
            <w:gridSpan w:val="11"/>
            <w:tcBorders>
              <w:top w:val="single" w:sz="4" w:space="0" w:color="FFFFFF"/>
            </w:tcBorders>
          </w:tcPr>
          <w:p w:rsidR="001B23B7" w:rsidRPr="00B043B4" w:rsidRDefault="00121CF7" w:rsidP="000800FC">
            <w:pPr>
              <w:rPr>
                <w:rFonts w:ascii="Times New Roman" w:hAnsi="Times New Roman"/>
                <w:sz w:val="20"/>
                <w:szCs w:val="20"/>
                <w:lang w:eastAsia="sk-SK"/>
              </w:rPr>
            </w:pPr>
            <w:r w:rsidRPr="00121CF7">
              <w:rPr>
                <w:rFonts w:ascii="Times New Roman" w:hAnsi="Times New Roman"/>
                <w:sz w:val="20"/>
              </w:rPr>
              <w:t xml:space="preserve">Zmluva o sídle medzi vládou Slovenskej republiky a Európskym orgánom práce </w:t>
            </w:r>
          </w:p>
          <w:p w:rsidR="001B23B7" w:rsidRPr="00B043B4" w:rsidRDefault="001B23B7" w:rsidP="000800FC">
            <w:pPr>
              <w:rPr>
                <w:rFonts w:ascii="Times New Roman" w:hAnsi="Times New Roman"/>
                <w:sz w:val="20"/>
                <w:szCs w:val="20"/>
                <w:lang w:eastAsia="sk-SK"/>
              </w:rPr>
            </w:pP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hAnsi="Times New Roman"/>
                <w:b/>
              </w:rPr>
            </w:pPr>
            <w:r w:rsidRPr="00B043B4">
              <w:rPr>
                <w:rFonts w:ascii="Times New Roman" w:hAnsi="Times New Roman"/>
                <w:b/>
              </w:rPr>
              <w:t>Predkladateľ (a spolupredkladateľ)</w:t>
            </w:r>
          </w:p>
        </w:tc>
      </w:tr>
      <w:tr w:rsidR="00121CF7" w:rsidRPr="00B043B4" w:rsidTr="000800FC">
        <w:tc>
          <w:tcPr>
            <w:tcW w:w="9180" w:type="dxa"/>
            <w:gridSpan w:val="11"/>
            <w:tcBorders>
              <w:top w:val="single" w:sz="4" w:space="0" w:color="FFFFFF"/>
            </w:tcBorders>
            <w:shd w:val="clear" w:color="auto" w:fill="FFFFFF"/>
          </w:tcPr>
          <w:p w:rsidR="00121CF7" w:rsidRPr="00121CF7" w:rsidRDefault="00121CF7" w:rsidP="00121CF7">
            <w:pPr>
              <w:rPr>
                <w:rFonts w:ascii="Times New Roman" w:hAnsi="Times New Roman"/>
                <w:sz w:val="20"/>
              </w:rPr>
            </w:pPr>
            <w:r w:rsidRPr="00121CF7">
              <w:rPr>
                <w:rFonts w:ascii="Times New Roman" w:hAnsi="Times New Roman"/>
                <w:sz w:val="20"/>
              </w:rPr>
              <w:t>Ministerstvo práce, sociálnych vecí a rodiny Slovenskej republiky</w:t>
            </w:r>
          </w:p>
          <w:p w:rsidR="00121CF7" w:rsidRDefault="00121CF7" w:rsidP="00400FCB">
            <w:pPr>
              <w:rPr>
                <w:rFonts w:ascii="Times New Roman" w:hAnsi="Times New Roman"/>
                <w:sz w:val="20"/>
              </w:rPr>
            </w:pPr>
          </w:p>
          <w:p w:rsidR="00400FCB" w:rsidRPr="00121CF7" w:rsidRDefault="00400FCB" w:rsidP="00400FCB">
            <w:pPr>
              <w:rPr>
                <w:rFonts w:ascii="Times New Roman" w:hAnsi="Times New Roman"/>
                <w:sz w:val="20"/>
              </w:rPr>
            </w:pPr>
          </w:p>
        </w:tc>
      </w:tr>
      <w:tr w:rsidR="00121CF7" w:rsidRPr="00B043B4" w:rsidTr="000800FC">
        <w:tc>
          <w:tcPr>
            <w:tcW w:w="4212" w:type="dxa"/>
            <w:gridSpan w:val="2"/>
            <w:vMerge w:val="restart"/>
            <w:tcBorders>
              <w:bottom w:val="single" w:sz="4" w:space="0" w:color="FFFFFF"/>
            </w:tcBorders>
            <w:shd w:val="clear" w:color="auto" w:fill="E2E2E2"/>
            <w:vAlign w:val="center"/>
          </w:tcPr>
          <w:p w:rsidR="00121CF7" w:rsidRPr="00B043B4" w:rsidRDefault="00121CF7" w:rsidP="00121CF7">
            <w:pPr>
              <w:spacing w:after="200" w:line="276" w:lineRule="auto"/>
              <w:ind w:left="142"/>
              <w:contextualSpacing/>
              <w:rPr>
                <w:rFonts w:ascii="Times New Roman" w:hAnsi="Times New Roman"/>
                <w:b/>
              </w:rPr>
            </w:pPr>
            <w:r w:rsidRPr="00B043B4">
              <w:rPr>
                <w:rFonts w:ascii="Times New Roman" w:hAnsi="Times New Roman"/>
                <w:b/>
              </w:rPr>
              <w:t>Charakter predkladaného materiálu</w:t>
            </w:r>
          </w:p>
        </w:tc>
        <w:tc>
          <w:tcPr>
            <w:tcW w:w="705" w:type="dxa"/>
            <w:gridSpan w:val="2"/>
            <w:tcBorders>
              <w:right w:val="nil"/>
            </w:tcBorders>
            <w:shd w:val="clear" w:color="auto" w:fill="FFFFFF"/>
          </w:tcPr>
          <w:p w:rsidR="00121CF7" w:rsidRPr="00B043B4" w:rsidRDefault="00121CF7" w:rsidP="00121CF7">
            <w:pPr>
              <w:jc w:val="center"/>
              <w:rPr>
                <w:rFonts w:ascii="Times New Roman" w:hAnsi="Times New Roman"/>
                <w:sz w:val="20"/>
                <w:szCs w:val="20"/>
                <w:lang w:eastAsia="sk-SK"/>
              </w:rPr>
            </w:pPr>
            <w:r w:rsidRPr="00B043B4">
              <w:rPr>
                <w:rFonts w:ascii="Segoe UI Symbol" w:hAnsi="Segoe UI Symbol" w:cs="Segoe UI Symbol"/>
                <w:sz w:val="20"/>
                <w:szCs w:val="20"/>
                <w:lang w:eastAsia="sk-SK"/>
              </w:rPr>
              <w:t>☐</w:t>
            </w:r>
          </w:p>
        </w:tc>
        <w:tc>
          <w:tcPr>
            <w:tcW w:w="4263" w:type="dxa"/>
            <w:gridSpan w:val="7"/>
            <w:tcBorders>
              <w:left w:val="nil"/>
            </w:tcBorders>
            <w:shd w:val="clear" w:color="auto" w:fill="FFFFFF"/>
          </w:tcPr>
          <w:p w:rsidR="00121CF7" w:rsidRPr="00B043B4" w:rsidRDefault="00121CF7" w:rsidP="00121CF7">
            <w:pPr>
              <w:rPr>
                <w:rFonts w:ascii="Times New Roman" w:hAnsi="Times New Roman"/>
                <w:sz w:val="20"/>
                <w:szCs w:val="20"/>
                <w:lang w:eastAsia="sk-SK"/>
              </w:rPr>
            </w:pPr>
            <w:r w:rsidRPr="00B043B4">
              <w:rPr>
                <w:rFonts w:ascii="Times New Roman" w:hAnsi="Times New Roman"/>
                <w:sz w:val="20"/>
                <w:szCs w:val="20"/>
                <w:lang w:eastAsia="sk-SK"/>
              </w:rPr>
              <w:t>Materiál nelegislatívnej povahy</w:t>
            </w:r>
          </w:p>
        </w:tc>
      </w:tr>
      <w:tr w:rsidR="00121CF7" w:rsidRPr="00B043B4" w:rsidTr="000800FC">
        <w:tc>
          <w:tcPr>
            <w:tcW w:w="4212" w:type="dxa"/>
            <w:gridSpan w:val="2"/>
            <w:vMerge/>
            <w:tcBorders>
              <w:top w:val="nil"/>
              <w:bottom w:val="single" w:sz="4" w:space="0" w:color="FFFFFF"/>
            </w:tcBorders>
            <w:shd w:val="clear" w:color="auto" w:fill="E2E2E2"/>
          </w:tcPr>
          <w:p w:rsidR="00121CF7" w:rsidRPr="00B043B4" w:rsidRDefault="00121CF7" w:rsidP="00121CF7">
            <w:pPr>
              <w:rPr>
                <w:rFonts w:ascii="Times New Roman" w:hAnsi="Times New Roman"/>
                <w:sz w:val="20"/>
                <w:szCs w:val="20"/>
                <w:lang w:eastAsia="sk-SK"/>
              </w:rPr>
            </w:pPr>
          </w:p>
        </w:tc>
        <w:tc>
          <w:tcPr>
            <w:tcW w:w="705" w:type="dxa"/>
            <w:gridSpan w:val="2"/>
            <w:tcBorders>
              <w:right w:val="nil"/>
            </w:tcBorders>
            <w:shd w:val="clear" w:color="auto" w:fill="FFFFFF"/>
          </w:tcPr>
          <w:p w:rsidR="00121CF7" w:rsidRPr="00B043B4" w:rsidRDefault="00121CF7" w:rsidP="00121CF7">
            <w:pPr>
              <w:jc w:val="center"/>
              <w:rPr>
                <w:rFonts w:ascii="Times New Roman" w:hAnsi="Times New Roman"/>
                <w:sz w:val="20"/>
                <w:szCs w:val="20"/>
                <w:lang w:eastAsia="sk-SK"/>
              </w:rPr>
            </w:pPr>
            <w:r>
              <w:rPr>
                <w:rFonts w:ascii="MS Gothic" w:eastAsia="MS Gothic" w:hAnsi="MS Gothic" w:hint="eastAsia"/>
              </w:rPr>
              <w:t>☒</w:t>
            </w:r>
          </w:p>
        </w:tc>
        <w:tc>
          <w:tcPr>
            <w:tcW w:w="4263" w:type="dxa"/>
            <w:gridSpan w:val="7"/>
            <w:tcBorders>
              <w:left w:val="nil"/>
            </w:tcBorders>
            <w:shd w:val="clear" w:color="auto" w:fill="FFFFFF"/>
          </w:tcPr>
          <w:p w:rsidR="00121CF7" w:rsidRPr="00B043B4" w:rsidRDefault="00121CF7" w:rsidP="00121CF7">
            <w:pPr>
              <w:ind w:left="175" w:hanging="175"/>
              <w:rPr>
                <w:rFonts w:ascii="Times New Roman" w:hAnsi="Times New Roman"/>
                <w:sz w:val="20"/>
                <w:szCs w:val="20"/>
                <w:lang w:eastAsia="sk-SK"/>
              </w:rPr>
            </w:pPr>
            <w:r w:rsidRPr="00B043B4">
              <w:rPr>
                <w:rFonts w:ascii="Times New Roman" w:hAnsi="Times New Roman"/>
                <w:sz w:val="20"/>
                <w:szCs w:val="20"/>
                <w:lang w:eastAsia="sk-SK"/>
              </w:rPr>
              <w:t>Materiál legislatívnej povahy</w:t>
            </w:r>
          </w:p>
        </w:tc>
      </w:tr>
      <w:tr w:rsidR="00121CF7" w:rsidRPr="00B043B4" w:rsidTr="000800FC">
        <w:tc>
          <w:tcPr>
            <w:tcW w:w="4212" w:type="dxa"/>
            <w:gridSpan w:val="2"/>
            <w:vMerge/>
            <w:tcBorders>
              <w:top w:val="nil"/>
            </w:tcBorders>
            <w:shd w:val="clear" w:color="auto" w:fill="E2E2E2"/>
          </w:tcPr>
          <w:p w:rsidR="00121CF7" w:rsidRPr="00B043B4" w:rsidRDefault="00121CF7" w:rsidP="00121CF7">
            <w:pPr>
              <w:rPr>
                <w:rFonts w:ascii="Times New Roman" w:hAnsi="Times New Roman"/>
                <w:sz w:val="20"/>
                <w:szCs w:val="20"/>
                <w:lang w:eastAsia="sk-SK"/>
              </w:rPr>
            </w:pPr>
          </w:p>
        </w:tc>
        <w:tc>
          <w:tcPr>
            <w:tcW w:w="705" w:type="dxa"/>
            <w:gridSpan w:val="2"/>
            <w:tcBorders>
              <w:right w:val="nil"/>
            </w:tcBorders>
            <w:shd w:val="clear" w:color="auto" w:fill="FFFFFF"/>
          </w:tcPr>
          <w:p w:rsidR="00121CF7" w:rsidRPr="00B043B4" w:rsidRDefault="00121CF7" w:rsidP="00121CF7">
            <w:pPr>
              <w:jc w:val="center"/>
              <w:rPr>
                <w:rFonts w:ascii="Times New Roman" w:hAnsi="Times New Roman"/>
                <w:sz w:val="20"/>
                <w:szCs w:val="20"/>
                <w:lang w:eastAsia="sk-SK"/>
              </w:rPr>
            </w:pPr>
            <w:r w:rsidRPr="00B043B4">
              <w:rPr>
                <w:rFonts w:ascii="Segoe UI Symbol" w:hAnsi="Segoe UI Symbol" w:cs="Segoe UI Symbol"/>
                <w:sz w:val="20"/>
                <w:szCs w:val="20"/>
                <w:lang w:eastAsia="sk-SK"/>
              </w:rPr>
              <w:t>☐</w:t>
            </w:r>
          </w:p>
        </w:tc>
        <w:tc>
          <w:tcPr>
            <w:tcW w:w="4263" w:type="dxa"/>
            <w:gridSpan w:val="7"/>
            <w:tcBorders>
              <w:left w:val="nil"/>
            </w:tcBorders>
            <w:shd w:val="clear" w:color="auto" w:fill="FFFFFF"/>
          </w:tcPr>
          <w:p w:rsidR="00121CF7" w:rsidRPr="00B043B4" w:rsidRDefault="00121CF7" w:rsidP="00121CF7">
            <w:pPr>
              <w:rPr>
                <w:rFonts w:ascii="Times New Roman" w:hAnsi="Times New Roman"/>
                <w:sz w:val="20"/>
                <w:szCs w:val="20"/>
                <w:lang w:eastAsia="sk-SK"/>
              </w:rPr>
            </w:pPr>
            <w:r w:rsidRPr="00B043B4">
              <w:rPr>
                <w:rFonts w:ascii="Times New Roman" w:hAnsi="Times New Roman"/>
                <w:sz w:val="20"/>
                <w:szCs w:val="20"/>
                <w:lang w:eastAsia="sk-SK"/>
              </w:rPr>
              <w:t>Transpozícia práva EÚ</w:t>
            </w:r>
          </w:p>
        </w:tc>
      </w:tr>
      <w:tr w:rsidR="00121CF7" w:rsidRPr="00B043B4" w:rsidTr="000800FC">
        <w:tc>
          <w:tcPr>
            <w:tcW w:w="9180" w:type="dxa"/>
            <w:gridSpan w:val="11"/>
            <w:tcBorders>
              <w:bottom w:val="single" w:sz="4" w:space="0" w:color="FFFFFF"/>
            </w:tcBorders>
            <w:shd w:val="clear" w:color="auto" w:fill="FFFFFF"/>
          </w:tcPr>
          <w:p w:rsidR="00121CF7" w:rsidRPr="00B043B4" w:rsidRDefault="00121CF7" w:rsidP="00121CF7">
            <w:pPr>
              <w:rPr>
                <w:rFonts w:ascii="Times New Roman" w:hAnsi="Times New Roman"/>
                <w:i/>
                <w:sz w:val="20"/>
                <w:szCs w:val="20"/>
                <w:lang w:eastAsia="sk-SK"/>
              </w:rPr>
            </w:pPr>
            <w:r w:rsidRPr="00B043B4">
              <w:rPr>
                <w:rFonts w:ascii="Times New Roman" w:hAnsi="Times New Roman"/>
                <w:i/>
                <w:sz w:val="20"/>
                <w:szCs w:val="20"/>
                <w:lang w:eastAsia="sk-SK"/>
              </w:rPr>
              <w:t>V prípade transpozície uveďte zoznam transponovaných predpisov:</w:t>
            </w:r>
          </w:p>
          <w:p w:rsidR="00121CF7" w:rsidRPr="00B043B4" w:rsidRDefault="00121CF7" w:rsidP="00121CF7">
            <w:pPr>
              <w:rPr>
                <w:rFonts w:ascii="Times New Roman" w:hAnsi="Times New Roman"/>
                <w:sz w:val="20"/>
                <w:szCs w:val="20"/>
                <w:lang w:eastAsia="sk-SK"/>
              </w:rPr>
            </w:pPr>
          </w:p>
        </w:tc>
      </w:tr>
      <w:tr w:rsidR="00121CF7" w:rsidRPr="00B043B4" w:rsidTr="000800FC">
        <w:tc>
          <w:tcPr>
            <w:tcW w:w="5949" w:type="dxa"/>
            <w:gridSpan w:val="6"/>
            <w:tcBorders>
              <w:top w:val="single" w:sz="4" w:space="0" w:color="000000"/>
              <w:bottom w:val="single" w:sz="4" w:space="0" w:color="FFFFFF"/>
            </w:tcBorders>
            <w:shd w:val="clear" w:color="auto" w:fill="E2E2E2"/>
          </w:tcPr>
          <w:p w:rsidR="00121CF7" w:rsidRPr="00B043B4" w:rsidRDefault="00121CF7" w:rsidP="00121CF7">
            <w:pPr>
              <w:spacing w:after="200" w:line="276" w:lineRule="auto"/>
              <w:ind w:left="142"/>
              <w:contextualSpacing/>
              <w:rPr>
                <w:rFonts w:ascii="Times New Roman" w:hAnsi="Times New Roman"/>
                <w:b/>
              </w:rPr>
            </w:pPr>
            <w:r w:rsidRPr="00B043B4">
              <w:rPr>
                <w:rFonts w:ascii="Times New Roman" w:hAnsi="Times New Roman"/>
                <w:b/>
              </w:rPr>
              <w:t>Termín začiatku a ukončenia PPK</w:t>
            </w:r>
          </w:p>
        </w:tc>
        <w:tc>
          <w:tcPr>
            <w:tcW w:w="3231" w:type="dxa"/>
            <w:gridSpan w:val="5"/>
            <w:tcBorders>
              <w:top w:val="single" w:sz="4" w:space="0" w:color="000000"/>
            </w:tcBorders>
          </w:tcPr>
          <w:p w:rsidR="00121CF7" w:rsidRPr="00B043B4" w:rsidRDefault="00B95E61" w:rsidP="00B95E61">
            <w:pPr>
              <w:rPr>
                <w:rFonts w:ascii="Times New Roman" w:hAnsi="Times New Roman"/>
                <w:i/>
                <w:sz w:val="20"/>
                <w:szCs w:val="20"/>
                <w:lang w:eastAsia="sk-SK"/>
              </w:rPr>
            </w:pPr>
            <w:r>
              <w:rPr>
                <w:rFonts w:ascii="Times New Roman" w:hAnsi="Times New Roman"/>
                <w:i/>
                <w:sz w:val="20"/>
                <w:szCs w:val="20"/>
                <w:lang w:eastAsia="sk-SK"/>
              </w:rPr>
              <w:t>15</w:t>
            </w:r>
            <w:r w:rsidR="00121CF7">
              <w:rPr>
                <w:rFonts w:ascii="Times New Roman" w:hAnsi="Times New Roman"/>
                <w:i/>
                <w:sz w:val="20"/>
                <w:szCs w:val="20"/>
                <w:lang w:eastAsia="sk-SK"/>
              </w:rPr>
              <w:t>.07. – 2</w:t>
            </w:r>
            <w:r>
              <w:rPr>
                <w:rFonts w:ascii="Times New Roman" w:hAnsi="Times New Roman"/>
                <w:i/>
                <w:sz w:val="20"/>
                <w:szCs w:val="20"/>
                <w:lang w:eastAsia="sk-SK"/>
              </w:rPr>
              <w:t>6</w:t>
            </w:r>
            <w:r w:rsidR="00121CF7">
              <w:rPr>
                <w:rFonts w:ascii="Times New Roman" w:hAnsi="Times New Roman"/>
                <w:i/>
                <w:sz w:val="20"/>
                <w:szCs w:val="20"/>
                <w:lang w:eastAsia="sk-SK"/>
              </w:rPr>
              <w:t>.07.2021</w:t>
            </w:r>
          </w:p>
        </w:tc>
      </w:tr>
      <w:tr w:rsidR="00121CF7" w:rsidRPr="00B043B4" w:rsidTr="000800FC">
        <w:tc>
          <w:tcPr>
            <w:tcW w:w="5949" w:type="dxa"/>
            <w:gridSpan w:val="6"/>
            <w:tcBorders>
              <w:bottom w:val="single" w:sz="4" w:space="0" w:color="FFFFFF"/>
            </w:tcBorders>
            <w:shd w:val="clear" w:color="auto" w:fill="E2E2E2"/>
          </w:tcPr>
          <w:p w:rsidR="00121CF7" w:rsidRPr="00B043B4" w:rsidRDefault="00121CF7" w:rsidP="00121CF7">
            <w:pPr>
              <w:spacing w:after="200" w:line="276" w:lineRule="auto"/>
              <w:ind w:left="142"/>
              <w:contextualSpacing/>
              <w:rPr>
                <w:rFonts w:ascii="Times New Roman" w:hAnsi="Times New Roman"/>
                <w:b/>
              </w:rPr>
            </w:pPr>
            <w:r w:rsidRPr="00B043B4">
              <w:rPr>
                <w:rFonts w:ascii="Times New Roman" w:hAnsi="Times New Roman"/>
                <w:b/>
              </w:rPr>
              <w:t>Predpokl</w:t>
            </w:r>
            <w:r>
              <w:rPr>
                <w:rFonts w:ascii="Times New Roman" w:hAnsi="Times New Roman"/>
                <w:b/>
              </w:rPr>
              <w:t>adaný termín predloženia na pripomienkové konanie</w:t>
            </w:r>
          </w:p>
        </w:tc>
        <w:tc>
          <w:tcPr>
            <w:tcW w:w="3231" w:type="dxa"/>
            <w:gridSpan w:val="5"/>
          </w:tcPr>
          <w:p w:rsidR="00121CF7" w:rsidRPr="00B043B4" w:rsidRDefault="00665242" w:rsidP="0047276D">
            <w:pPr>
              <w:rPr>
                <w:rFonts w:ascii="Times New Roman" w:hAnsi="Times New Roman"/>
                <w:i/>
                <w:sz w:val="20"/>
                <w:szCs w:val="20"/>
                <w:lang w:eastAsia="sk-SK"/>
              </w:rPr>
            </w:pPr>
            <w:r>
              <w:rPr>
                <w:rFonts w:ascii="Times New Roman" w:hAnsi="Times New Roman"/>
                <w:i/>
                <w:sz w:val="20"/>
                <w:szCs w:val="20"/>
                <w:lang w:eastAsia="sk-SK"/>
              </w:rPr>
              <w:t>2</w:t>
            </w:r>
            <w:r w:rsidR="0047276D">
              <w:rPr>
                <w:rFonts w:ascii="Times New Roman" w:hAnsi="Times New Roman"/>
                <w:i/>
                <w:sz w:val="20"/>
                <w:szCs w:val="20"/>
                <w:lang w:eastAsia="sk-SK"/>
              </w:rPr>
              <w:t>8.</w:t>
            </w:r>
            <w:r>
              <w:rPr>
                <w:rFonts w:ascii="Times New Roman" w:hAnsi="Times New Roman"/>
                <w:i/>
                <w:sz w:val="20"/>
                <w:szCs w:val="20"/>
                <w:lang w:eastAsia="sk-SK"/>
              </w:rPr>
              <w:t xml:space="preserve">07. </w:t>
            </w:r>
            <w:r w:rsidR="0047276D">
              <w:rPr>
                <w:rFonts w:ascii="Times New Roman" w:hAnsi="Times New Roman"/>
                <w:i/>
                <w:sz w:val="20"/>
                <w:szCs w:val="20"/>
                <w:lang w:eastAsia="sk-SK"/>
              </w:rPr>
              <w:t>– 05.08.2021</w:t>
            </w:r>
          </w:p>
        </w:tc>
      </w:tr>
      <w:tr w:rsidR="00121CF7" w:rsidRPr="00B043B4" w:rsidTr="00D2313B">
        <w:trPr>
          <w:trHeight w:val="320"/>
        </w:trPr>
        <w:tc>
          <w:tcPr>
            <w:tcW w:w="5949" w:type="dxa"/>
            <w:gridSpan w:val="6"/>
            <w:tcBorders>
              <w:bottom w:val="single" w:sz="4" w:space="0" w:color="FFFFFF"/>
            </w:tcBorders>
            <w:shd w:val="clear" w:color="auto" w:fill="E2E2E2"/>
          </w:tcPr>
          <w:p w:rsidR="00121CF7" w:rsidRPr="00B043B4" w:rsidRDefault="00121CF7" w:rsidP="00121CF7">
            <w:pPr>
              <w:spacing w:line="276" w:lineRule="auto"/>
              <w:ind w:left="142"/>
              <w:contextualSpacing/>
              <w:rPr>
                <w:rFonts w:ascii="Calibri" w:hAnsi="Calibri"/>
                <w:b/>
              </w:rPr>
            </w:pPr>
            <w:r w:rsidRPr="00B043B4">
              <w:rPr>
                <w:rFonts w:ascii="Times New Roman" w:hAnsi="Times New Roman"/>
                <w:b/>
              </w:rPr>
              <w:t>Predpokladaný termín začiatku a ukončenia ZP**</w:t>
            </w:r>
            <w:r w:rsidRPr="00B043B4">
              <w:rPr>
                <w:rFonts w:ascii="Calibri" w:hAnsi="Calibri"/>
                <w:b/>
              </w:rPr>
              <w:t xml:space="preserve"> </w:t>
            </w:r>
          </w:p>
        </w:tc>
        <w:tc>
          <w:tcPr>
            <w:tcW w:w="3231" w:type="dxa"/>
            <w:gridSpan w:val="5"/>
          </w:tcPr>
          <w:p w:rsidR="00121CF7" w:rsidRPr="00B043B4" w:rsidRDefault="00121CF7" w:rsidP="00121CF7">
            <w:pPr>
              <w:rPr>
                <w:rFonts w:ascii="Times New Roman" w:hAnsi="Times New Roman"/>
                <w:i/>
                <w:sz w:val="20"/>
                <w:szCs w:val="20"/>
                <w:lang w:eastAsia="sk-SK"/>
              </w:rPr>
            </w:pPr>
          </w:p>
        </w:tc>
      </w:tr>
      <w:tr w:rsidR="00121CF7" w:rsidRPr="00B043B4" w:rsidTr="000800FC">
        <w:tc>
          <w:tcPr>
            <w:tcW w:w="5949" w:type="dxa"/>
            <w:gridSpan w:val="6"/>
            <w:tcBorders>
              <w:bottom w:val="single" w:sz="4" w:space="0" w:color="FFFFFF"/>
            </w:tcBorders>
            <w:shd w:val="clear" w:color="auto" w:fill="E2E2E2"/>
          </w:tcPr>
          <w:p w:rsidR="00121CF7" w:rsidRPr="00B043B4" w:rsidRDefault="00121CF7" w:rsidP="00121CF7">
            <w:pPr>
              <w:spacing w:after="200" w:line="276" w:lineRule="auto"/>
              <w:ind w:left="142"/>
              <w:contextualSpacing/>
              <w:jc w:val="both"/>
              <w:rPr>
                <w:rFonts w:ascii="Times New Roman" w:hAnsi="Times New Roman"/>
                <w:b/>
              </w:rPr>
            </w:pPr>
            <w:r w:rsidRPr="00B043B4">
              <w:rPr>
                <w:rFonts w:ascii="Times New Roman" w:hAnsi="Times New Roman"/>
                <w:b/>
              </w:rPr>
              <w:t>Predpokladaný termín predloženia na rokovanie vlády SR*</w:t>
            </w:r>
          </w:p>
        </w:tc>
        <w:tc>
          <w:tcPr>
            <w:tcW w:w="3231" w:type="dxa"/>
            <w:gridSpan w:val="5"/>
          </w:tcPr>
          <w:p w:rsidR="00121CF7" w:rsidRPr="00B043B4" w:rsidRDefault="00400FCB" w:rsidP="00121CF7">
            <w:pPr>
              <w:rPr>
                <w:rFonts w:ascii="Times New Roman" w:hAnsi="Times New Roman"/>
                <w:i/>
                <w:sz w:val="20"/>
                <w:szCs w:val="20"/>
                <w:lang w:eastAsia="sk-SK"/>
              </w:rPr>
            </w:pPr>
            <w:r>
              <w:rPr>
                <w:rFonts w:ascii="Times New Roman" w:hAnsi="Times New Roman"/>
                <w:i/>
                <w:sz w:val="20"/>
                <w:szCs w:val="20"/>
                <w:lang w:eastAsia="sk-SK"/>
              </w:rPr>
              <w:t>25.08.</w:t>
            </w:r>
            <w:r w:rsidR="00121CF7">
              <w:rPr>
                <w:rFonts w:ascii="Times New Roman" w:hAnsi="Times New Roman"/>
                <w:i/>
                <w:sz w:val="20"/>
                <w:szCs w:val="20"/>
                <w:lang w:eastAsia="sk-SK"/>
              </w:rPr>
              <w:t xml:space="preserve"> 2021</w:t>
            </w:r>
          </w:p>
        </w:tc>
      </w:tr>
      <w:tr w:rsidR="00121CF7" w:rsidRPr="00B043B4" w:rsidTr="000800FC">
        <w:tc>
          <w:tcPr>
            <w:tcW w:w="9180" w:type="dxa"/>
            <w:gridSpan w:val="11"/>
            <w:tcBorders>
              <w:left w:val="nil"/>
              <w:right w:val="nil"/>
            </w:tcBorders>
            <w:shd w:val="clear" w:color="auto" w:fill="FFFFFF"/>
          </w:tcPr>
          <w:p w:rsidR="00121CF7" w:rsidRPr="00B043B4" w:rsidRDefault="00121CF7" w:rsidP="00121CF7">
            <w:pPr>
              <w:rPr>
                <w:rFonts w:ascii="Times New Roman" w:hAnsi="Times New Roman"/>
                <w:sz w:val="20"/>
                <w:szCs w:val="20"/>
                <w:lang w:eastAsia="sk-SK"/>
              </w:rPr>
            </w:pPr>
          </w:p>
        </w:tc>
      </w:tr>
      <w:tr w:rsidR="00121CF7" w:rsidRPr="00B043B4" w:rsidTr="000800FC">
        <w:tc>
          <w:tcPr>
            <w:tcW w:w="9180" w:type="dxa"/>
            <w:gridSpan w:val="11"/>
            <w:tcBorders>
              <w:bottom w:val="single" w:sz="4" w:space="0" w:color="FFFFFF"/>
            </w:tcBorders>
            <w:shd w:val="clear" w:color="auto" w:fill="E2E2E2"/>
          </w:tcPr>
          <w:p w:rsidR="00121CF7" w:rsidRPr="00B043B4" w:rsidRDefault="00121CF7" w:rsidP="00121CF7">
            <w:pPr>
              <w:numPr>
                <w:ilvl w:val="0"/>
                <w:numId w:val="1"/>
              </w:numPr>
              <w:ind w:left="426"/>
              <w:contextualSpacing/>
              <w:rPr>
                <w:rFonts w:ascii="Times New Roman" w:hAnsi="Times New Roman"/>
                <w:b/>
              </w:rPr>
            </w:pPr>
            <w:r w:rsidRPr="00B043B4">
              <w:rPr>
                <w:rFonts w:ascii="Times New Roman" w:hAnsi="Times New Roman"/>
                <w:b/>
              </w:rPr>
              <w:t>Definovanie problému</w:t>
            </w:r>
          </w:p>
        </w:tc>
      </w:tr>
      <w:tr w:rsidR="00121CF7" w:rsidRPr="00B043B4" w:rsidTr="000800FC">
        <w:trPr>
          <w:trHeight w:val="718"/>
        </w:trPr>
        <w:tc>
          <w:tcPr>
            <w:tcW w:w="9180" w:type="dxa"/>
            <w:gridSpan w:val="11"/>
            <w:tcBorders>
              <w:top w:val="single" w:sz="4" w:space="0" w:color="FFFFFF"/>
            </w:tcBorders>
            <w:shd w:val="clear" w:color="auto" w:fill="FFFFFF"/>
          </w:tcPr>
          <w:p w:rsidR="00121CF7" w:rsidRPr="00B043B4" w:rsidRDefault="00121CF7" w:rsidP="00121CF7">
            <w:pPr>
              <w:jc w:val="both"/>
              <w:rPr>
                <w:rFonts w:ascii="Times New Roman" w:hAnsi="Times New Roman"/>
                <w:i/>
                <w:sz w:val="20"/>
                <w:szCs w:val="20"/>
                <w:lang w:eastAsia="sk-SK"/>
              </w:rPr>
            </w:pPr>
            <w:r w:rsidRPr="00B043B4">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121CF7" w:rsidRDefault="00121CF7" w:rsidP="00121CF7">
            <w:pPr>
              <w:rPr>
                <w:rFonts w:ascii="Times New Roman" w:hAnsi="Times New Roman"/>
                <w:b/>
                <w:sz w:val="20"/>
                <w:szCs w:val="20"/>
                <w:lang w:eastAsia="sk-SK"/>
              </w:rPr>
            </w:pPr>
          </w:p>
          <w:p w:rsidR="00121CF7" w:rsidRPr="00121CF7" w:rsidRDefault="00121CF7" w:rsidP="00121CF7">
            <w:pPr>
              <w:spacing w:line="236" w:lineRule="auto"/>
              <w:ind w:right="20"/>
              <w:jc w:val="both"/>
              <w:rPr>
                <w:rFonts w:ascii="Times New Roman" w:hAnsi="Times New Roman"/>
                <w:sz w:val="20"/>
              </w:rPr>
            </w:pPr>
            <w:r w:rsidRPr="00121CF7">
              <w:rPr>
                <w:rFonts w:ascii="Times New Roman" w:hAnsi="Times New Roman"/>
                <w:sz w:val="20"/>
              </w:rPr>
              <w:t xml:space="preserve">Z </w:t>
            </w:r>
            <w:r w:rsidR="00234DD0">
              <w:rPr>
                <w:rFonts w:ascii="Times New Roman" w:hAnsi="Times New Roman"/>
                <w:sz w:val="20"/>
              </w:rPr>
              <w:t>rozhodnutia</w:t>
            </w:r>
            <w:r w:rsidR="00234DD0" w:rsidRPr="00234DD0">
              <w:rPr>
                <w:rFonts w:ascii="Times New Roman" w:hAnsi="Times New Roman"/>
                <w:sz w:val="20"/>
              </w:rPr>
              <w:t xml:space="preserve"> prijaté</w:t>
            </w:r>
            <w:r w:rsidR="00C63B05">
              <w:rPr>
                <w:rFonts w:ascii="Times New Roman" w:hAnsi="Times New Roman"/>
                <w:sz w:val="20"/>
              </w:rPr>
              <w:t>ho</w:t>
            </w:r>
            <w:r w:rsidR="00234DD0" w:rsidRPr="00234DD0">
              <w:rPr>
                <w:rFonts w:ascii="Times New Roman" w:hAnsi="Times New Roman"/>
                <w:sz w:val="20"/>
              </w:rPr>
              <w:t xml:space="preserve"> vzájomnou dohodou medzi zástupcami vlád členských štátov (EÚ) 2019/1199 z 13. júna 2019 o umiestnení sídla Európskeho orgánu práce (Ú. v. EÚ L 189, 15.7.2019)</w:t>
            </w:r>
            <w:r w:rsidR="00234DD0">
              <w:rPr>
                <w:rFonts w:ascii="Times New Roman" w:hAnsi="Times New Roman"/>
                <w:sz w:val="20"/>
              </w:rPr>
              <w:t xml:space="preserve">  </w:t>
            </w:r>
            <w:r w:rsidRPr="00121CF7">
              <w:rPr>
                <w:rFonts w:ascii="Times New Roman" w:hAnsi="Times New Roman"/>
                <w:sz w:val="20"/>
              </w:rPr>
              <w:t>v Bratislave súvisiace s povinnosťami hostiteľského štátu podľa nariadenia Európskeho parlamentu a Rady (EÚ) 2019/1149 z 20. júna 2019, ktorým sa zriaďuje Európsky orgán práce a ktorým sa menia nariadenia (ES) č. 883/2004, (EÚ) č. 492/2011 a (EÚ) 2016/589 a ktorým sa zrušuje rozhodnutie (EÚ) 2016/344 (ďalej len „nariadenie</w:t>
            </w:r>
            <w:r w:rsidR="00234DD0">
              <w:rPr>
                <w:rFonts w:ascii="Times New Roman" w:hAnsi="Times New Roman"/>
                <w:sz w:val="20"/>
              </w:rPr>
              <w:t xml:space="preserve"> (EÚ) 2019/1149</w:t>
            </w:r>
            <w:r w:rsidRPr="00121CF7">
              <w:rPr>
                <w:rFonts w:ascii="Times New Roman" w:hAnsi="Times New Roman"/>
                <w:sz w:val="20"/>
              </w:rPr>
              <w:t>“) vyplynula Slovenskej republike povinnosť zaistiť čo najlepšie podmienky pre jeho plynulé a efektívne fungovanie pomocou uzatvorenia dohody o sídle s Európskym orgánom práce, najneskôr do 1. augusta 2021. Za tým účelom Slovenská republika prostredníctvom Ministerstva práce, sociálnych vecí a rodiny SR v spolupráci s Ministerstvom zahraničných vecí a európskych záležitostí SR a ostatnými ústrednými orgánmi štátnej správy vyrokovala  prezidentskú zmluvu o sídle medzi vládou Slovenskej republiky a Európskym orgánom práce.</w:t>
            </w:r>
          </w:p>
          <w:p w:rsidR="00121CF7" w:rsidRPr="00B043B4" w:rsidRDefault="00121CF7" w:rsidP="00121CF7">
            <w:pPr>
              <w:rPr>
                <w:rFonts w:ascii="Times New Roman" w:hAnsi="Times New Roman"/>
                <w:b/>
                <w:sz w:val="20"/>
                <w:szCs w:val="20"/>
                <w:lang w:eastAsia="sk-SK"/>
              </w:rPr>
            </w:pPr>
          </w:p>
        </w:tc>
      </w:tr>
      <w:tr w:rsidR="00121CF7" w:rsidRPr="00B043B4" w:rsidTr="000800FC">
        <w:tc>
          <w:tcPr>
            <w:tcW w:w="9180" w:type="dxa"/>
            <w:gridSpan w:val="11"/>
            <w:tcBorders>
              <w:bottom w:val="nil"/>
            </w:tcBorders>
            <w:shd w:val="clear" w:color="auto" w:fill="E2E2E2"/>
          </w:tcPr>
          <w:p w:rsidR="00121CF7" w:rsidRPr="00B043B4" w:rsidRDefault="00121CF7" w:rsidP="00121CF7">
            <w:pPr>
              <w:numPr>
                <w:ilvl w:val="0"/>
                <w:numId w:val="1"/>
              </w:numPr>
              <w:ind w:left="426"/>
              <w:contextualSpacing/>
              <w:rPr>
                <w:rFonts w:ascii="Times New Roman" w:hAnsi="Times New Roman"/>
                <w:b/>
              </w:rPr>
            </w:pPr>
            <w:r w:rsidRPr="00B043B4">
              <w:rPr>
                <w:rFonts w:ascii="Times New Roman" w:hAnsi="Times New Roman"/>
                <w:b/>
              </w:rPr>
              <w:t>Ciele a výsledný stav</w:t>
            </w:r>
          </w:p>
        </w:tc>
      </w:tr>
      <w:tr w:rsidR="00121CF7" w:rsidRPr="00B043B4" w:rsidTr="000800FC">
        <w:trPr>
          <w:trHeight w:val="741"/>
        </w:trPr>
        <w:tc>
          <w:tcPr>
            <w:tcW w:w="9180" w:type="dxa"/>
            <w:gridSpan w:val="11"/>
            <w:tcBorders>
              <w:top w:val="nil"/>
            </w:tcBorders>
            <w:shd w:val="clear" w:color="auto" w:fill="FFFFFF"/>
          </w:tcPr>
          <w:p w:rsidR="00121CF7" w:rsidRPr="00B043B4" w:rsidRDefault="00121CF7" w:rsidP="00121CF7">
            <w:pPr>
              <w:rPr>
                <w:rFonts w:ascii="Times New Roman" w:hAnsi="Times New Roman"/>
                <w:i/>
                <w:sz w:val="20"/>
                <w:szCs w:val="20"/>
                <w:lang w:eastAsia="sk-SK"/>
              </w:rPr>
            </w:pPr>
            <w:r w:rsidRPr="00B043B4">
              <w:rPr>
                <w:rFonts w:ascii="Times New Roman" w:hAnsi="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hAnsi="Times New Roman"/>
                <w:i/>
                <w:sz w:val="20"/>
                <w:szCs w:val="20"/>
                <w:lang w:eastAsia="sk-SK"/>
              </w:rPr>
              <w:t>e</w:t>
            </w:r>
            <w:r w:rsidRPr="00B043B4">
              <w:rPr>
                <w:rFonts w:ascii="Times New Roman" w:hAnsi="Times New Roman"/>
                <w:i/>
                <w:sz w:val="20"/>
                <w:szCs w:val="20"/>
                <w:lang w:eastAsia="sk-SK"/>
              </w:rPr>
              <w:t xml:space="preserve"> 2. Definovanie problému). </w:t>
            </w:r>
          </w:p>
          <w:p w:rsidR="00121CF7" w:rsidRDefault="00121CF7" w:rsidP="00121CF7">
            <w:pPr>
              <w:rPr>
                <w:rFonts w:ascii="Times New Roman" w:hAnsi="Times New Roman"/>
                <w:sz w:val="20"/>
                <w:szCs w:val="20"/>
                <w:lang w:eastAsia="sk-SK"/>
              </w:rPr>
            </w:pPr>
          </w:p>
          <w:p w:rsidR="00121CF7" w:rsidRPr="00121CF7" w:rsidRDefault="00121CF7" w:rsidP="00234DD0">
            <w:pPr>
              <w:jc w:val="both"/>
              <w:rPr>
                <w:rFonts w:ascii="Times New Roman" w:hAnsi="Times New Roman"/>
                <w:sz w:val="20"/>
                <w:szCs w:val="20"/>
                <w:lang w:eastAsia="sk-SK"/>
              </w:rPr>
            </w:pPr>
            <w:r w:rsidRPr="00121CF7">
              <w:rPr>
                <w:rFonts w:ascii="Times New Roman" w:hAnsi="Times New Roman"/>
                <w:sz w:val="20"/>
              </w:rPr>
              <w:t>Cieľom je zabezpečiť splnenie podmienok, ku ktorým sa Slovenská republika zaviazala vo svojej kandidatúre na sídlo Európskeho orgánu práce v Bratislave a povinnosti uzatvorenia dohody o sídle, ktoré Slovenskej republike ako zvolenému hostiteľskému štát</w:t>
            </w:r>
            <w:r w:rsidR="007E2405">
              <w:rPr>
                <w:rFonts w:ascii="Times New Roman" w:hAnsi="Times New Roman"/>
                <w:sz w:val="20"/>
              </w:rPr>
              <w:t>u</w:t>
            </w:r>
            <w:r w:rsidRPr="00121CF7">
              <w:rPr>
                <w:rFonts w:ascii="Times New Roman" w:hAnsi="Times New Roman"/>
                <w:sz w:val="20"/>
              </w:rPr>
              <w:t xml:space="preserve"> Európskeho orgánu práce vyplývajú z článku 43 nariadenia</w:t>
            </w:r>
            <w:r w:rsidR="00234DD0">
              <w:rPr>
                <w:rFonts w:ascii="Times New Roman" w:hAnsi="Times New Roman"/>
                <w:sz w:val="20"/>
              </w:rPr>
              <w:t xml:space="preserve"> </w:t>
            </w:r>
            <w:r w:rsidR="00234DD0" w:rsidRPr="00234DD0">
              <w:rPr>
                <w:rFonts w:ascii="Times New Roman" w:hAnsi="Times New Roman"/>
                <w:sz w:val="20"/>
              </w:rPr>
              <w:t>(EÚ) 2019/1149</w:t>
            </w:r>
            <w:r w:rsidRPr="00121CF7">
              <w:rPr>
                <w:rFonts w:ascii="Times New Roman" w:hAnsi="Times New Roman"/>
                <w:sz w:val="20"/>
              </w:rPr>
              <w:t xml:space="preserve"> </w:t>
            </w:r>
          </w:p>
        </w:tc>
      </w:tr>
      <w:tr w:rsidR="00121CF7" w:rsidRPr="00B043B4" w:rsidTr="000800FC">
        <w:tc>
          <w:tcPr>
            <w:tcW w:w="9180" w:type="dxa"/>
            <w:gridSpan w:val="11"/>
            <w:tcBorders>
              <w:bottom w:val="nil"/>
            </w:tcBorders>
            <w:shd w:val="clear" w:color="auto" w:fill="E2E2E2"/>
          </w:tcPr>
          <w:p w:rsidR="00121CF7" w:rsidRPr="00B043B4" w:rsidRDefault="00121CF7" w:rsidP="00121CF7">
            <w:pPr>
              <w:numPr>
                <w:ilvl w:val="0"/>
                <w:numId w:val="1"/>
              </w:numPr>
              <w:ind w:left="426"/>
              <w:contextualSpacing/>
              <w:rPr>
                <w:rFonts w:ascii="Times New Roman" w:hAnsi="Times New Roman"/>
                <w:b/>
              </w:rPr>
            </w:pPr>
            <w:r w:rsidRPr="00B043B4">
              <w:rPr>
                <w:rFonts w:ascii="Times New Roman" w:hAnsi="Times New Roman"/>
                <w:b/>
              </w:rPr>
              <w:t>Dotknuté subjekty</w:t>
            </w:r>
          </w:p>
        </w:tc>
      </w:tr>
      <w:tr w:rsidR="00121CF7" w:rsidRPr="00B043B4" w:rsidTr="000800FC">
        <w:tc>
          <w:tcPr>
            <w:tcW w:w="9180" w:type="dxa"/>
            <w:gridSpan w:val="11"/>
            <w:tcBorders>
              <w:top w:val="nil"/>
            </w:tcBorders>
            <w:shd w:val="clear" w:color="auto" w:fill="FFFFFF"/>
          </w:tcPr>
          <w:p w:rsidR="00121CF7" w:rsidRPr="00B043B4" w:rsidRDefault="00121CF7" w:rsidP="00121CF7">
            <w:pPr>
              <w:rPr>
                <w:rFonts w:ascii="Times New Roman" w:hAnsi="Times New Roman"/>
                <w:b/>
                <w:sz w:val="20"/>
                <w:szCs w:val="20"/>
                <w:lang w:eastAsia="sk-SK"/>
              </w:rPr>
            </w:pPr>
            <w:r w:rsidRPr="00B043B4">
              <w:rPr>
                <w:rFonts w:ascii="Times New Roman" w:hAnsi="Times New Roman"/>
                <w:i/>
                <w:sz w:val="20"/>
                <w:szCs w:val="20"/>
                <w:lang w:eastAsia="sk-SK"/>
              </w:rPr>
              <w:t xml:space="preserve">Uveďte subjekty, ktorých sa zmeny predkladaného materiálu dotknú priamo aj nepriamo: </w:t>
            </w:r>
          </w:p>
          <w:p w:rsidR="00121CF7" w:rsidRDefault="00121CF7" w:rsidP="00121CF7">
            <w:pPr>
              <w:rPr>
                <w:rFonts w:ascii="Times New Roman" w:hAnsi="Times New Roman"/>
                <w:i/>
                <w:sz w:val="20"/>
                <w:szCs w:val="20"/>
                <w:lang w:eastAsia="sk-SK"/>
              </w:rPr>
            </w:pPr>
          </w:p>
          <w:p w:rsidR="00121CF7" w:rsidRPr="00121CF7" w:rsidRDefault="00121CF7" w:rsidP="00121CF7">
            <w:pPr>
              <w:rPr>
                <w:rFonts w:ascii="Times New Roman" w:hAnsi="Times New Roman"/>
                <w:sz w:val="20"/>
              </w:rPr>
            </w:pPr>
            <w:r w:rsidRPr="00121CF7">
              <w:rPr>
                <w:rFonts w:ascii="Times New Roman" w:hAnsi="Times New Roman"/>
                <w:sz w:val="20"/>
              </w:rPr>
              <w:t>Ministerstvo práce, sociálnych vecí a rodiny SR</w:t>
            </w:r>
          </w:p>
          <w:p w:rsidR="00121CF7" w:rsidRPr="00121CF7" w:rsidRDefault="00121CF7" w:rsidP="00121CF7">
            <w:pPr>
              <w:rPr>
                <w:rFonts w:ascii="Times New Roman" w:hAnsi="Times New Roman"/>
                <w:sz w:val="20"/>
              </w:rPr>
            </w:pPr>
            <w:r w:rsidRPr="00121CF7">
              <w:rPr>
                <w:rFonts w:ascii="Times New Roman" w:hAnsi="Times New Roman"/>
                <w:sz w:val="20"/>
              </w:rPr>
              <w:t>Ministerstvo zahraničných vecí a európskych záležitosti SR</w:t>
            </w:r>
          </w:p>
          <w:p w:rsidR="00121CF7" w:rsidRPr="00121CF7" w:rsidRDefault="00121CF7" w:rsidP="00121CF7">
            <w:pPr>
              <w:rPr>
                <w:rFonts w:ascii="Times New Roman" w:hAnsi="Times New Roman"/>
                <w:sz w:val="20"/>
              </w:rPr>
            </w:pPr>
            <w:r w:rsidRPr="00121CF7">
              <w:rPr>
                <w:rFonts w:ascii="Times New Roman" w:hAnsi="Times New Roman"/>
                <w:sz w:val="20"/>
              </w:rPr>
              <w:t>Ministerstvo financií SR</w:t>
            </w:r>
          </w:p>
          <w:p w:rsidR="00121CF7" w:rsidRPr="00121CF7" w:rsidRDefault="00121CF7" w:rsidP="00121CF7">
            <w:pPr>
              <w:rPr>
                <w:rFonts w:ascii="Times New Roman" w:hAnsi="Times New Roman"/>
                <w:sz w:val="20"/>
              </w:rPr>
            </w:pPr>
            <w:r w:rsidRPr="00121CF7">
              <w:rPr>
                <w:rFonts w:ascii="Times New Roman" w:hAnsi="Times New Roman"/>
                <w:sz w:val="20"/>
              </w:rPr>
              <w:t>Ministerstvo hospodárstva SR</w:t>
            </w:r>
          </w:p>
          <w:p w:rsidR="00121CF7" w:rsidRPr="00B043B4" w:rsidRDefault="00121CF7" w:rsidP="00121CF7">
            <w:pPr>
              <w:rPr>
                <w:rFonts w:ascii="Times New Roman" w:hAnsi="Times New Roman"/>
                <w:i/>
                <w:sz w:val="20"/>
                <w:szCs w:val="20"/>
                <w:lang w:eastAsia="sk-SK"/>
              </w:rPr>
            </w:pPr>
            <w:r w:rsidRPr="00121CF7">
              <w:rPr>
                <w:rFonts w:ascii="Times New Roman" w:hAnsi="Times New Roman"/>
                <w:sz w:val="20"/>
              </w:rPr>
              <w:t>Ministerstvo vnútra SR</w:t>
            </w:r>
          </w:p>
        </w:tc>
      </w:tr>
      <w:tr w:rsidR="00121CF7" w:rsidRPr="00B043B4" w:rsidTr="000800FC">
        <w:tc>
          <w:tcPr>
            <w:tcW w:w="9180" w:type="dxa"/>
            <w:gridSpan w:val="11"/>
            <w:tcBorders>
              <w:bottom w:val="nil"/>
            </w:tcBorders>
            <w:shd w:val="clear" w:color="auto" w:fill="E2E2E2"/>
          </w:tcPr>
          <w:p w:rsidR="00121CF7" w:rsidRPr="00B043B4" w:rsidRDefault="00121CF7" w:rsidP="00121CF7">
            <w:pPr>
              <w:numPr>
                <w:ilvl w:val="0"/>
                <w:numId w:val="1"/>
              </w:numPr>
              <w:ind w:left="426"/>
              <w:contextualSpacing/>
              <w:rPr>
                <w:rFonts w:ascii="Times New Roman" w:hAnsi="Times New Roman"/>
                <w:b/>
              </w:rPr>
            </w:pPr>
            <w:r w:rsidRPr="00B043B4">
              <w:rPr>
                <w:rFonts w:ascii="Times New Roman" w:hAnsi="Times New Roman"/>
                <w:b/>
              </w:rPr>
              <w:t>Alternatívne riešenia</w:t>
            </w:r>
          </w:p>
        </w:tc>
      </w:tr>
      <w:tr w:rsidR="00121CF7" w:rsidRPr="00B043B4" w:rsidTr="000800FC">
        <w:trPr>
          <w:trHeight w:val="1524"/>
        </w:trPr>
        <w:tc>
          <w:tcPr>
            <w:tcW w:w="9180" w:type="dxa"/>
            <w:gridSpan w:val="11"/>
            <w:tcBorders>
              <w:top w:val="nil"/>
            </w:tcBorders>
            <w:shd w:val="clear" w:color="auto" w:fill="FFFFFF"/>
          </w:tcPr>
          <w:p w:rsidR="00121CF7" w:rsidRPr="00B043B4" w:rsidRDefault="00121CF7" w:rsidP="00121CF7">
            <w:pPr>
              <w:jc w:val="both"/>
              <w:rPr>
                <w:rFonts w:ascii="Times New Roman" w:hAnsi="Times New Roman"/>
                <w:i/>
                <w:sz w:val="20"/>
                <w:szCs w:val="20"/>
                <w:lang w:eastAsia="sk-SK"/>
              </w:rPr>
            </w:pPr>
            <w:r w:rsidRPr="00B043B4">
              <w:rPr>
                <w:rFonts w:ascii="Times New Roman" w:hAnsi="Times New Roman"/>
                <w:i/>
                <w:sz w:val="20"/>
                <w:szCs w:val="20"/>
                <w:lang w:eastAsia="sk-SK"/>
              </w:rPr>
              <w:lastRenderedPageBreak/>
              <w:t>Aké alternatívne riešenia vedúce k stanovenému cieľu boli identifikované a posudzované pre riešenie definovaného problému?</w:t>
            </w:r>
          </w:p>
          <w:p w:rsidR="00121CF7" w:rsidRPr="00B043B4" w:rsidRDefault="00121CF7" w:rsidP="00121CF7">
            <w:pPr>
              <w:rPr>
                <w:rFonts w:ascii="Times New Roman" w:hAnsi="Times New Roman"/>
                <w:i/>
                <w:sz w:val="20"/>
                <w:szCs w:val="20"/>
                <w:lang w:eastAsia="sk-SK"/>
              </w:rPr>
            </w:pPr>
          </w:p>
          <w:p w:rsidR="00121CF7" w:rsidRDefault="00121CF7" w:rsidP="00121CF7">
            <w:pPr>
              <w:jc w:val="both"/>
              <w:rPr>
                <w:rFonts w:ascii="Times New Roman" w:hAnsi="Times New Roman"/>
                <w:i/>
                <w:sz w:val="20"/>
                <w:szCs w:val="20"/>
                <w:lang w:eastAsia="sk-SK"/>
              </w:rPr>
            </w:pPr>
            <w:r w:rsidRPr="00B043B4">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rsidR="00775D53" w:rsidRDefault="00775D53" w:rsidP="00121CF7">
            <w:pPr>
              <w:jc w:val="both"/>
              <w:rPr>
                <w:rFonts w:ascii="Times New Roman" w:hAnsi="Times New Roman"/>
                <w:i/>
                <w:sz w:val="20"/>
                <w:szCs w:val="20"/>
                <w:lang w:eastAsia="sk-SK"/>
              </w:rPr>
            </w:pPr>
          </w:p>
          <w:p w:rsidR="00121CF7" w:rsidRDefault="00121CF7" w:rsidP="00121CF7">
            <w:pPr>
              <w:jc w:val="both"/>
              <w:rPr>
                <w:rFonts w:ascii="Times New Roman" w:hAnsi="Times New Roman"/>
                <w:sz w:val="20"/>
              </w:rPr>
            </w:pPr>
            <w:r w:rsidRPr="00121CF7">
              <w:rPr>
                <w:rFonts w:ascii="Times New Roman" w:hAnsi="Times New Roman"/>
                <w:sz w:val="20"/>
              </w:rPr>
              <w:t>Predkladané riešenie predstavuje garanciu záväzku Slovenskej republiky vyplývajúceho zo získania sídla Európskej agentúry práce v Bratislave.</w:t>
            </w:r>
            <w:r w:rsidR="00775D53">
              <w:rPr>
                <w:rFonts w:ascii="Times New Roman" w:hAnsi="Times New Roman"/>
                <w:sz w:val="20"/>
              </w:rPr>
              <w:t xml:space="preserve"> V prípade nulového variantu by Slovenská republika neuzatvorila bilaterálnu zmluvu s Európskym orgánom práce, čím by došlo k porušeniu záväzkov vyplývajúcich z článku 43 nariadenia</w:t>
            </w:r>
            <w:r w:rsidR="00E77887">
              <w:rPr>
                <w:rFonts w:ascii="Times New Roman" w:hAnsi="Times New Roman"/>
                <w:sz w:val="20"/>
              </w:rPr>
              <w:t xml:space="preserve"> </w:t>
            </w:r>
            <w:r w:rsidR="00E77887" w:rsidRPr="00E77887">
              <w:rPr>
                <w:rFonts w:ascii="Times New Roman" w:hAnsi="Times New Roman"/>
                <w:sz w:val="20"/>
              </w:rPr>
              <w:t>(EÚ) 2019/1149</w:t>
            </w:r>
            <w:r w:rsidR="00775D53">
              <w:rPr>
                <w:rFonts w:ascii="Times New Roman" w:hAnsi="Times New Roman"/>
                <w:sz w:val="20"/>
              </w:rPr>
              <w:t xml:space="preserve">. Uvedené by zdiskreditovalo Slovenskú republiku </w:t>
            </w:r>
            <w:r w:rsidR="002D5F06">
              <w:rPr>
                <w:rFonts w:ascii="Times New Roman" w:hAnsi="Times New Roman"/>
                <w:sz w:val="20"/>
              </w:rPr>
              <w:t>v medzinárodných vzťahoch na úrovni Európskej ú</w:t>
            </w:r>
            <w:r w:rsidR="00775D53">
              <w:rPr>
                <w:rFonts w:ascii="Times New Roman" w:hAnsi="Times New Roman"/>
                <w:sz w:val="20"/>
              </w:rPr>
              <w:t>nie a jej členských štátov</w:t>
            </w:r>
            <w:r w:rsidR="002D5F06">
              <w:rPr>
                <w:rFonts w:ascii="Times New Roman" w:hAnsi="Times New Roman"/>
                <w:sz w:val="20"/>
              </w:rPr>
              <w:t>.</w:t>
            </w:r>
            <w:r w:rsidR="00775D53">
              <w:rPr>
                <w:rFonts w:ascii="Times New Roman" w:hAnsi="Times New Roman"/>
                <w:sz w:val="20"/>
              </w:rPr>
              <w:t xml:space="preserve"> </w:t>
            </w:r>
          </w:p>
          <w:p w:rsidR="007E2405" w:rsidRDefault="007E2405" w:rsidP="00121CF7">
            <w:pPr>
              <w:jc w:val="both"/>
              <w:rPr>
                <w:rFonts w:ascii="Times New Roman" w:hAnsi="Times New Roman"/>
                <w:sz w:val="20"/>
              </w:rPr>
            </w:pPr>
          </w:p>
          <w:p w:rsidR="007E2405" w:rsidRPr="00121CF7" w:rsidRDefault="007E2405" w:rsidP="00775D53">
            <w:pPr>
              <w:jc w:val="both"/>
              <w:rPr>
                <w:rFonts w:ascii="Times New Roman" w:hAnsi="Times New Roman"/>
                <w:sz w:val="20"/>
                <w:szCs w:val="20"/>
                <w:lang w:eastAsia="sk-SK"/>
              </w:rPr>
            </w:pPr>
          </w:p>
        </w:tc>
      </w:tr>
      <w:tr w:rsidR="00121CF7" w:rsidRPr="00B043B4" w:rsidTr="000800FC">
        <w:tc>
          <w:tcPr>
            <w:tcW w:w="9180" w:type="dxa"/>
            <w:gridSpan w:val="11"/>
            <w:tcBorders>
              <w:bottom w:val="single" w:sz="4" w:space="0" w:color="FFFFFF"/>
            </w:tcBorders>
            <w:shd w:val="clear" w:color="auto" w:fill="E2E2E2"/>
          </w:tcPr>
          <w:p w:rsidR="00121CF7" w:rsidRPr="00B043B4" w:rsidRDefault="00121CF7" w:rsidP="00121CF7">
            <w:pPr>
              <w:numPr>
                <w:ilvl w:val="0"/>
                <w:numId w:val="1"/>
              </w:numPr>
              <w:ind w:left="426"/>
              <w:contextualSpacing/>
              <w:rPr>
                <w:rFonts w:ascii="Times New Roman" w:hAnsi="Times New Roman"/>
                <w:b/>
              </w:rPr>
            </w:pPr>
            <w:r w:rsidRPr="00B043B4">
              <w:rPr>
                <w:rFonts w:ascii="Times New Roman" w:hAnsi="Times New Roman"/>
                <w:b/>
              </w:rPr>
              <w:t>Vykonávacie predpisy</w:t>
            </w:r>
          </w:p>
        </w:tc>
      </w:tr>
      <w:tr w:rsidR="00121CF7" w:rsidRPr="00B043B4" w:rsidTr="000800FC">
        <w:tc>
          <w:tcPr>
            <w:tcW w:w="6203" w:type="dxa"/>
            <w:gridSpan w:val="7"/>
            <w:tcBorders>
              <w:top w:val="single" w:sz="4" w:space="0" w:color="FFFFFF"/>
              <w:bottom w:val="nil"/>
              <w:right w:val="nil"/>
            </w:tcBorders>
            <w:shd w:val="clear" w:color="auto" w:fill="FFFFFF"/>
          </w:tcPr>
          <w:p w:rsidR="00121CF7" w:rsidRPr="00B043B4" w:rsidRDefault="00121CF7" w:rsidP="00121CF7">
            <w:pPr>
              <w:rPr>
                <w:rFonts w:ascii="Times New Roman" w:hAnsi="Times New Roman"/>
                <w:i/>
                <w:sz w:val="20"/>
                <w:szCs w:val="20"/>
                <w:lang w:eastAsia="sk-SK"/>
              </w:rPr>
            </w:pPr>
            <w:r w:rsidRPr="00B043B4">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21CF7" w:rsidRPr="00B043B4" w:rsidRDefault="00121CF7" w:rsidP="00121CF7">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r w:rsidRPr="00B043B4">
              <w:rPr>
                <w:rFonts w:ascii="Times New Roman" w:hAnsi="Times New Roman"/>
                <w:b/>
                <w:sz w:val="20"/>
                <w:szCs w:val="20"/>
                <w:lang w:eastAsia="sk-SK"/>
              </w:rPr>
              <w:t xml:space="preserve">  Áno</w:t>
            </w:r>
          </w:p>
        </w:tc>
        <w:tc>
          <w:tcPr>
            <w:tcW w:w="1560" w:type="dxa"/>
            <w:gridSpan w:val="2"/>
            <w:tcBorders>
              <w:top w:val="single" w:sz="4" w:space="0" w:color="FFFFFF"/>
              <w:left w:val="nil"/>
              <w:bottom w:val="nil"/>
            </w:tcBorders>
            <w:shd w:val="clear" w:color="auto" w:fill="FFFFFF"/>
          </w:tcPr>
          <w:p w:rsidR="00121CF7" w:rsidRPr="00B043B4" w:rsidRDefault="00121CF7" w:rsidP="00121CF7">
            <w:pPr>
              <w:jc w:val="center"/>
              <w:rPr>
                <w:rFonts w:ascii="Times New Roman" w:hAnsi="Times New Roman"/>
                <w:b/>
                <w:sz w:val="20"/>
                <w:szCs w:val="20"/>
                <w:lang w:eastAsia="sk-SK"/>
              </w:rPr>
            </w:pPr>
            <w:r>
              <w:rPr>
                <w:rFonts w:ascii="MS Gothic" w:eastAsia="MS Gothic" w:hAnsi="MS Gothic" w:hint="eastAsia"/>
              </w:rPr>
              <w:t>☒</w:t>
            </w:r>
            <w:r w:rsidRPr="00B043B4">
              <w:rPr>
                <w:rFonts w:ascii="Times New Roman" w:hAnsi="Times New Roman"/>
                <w:b/>
                <w:sz w:val="20"/>
                <w:szCs w:val="20"/>
                <w:lang w:eastAsia="sk-SK"/>
              </w:rPr>
              <w:t xml:space="preserve">  Nie</w:t>
            </w:r>
          </w:p>
        </w:tc>
      </w:tr>
      <w:tr w:rsidR="00121CF7" w:rsidRPr="00B043B4" w:rsidTr="000800FC">
        <w:tc>
          <w:tcPr>
            <w:tcW w:w="9180" w:type="dxa"/>
            <w:gridSpan w:val="11"/>
            <w:tcBorders>
              <w:top w:val="nil"/>
            </w:tcBorders>
            <w:shd w:val="clear" w:color="auto" w:fill="FFFFFF"/>
          </w:tcPr>
          <w:p w:rsidR="00121CF7" w:rsidRPr="00B043B4" w:rsidRDefault="00121CF7" w:rsidP="00121CF7">
            <w:pPr>
              <w:rPr>
                <w:rFonts w:ascii="Times New Roman" w:hAnsi="Times New Roman"/>
                <w:i/>
                <w:sz w:val="20"/>
                <w:szCs w:val="20"/>
                <w:lang w:eastAsia="sk-SK"/>
              </w:rPr>
            </w:pPr>
            <w:r w:rsidRPr="00B043B4">
              <w:rPr>
                <w:rFonts w:ascii="Times New Roman" w:hAnsi="Times New Roman"/>
                <w:i/>
                <w:sz w:val="20"/>
                <w:szCs w:val="20"/>
                <w:lang w:eastAsia="sk-SK"/>
              </w:rPr>
              <w:t>Ak áno, uveďte ktoré oblasti budú nimi upravené, resp. ktorých vykonávacích predpisov sa zmena dotkne:</w:t>
            </w:r>
          </w:p>
          <w:p w:rsidR="00121CF7" w:rsidRPr="00B043B4" w:rsidRDefault="00121CF7" w:rsidP="00121CF7">
            <w:pPr>
              <w:rPr>
                <w:rFonts w:ascii="Times New Roman" w:hAnsi="Times New Roman"/>
                <w:sz w:val="20"/>
                <w:szCs w:val="20"/>
                <w:lang w:eastAsia="sk-SK"/>
              </w:rPr>
            </w:pPr>
          </w:p>
        </w:tc>
      </w:tr>
      <w:tr w:rsidR="00121CF7" w:rsidRPr="00B043B4" w:rsidTr="000800FC">
        <w:tc>
          <w:tcPr>
            <w:tcW w:w="9180" w:type="dxa"/>
            <w:gridSpan w:val="11"/>
            <w:tcBorders>
              <w:bottom w:val="single" w:sz="4" w:space="0" w:color="FFFFFF"/>
            </w:tcBorders>
            <w:shd w:val="clear" w:color="auto" w:fill="E2E2E2"/>
          </w:tcPr>
          <w:p w:rsidR="00121CF7" w:rsidRPr="00B043B4" w:rsidRDefault="00121CF7" w:rsidP="00121CF7">
            <w:pPr>
              <w:numPr>
                <w:ilvl w:val="0"/>
                <w:numId w:val="1"/>
              </w:numPr>
              <w:ind w:left="426"/>
              <w:contextualSpacing/>
              <w:rPr>
                <w:rFonts w:ascii="Times New Roman" w:hAnsi="Times New Roman"/>
                <w:b/>
              </w:rPr>
            </w:pPr>
            <w:r w:rsidRPr="00B043B4">
              <w:rPr>
                <w:rFonts w:ascii="Times New Roman" w:hAnsi="Times New Roman"/>
                <w:b/>
              </w:rPr>
              <w:t xml:space="preserve">Transpozícia práva EÚ </w:t>
            </w:r>
          </w:p>
        </w:tc>
      </w:tr>
      <w:tr w:rsidR="00121CF7" w:rsidRPr="00B043B4" w:rsidTr="000800FC">
        <w:trPr>
          <w:trHeight w:val="157"/>
        </w:trPr>
        <w:tc>
          <w:tcPr>
            <w:tcW w:w="9180" w:type="dxa"/>
            <w:gridSpan w:val="11"/>
            <w:tcBorders>
              <w:top w:val="nil"/>
              <w:left w:val="single" w:sz="4" w:space="0" w:color="000000"/>
              <w:bottom w:val="nil"/>
            </w:tcBorders>
            <w:shd w:val="clear" w:color="auto" w:fill="FFFFFF"/>
          </w:tcPr>
          <w:p w:rsidR="00121CF7" w:rsidRPr="00B043B4" w:rsidRDefault="00121CF7" w:rsidP="00121CF7">
            <w:pPr>
              <w:jc w:val="both"/>
              <w:rPr>
                <w:rFonts w:ascii="Times New Roman" w:hAnsi="Times New Roman"/>
                <w:i/>
                <w:sz w:val="20"/>
                <w:szCs w:val="20"/>
                <w:lang w:eastAsia="sk-SK"/>
              </w:rPr>
            </w:pPr>
            <w:r w:rsidRPr="00B043B4">
              <w:rPr>
                <w:rFonts w:ascii="Times New Roman" w:hAnsi="Times New Roman"/>
                <w:i/>
                <w:sz w:val="20"/>
                <w:szCs w:val="20"/>
                <w:lang w:eastAsia="sk-SK"/>
              </w:rPr>
              <w:t>Uveďte, v ktorých konkrétnych ustanoveniach (paragrafy, články, body, atď.) ide národná právna úprava nad rámec minimálnych požiadaviek EÚ (tzv. goldplating) spolu s odôvodnením opodstatnenosti presahu.</w:t>
            </w:r>
          </w:p>
        </w:tc>
      </w:tr>
      <w:tr w:rsidR="00121CF7"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21CF7" w:rsidRDefault="00121CF7" w:rsidP="00121CF7">
            <w:pPr>
              <w:rPr>
                <w:rFonts w:ascii="Times New Roman" w:hAnsi="Times New Roman"/>
                <w:sz w:val="20"/>
                <w:szCs w:val="20"/>
                <w:lang w:eastAsia="sk-SK"/>
              </w:rPr>
            </w:pPr>
          </w:p>
          <w:p w:rsidR="00121CF7" w:rsidRPr="00121CF7" w:rsidRDefault="00121CF7" w:rsidP="00121CF7">
            <w:pPr>
              <w:rPr>
                <w:rFonts w:ascii="Times New Roman" w:hAnsi="Times New Roman"/>
                <w:sz w:val="20"/>
                <w:szCs w:val="20"/>
                <w:lang w:eastAsia="sk-SK"/>
              </w:rPr>
            </w:pPr>
            <w:r w:rsidRPr="00121CF7">
              <w:rPr>
                <w:rFonts w:ascii="Times New Roman" w:hAnsi="Times New Roman"/>
                <w:sz w:val="20"/>
              </w:rPr>
              <w:t>Nedochádza k transpozícii práva EÚ.</w:t>
            </w:r>
          </w:p>
        </w:tc>
      </w:tr>
      <w:tr w:rsidR="00121CF7" w:rsidRPr="00B043B4" w:rsidTr="000800FC">
        <w:tc>
          <w:tcPr>
            <w:tcW w:w="9180" w:type="dxa"/>
            <w:gridSpan w:val="11"/>
            <w:tcBorders>
              <w:bottom w:val="single" w:sz="4" w:space="0" w:color="FFFFFF"/>
            </w:tcBorders>
            <w:shd w:val="clear" w:color="auto" w:fill="E2E2E2"/>
          </w:tcPr>
          <w:p w:rsidR="00121CF7" w:rsidRPr="00B043B4" w:rsidRDefault="00121CF7" w:rsidP="00121CF7">
            <w:pPr>
              <w:numPr>
                <w:ilvl w:val="0"/>
                <w:numId w:val="1"/>
              </w:numPr>
              <w:ind w:left="426"/>
              <w:contextualSpacing/>
              <w:rPr>
                <w:rFonts w:ascii="Times New Roman" w:hAnsi="Times New Roman"/>
                <w:b/>
              </w:rPr>
            </w:pPr>
            <w:r w:rsidRPr="00B043B4">
              <w:rPr>
                <w:rFonts w:ascii="Times New Roman" w:hAnsi="Times New Roman"/>
                <w:b/>
              </w:rPr>
              <w:t>Preskúmanie účelnosti</w:t>
            </w:r>
          </w:p>
        </w:tc>
      </w:tr>
      <w:tr w:rsidR="00121CF7" w:rsidRPr="00B043B4" w:rsidTr="000800FC">
        <w:tc>
          <w:tcPr>
            <w:tcW w:w="9180" w:type="dxa"/>
            <w:gridSpan w:val="11"/>
            <w:tcBorders>
              <w:top w:val="single" w:sz="4" w:space="0" w:color="FFFFFF"/>
            </w:tcBorders>
            <w:shd w:val="clear" w:color="auto" w:fill="FFFFFF"/>
          </w:tcPr>
          <w:p w:rsidR="00121CF7" w:rsidRPr="00B043B4" w:rsidRDefault="00121CF7" w:rsidP="00121CF7">
            <w:pPr>
              <w:rPr>
                <w:rFonts w:ascii="Times New Roman" w:hAnsi="Times New Roman"/>
                <w:i/>
                <w:sz w:val="20"/>
                <w:szCs w:val="20"/>
                <w:lang w:eastAsia="sk-SK"/>
              </w:rPr>
            </w:pPr>
            <w:r w:rsidRPr="00B043B4">
              <w:rPr>
                <w:rFonts w:ascii="Times New Roman" w:hAnsi="Times New Roman"/>
                <w:i/>
                <w:sz w:val="20"/>
                <w:szCs w:val="20"/>
                <w:lang w:eastAsia="sk-SK"/>
              </w:rPr>
              <w:t>Uveďte termín, kedy by malo dôjsť k preskúmaniu účinnosti a účelnosti predkladaného materiálu.</w:t>
            </w:r>
          </w:p>
          <w:p w:rsidR="00121CF7" w:rsidRPr="00B043B4" w:rsidRDefault="00121CF7" w:rsidP="00121CF7">
            <w:pPr>
              <w:rPr>
                <w:rFonts w:ascii="Times New Roman" w:hAnsi="Times New Roman"/>
                <w:i/>
                <w:sz w:val="20"/>
                <w:szCs w:val="20"/>
                <w:lang w:eastAsia="sk-SK"/>
              </w:rPr>
            </w:pPr>
            <w:r w:rsidRPr="00B043B4">
              <w:rPr>
                <w:rFonts w:ascii="Times New Roman" w:hAnsi="Times New Roman"/>
                <w:i/>
                <w:sz w:val="20"/>
                <w:szCs w:val="20"/>
                <w:lang w:eastAsia="sk-SK"/>
              </w:rPr>
              <w:t>Uveďte kritériá, na základe ktorých bude preskúmanie vykonané.</w:t>
            </w:r>
          </w:p>
          <w:p w:rsidR="00121CF7" w:rsidRDefault="00121CF7" w:rsidP="00121CF7">
            <w:pPr>
              <w:rPr>
                <w:rFonts w:ascii="Times New Roman" w:hAnsi="Times New Roman"/>
                <w:i/>
                <w:sz w:val="20"/>
                <w:szCs w:val="20"/>
                <w:lang w:eastAsia="sk-SK"/>
              </w:rPr>
            </w:pPr>
          </w:p>
          <w:p w:rsidR="00121CF7" w:rsidRPr="00121CF7" w:rsidRDefault="00121CF7" w:rsidP="00121CF7">
            <w:pPr>
              <w:rPr>
                <w:rFonts w:ascii="Times New Roman" w:hAnsi="Times New Roman"/>
                <w:sz w:val="20"/>
                <w:szCs w:val="20"/>
                <w:lang w:eastAsia="sk-SK"/>
              </w:rPr>
            </w:pPr>
            <w:r w:rsidRPr="00121CF7">
              <w:rPr>
                <w:rFonts w:ascii="Times New Roman" w:hAnsi="Times New Roman"/>
                <w:sz w:val="20"/>
                <w:szCs w:val="20"/>
                <w:lang w:eastAsia="sk-SK"/>
              </w:rPr>
              <w:t>Účinnosť a účelnosť predloženej zmluvy sa bude preskúmavať priebežne</w:t>
            </w:r>
            <w:r>
              <w:rPr>
                <w:rFonts w:ascii="Times New Roman" w:hAnsi="Times New Roman"/>
                <w:sz w:val="20"/>
                <w:szCs w:val="20"/>
                <w:lang w:eastAsia="sk-SK"/>
              </w:rPr>
              <w:t>.</w:t>
            </w:r>
          </w:p>
        </w:tc>
      </w:tr>
      <w:tr w:rsidR="00121CF7" w:rsidRPr="00B043B4" w:rsidTr="000800FC">
        <w:tc>
          <w:tcPr>
            <w:tcW w:w="9180" w:type="dxa"/>
            <w:gridSpan w:val="11"/>
            <w:tcBorders>
              <w:top w:val="nil"/>
              <w:left w:val="nil"/>
              <w:right w:val="nil"/>
            </w:tcBorders>
            <w:shd w:val="clear" w:color="auto" w:fill="FFFFFF"/>
          </w:tcPr>
          <w:p w:rsidR="00121CF7" w:rsidRPr="00B043B4" w:rsidRDefault="00121CF7" w:rsidP="00121CF7">
            <w:pPr>
              <w:rPr>
                <w:rFonts w:ascii="Times New Roman" w:hAnsi="Times New Roman"/>
                <w:b/>
                <w:sz w:val="20"/>
                <w:szCs w:val="20"/>
                <w:lang w:eastAsia="sk-SK"/>
              </w:rPr>
            </w:pPr>
          </w:p>
          <w:p w:rsidR="00121CF7" w:rsidRPr="00B043B4" w:rsidRDefault="00121CF7" w:rsidP="00121CF7">
            <w:pPr>
              <w:rPr>
                <w:rFonts w:ascii="Times New Roman" w:hAnsi="Times New Roman"/>
                <w:b/>
                <w:sz w:val="20"/>
                <w:szCs w:val="20"/>
                <w:lang w:eastAsia="sk-SK"/>
              </w:rPr>
            </w:pPr>
          </w:p>
          <w:p w:rsidR="00121CF7" w:rsidRPr="00B043B4" w:rsidRDefault="00121CF7" w:rsidP="00121CF7">
            <w:pPr>
              <w:ind w:left="142" w:hanging="142"/>
              <w:rPr>
                <w:rFonts w:ascii="Times New Roman" w:hAnsi="Times New Roman"/>
                <w:sz w:val="20"/>
                <w:szCs w:val="20"/>
                <w:lang w:eastAsia="sk-SK"/>
              </w:rPr>
            </w:pPr>
            <w:r w:rsidRPr="00B043B4">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121CF7" w:rsidRDefault="00121CF7" w:rsidP="00121CF7">
            <w:pPr>
              <w:rPr>
                <w:rFonts w:ascii="Times New Roman" w:hAnsi="Times New Roman"/>
                <w:sz w:val="20"/>
                <w:szCs w:val="20"/>
                <w:lang w:eastAsia="sk-SK"/>
              </w:rPr>
            </w:pPr>
            <w:r w:rsidRPr="00B043B4">
              <w:rPr>
                <w:rFonts w:ascii="Times New Roman" w:hAnsi="Times New Roman"/>
                <w:sz w:val="20"/>
                <w:szCs w:val="20"/>
                <w:lang w:eastAsia="sk-SK"/>
              </w:rPr>
              <w:t>** vyplniť iba v prípade, ak sa záverečné posúdenie</w:t>
            </w:r>
            <w:r>
              <w:rPr>
                <w:rFonts w:ascii="Times New Roman" w:hAnsi="Times New Roman"/>
                <w:sz w:val="20"/>
                <w:szCs w:val="20"/>
                <w:lang w:eastAsia="sk-SK"/>
              </w:rPr>
              <w:t xml:space="preserve"> vybraných vplyvov</w:t>
            </w:r>
            <w:r w:rsidRPr="00B043B4">
              <w:rPr>
                <w:rFonts w:ascii="Times New Roman" w:hAnsi="Times New Roman"/>
                <w:sz w:val="20"/>
                <w:szCs w:val="20"/>
                <w:lang w:eastAsia="sk-SK"/>
              </w:rPr>
              <w:t xml:space="preserve"> uskutočnilo v zmysle bodu 9.1. </w:t>
            </w:r>
            <w:r>
              <w:rPr>
                <w:rFonts w:ascii="Times New Roman" w:hAnsi="Times New Roman"/>
                <w:sz w:val="20"/>
                <w:szCs w:val="20"/>
                <w:lang w:eastAsia="sk-SK"/>
              </w:rPr>
              <w:t>j</w:t>
            </w:r>
            <w:r w:rsidRPr="00B043B4">
              <w:rPr>
                <w:rFonts w:ascii="Times New Roman" w:hAnsi="Times New Roman"/>
                <w:sz w:val="20"/>
                <w:szCs w:val="20"/>
                <w:lang w:eastAsia="sk-SK"/>
              </w:rPr>
              <w:t>ednotnej metodiky</w:t>
            </w:r>
            <w:r>
              <w:rPr>
                <w:rFonts w:ascii="Times New Roman" w:hAnsi="Times New Roman"/>
                <w:sz w:val="20"/>
                <w:szCs w:val="20"/>
                <w:lang w:eastAsia="sk-SK"/>
              </w:rPr>
              <w:t>.</w:t>
            </w:r>
          </w:p>
          <w:p w:rsidR="00121CF7" w:rsidRPr="00B043B4" w:rsidRDefault="00121CF7" w:rsidP="00121CF7">
            <w:pPr>
              <w:rPr>
                <w:rFonts w:ascii="Times New Roman" w:hAnsi="Times New Roman"/>
                <w:b/>
                <w:sz w:val="20"/>
                <w:szCs w:val="20"/>
                <w:lang w:eastAsia="sk-SK"/>
              </w:rPr>
            </w:pPr>
          </w:p>
        </w:tc>
      </w:tr>
      <w:tr w:rsidR="00121CF7" w:rsidRPr="00B043B4" w:rsidTr="00BA2BF4">
        <w:trPr>
          <w:trHeight w:val="283"/>
        </w:trPr>
        <w:tc>
          <w:tcPr>
            <w:tcW w:w="9180" w:type="dxa"/>
            <w:gridSpan w:val="11"/>
            <w:tcBorders>
              <w:bottom w:val="single" w:sz="4" w:space="0" w:color="FFFFFF"/>
            </w:tcBorders>
            <w:shd w:val="clear" w:color="auto" w:fill="E2E2E2"/>
            <w:vAlign w:val="center"/>
          </w:tcPr>
          <w:p w:rsidR="00121CF7" w:rsidRPr="00B043B4" w:rsidRDefault="00121CF7" w:rsidP="00121CF7">
            <w:pPr>
              <w:numPr>
                <w:ilvl w:val="0"/>
                <w:numId w:val="1"/>
              </w:numPr>
              <w:ind w:left="426"/>
              <w:contextualSpacing/>
              <w:rPr>
                <w:rFonts w:ascii="Times New Roman" w:hAnsi="Times New Roman"/>
                <w:b/>
              </w:rPr>
            </w:pPr>
            <w:r w:rsidRPr="00B043B4">
              <w:rPr>
                <w:rFonts w:ascii="Times New Roman" w:hAnsi="Times New Roman"/>
                <w:b/>
              </w:rPr>
              <w:t>Vybrané vplyvy  materiálu</w:t>
            </w:r>
          </w:p>
        </w:tc>
      </w:tr>
      <w:tr w:rsidR="00121CF7" w:rsidRPr="00B043B4" w:rsidTr="009431E3">
        <w:tc>
          <w:tcPr>
            <w:tcW w:w="3812" w:type="dxa"/>
            <w:tcBorders>
              <w:bottom w:val="nil"/>
            </w:tcBorders>
            <w:shd w:val="clear" w:color="auto" w:fill="E2E2E2"/>
          </w:tcPr>
          <w:p w:rsidR="00121CF7" w:rsidRPr="00775D53" w:rsidRDefault="00121CF7" w:rsidP="00121CF7">
            <w:pPr>
              <w:rPr>
                <w:rFonts w:ascii="Times New Roman" w:hAnsi="Times New Roman"/>
                <w:b/>
                <w:sz w:val="20"/>
                <w:szCs w:val="20"/>
                <w:lang w:eastAsia="sk-SK"/>
              </w:rPr>
            </w:pPr>
            <w:r w:rsidRPr="00775D53">
              <w:rPr>
                <w:rFonts w:ascii="Times New Roman" w:hAnsi="Times New Roman"/>
                <w:b/>
                <w:sz w:val="20"/>
                <w:szCs w:val="20"/>
                <w:lang w:eastAsia="sk-SK"/>
              </w:rPr>
              <w:t>Vplyvy na rozpočet verejnej správy</w:t>
            </w:r>
          </w:p>
        </w:tc>
        <w:tc>
          <w:tcPr>
            <w:tcW w:w="541" w:type="dxa"/>
            <w:gridSpan w:val="2"/>
            <w:tcBorders>
              <w:bottom w:val="dotted" w:sz="4" w:space="0" w:color="auto"/>
              <w:right w:val="nil"/>
            </w:tcBorders>
          </w:tcPr>
          <w:p w:rsidR="00121CF7" w:rsidRPr="00775D53" w:rsidRDefault="00121CF7" w:rsidP="00121CF7">
            <w:pPr>
              <w:jc w:val="center"/>
              <w:rPr>
                <w:rFonts w:ascii="Times New Roman" w:hAnsi="Times New Roman"/>
                <w:b/>
                <w:sz w:val="20"/>
                <w:szCs w:val="20"/>
                <w:lang w:eastAsia="sk-SK"/>
              </w:rPr>
            </w:pPr>
            <w:r w:rsidRPr="00775D53">
              <w:rPr>
                <w:rFonts w:ascii="Segoe UI Symbol" w:hAnsi="Segoe UI Symbol" w:cs="Segoe UI Symbol"/>
                <w:b/>
                <w:sz w:val="20"/>
                <w:szCs w:val="20"/>
                <w:lang w:eastAsia="sk-SK"/>
              </w:rPr>
              <w:t>☐</w:t>
            </w:r>
          </w:p>
        </w:tc>
        <w:tc>
          <w:tcPr>
            <w:tcW w:w="1312" w:type="dxa"/>
            <w:gridSpan w:val="2"/>
            <w:tcBorders>
              <w:left w:val="nil"/>
              <w:bottom w:val="dotted" w:sz="4" w:space="0" w:color="auto"/>
              <w:right w:val="nil"/>
            </w:tcBorders>
          </w:tcPr>
          <w:p w:rsidR="00121CF7" w:rsidRPr="00775D53" w:rsidRDefault="00121CF7" w:rsidP="00121CF7">
            <w:pPr>
              <w:rPr>
                <w:rFonts w:ascii="Times New Roman" w:hAnsi="Times New Roman"/>
                <w:b/>
                <w:sz w:val="20"/>
                <w:szCs w:val="20"/>
                <w:lang w:eastAsia="sk-SK"/>
              </w:rPr>
            </w:pPr>
            <w:r w:rsidRPr="00775D53">
              <w:rPr>
                <w:rFonts w:ascii="Times New Roman" w:hAnsi="Times New Roman"/>
                <w:b/>
                <w:sz w:val="20"/>
                <w:szCs w:val="20"/>
                <w:lang w:eastAsia="sk-SK"/>
              </w:rPr>
              <w:t>Pozitívne</w:t>
            </w:r>
          </w:p>
        </w:tc>
        <w:tc>
          <w:tcPr>
            <w:tcW w:w="538" w:type="dxa"/>
            <w:gridSpan w:val="2"/>
            <w:tcBorders>
              <w:left w:val="nil"/>
              <w:bottom w:val="dotted" w:sz="4" w:space="0" w:color="auto"/>
              <w:right w:val="nil"/>
            </w:tcBorders>
          </w:tcPr>
          <w:p w:rsidR="00121CF7" w:rsidRPr="00775D53" w:rsidRDefault="00121CF7" w:rsidP="00121CF7">
            <w:pPr>
              <w:jc w:val="center"/>
              <w:rPr>
                <w:rFonts w:ascii="Times New Roman" w:hAnsi="Times New Roman"/>
                <w:b/>
                <w:sz w:val="20"/>
                <w:szCs w:val="20"/>
                <w:lang w:eastAsia="sk-SK"/>
              </w:rPr>
            </w:pPr>
            <w:r w:rsidRPr="00775D53">
              <w:rPr>
                <w:rFonts w:ascii="Segoe UI Symbol" w:hAnsi="Segoe UI Symbol" w:cs="Segoe UI Symbol"/>
                <w:b/>
                <w:sz w:val="20"/>
                <w:szCs w:val="20"/>
                <w:lang w:eastAsia="sk-SK"/>
              </w:rPr>
              <w:t>☐</w:t>
            </w:r>
          </w:p>
        </w:tc>
        <w:tc>
          <w:tcPr>
            <w:tcW w:w="1133" w:type="dxa"/>
            <w:tcBorders>
              <w:left w:val="nil"/>
              <w:bottom w:val="dotted" w:sz="4" w:space="0" w:color="auto"/>
              <w:right w:val="nil"/>
            </w:tcBorders>
          </w:tcPr>
          <w:p w:rsidR="00121CF7" w:rsidRPr="00775D53" w:rsidRDefault="00121CF7" w:rsidP="00121CF7">
            <w:pPr>
              <w:rPr>
                <w:rFonts w:ascii="Times New Roman" w:hAnsi="Times New Roman"/>
                <w:b/>
                <w:sz w:val="20"/>
                <w:szCs w:val="20"/>
                <w:lang w:eastAsia="sk-SK"/>
              </w:rPr>
            </w:pPr>
            <w:r w:rsidRPr="00775D53">
              <w:rPr>
                <w:rFonts w:ascii="Times New Roman" w:hAnsi="Times New Roman"/>
                <w:b/>
                <w:sz w:val="20"/>
                <w:szCs w:val="20"/>
                <w:lang w:eastAsia="sk-SK"/>
              </w:rPr>
              <w:t>Žiadne</w:t>
            </w:r>
          </w:p>
        </w:tc>
        <w:tc>
          <w:tcPr>
            <w:tcW w:w="547" w:type="dxa"/>
            <w:gridSpan w:val="2"/>
            <w:tcBorders>
              <w:left w:val="nil"/>
              <w:bottom w:val="dotted" w:sz="4" w:space="0" w:color="auto"/>
              <w:right w:val="nil"/>
            </w:tcBorders>
          </w:tcPr>
          <w:p w:rsidR="00121CF7" w:rsidRPr="00775D53" w:rsidRDefault="00121CF7" w:rsidP="00121CF7">
            <w:pPr>
              <w:ind w:left="-107" w:right="-108"/>
              <w:jc w:val="center"/>
              <w:rPr>
                <w:rFonts w:ascii="Times New Roman" w:hAnsi="Times New Roman"/>
                <w:b/>
                <w:sz w:val="20"/>
                <w:szCs w:val="20"/>
                <w:lang w:eastAsia="sk-SK"/>
              </w:rPr>
            </w:pPr>
            <w:r w:rsidRPr="00775D53">
              <w:rPr>
                <w:rFonts w:ascii="MS Gothic" w:eastAsia="MS Gothic" w:hAnsi="MS Gothic" w:hint="eastAsia"/>
                <w:b/>
              </w:rPr>
              <w:t>☒</w:t>
            </w:r>
          </w:p>
        </w:tc>
        <w:tc>
          <w:tcPr>
            <w:tcW w:w="1297" w:type="dxa"/>
            <w:tcBorders>
              <w:left w:val="nil"/>
              <w:bottom w:val="dotted" w:sz="4" w:space="0" w:color="auto"/>
            </w:tcBorders>
          </w:tcPr>
          <w:p w:rsidR="00121CF7" w:rsidRPr="00775D53" w:rsidRDefault="00121CF7" w:rsidP="00121CF7">
            <w:pPr>
              <w:ind w:left="34"/>
              <w:rPr>
                <w:rFonts w:ascii="Times New Roman" w:hAnsi="Times New Roman"/>
                <w:b/>
                <w:sz w:val="20"/>
                <w:szCs w:val="20"/>
                <w:lang w:eastAsia="sk-SK"/>
              </w:rPr>
            </w:pPr>
            <w:r w:rsidRPr="00775D53">
              <w:rPr>
                <w:rFonts w:ascii="Times New Roman" w:hAnsi="Times New Roman"/>
                <w:b/>
                <w:sz w:val="20"/>
                <w:szCs w:val="20"/>
                <w:lang w:eastAsia="sk-SK"/>
              </w:rPr>
              <w:t>Negatívne</w:t>
            </w:r>
          </w:p>
        </w:tc>
      </w:tr>
      <w:tr w:rsidR="00C8789B" w:rsidRPr="00B043B4" w:rsidTr="009431E3">
        <w:tc>
          <w:tcPr>
            <w:tcW w:w="3812" w:type="dxa"/>
            <w:tcBorders>
              <w:top w:val="nil"/>
              <w:bottom w:val="single" w:sz="4" w:space="0" w:color="000000"/>
            </w:tcBorders>
            <w:shd w:val="clear" w:color="auto" w:fill="E2E2E2"/>
          </w:tcPr>
          <w:p w:rsidR="00C8789B" w:rsidRPr="00775D53" w:rsidRDefault="00C8789B" w:rsidP="00C8789B">
            <w:pPr>
              <w:rPr>
                <w:rFonts w:ascii="Times New Roman" w:hAnsi="Times New Roman"/>
                <w:sz w:val="20"/>
                <w:szCs w:val="20"/>
                <w:lang w:eastAsia="sk-SK"/>
              </w:rPr>
            </w:pPr>
            <w:r w:rsidRPr="00775D53">
              <w:rPr>
                <w:rFonts w:ascii="Times New Roman" w:hAnsi="Times New Roman"/>
                <w:sz w:val="20"/>
                <w:szCs w:val="20"/>
                <w:lang w:eastAsia="sk-SK"/>
              </w:rPr>
              <w:t xml:space="preserve">    z toho rozpočtovo zabezpečené vplyvy,         </w:t>
            </w:r>
          </w:p>
          <w:p w:rsidR="00C8789B" w:rsidRPr="00775D53" w:rsidRDefault="00C8789B" w:rsidP="00C8789B">
            <w:pPr>
              <w:rPr>
                <w:rFonts w:ascii="Times New Roman" w:hAnsi="Times New Roman"/>
                <w:sz w:val="20"/>
                <w:szCs w:val="20"/>
                <w:lang w:eastAsia="sk-SK"/>
              </w:rPr>
            </w:pPr>
            <w:r w:rsidRPr="00775D53">
              <w:rPr>
                <w:rFonts w:ascii="Times New Roman" w:hAnsi="Times New Roman"/>
                <w:sz w:val="20"/>
                <w:szCs w:val="20"/>
                <w:lang w:eastAsia="sk-SK"/>
              </w:rPr>
              <w:t xml:space="preserve">    v prípade identifikovaného negatívneho </w:t>
            </w:r>
          </w:p>
          <w:p w:rsidR="00C8789B" w:rsidRPr="00775D53" w:rsidRDefault="00C8789B" w:rsidP="00C8789B">
            <w:pPr>
              <w:rPr>
                <w:rFonts w:ascii="Times New Roman" w:hAnsi="Times New Roman"/>
                <w:sz w:val="20"/>
                <w:szCs w:val="20"/>
                <w:lang w:eastAsia="sk-SK"/>
              </w:rPr>
            </w:pPr>
            <w:r w:rsidRPr="00775D53">
              <w:rPr>
                <w:rFonts w:ascii="Times New Roman" w:hAnsi="Times New Roman"/>
                <w:sz w:val="20"/>
                <w:szCs w:val="20"/>
                <w:lang w:eastAsia="sk-SK"/>
              </w:rPr>
              <w:t xml:space="preserve">    vplyvu</w:t>
            </w:r>
          </w:p>
        </w:tc>
        <w:tc>
          <w:tcPr>
            <w:tcW w:w="541" w:type="dxa"/>
            <w:gridSpan w:val="2"/>
            <w:tcBorders>
              <w:top w:val="dotted" w:sz="4" w:space="0" w:color="auto"/>
              <w:right w:val="nil"/>
            </w:tcBorders>
          </w:tcPr>
          <w:p w:rsidR="00C8789B" w:rsidRPr="00775D53" w:rsidRDefault="000B5ECB" w:rsidP="00C8789B">
            <w:pPr>
              <w:jc w:val="center"/>
              <w:rPr>
                <w:rFonts w:ascii="Times New Roman" w:hAnsi="Times New Roman"/>
                <w:sz w:val="20"/>
                <w:szCs w:val="20"/>
                <w:lang w:eastAsia="sk-SK"/>
              </w:rPr>
            </w:pPr>
            <w:r w:rsidRPr="00775D53">
              <w:rPr>
                <w:rFonts w:ascii="MS Gothic" w:eastAsia="MS Gothic" w:hAnsi="MS Gothic" w:hint="eastAsia"/>
              </w:rPr>
              <w:t>☒</w:t>
            </w:r>
          </w:p>
        </w:tc>
        <w:tc>
          <w:tcPr>
            <w:tcW w:w="1312" w:type="dxa"/>
            <w:gridSpan w:val="2"/>
            <w:tcBorders>
              <w:top w:val="dotted" w:sz="4" w:space="0" w:color="auto"/>
              <w:left w:val="nil"/>
              <w:right w:val="nil"/>
            </w:tcBorders>
          </w:tcPr>
          <w:p w:rsidR="00C8789B" w:rsidRPr="00775D53" w:rsidRDefault="00C8789B" w:rsidP="00C8789B">
            <w:pPr>
              <w:rPr>
                <w:rFonts w:ascii="Times New Roman" w:hAnsi="Times New Roman"/>
                <w:sz w:val="20"/>
                <w:szCs w:val="20"/>
                <w:lang w:eastAsia="sk-SK"/>
              </w:rPr>
            </w:pPr>
            <w:r w:rsidRPr="00775D53">
              <w:rPr>
                <w:rFonts w:ascii="Times New Roman" w:hAnsi="Times New Roman"/>
                <w:sz w:val="20"/>
                <w:szCs w:val="20"/>
                <w:lang w:eastAsia="sk-SK"/>
              </w:rPr>
              <w:t>Áno</w:t>
            </w:r>
          </w:p>
        </w:tc>
        <w:tc>
          <w:tcPr>
            <w:tcW w:w="538" w:type="dxa"/>
            <w:gridSpan w:val="2"/>
            <w:tcBorders>
              <w:top w:val="dotted" w:sz="4" w:space="0" w:color="auto"/>
              <w:left w:val="nil"/>
              <w:right w:val="nil"/>
            </w:tcBorders>
          </w:tcPr>
          <w:p w:rsidR="00C8789B" w:rsidRPr="00775D53" w:rsidRDefault="00C8789B" w:rsidP="00C8789B">
            <w:pPr>
              <w:jc w:val="center"/>
              <w:rPr>
                <w:rFonts w:ascii="Times New Roman" w:hAnsi="Times New Roman"/>
                <w:sz w:val="20"/>
                <w:szCs w:val="20"/>
                <w:lang w:eastAsia="sk-SK"/>
              </w:rPr>
            </w:pPr>
            <w:r w:rsidRPr="00775D53">
              <w:rPr>
                <w:rFonts w:ascii="Segoe UI Symbol" w:hAnsi="Segoe UI Symbol" w:cs="Segoe UI Symbol"/>
                <w:sz w:val="20"/>
                <w:szCs w:val="20"/>
                <w:lang w:eastAsia="sk-SK"/>
              </w:rPr>
              <w:t>☐</w:t>
            </w:r>
          </w:p>
        </w:tc>
        <w:tc>
          <w:tcPr>
            <w:tcW w:w="1133" w:type="dxa"/>
            <w:tcBorders>
              <w:top w:val="dotted" w:sz="4" w:space="0" w:color="auto"/>
              <w:left w:val="nil"/>
              <w:right w:val="nil"/>
            </w:tcBorders>
          </w:tcPr>
          <w:p w:rsidR="00C8789B" w:rsidRPr="00775D53" w:rsidRDefault="00C8789B" w:rsidP="00C8789B">
            <w:pPr>
              <w:rPr>
                <w:rFonts w:ascii="Times New Roman" w:hAnsi="Times New Roman"/>
                <w:sz w:val="20"/>
                <w:szCs w:val="20"/>
                <w:lang w:eastAsia="sk-SK"/>
              </w:rPr>
            </w:pPr>
            <w:r w:rsidRPr="00775D53">
              <w:rPr>
                <w:rFonts w:ascii="Times New Roman" w:hAnsi="Times New Roman"/>
                <w:sz w:val="20"/>
                <w:szCs w:val="20"/>
                <w:lang w:eastAsia="sk-SK"/>
              </w:rPr>
              <w:t>Nie</w:t>
            </w:r>
          </w:p>
        </w:tc>
        <w:tc>
          <w:tcPr>
            <w:tcW w:w="547" w:type="dxa"/>
            <w:gridSpan w:val="2"/>
            <w:tcBorders>
              <w:top w:val="dotted" w:sz="4" w:space="0" w:color="auto"/>
              <w:left w:val="nil"/>
              <w:right w:val="nil"/>
            </w:tcBorders>
          </w:tcPr>
          <w:p w:rsidR="00C8789B" w:rsidRPr="00775D53" w:rsidRDefault="000B5ECB" w:rsidP="00C8789B">
            <w:pPr>
              <w:ind w:left="-107" w:right="-108"/>
              <w:jc w:val="center"/>
              <w:rPr>
                <w:rFonts w:ascii="Times New Roman" w:hAnsi="Times New Roman"/>
                <w:sz w:val="20"/>
                <w:szCs w:val="20"/>
                <w:lang w:eastAsia="sk-SK"/>
              </w:rPr>
            </w:pPr>
            <w:r w:rsidRPr="00775D53">
              <w:rPr>
                <w:rFonts w:ascii="Segoe UI Symbol" w:hAnsi="Segoe UI Symbol" w:cs="Segoe UI Symbol"/>
                <w:sz w:val="20"/>
                <w:szCs w:val="20"/>
                <w:lang w:eastAsia="sk-SK"/>
              </w:rPr>
              <w:t>☐</w:t>
            </w:r>
          </w:p>
        </w:tc>
        <w:tc>
          <w:tcPr>
            <w:tcW w:w="1297" w:type="dxa"/>
            <w:tcBorders>
              <w:top w:val="dotted" w:sz="4" w:space="0" w:color="auto"/>
              <w:left w:val="nil"/>
            </w:tcBorders>
          </w:tcPr>
          <w:p w:rsidR="00C8789B" w:rsidRPr="00775D53" w:rsidRDefault="00C8789B" w:rsidP="00C8789B">
            <w:pPr>
              <w:ind w:left="34"/>
              <w:rPr>
                <w:rFonts w:ascii="Times New Roman" w:hAnsi="Times New Roman"/>
                <w:sz w:val="20"/>
                <w:szCs w:val="20"/>
                <w:lang w:eastAsia="sk-SK"/>
              </w:rPr>
            </w:pPr>
            <w:r w:rsidRPr="00775D53">
              <w:rPr>
                <w:rFonts w:ascii="Times New Roman" w:hAnsi="Times New Roman"/>
                <w:sz w:val="20"/>
                <w:szCs w:val="20"/>
                <w:lang w:eastAsia="sk-SK"/>
              </w:rPr>
              <w:t>Čiastočne</w:t>
            </w:r>
          </w:p>
        </w:tc>
      </w:tr>
      <w:tr w:rsidR="00C8789B" w:rsidRPr="00B043B4" w:rsidTr="009431E3">
        <w:tc>
          <w:tcPr>
            <w:tcW w:w="3812" w:type="dxa"/>
            <w:tcBorders>
              <w:top w:val="single" w:sz="4" w:space="0" w:color="000000"/>
              <w:bottom w:val="nil"/>
            </w:tcBorders>
            <w:shd w:val="clear" w:color="auto" w:fill="E2E2E2"/>
          </w:tcPr>
          <w:p w:rsidR="00C8789B" w:rsidRPr="00B043B4" w:rsidRDefault="00C8789B" w:rsidP="00C8789B">
            <w:pPr>
              <w:rPr>
                <w:rFonts w:ascii="Times New Roman" w:hAnsi="Times New Roman"/>
                <w:b/>
                <w:sz w:val="20"/>
                <w:szCs w:val="20"/>
                <w:lang w:eastAsia="sk-SK"/>
              </w:rPr>
            </w:pPr>
            <w:r w:rsidRPr="00B043B4">
              <w:rPr>
                <w:rFonts w:ascii="Times New Roman" w:hAnsi="Times New Roman"/>
                <w:b/>
                <w:sz w:val="20"/>
                <w:szCs w:val="20"/>
                <w:lang w:eastAsia="sk-SK"/>
              </w:rPr>
              <w:t>Vplyvy na podnikateľské prostredie</w:t>
            </w:r>
          </w:p>
        </w:tc>
        <w:tc>
          <w:tcPr>
            <w:tcW w:w="541" w:type="dxa"/>
            <w:gridSpan w:val="2"/>
            <w:tcBorders>
              <w:bottom w:val="dotted" w:sz="4" w:space="0" w:color="auto"/>
              <w:right w:val="nil"/>
            </w:tcBorders>
          </w:tcPr>
          <w:p w:rsidR="00C8789B" w:rsidRPr="00B043B4" w:rsidRDefault="00C8789B" w:rsidP="00C8789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bottom w:val="dotted" w:sz="4" w:space="0" w:color="auto"/>
              <w:right w:val="nil"/>
            </w:tcBorders>
          </w:tcPr>
          <w:p w:rsidR="00C8789B" w:rsidRPr="00B043B4" w:rsidRDefault="00C8789B" w:rsidP="00C8789B">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bottom w:val="dotted" w:sz="4" w:space="0" w:color="auto"/>
              <w:right w:val="nil"/>
            </w:tcBorders>
          </w:tcPr>
          <w:p w:rsidR="00C8789B" w:rsidRPr="00B043B4" w:rsidRDefault="00C8789B" w:rsidP="00C8789B">
            <w:pPr>
              <w:jc w:val="center"/>
              <w:rPr>
                <w:rFonts w:ascii="Times New Roman" w:hAnsi="Times New Roman"/>
                <w:b/>
                <w:sz w:val="20"/>
                <w:szCs w:val="20"/>
                <w:lang w:eastAsia="sk-SK"/>
              </w:rPr>
            </w:pPr>
            <w:r w:rsidRPr="00A73EE0">
              <w:rPr>
                <w:rFonts w:ascii="MS Gothic" w:eastAsia="MS Gothic" w:hAnsi="MS Gothic" w:hint="eastAsia"/>
                <w:b/>
              </w:rPr>
              <w:t>☒</w:t>
            </w:r>
          </w:p>
        </w:tc>
        <w:tc>
          <w:tcPr>
            <w:tcW w:w="1133" w:type="dxa"/>
            <w:tcBorders>
              <w:left w:val="nil"/>
              <w:bottom w:val="dotted" w:sz="4" w:space="0" w:color="auto"/>
              <w:right w:val="nil"/>
            </w:tcBorders>
          </w:tcPr>
          <w:p w:rsidR="00C8789B" w:rsidRPr="00B043B4" w:rsidRDefault="00C8789B" w:rsidP="00C8789B">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bottom w:val="dotted" w:sz="4" w:space="0" w:color="auto"/>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297" w:type="dxa"/>
            <w:tcBorders>
              <w:left w:val="nil"/>
              <w:bottom w:val="dotted" w:sz="4" w:space="0" w:color="auto"/>
            </w:tcBorders>
          </w:tcPr>
          <w:p w:rsidR="00C8789B" w:rsidRPr="00B043B4" w:rsidRDefault="00C8789B" w:rsidP="00C8789B">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C8789B" w:rsidRPr="00B043B4" w:rsidTr="009431E3">
        <w:tc>
          <w:tcPr>
            <w:tcW w:w="3812" w:type="dxa"/>
            <w:tcBorders>
              <w:top w:val="nil"/>
              <w:left w:val="single" w:sz="4" w:space="0" w:color="000000"/>
              <w:bottom w:val="nil"/>
              <w:right w:val="single" w:sz="4" w:space="0" w:color="000000"/>
            </w:tcBorders>
            <w:shd w:val="clear" w:color="auto" w:fill="E2E2E2"/>
          </w:tcPr>
          <w:p w:rsidR="00C8789B" w:rsidRPr="00B043B4" w:rsidRDefault="00C8789B" w:rsidP="00C8789B">
            <w:pPr>
              <w:rPr>
                <w:rFonts w:ascii="Times New Roman" w:hAnsi="Times New Roman"/>
                <w:sz w:val="20"/>
                <w:szCs w:val="20"/>
                <w:lang w:eastAsia="sk-SK"/>
              </w:rPr>
            </w:pPr>
            <w:r w:rsidRPr="00B043B4">
              <w:rPr>
                <w:rFonts w:ascii="Times New Roman" w:hAnsi="Times New Roman"/>
                <w:sz w:val="20"/>
                <w:szCs w:val="20"/>
                <w:lang w:eastAsia="sk-SK"/>
              </w:rPr>
              <w:t xml:space="preserve"> </w:t>
            </w:r>
            <w:r>
              <w:rPr>
                <w:rFonts w:ascii="Times New Roman" w:hAnsi="Times New Roman"/>
                <w:sz w:val="20"/>
                <w:szCs w:val="20"/>
                <w:lang w:eastAsia="sk-SK"/>
              </w:rPr>
              <w:t xml:space="preserve">   </w:t>
            </w:r>
            <w:r w:rsidRPr="00B043B4">
              <w:rPr>
                <w:rFonts w:ascii="Times New Roman" w:hAnsi="Times New Roman"/>
                <w:sz w:val="20"/>
                <w:szCs w:val="20"/>
                <w:lang w:eastAsia="sk-SK"/>
              </w:rPr>
              <w:t>z toho vplyvy na MSP</w:t>
            </w:r>
          </w:p>
          <w:p w:rsidR="00C8789B" w:rsidRPr="00B043B4" w:rsidRDefault="00C8789B" w:rsidP="00C8789B">
            <w:pPr>
              <w:rPr>
                <w:rFonts w:ascii="Times New Roman" w:hAnsi="Times New Roman"/>
                <w:sz w:val="20"/>
                <w:szCs w:val="20"/>
                <w:lang w:eastAsia="sk-SK"/>
              </w:rPr>
            </w:pPr>
          </w:p>
        </w:tc>
        <w:tc>
          <w:tcPr>
            <w:tcW w:w="541" w:type="dxa"/>
            <w:gridSpan w:val="2"/>
            <w:tcBorders>
              <w:top w:val="dotted" w:sz="4" w:space="0" w:color="auto"/>
              <w:left w:val="single" w:sz="4" w:space="0" w:color="000000"/>
              <w:bottom w:val="dotted" w:sz="4" w:space="0" w:color="auto"/>
              <w:right w:val="nil"/>
            </w:tcBorders>
          </w:tcPr>
          <w:p w:rsidR="00C8789B" w:rsidRPr="00B043B4" w:rsidRDefault="00C8789B" w:rsidP="00C8789B">
            <w:pPr>
              <w:jc w:val="center"/>
              <w:rPr>
                <w:rFonts w:ascii="Times New Roman" w:hAnsi="Times New Roman"/>
                <w:sz w:val="20"/>
                <w:szCs w:val="20"/>
                <w:lang w:eastAsia="sk-SK"/>
              </w:rPr>
            </w:pPr>
            <w:r w:rsidRPr="00B043B4">
              <w:rPr>
                <w:rFonts w:ascii="Segoe UI Symbol" w:hAnsi="Segoe UI Symbol" w:cs="Segoe UI Symbol"/>
                <w:sz w:val="20"/>
                <w:szCs w:val="20"/>
                <w:lang w:eastAsia="sk-SK"/>
              </w:rPr>
              <w:t>☐</w:t>
            </w:r>
          </w:p>
        </w:tc>
        <w:tc>
          <w:tcPr>
            <w:tcW w:w="1312" w:type="dxa"/>
            <w:gridSpan w:val="2"/>
            <w:tcBorders>
              <w:top w:val="dotted" w:sz="4" w:space="0" w:color="auto"/>
              <w:left w:val="nil"/>
              <w:bottom w:val="dotted" w:sz="4" w:space="0" w:color="auto"/>
              <w:right w:val="nil"/>
            </w:tcBorders>
          </w:tcPr>
          <w:p w:rsidR="00C8789B" w:rsidRPr="00B043B4" w:rsidRDefault="00C8789B" w:rsidP="00C8789B">
            <w:pPr>
              <w:ind w:right="-108"/>
              <w:rPr>
                <w:rFonts w:ascii="Times New Roman" w:hAnsi="Times New Roman"/>
                <w:sz w:val="20"/>
                <w:szCs w:val="20"/>
                <w:lang w:eastAsia="sk-SK"/>
              </w:rPr>
            </w:pPr>
            <w:r w:rsidRPr="00B043B4">
              <w:rPr>
                <w:rFonts w:ascii="Times New Roman" w:hAnsi="Times New Roman"/>
                <w:sz w:val="20"/>
                <w:szCs w:val="20"/>
                <w:lang w:eastAsia="sk-SK"/>
              </w:rPr>
              <w:t>Pozitívne</w:t>
            </w:r>
          </w:p>
        </w:tc>
        <w:tc>
          <w:tcPr>
            <w:tcW w:w="538" w:type="dxa"/>
            <w:gridSpan w:val="2"/>
            <w:tcBorders>
              <w:top w:val="dotted" w:sz="4" w:space="0" w:color="auto"/>
              <w:left w:val="nil"/>
              <w:bottom w:val="dotted" w:sz="4" w:space="0" w:color="auto"/>
              <w:right w:val="nil"/>
            </w:tcBorders>
          </w:tcPr>
          <w:p w:rsidR="00C8789B" w:rsidRPr="00B043B4" w:rsidRDefault="00C8789B" w:rsidP="00C8789B">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tcPr>
          <w:p w:rsidR="00C8789B" w:rsidRPr="00B043B4" w:rsidRDefault="00C8789B" w:rsidP="00C8789B">
            <w:pPr>
              <w:rPr>
                <w:rFonts w:ascii="Times New Roman" w:hAnsi="Times New Roman"/>
                <w:sz w:val="20"/>
                <w:szCs w:val="20"/>
                <w:lang w:eastAsia="sk-SK"/>
              </w:rPr>
            </w:pPr>
            <w:r w:rsidRPr="00B043B4">
              <w:rPr>
                <w:rFonts w:ascii="Times New Roman" w:hAnsi="Times New Roman"/>
                <w:sz w:val="20"/>
                <w:szCs w:val="20"/>
                <w:lang w:eastAsia="sk-SK"/>
              </w:rPr>
              <w:t>Žiadne</w:t>
            </w:r>
          </w:p>
        </w:tc>
        <w:tc>
          <w:tcPr>
            <w:tcW w:w="547" w:type="dxa"/>
            <w:gridSpan w:val="2"/>
            <w:tcBorders>
              <w:top w:val="dotted" w:sz="4" w:space="0" w:color="auto"/>
              <w:left w:val="nil"/>
              <w:bottom w:val="dotted" w:sz="4" w:space="0" w:color="auto"/>
              <w:right w:val="nil"/>
            </w:tcBorders>
          </w:tcPr>
          <w:p w:rsidR="00C8789B" w:rsidRPr="00B043B4" w:rsidRDefault="00C8789B" w:rsidP="00C8789B">
            <w:pPr>
              <w:jc w:val="center"/>
              <w:rPr>
                <w:rFonts w:ascii="Times New Roman" w:hAnsi="Times New Roman"/>
                <w:sz w:val="20"/>
                <w:szCs w:val="20"/>
                <w:lang w:eastAsia="sk-SK"/>
              </w:rPr>
            </w:pPr>
            <w:r w:rsidRPr="00B043B4">
              <w:rPr>
                <w:rFonts w:ascii="Segoe UI Symbol" w:hAnsi="Segoe UI Symbol" w:cs="Segoe UI Symbol"/>
                <w:sz w:val="20"/>
                <w:szCs w:val="20"/>
                <w:lang w:eastAsia="sk-SK"/>
              </w:rPr>
              <w:t>☐</w:t>
            </w:r>
          </w:p>
        </w:tc>
        <w:tc>
          <w:tcPr>
            <w:tcW w:w="1297" w:type="dxa"/>
            <w:tcBorders>
              <w:top w:val="dotted" w:sz="4" w:space="0" w:color="auto"/>
              <w:left w:val="nil"/>
              <w:bottom w:val="dotted" w:sz="4" w:space="0" w:color="auto"/>
            </w:tcBorders>
          </w:tcPr>
          <w:p w:rsidR="00C8789B" w:rsidRPr="00B043B4" w:rsidRDefault="00C8789B" w:rsidP="00C8789B">
            <w:pPr>
              <w:ind w:left="54"/>
              <w:rPr>
                <w:rFonts w:ascii="Times New Roman" w:hAnsi="Times New Roman"/>
                <w:sz w:val="20"/>
                <w:szCs w:val="20"/>
                <w:lang w:eastAsia="sk-SK"/>
              </w:rPr>
            </w:pPr>
            <w:r w:rsidRPr="00B043B4">
              <w:rPr>
                <w:rFonts w:ascii="Times New Roman" w:hAnsi="Times New Roman"/>
                <w:sz w:val="20"/>
                <w:szCs w:val="20"/>
                <w:lang w:eastAsia="sk-SK"/>
              </w:rPr>
              <w:t>Negatívne</w:t>
            </w:r>
          </w:p>
        </w:tc>
      </w:tr>
      <w:tr w:rsidR="00C8789B" w:rsidRPr="00B043B4" w:rsidTr="000800FC">
        <w:tc>
          <w:tcPr>
            <w:tcW w:w="3812" w:type="dxa"/>
            <w:tcBorders>
              <w:top w:val="nil"/>
            </w:tcBorders>
            <w:shd w:val="clear" w:color="auto" w:fill="E2E2E2"/>
          </w:tcPr>
          <w:p w:rsidR="00C8789B" w:rsidRDefault="00C8789B" w:rsidP="00C8789B">
            <w:pPr>
              <w:rPr>
                <w:rFonts w:ascii="Times New Roman" w:hAnsi="Times New Roman"/>
                <w:sz w:val="20"/>
                <w:szCs w:val="20"/>
                <w:lang w:eastAsia="sk-SK"/>
              </w:rPr>
            </w:pPr>
            <w:r>
              <w:rPr>
                <w:rFonts w:ascii="Times New Roman" w:hAnsi="Times New Roman"/>
                <w:sz w:val="20"/>
                <w:szCs w:val="20"/>
                <w:lang w:eastAsia="sk-SK"/>
              </w:rPr>
              <w:t xml:space="preserve">    </w:t>
            </w:r>
            <w:r w:rsidRPr="00B043B4">
              <w:rPr>
                <w:rFonts w:ascii="Times New Roman" w:hAnsi="Times New Roman"/>
                <w:sz w:val="20"/>
                <w:szCs w:val="20"/>
                <w:lang w:eastAsia="sk-SK"/>
              </w:rPr>
              <w:t xml:space="preserve">Mechanizmus znižovania byrokracie </w:t>
            </w:r>
            <w:r>
              <w:rPr>
                <w:rFonts w:ascii="Times New Roman" w:hAnsi="Times New Roman"/>
                <w:sz w:val="20"/>
                <w:szCs w:val="20"/>
                <w:lang w:eastAsia="sk-SK"/>
              </w:rPr>
              <w:t xml:space="preserve">   </w:t>
            </w:r>
          </w:p>
          <w:p w:rsidR="00C8789B" w:rsidRPr="00B043B4" w:rsidRDefault="00C8789B" w:rsidP="00C8789B">
            <w:pPr>
              <w:rPr>
                <w:rFonts w:ascii="Times New Roman" w:hAnsi="Times New Roman"/>
                <w:b/>
                <w:sz w:val="20"/>
                <w:szCs w:val="20"/>
                <w:lang w:eastAsia="sk-SK"/>
              </w:rPr>
            </w:pPr>
            <w:r>
              <w:rPr>
                <w:rFonts w:ascii="Times New Roman" w:hAnsi="Times New Roman"/>
                <w:sz w:val="20"/>
                <w:szCs w:val="20"/>
                <w:lang w:eastAsia="sk-SK"/>
              </w:rPr>
              <w:t xml:space="preserve">    </w:t>
            </w:r>
            <w:r w:rsidRPr="00B043B4">
              <w:rPr>
                <w:rFonts w:ascii="Times New Roman" w:hAnsi="Times New Roman"/>
                <w:sz w:val="20"/>
                <w:szCs w:val="20"/>
                <w:lang w:eastAsia="sk-SK"/>
              </w:rPr>
              <w:t>a nákladov sa uplatňuje:</w:t>
            </w:r>
          </w:p>
        </w:tc>
        <w:tc>
          <w:tcPr>
            <w:tcW w:w="541" w:type="dxa"/>
            <w:gridSpan w:val="2"/>
            <w:tcBorders>
              <w:top w:val="dotted" w:sz="4" w:space="0" w:color="auto"/>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sz w:val="20"/>
                <w:szCs w:val="20"/>
                <w:lang w:eastAsia="sk-SK"/>
              </w:rPr>
              <w:t>☐</w:t>
            </w:r>
          </w:p>
        </w:tc>
        <w:tc>
          <w:tcPr>
            <w:tcW w:w="1596" w:type="dxa"/>
            <w:gridSpan w:val="3"/>
            <w:tcBorders>
              <w:top w:val="dotted" w:sz="4" w:space="0" w:color="auto"/>
              <w:left w:val="nil"/>
              <w:right w:val="nil"/>
            </w:tcBorders>
          </w:tcPr>
          <w:p w:rsidR="00C8789B" w:rsidRPr="00B043B4" w:rsidRDefault="00C8789B" w:rsidP="00C8789B">
            <w:pPr>
              <w:ind w:right="-108"/>
              <w:rPr>
                <w:rFonts w:ascii="Times New Roman" w:hAnsi="Times New Roman"/>
                <w:b/>
                <w:sz w:val="20"/>
                <w:szCs w:val="20"/>
                <w:lang w:eastAsia="sk-SK"/>
              </w:rPr>
            </w:pPr>
            <w:r w:rsidRPr="00B043B4">
              <w:rPr>
                <w:rFonts w:ascii="Times New Roman" w:hAnsi="Times New Roman"/>
                <w:sz w:val="20"/>
                <w:szCs w:val="20"/>
                <w:lang w:eastAsia="sk-SK"/>
              </w:rPr>
              <w:t>Áno</w:t>
            </w:r>
          </w:p>
        </w:tc>
        <w:tc>
          <w:tcPr>
            <w:tcW w:w="254" w:type="dxa"/>
            <w:tcBorders>
              <w:top w:val="dotted" w:sz="4" w:space="0" w:color="auto"/>
              <w:left w:val="nil"/>
              <w:right w:val="nil"/>
            </w:tcBorders>
          </w:tcPr>
          <w:p w:rsidR="00C8789B" w:rsidRPr="00B043B4" w:rsidRDefault="00C8789B" w:rsidP="00C8789B">
            <w:pPr>
              <w:jc w:val="center"/>
              <w:rPr>
                <w:rFonts w:ascii="Times New Roman" w:hAnsi="Times New Roman"/>
                <w:b/>
                <w:sz w:val="20"/>
                <w:szCs w:val="20"/>
                <w:lang w:eastAsia="sk-SK"/>
              </w:rPr>
            </w:pPr>
          </w:p>
        </w:tc>
        <w:tc>
          <w:tcPr>
            <w:tcW w:w="1133" w:type="dxa"/>
            <w:tcBorders>
              <w:top w:val="dotted" w:sz="4" w:space="0" w:color="auto"/>
              <w:left w:val="nil"/>
              <w:right w:val="nil"/>
            </w:tcBorders>
          </w:tcPr>
          <w:p w:rsidR="00C8789B" w:rsidRPr="00B043B4" w:rsidRDefault="00C8789B" w:rsidP="00C8789B">
            <w:pPr>
              <w:rPr>
                <w:rFonts w:ascii="Times New Roman" w:hAnsi="Times New Roman"/>
                <w:b/>
                <w:sz w:val="20"/>
                <w:szCs w:val="20"/>
                <w:lang w:eastAsia="sk-SK"/>
              </w:rPr>
            </w:pPr>
          </w:p>
        </w:tc>
        <w:tc>
          <w:tcPr>
            <w:tcW w:w="547" w:type="dxa"/>
            <w:gridSpan w:val="2"/>
            <w:tcBorders>
              <w:top w:val="dotted" w:sz="4" w:space="0" w:color="auto"/>
              <w:left w:val="nil"/>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sz w:val="20"/>
                <w:szCs w:val="20"/>
                <w:lang w:eastAsia="sk-SK"/>
              </w:rPr>
              <w:t>☐</w:t>
            </w:r>
          </w:p>
        </w:tc>
        <w:tc>
          <w:tcPr>
            <w:tcW w:w="1297" w:type="dxa"/>
            <w:tcBorders>
              <w:top w:val="dotted" w:sz="4" w:space="0" w:color="auto"/>
              <w:left w:val="nil"/>
            </w:tcBorders>
          </w:tcPr>
          <w:p w:rsidR="00C8789B" w:rsidRPr="00B043B4" w:rsidRDefault="00C8789B" w:rsidP="00C8789B">
            <w:pPr>
              <w:ind w:left="54"/>
              <w:rPr>
                <w:rFonts w:ascii="Times New Roman" w:hAnsi="Times New Roman"/>
                <w:b/>
                <w:sz w:val="20"/>
                <w:szCs w:val="20"/>
                <w:lang w:eastAsia="sk-SK"/>
              </w:rPr>
            </w:pPr>
            <w:r w:rsidRPr="00B043B4">
              <w:rPr>
                <w:rFonts w:ascii="Times New Roman" w:hAnsi="Times New Roman"/>
                <w:sz w:val="20"/>
                <w:szCs w:val="20"/>
                <w:lang w:eastAsia="sk-SK"/>
              </w:rPr>
              <w:t>Nie</w:t>
            </w:r>
          </w:p>
        </w:tc>
      </w:tr>
      <w:tr w:rsidR="00C8789B" w:rsidRPr="00B043B4" w:rsidTr="009431E3">
        <w:tc>
          <w:tcPr>
            <w:tcW w:w="3812" w:type="dxa"/>
            <w:tcBorders>
              <w:top w:val="single" w:sz="4" w:space="0" w:color="000000"/>
            </w:tcBorders>
            <w:shd w:val="clear" w:color="auto" w:fill="E2E2E2"/>
          </w:tcPr>
          <w:p w:rsidR="00C8789B" w:rsidRPr="00B043B4" w:rsidRDefault="00C8789B" w:rsidP="00C8789B">
            <w:pPr>
              <w:rPr>
                <w:rFonts w:ascii="Times New Roman" w:hAnsi="Times New Roman"/>
                <w:b/>
                <w:sz w:val="20"/>
                <w:szCs w:val="20"/>
                <w:lang w:eastAsia="sk-SK"/>
              </w:rPr>
            </w:pPr>
            <w:r w:rsidRPr="00B043B4">
              <w:rPr>
                <w:rFonts w:ascii="Times New Roman" w:hAnsi="Times New Roman"/>
                <w:b/>
                <w:sz w:val="20"/>
                <w:szCs w:val="20"/>
                <w:lang w:eastAsia="sk-SK"/>
              </w:rPr>
              <w:t>Sociálne vplyvy</w:t>
            </w:r>
          </w:p>
        </w:tc>
        <w:tc>
          <w:tcPr>
            <w:tcW w:w="541" w:type="dxa"/>
            <w:gridSpan w:val="2"/>
            <w:tcBorders>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312" w:type="dxa"/>
            <w:gridSpan w:val="2"/>
            <w:tcBorders>
              <w:left w:val="nil"/>
              <w:right w:val="nil"/>
            </w:tcBorders>
          </w:tcPr>
          <w:p w:rsidR="00C8789B" w:rsidRPr="00B043B4" w:rsidRDefault="00C8789B" w:rsidP="00C8789B">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C8789B" w:rsidRPr="00B043B4" w:rsidRDefault="00C8789B" w:rsidP="00C8789B">
            <w:pPr>
              <w:jc w:val="center"/>
              <w:rPr>
                <w:rFonts w:ascii="Times New Roman" w:hAnsi="Times New Roman"/>
                <w:b/>
                <w:sz w:val="20"/>
                <w:szCs w:val="20"/>
                <w:lang w:eastAsia="sk-SK"/>
              </w:rPr>
            </w:pPr>
            <w:r w:rsidRPr="00A73EE0">
              <w:rPr>
                <w:rFonts w:ascii="MS Gothic" w:eastAsia="MS Gothic" w:hAnsi="MS Gothic" w:hint="eastAsia"/>
                <w:b/>
              </w:rPr>
              <w:t>☒</w:t>
            </w:r>
          </w:p>
        </w:tc>
        <w:tc>
          <w:tcPr>
            <w:tcW w:w="1133" w:type="dxa"/>
            <w:tcBorders>
              <w:left w:val="nil"/>
              <w:right w:val="nil"/>
            </w:tcBorders>
          </w:tcPr>
          <w:p w:rsidR="00C8789B" w:rsidRPr="00B043B4" w:rsidRDefault="00C8789B" w:rsidP="00C8789B">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297" w:type="dxa"/>
            <w:tcBorders>
              <w:left w:val="nil"/>
            </w:tcBorders>
          </w:tcPr>
          <w:p w:rsidR="00C8789B" w:rsidRPr="00B043B4" w:rsidRDefault="00C8789B" w:rsidP="00C8789B">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C8789B" w:rsidRPr="00B043B4" w:rsidTr="009431E3">
        <w:tc>
          <w:tcPr>
            <w:tcW w:w="3812" w:type="dxa"/>
            <w:shd w:val="clear" w:color="auto" w:fill="E2E2E2"/>
          </w:tcPr>
          <w:p w:rsidR="00C8789B" w:rsidRPr="00B043B4" w:rsidRDefault="00C8789B" w:rsidP="00C8789B">
            <w:pPr>
              <w:rPr>
                <w:rFonts w:ascii="Times New Roman" w:hAnsi="Times New Roman"/>
                <w:b/>
                <w:sz w:val="20"/>
                <w:szCs w:val="20"/>
                <w:lang w:eastAsia="sk-SK"/>
              </w:rPr>
            </w:pPr>
            <w:r w:rsidRPr="00B043B4">
              <w:rPr>
                <w:rFonts w:ascii="Times New Roman" w:hAnsi="Times New Roman"/>
                <w:b/>
                <w:sz w:val="20"/>
                <w:szCs w:val="20"/>
                <w:lang w:eastAsia="sk-SK"/>
              </w:rPr>
              <w:t>Vplyvy na životné prostredie</w:t>
            </w:r>
          </w:p>
        </w:tc>
        <w:tc>
          <w:tcPr>
            <w:tcW w:w="541" w:type="dxa"/>
            <w:gridSpan w:val="2"/>
            <w:tcBorders>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312" w:type="dxa"/>
            <w:gridSpan w:val="2"/>
            <w:tcBorders>
              <w:left w:val="nil"/>
              <w:right w:val="nil"/>
            </w:tcBorders>
          </w:tcPr>
          <w:p w:rsidR="00C8789B" w:rsidRPr="00B043B4" w:rsidRDefault="00C8789B" w:rsidP="00C8789B">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C8789B" w:rsidRPr="00B043B4" w:rsidRDefault="00C8789B" w:rsidP="00C8789B">
            <w:pPr>
              <w:jc w:val="center"/>
              <w:rPr>
                <w:rFonts w:ascii="Times New Roman" w:hAnsi="Times New Roman"/>
                <w:b/>
                <w:sz w:val="20"/>
                <w:szCs w:val="20"/>
                <w:lang w:eastAsia="sk-SK"/>
              </w:rPr>
            </w:pPr>
            <w:r w:rsidRPr="00A73EE0">
              <w:rPr>
                <w:rFonts w:ascii="MS Gothic" w:eastAsia="MS Gothic" w:hAnsi="MS Gothic" w:hint="eastAsia"/>
                <w:b/>
              </w:rPr>
              <w:t>☒</w:t>
            </w:r>
          </w:p>
        </w:tc>
        <w:tc>
          <w:tcPr>
            <w:tcW w:w="1133" w:type="dxa"/>
            <w:tcBorders>
              <w:left w:val="nil"/>
              <w:right w:val="nil"/>
            </w:tcBorders>
          </w:tcPr>
          <w:p w:rsidR="00C8789B" w:rsidRPr="00B043B4" w:rsidRDefault="00C8789B" w:rsidP="00C8789B">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297" w:type="dxa"/>
            <w:tcBorders>
              <w:left w:val="nil"/>
            </w:tcBorders>
          </w:tcPr>
          <w:p w:rsidR="00C8789B" w:rsidRPr="00B043B4" w:rsidRDefault="00C8789B" w:rsidP="00C8789B">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C8789B" w:rsidRPr="00B043B4" w:rsidTr="009431E3">
        <w:tc>
          <w:tcPr>
            <w:tcW w:w="3812" w:type="dxa"/>
            <w:shd w:val="clear" w:color="auto" w:fill="E2E2E2"/>
          </w:tcPr>
          <w:p w:rsidR="00C8789B" w:rsidRPr="00B043B4" w:rsidRDefault="00C8789B" w:rsidP="00C8789B">
            <w:pPr>
              <w:rPr>
                <w:rFonts w:ascii="Times New Roman" w:hAnsi="Times New Roman"/>
                <w:b/>
                <w:sz w:val="20"/>
                <w:szCs w:val="20"/>
                <w:lang w:eastAsia="sk-SK"/>
              </w:rPr>
            </w:pPr>
            <w:r w:rsidRPr="00B043B4">
              <w:rPr>
                <w:rFonts w:ascii="Times New Roman" w:hAnsi="Times New Roman"/>
                <w:b/>
                <w:sz w:val="20"/>
                <w:szCs w:val="20"/>
                <w:lang w:eastAsia="sk-SK"/>
              </w:rPr>
              <w:t>Vplyvy na informatizáciu</w:t>
            </w:r>
            <w:r>
              <w:rPr>
                <w:rFonts w:ascii="Times New Roman" w:hAnsi="Times New Roman"/>
                <w:b/>
                <w:sz w:val="20"/>
                <w:szCs w:val="20"/>
                <w:lang w:eastAsia="sk-SK"/>
              </w:rPr>
              <w:t xml:space="preserve"> spoločnosti</w:t>
            </w:r>
          </w:p>
        </w:tc>
        <w:tc>
          <w:tcPr>
            <w:tcW w:w="541" w:type="dxa"/>
            <w:gridSpan w:val="2"/>
            <w:tcBorders>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312" w:type="dxa"/>
            <w:gridSpan w:val="2"/>
            <w:tcBorders>
              <w:left w:val="nil"/>
              <w:right w:val="nil"/>
            </w:tcBorders>
          </w:tcPr>
          <w:p w:rsidR="00C8789B" w:rsidRPr="00B043B4" w:rsidRDefault="00C8789B" w:rsidP="00C8789B">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C8789B" w:rsidRPr="00B043B4" w:rsidRDefault="00C8789B" w:rsidP="00C8789B">
            <w:pPr>
              <w:jc w:val="center"/>
              <w:rPr>
                <w:rFonts w:ascii="Times New Roman" w:hAnsi="Times New Roman"/>
                <w:b/>
                <w:sz w:val="20"/>
                <w:szCs w:val="20"/>
                <w:lang w:eastAsia="sk-SK"/>
              </w:rPr>
            </w:pPr>
            <w:r w:rsidRPr="00A73EE0">
              <w:rPr>
                <w:rFonts w:ascii="MS Gothic" w:eastAsia="MS Gothic" w:hAnsi="MS Gothic" w:hint="eastAsia"/>
                <w:b/>
              </w:rPr>
              <w:t>☒</w:t>
            </w:r>
          </w:p>
        </w:tc>
        <w:tc>
          <w:tcPr>
            <w:tcW w:w="1133" w:type="dxa"/>
            <w:tcBorders>
              <w:left w:val="nil"/>
              <w:right w:val="nil"/>
            </w:tcBorders>
          </w:tcPr>
          <w:p w:rsidR="00C8789B" w:rsidRPr="00B043B4" w:rsidRDefault="00C8789B" w:rsidP="00C8789B">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C8789B" w:rsidRPr="00B043B4" w:rsidRDefault="00C8789B" w:rsidP="00C8789B">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297" w:type="dxa"/>
            <w:tcBorders>
              <w:left w:val="nil"/>
            </w:tcBorders>
          </w:tcPr>
          <w:p w:rsidR="00C8789B" w:rsidRPr="00B043B4" w:rsidRDefault="00C8789B" w:rsidP="00C8789B">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bottom w:val="nil"/>
            </w:tcBorders>
            <w:shd w:val="clear" w:color="auto" w:fill="E2E2E2"/>
          </w:tcPr>
          <w:p w:rsidR="000F2BE9" w:rsidRPr="00B043B4" w:rsidRDefault="000F2BE9" w:rsidP="000800FC">
            <w:pPr>
              <w:spacing w:after="0" w:line="240" w:lineRule="auto"/>
              <w:rPr>
                <w:rFonts w:ascii="Times New Roman" w:hAnsi="Times New Roman"/>
                <w:b/>
                <w:sz w:val="20"/>
                <w:szCs w:val="20"/>
                <w:lang w:eastAsia="sk-SK"/>
              </w:rPr>
            </w:pPr>
            <w:r w:rsidRPr="00B043B4">
              <w:rPr>
                <w:rFonts w:ascii="Times New Roman" w:hAnsi="Times New Roman"/>
                <w:b/>
                <w:sz w:val="20"/>
                <w:szCs w:val="20"/>
              </w:rPr>
              <w:t>Vplyvy na služby verejnej správy pre občana, z</w:t>
            </w:r>
            <w:r w:rsidR="00CE6AAE">
              <w:rPr>
                <w:rFonts w:ascii="Times New Roman" w:hAnsi="Times New Roman"/>
                <w:b/>
                <w:sz w:val="20"/>
                <w:szCs w:val="20"/>
              </w:rPr>
              <w:t> </w:t>
            </w:r>
            <w:r w:rsidRPr="00B043B4">
              <w:rPr>
                <w:rFonts w:ascii="Times New Roman" w:hAnsi="Times New Roman"/>
                <w:b/>
                <w:sz w:val="20"/>
                <w:szCs w:val="20"/>
              </w:rPr>
              <w:t>toho</w:t>
            </w:r>
          </w:p>
        </w:tc>
        <w:tc>
          <w:tcPr>
            <w:tcW w:w="541" w:type="dxa"/>
            <w:tcBorders>
              <w:bottom w:val="nil"/>
              <w:right w:val="nil"/>
            </w:tcBorders>
          </w:tcPr>
          <w:p w:rsidR="000F2BE9" w:rsidRPr="00B043B4" w:rsidRDefault="000F2BE9" w:rsidP="000800FC">
            <w:pPr>
              <w:spacing w:after="0" w:line="240" w:lineRule="auto"/>
              <w:jc w:val="center"/>
              <w:rPr>
                <w:rFonts w:ascii="Times New Roman" w:eastAsia="MS Mincho" w:hAnsi="Times New Roman"/>
                <w:b/>
                <w:sz w:val="20"/>
                <w:szCs w:val="20"/>
                <w:lang w:eastAsia="sk-SK"/>
              </w:rPr>
            </w:pPr>
          </w:p>
        </w:tc>
        <w:tc>
          <w:tcPr>
            <w:tcW w:w="1281" w:type="dxa"/>
            <w:tcBorders>
              <w:left w:val="nil"/>
              <w:bottom w:val="nil"/>
              <w:right w:val="nil"/>
            </w:tcBorders>
          </w:tcPr>
          <w:p w:rsidR="000F2BE9" w:rsidRPr="00B043B4" w:rsidRDefault="000F2BE9" w:rsidP="000800FC">
            <w:pPr>
              <w:spacing w:after="0" w:line="240" w:lineRule="auto"/>
              <w:ind w:right="-108"/>
              <w:rPr>
                <w:rFonts w:ascii="Times New Roman" w:hAnsi="Times New Roman"/>
                <w:b/>
                <w:sz w:val="20"/>
                <w:szCs w:val="20"/>
                <w:lang w:eastAsia="sk-SK"/>
              </w:rPr>
            </w:pPr>
          </w:p>
        </w:tc>
        <w:tc>
          <w:tcPr>
            <w:tcW w:w="569" w:type="dxa"/>
            <w:gridSpan w:val="2"/>
            <w:tcBorders>
              <w:left w:val="nil"/>
              <w:bottom w:val="nil"/>
              <w:right w:val="nil"/>
            </w:tcBorders>
          </w:tcPr>
          <w:p w:rsidR="000F2BE9" w:rsidRPr="00B043B4" w:rsidRDefault="000F2BE9" w:rsidP="000800FC">
            <w:pPr>
              <w:spacing w:after="0" w:line="240" w:lineRule="auto"/>
              <w:jc w:val="center"/>
              <w:rPr>
                <w:rFonts w:ascii="Times New Roman" w:eastAsia="MS Mincho" w:hAnsi="Times New Roman"/>
                <w:b/>
                <w:sz w:val="20"/>
                <w:szCs w:val="20"/>
                <w:lang w:eastAsia="sk-SK"/>
              </w:rPr>
            </w:pPr>
          </w:p>
        </w:tc>
        <w:tc>
          <w:tcPr>
            <w:tcW w:w="1133" w:type="dxa"/>
            <w:tcBorders>
              <w:left w:val="nil"/>
              <w:bottom w:val="nil"/>
              <w:right w:val="nil"/>
            </w:tcBorders>
          </w:tcPr>
          <w:p w:rsidR="000F2BE9" w:rsidRPr="00B043B4" w:rsidRDefault="000F2BE9" w:rsidP="000800FC">
            <w:pPr>
              <w:spacing w:after="0" w:line="240" w:lineRule="auto"/>
              <w:rPr>
                <w:rFonts w:ascii="Times New Roman" w:hAnsi="Times New Roman"/>
                <w:b/>
                <w:sz w:val="20"/>
                <w:szCs w:val="20"/>
                <w:lang w:eastAsia="sk-SK"/>
              </w:rPr>
            </w:pPr>
          </w:p>
        </w:tc>
        <w:tc>
          <w:tcPr>
            <w:tcW w:w="547" w:type="dxa"/>
            <w:tcBorders>
              <w:left w:val="nil"/>
              <w:bottom w:val="nil"/>
              <w:right w:val="nil"/>
            </w:tcBorders>
          </w:tcPr>
          <w:p w:rsidR="000F2BE9" w:rsidRPr="00B043B4" w:rsidRDefault="000F2BE9" w:rsidP="000800FC">
            <w:pPr>
              <w:spacing w:after="0" w:line="240" w:lineRule="auto"/>
              <w:jc w:val="center"/>
              <w:rPr>
                <w:rFonts w:ascii="Times New Roman" w:eastAsia="MS Mincho" w:hAnsi="Times New Roman"/>
                <w:b/>
                <w:sz w:val="20"/>
                <w:szCs w:val="20"/>
                <w:lang w:eastAsia="sk-SK"/>
              </w:rPr>
            </w:pPr>
          </w:p>
        </w:tc>
        <w:tc>
          <w:tcPr>
            <w:tcW w:w="1297" w:type="dxa"/>
            <w:tcBorders>
              <w:left w:val="nil"/>
              <w:bottom w:val="nil"/>
            </w:tcBorders>
          </w:tcPr>
          <w:p w:rsidR="000F2BE9" w:rsidRPr="00B043B4" w:rsidRDefault="000F2BE9" w:rsidP="000800FC">
            <w:pPr>
              <w:spacing w:after="0" w:line="240" w:lineRule="auto"/>
              <w:ind w:left="54"/>
              <w:rPr>
                <w:rFonts w:ascii="Times New Roman" w:hAnsi="Times New Roman"/>
                <w:b/>
                <w:sz w:val="20"/>
                <w:szCs w:val="20"/>
                <w:lang w:eastAsia="sk-SK"/>
              </w:rPr>
            </w:pPr>
          </w:p>
        </w:tc>
      </w:tr>
      <w:tr w:rsidR="000F2BE9" w:rsidRPr="00B043B4" w:rsidTr="009431E3">
        <w:tc>
          <w:tcPr>
            <w:tcW w:w="3812" w:type="dxa"/>
            <w:tcBorders>
              <w:top w:val="nil"/>
              <w:bottom w:val="nil"/>
            </w:tcBorders>
            <w:shd w:val="clear" w:color="auto" w:fill="E2E2E2"/>
          </w:tcPr>
          <w:p w:rsidR="000F2BE9" w:rsidRPr="00B043B4" w:rsidRDefault="000F2BE9" w:rsidP="000800FC">
            <w:pPr>
              <w:spacing w:after="0" w:line="240" w:lineRule="auto"/>
              <w:ind w:left="196" w:hanging="196"/>
              <w:rPr>
                <w:rFonts w:ascii="Times New Roman" w:hAnsi="Times New Roman"/>
                <w:b/>
                <w:sz w:val="20"/>
                <w:szCs w:val="20"/>
              </w:rPr>
            </w:pPr>
            <w:r w:rsidRPr="00B043B4">
              <w:rPr>
                <w:rFonts w:ascii="Times New Roman" w:hAnsi="Times New Roman"/>
                <w:b/>
                <w:sz w:val="20"/>
                <w:szCs w:val="20"/>
              </w:rPr>
              <w:t xml:space="preserve">    vplyvy služieb verejnej správy na občana</w:t>
            </w:r>
          </w:p>
        </w:tc>
        <w:tc>
          <w:tcPr>
            <w:tcW w:w="541" w:type="dxa"/>
            <w:tcBorders>
              <w:top w:val="nil"/>
              <w:bottom w:val="dotted" w:sz="4" w:space="0" w:color="auto"/>
              <w:right w:val="nil"/>
            </w:tcBorders>
          </w:tcPr>
          <w:p w:rsidR="000F2BE9" w:rsidRPr="00B043B4" w:rsidRDefault="000F2BE9" w:rsidP="000800FC">
            <w:pPr>
              <w:spacing w:after="0" w:line="240" w:lineRule="auto"/>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312" w:type="dxa"/>
            <w:gridSpan w:val="2"/>
            <w:tcBorders>
              <w:top w:val="nil"/>
              <w:left w:val="nil"/>
              <w:bottom w:val="dotted" w:sz="4" w:space="0" w:color="auto"/>
              <w:right w:val="nil"/>
            </w:tcBorders>
          </w:tcPr>
          <w:p w:rsidR="000F2BE9" w:rsidRPr="00B043B4" w:rsidRDefault="000F2BE9" w:rsidP="000800FC">
            <w:pPr>
              <w:spacing w:after="0" w:line="240" w:lineRule="auto"/>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top w:val="nil"/>
              <w:left w:val="nil"/>
              <w:bottom w:val="dotted" w:sz="4" w:space="0" w:color="auto"/>
              <w:right w:val="nil"/>
            </w:tcBorders>
          </w:tcPr>
          <w:p w:rsidR="000F2BE9" w:rsidRPr="00B043B4" w:rsidRDefault="00150FFE" w:rsidP="000800FC">
            <w:pPr>
              <w:spacing w:after="0" w:line="240" w:lineRule="auto"/>
              <w:jc w:val="center"/>
              <w:rPr>
                <w:rFonts w:ascii="Times New Roman" w:hAnsi="Times New Roman"/>
                <w:b/>
                <w:sz w:val="20"/>
                <w:szCs w:val="20"/>
                <w:lang w:eastAsia="sk-SK"/>
              </w:rPr>
            </w:pPr>
            <w:r w:rsidRPr="00A73EE0">
              <w:rPr>
                <w:rFonts w:ascii="MS Gothic" w:eastAsia="MS Gothic" w:hAnsi="MS Gothic" w:hint="eastAsia"/>
                <w:b/>
              </w:rPr>
              <w:t>☒</w:t>
            </w:r>
          </w:p>
        </w:tc>
        <w:tc>
          <w:tcPr>
            <w:tcW w:w="1133" w:type="dxa"/>
            <w:tcBorders>
              <w:top w:val="nil"/>
              <w:left w:val="nil"/>
              <w:bottom w:val="dotted" w:sz="4" w:space="0" w:color="auto"/>
              <w:right w:val="nil"/>
            </w:tcBorders>
          </w:tcPr>
          <w:p w:rsidR="000F2BE9" w:rsidRPr="00B043B4" w:rsidRDefault="000F2BE9" w:rsidP="000800FC">
            <w:pPr>
              <w:spacing w:after="0" w:line="240" w:lineRule="auto"/>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top w:val="nil"/>
              <w:left w:val="nil"/>
              <w:bottom w:val="dotted" w:sz="4" w:space="0" w:color="auto"/>
              <w:right w:val="nil"/>
            </w:tcBorders>
          </w:tcPr>
          <w:p w:rsidR="000F2BE9" w:rsidRPr="00B043B4" w:rsidRDefault="000F2BE9" w:rsidP="000800FC">
            <w:pPr>
              <w:spacing w:after="0" w:line="240" w:lineRule="auto"/>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297" w:type="dxa"/>
            <w:tcBorders>
              <w:top w:val="nil"/>
              <w:left w:val="nil"/>
              <w:bottom w:val="dotted" w:sz="4" w:space="0" w:color="auto"/>
            </w:tcBorders>
          </w:tcPr>
          <w:p w:rsidR="000F2BE9" w:rsidRPr="00B043B4" w:rsidRDefault="000F2BE9" w:rsidP="000800FC">
            <w:pPr>
              <w:spacing w:after="0" w:line="240" w:lineRule="auto"/>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F2BE9" w:rsidRPr="00B043B4" w:rsidTr="00BA2BF4">
        <w:tc>
          <w:tcPr>
            <w:tcW w:w="3812" w:type="dxa"/>
            <w:tcBorders>
              <w:top w:val="nil"/>
              <w:bottom w:val="nil"/>
            </w:tcBorders>
            <w:shd w:val="clear" w:color="auto" w:fill="E2E2E2"/>
          </w:tcPr>
          <w:p w:rsidR="000F2BE9" w:rsidRPr="00B043B4" w:rsidRDefault="000F2BE9" w:rsidP="000800FC">
            <w:pPr>
              <w:spacing w:after="0" w:line="240" w:lineRule="auto"/>
              <w:ind w:left="168" w:hanging="168"/>
              <w:rPr>
                <w:rFonts w:ascii="Times New Roman" w:hAnsi="Times New Roman"/>
                <w:b/>
                <w:sz w:val="20"/>
                <w:szCs w:val="20"/>
              </w:rPr>
            </w:pPr>
            <w:r w:rsidRPr="00B043B4">
              <w:rPr>
                <w:rFonts w:ascii="Times New Roman" w:hAnsi="Times New Roman"/>
                <w:b/>
                <w:sz w:val="20"/>
                <w:szCs w:val="20"/>
              </w:rPr>
              <w:t xml:space="preserve">    vplyvy na procesy služieb vo verejnej správe</w:t>
            </w:r>
          </w:p>
        </w:tc>
        <w:tc>
          <w:tcPr>
            <w:tcW w:w="541" w:type="dxa"/>
            <w:tcBorders>
              <w:top w:val="dotted" w:sz="4" w:space="0" w:color="auto"/>
              <w:bottom w:val="dotted" w:sz="4" w:space="0" w:color="auto"/>
              <w:right w:val="nil"/>
            </w:tcBorders>
          </w:tcPr>
          <w:p w:rsidR="000F2BE9" w:rsidRPr="00B043B4" w:rsidRDefault="000F2BE9" w:rsidP="000800FC">
            <w:pPr>
              <w:spacing w:after="0" w:line="240" w:lineRule="auto"/>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312" w:type="dxa"/>
            <w:gridSpan w:val="2"/>
            <w:tcBorders>
              <w:top w:val="dotted" w:sz="4" w:space="0" w:color="auto"/>
              <w:left w:val="nil"/>
              <w:bottom w:val="dotted" w:sz="4" w:space="0" w:color="auto"/>
              <w:right w:val="nil"/>
            </w:tcBorders>
          </w:tcPr>
          <w:p w:rsidR="000F2BE9" w:rsidRPr="00B043B4" w:rsidRDefault="000F2BE9" w:rsidP="000800FC">
            <w:pPr>
              <w:spacing w:after="0" w:line="240" w:lineRule="auto"/>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tcPr>
          <w:p w:rsidR="000F2BE9" w:rsidRPr="00B043B4" w:rsidRDefault="00150FFE" w:rsidP="000800FC">
            <w:pPr>
              <w:spacing w:after="0" w:line="240" w:lineRule="auto"/>
              <w:jc w:val="center"/>
              <w:rPr>
                <w:rFonts w:ascii="Times New Roman" w:hAnsi="Times New Roman"/>
                <w:b/>
                <w:sz w:val="20"/>
                <w:szCs w:val="20"/>
                <w:lang w:eastAsia="sk-SK"/>
              </w:rPr>
            </w:pPr>
            <w:r w:rsidRPr="00A73EE0">
              <w:rPr>
                <w:rFonts w:ascii="MS Gothic" w:eastAsia="MS Gothic" w:hAnsi="MS Gothic" w:hint="eastAsia"/>
                <w:b/>
              </w:rPr>
              <w:t>☒</w:t>
            </w:r>
          </w:p>
        </w:tc>
        <w:tc>
          <w:tcPr>
            <w:tcW w:w="1133" w:type="dxa"/>
            <w:tcBorders>
              <w:top w:val="dotted" w:sz="4" w:space="0" w:color="auto"/>
              <w:left w:val="nil"/>
              <w:bottom w:val="dotted" w:sz="4" w:space="0" w:color="auto"/>
              <w:right w:val="nil"/>
            </w:tcBorders>
          </w:tcPr>
          <w:p w:rsidR="000F2BE9" w:rsidRPr="00B043B4" w:rsidRDefault="000F2BE9" w:rsidP="000800FC">
            <w:pPr>
              <w:spacing w:after="0" w:line="240" w:lineRule="auto"/>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top w:val="dotted" w:sz="4" w:space="0" w:color="auto"/>
              <w:left w:val="nil"/>
              <w:bottom w:val="dotted" w:sz="4" w:space="0" w:color="auto"/>
              <w:right w:val="nil"/>
            </w:tcBorders>
          </w:tcPr>
          <w:p w:rsidR="000F2BE9" w:rsidRPr="00B043B4" w:rsidRDefault="000F2BE9" w:rsidP="000800FC">
            <w:pPr>
              <w:spacing w:after="0" w:line="240" w:lineRule="auto"/>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297" w:type="dxa"/>
            <w:tcBorders>
              <w:top w:val="dotted" w:sz="4" w:space="0" w:color="auto"/>
              <w:left w:val="nil"/>
              <w:bottom w:val="dotted" w:sz="4" w:space="0" w:color="auto"/>
            </w:tcBorders>
          </w:tcPr>
          <w:p w:rsidR="000F2BE9" w:rsidRPr="00B043B4" w:rsidRDefault="000F2BE9" w:rsidP="000800FC">
            <w:pPr>
              <w:spacing w:after="0" w:line="240" w:lineRule="auto"/>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BA2BF4">
        <w:tc>
          <w:tcPr>
            <w:tcW w:w="3812" w:type="dxa"/>
            <w:tcBorders>
              <w:top w:val="single" w:sz="4" w:space="0" w:color="000000"/>
            </w:tcBorders>
            <w:shd w:val="clear" w:color="auto" w:fill="E2E2E2"/>
          </w:tcPr>
          <w:p w:rsidR="00A340BB" w:rsidRPr="00B043B4" w:rsidRDefault="00A340BB" w:rsidP="00AA592B">
            <w:pPr>
              <w:rPr>
                <w:rFonts w:ascii="Times New Roman" w:hAnsi="Times New Roman"/>
                <w:b/>
                <w:sz w:val="20"/>
                <w:szCs w:val="20"/>
                <w:lang w:eastAsia="sk-SK"/>
              </w:rPr>
            </w:pPr>
            <w:r w:rsidRPr="00F87681">
              <w:rPr>
                <w:rFonts w:ascii="Times New Roman" w:hAnsi="Times New Roman"/>
                <w:b/>
                <w:sz w:val="20"/>
                <w:szCs w:val="20"/>
              </w:rPr>
              <w:t>Vplyvy na manželstvo</w:t>
            </w:r>
            <w:r w:rsidR="00DF357C">
              <w:rPr>
                <w:rFonts w:ascii="Times New Roman" w:hAnsi="Times New Roman"/>
                <w:b/>
                <w:sz w:val="20"/>
                <w:szCs w:val="20"/>
              </w:rPr>
              <w:t>,</w:t>
            </w:r>
            <w:r w:rsidRPr="00F87681">
              <w:rPr>
                <w:rFonts w:ascii="Times New Roman" w:hAnsi="Times New Roman"/>
                <w:b/>
                <w:sz w:val="20"/>
                <w:szCs w:val="20"/>
              </w:rPr>
              <w:t xml:space="preserve"> rodičovstvo a</w:t>
            </w:r>
            <w:r w:rsidR="00CE6AAE">
              <w:rPr>
                <w:rFonts w:ascii="Times New Roman" w:hAnsi="Times New Roman"/>
                <w:b/>
                <w:sz w:val="20"/>
                <w:szCs w:val="20"/>
              </w:rPr>
              <w:t> </w:t>
            </w:r>
            <w:r w:rsidRPr="00F87681">
              <w:rPr>
                <w:rFonts w:ascii="Times New Roman" w:hAnsi="Times New Roman"/>
                <w:b/>
                <w:sz w:val="20"/>
                <w:szCs w:val="20"/>
              </w:rPr>
              <w:t>rodinu</w:t>
            </w:r>
          </w:p>
        </w:tc>
        <w:tc>
          <w:tcPr>
            <w:tcW w:w="541" w:type="dxa"/>
            <w:tcBorders>
              <w:right w:val="nil"/>
            </w:tcBorders>
          </w:tcPr>
          <w:p w:rsidR="00A340BB" w:rsidRPr="00B043B4" w:rsidRDefault="00A340BB" w:rsidP="00AA592B">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tcBorders>
              <w:left w:val="nil"/>
              <w:right w:val="nil"/>
            </w:tcBorders>
          </w:tcPr>
          <w:p w:rsidR="00A340BB" w:rsidRPr="00B043B4" w:rsidRDefault="00A340BB" w:rsidP="00AA592B">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left w:val="nil"/>
              <w:right w:val="nil"/>
            </w:tcBorders>
          </w:tcPr>
          <w:p w:rsidR="00A340BB" w:rsidRPr="00B043B4" w:rsidRDefault="00150FFE" w:rsidP="00AA592B">
            <w:pPr>
              <w:jc w:val="center"/>
              <w:rPr>
                <w:rFonts w:ascii="Times New Roman" w:hAnsi="Times New Roman"/>
                <w:b/>
                <w:sz w:val="20"/>
                <w:szCs w:val="20"/>
                <w:lang w:eastAsia="sk-SK"/>
              </w:rPr>
            </w:pPr>
            <w:r w:rsidRPr="00A73EE0">
              <w:rPr>
                <w:rFonts w:ascii="MS Gothic" w:eastAsia="MS Gothic" w:hAnsi="MS Gothic" w:hint="eastAsia"/>
                <w:b/>
              </w:rPr>
              <w:t>☒</w:t>
            </w:r>
          </w:p>
        </w:tc>
        <w:tc>
          <w:tcPr>
            <w:tcW w:w="1133" w:type="dxa"/>
            <w:tcBorders>
              <w:left w:val="nil"/>
              <w:right w:val="nil"/>
            </w:tcBorders>
          </w:tcPr>
          <w:p w:rsidR="00A340BB" w:rsidRPr="00B043B4" w:rsidRDefault="00A340BB" w:rsidP="00AA592B">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left w:val="nil"/>
              <w:right w:val="nil"/>
            </w:tcBorders>
          </w:tcPr>
          <w:p w:rsidR="00A340BB" w:rsidRPr="00B043B4" w:rsidRDefault="00A340BB" w:rsidP="00AA592B">
            <w:pPr>
              <w:jc w:val="center"/>
              <w:rPr>
                <w:rFonts w:ascii="Times New Roman" w:hAnsi="Times New Roman"/>
                <w:b/>
                <w:sz w:val="20"/>
                <w:szCs w:val="20"/>
                <w:lang w:eastAsia="sk-SK"/>
              </w:rPr>
            </w:pPr>
            <w:r w:rsidRPr="00B043B4">
              <w:rPr>
                <w:rFonts w:ascii="Segoe UI Symbol" w:hAnsi="Segoe UI Symbol" w:cs="Segoe UI Symbol"/>
                <w:b/>
                <w:sz w:val="20"/>
                <w:szCs w:val="20"/>
                <w:lang w:eastAsia="sk-SK"/>
              </w:rPr>
              <w:t>☐</w:t>
            </w:r>
          </w:p>
        </w:tc>
        <w:tc>
          <w:tcPr>
            <w:tcW w:w="1297" w:type="dxa"/>
            <w:tcBorders>
              <w:left w:val="nil"/>
            </w:tcBorders>
          </w:tcPr>
          <w:p w:rsidR="00A340BB" w:rsidRPr="00B043B4" w:rsidRDefault="00A340BB" w:rsidP="00AA592B">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p w:rsidR="001B23B7" w:rsidRPr="00B043B4" w:rsidRDefault="001B23B7" w:rsidP="001B23B7">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bottom w:val="nil"/>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Poznámky</w:t>
            </w:r>
          </w:p>
        </w:tc>
      </w:tr>
      <w:tr w:rsidR="001B23B7" w:rsidRPr="00B043B4" w:rsidTr="000800FC">
        <w:trPr>
          <w:trHeight w:val="713"/>
        </w:trPr>
        <w:tc>
          <w:tcPr>
            <w:tcW w:w="9176" w:type="dxa"/>
            <w:tcBorders>
              <w:top w:val="nil"/>
              <w:bottom w:val="single" w:sz="4" w:space="0" w:color="FFFFFF"/>
            </w:tcBorders>
          </w:tcPr>
          <w:p w:rsidR="001B23B7" w:rsidRDefault="001B23B7" w:rsidP="000800FC">
            <w:pPr>
              <w:jc w:val="both"/>
              <w:rPr>
                <w:rFonts w:ascii="Times New Roman" w:hAnsi="Times New Roman"/>
                <w:i/>
                <w:sz w:val="20"/>
                <w:szCs w:val="20"/>
                <w:lang w:eastAsia="sk-SK"/>
              </w:rPr>
            </w:pPr>
            <w:r w:rsidRPr="00B043B4">
              <w:rPr>
                <w:rFonts w:ascii="Times New Roman" w:hAnsi="Times New Roman"/>
                <w:i/>
                <w:sz w:val="20"/>
                <w:szCs w:val="20"/>
                <w:lang w:eastAsia="sk-SK"/>
              </w:rPr>
              <w:lastRenderedPageBreak/>
              <w:t>V prípade potreby uveďte doplňujúce informácie k identifikovaným vplyvom a ich analýzam. Informácie v tejto časti slúžia na zhrnutie vplyvov a nie ako náhrada za vypracovanie príslušných analýz vybraných vplyvov.</w:t>
            </w:r>
          </w:p>
          <w:p w:rsidR="00150FFE" w:rsidRDefault="00150FFE" w:rsidP="000800FC">
            <w:pPr>
              <w:jc w:val="both"/>
              <w:rPr>
                <w:rFonts w:ascii="Times New Roman" w:hAnsi="Times New Roman"/>
                <w:i/>
                <w:sz w:val="20"/>
                <w:szCs w:val="20"/>
                <w:lang w:eastAsia="sk-SK"/>
              </w:rPr>
            </w:pPr>
          </w:p>
          <w:p w:rsidR="00150FFE" w:rsidRPr="00150FFE" w:rsidRDefault="00150FFE" w:rsidP="00150FFE">
            <w:pPr>
              <w:jc w:val="both"/>
              <w:rPr>
                <w:rFonts w:ascii="Times New Roman" w:hAnsi="Times New Roman"/>
                <w:sz w:val="20"/>
              </w:rPr>
            </w:pPr>
            <w:r w:rsidRPr="00150FFE">
              <w:rPr>
                <w:rFonts w:ascii="Times New Roman" w:hAnsi="Times New Roman"/>
                <w:sz w:val="20"/>
              </w:rPr>
              <w:t xml:space="preserve">Materiál nemá svojím charakterom priamy vplyv na podnikateľské prostredie, ani sociálny vplyv. S ohľadom na očakávané ciele, ktoré by mal priniesť príchod Európskeho orgánu práce, je možné v súvislosti s predpokladaným množstvom medzinárodných konferencií a iných udalostí organizovaných touto inštitúciou predpokladať pozitívne vplyvy na podnikateľské prostredie v SR. </w:t>
            </w:r>
          </w:p>
          <w:p w:rsidR="00150FFE" w:rsidRPr="00150FFE" w:rsidRDefault="00150FFE" w:rsidP="00150FFE">
            <w:pPr>
              <w:jc w:val="both"/>
              <w:rPr>
                <w:rFonts w:ascii="Times New Roman" w:hAnsi="Times New Roman"/>
                <w:sz w:val="20"/>
              </w:rPr>
            </w:pPr>
          </w:p>
          <w:p w:rsidR="00150FFE" w:rsidRPr="00150FFE" w:rsidRDefault="00150FFE" w:rsidP="00150FFE">
            <w:pPr>
              <w:jc w:val="both"/>
              <w:rPr>
                <w:rFonts w:ascii="Times New Roman" w:hAnsi="Times New Roman"/>
                <w:sz w:val="20"/>
              </w:rPr>
            </w:pPr>
            <w:r w:rsidRPr="00150FFE">
              <w:rPr>
                <w:rFonts w:ascii="Times New Roman" w:hAnsi="Times New Roman"/>
                <w:sz w:val="20"/>
              </w:rPr>
              <w:t xml:space="preserve">Celkový potenciálny pozitívny vplyv na sociálne a podnikateľské prostredie je možné predpokladať až príchodom  Európskeho orgánu práce a jeho stabilného usídlenia a činnosti v Bratislave. </w:t>
            </w:r>
          </w:p>
          <w:p w:rsidR="00150FFE" w:rsidRPr="00150FFE" w:rsidRDefault="00150FFE" w:rsidP="00150FFE">
            <w:pPr>
              <w:jc w:val="both"/>
              <w:rPr>
                <w:rFonts w:ascii="Times New Roman" w:hAnsi="Times New Roman"/>
                <w:sz w:val="20"/>
              </w:rPr>
            </w:pPr>
          </w:p>
          <w:p w:rsidR="00150FFE" w:rsidRPr="00150FFE" w:rsidRDefault="00150FFE" w:rsidP="00150FFE">
            <w:pPr>
              <w:jc w:val="both"/>
              <w:rPr>
                <w:rFonts w:ascii="Times New Roman" w:hAnsi="Times New Roman"/>
                <w:sz w:val="20"/>
              </w:rPr>
            </w:pPr>
            <w:r w:rsidRPr="00150FFE">
              <w:rPr>
                <w:rFonts w:ascii="Times New Roman" w:hAnsi="Times New Roman"/>
                <w:sz w:val="20"/>
              </w:rPr>
              <w:t>Materiál v časti, ktorá sa týka celkovej finančnej kontribúcie SR súvisiacej s nájmom nebytových priestorov   nemá vplyv na rozpočet verejnej správy, nakoľko realizácia bude krytá zo štátnych finančných aktív. Tieto finančné náklady boli vyčíslené v uznesení vlády SR č. 131 z 12. marca 2021, ktorým došlo k schváleniu znenia nájomnej zmluvy medzi MH Invest, s.r.o., a medzi spoločnosťou Landererova 12, s.r.o.</w:t>
            </w:r>
            <w:r w:rsidR="0009632C">
              <w:t xml:space="preserve"> </w:t>
            </w:r>
            <w:r w:rsidR="0009632C" w:rsidRPr="0009632C">
              <w:rPr>
                <w:rFonts w:ascii="Times New Roman" w:hAnsi="Times New Roman"/>
                <w:sz w:val="20"/>
              </w:rPr>
              <w:t>Výdavky na nájomné na roky 2022 – 2024 sú zahrnuté v návrhu rozpočtu verejnej správy na roky 2022 – 2024 v rámci výdavkov nájomcu, spoločnosti MH Invest, s.r.o.</w:t>
            </w:r>
          </w:p>
          <w:p w:rsidR="00150FFE" w:rsidRPr="00150FFE" w:rsidRDefault="00150FFE" w:rsidP="00150FFE">
            <w:pPr>
              <w:jc w:val="both"/>
              <w:rPr>
                <w:rFonts w:ascii="Times New Roman" w:hAnsi="Times New Roman"/>
                <w:sz w:val="20"/>
                <w:highlight w:val="yellow"/>
              </w:rPr>
            </w:pPr>
          </w:p>
          <w:p w:rsidR="00775D53" w:rsidRDefault="00775D53" w:rsidP="00775D53">
            <w:pPr>
              <w:jc w:val="both"/>
              <w:rPr>
                <w:rFonts w:ascii="Times New Roman" w:hAnsi="Times New Roman"/>
                <w:sz w:val="20"/>
              </w:rPr>
            </w:pPr>
            <w:r w:rsidRPr="002D5F06">
              <w:rPr>
                <w:rFonts w:ascii="Times New Roman" w:hAnsi="Times New Roman"/>
                <w:sz w:val="20"/>
              </w:rPr>
              <w:t>V súvislosti s finančným benefitom poskytnutým pre prvých 144 zamestnancov ELA a výkonného riaditeľa v podobe nároku na vrátenie DPH sa predpokladá návratnosť po 42. mesiaci nasledujúcom od mesiaca, v ktorom bol zamestnanec v ELA zamestnaný a začal poberať plat. Analýza návratnosti finančného benefitu vychádza z predpokladu, že keby nebol DPH benefit poskytnutý, ELA by v SR nesídlila, zamestnanci by nepoberali plat a ich spotreba by v SR nebola realizovaná. Na základe predpokladaných príjmov zamestnancov ELA a ich predpokladanom sklone k spotrebe 0,5, je 42. mesiac približne obdobím, kedy sa diskontovaný výnos DPH do rozpočtu zo spotreby neoslobodenej benefitom DPH vyrovná výpadku DPH, ktorý vyplýva zo spotreby oslobodenej od DPH. Predpokladá sa, že zamestnanci vyčerpajú benefit DPH približne počas prvých 18 mesiacov od zamestnania v ELA a v nasledujúcich mesiacoch už z ich spotreby bude plynúť výnos DPH do štátneho rozpočtu.</w:t>
            </w:r>
          </w:p>
          <w:p w:rsidR="00190529" w:rsidRDefault="00190529" w:rsidP="00775D53">
            <w:pPr>
              <w:jc w:val="both"/>
              <w:rPr>
                <w:rFonts w:ascii="Times New Roman" w:hAnsi="Times New Roman"/>
                <w:sz w:val="20"/>
              </w:rPr>
            </w:pPr>
          </w:p>
          <w:p w:rsidR="00190529" w:rsidRPr="002D5F06" w:rsidRDefault="00190529" w:rsidP="00775D53">
            <w:pPr>
              <w:jc w:val="both"/>
              <w:rPr>
                <w:rFonts w:ascii="Times New Roman" w:hAnsi="Times New Roman"/>
                <w:sz w:val="20"/>
              </w:rPr>
            </w:pPr>
            <w:r w:rsidRPr="00190529">
              <w:rPr>
                <w:rFonts w:ascii="Times New Roman" w:hAnsi="Times New Roman"/>
                <w:sz w:val="20"/>
              </w:rPr>
              <w:t>Navýšenie počtu štátnozamestnaneckých miest o 1 v rozpočtovej kapitole Ministerstva zahraničných vecí a európskych záležitostí Slovenskej republiky</w:t>
            </w:r>
            <w:r w:rsidR="00052E46">
              <w:rPr>
                <w:rFonts w:ascii="Times New Roman" w:hAnsi="Times New Roman"/>
                <w:sz w:val="20"/>
              </w:rPr>
              <w:t xml:space="preserve"> od 1. októbra 2021</w:t>
            </w:r>
            <w:r w:rsidRPr="00190529">
              <w:rPr>
                <w:rFonts w:ascii="Times New Roman" w:hAnsi="Times New Roman"/>
                <w:sz w:val="20"/>
              </w:rPr>
              <w:t xml:space="preserve">, ktoré v rámci svojej pôsobnosti zabezpečuje okrem iného aj evidenciu a vydávanie identifikačných preukazov členom diplomatického personálu, administratívneho a technického personálu, služobného a súkromného personálu, pracovníkom medzinárodných organizácií a honorárnym konzulárnym úradníkom akreditovaným v Slovenskej republike. Začiatok činnosti Európskeho orgánu práce (ELA) so sídlom v Bratislave predstavuje podstatný nárast práce a administratívnej záťaže v agende vystavovania identifikačných preukazov, registrácie vozidiel, potvrdzovania tlačív o postavení úradníkov ELA k daňovému oslobodeniu, ako aj inú administratívu vo vzťahu k výsadám a imunitám. </w:t>
            </w:r>
            <w:r w:rsidR="0038758C">
              <w:t xml:space="preserve"> </w:t>
            </w:r>
            <w:r w:rsidR="0038758C">
              <w:rPr>
                <w:rFonts w:ascii="Times New Roman" w:hAnsi="Times New Roman"/>
                <w:sz w:val="20"/>
              </w:rPr>
              <w:t>Finančné prostriedky</w:t>
            </w:r>
            <w:r w:rsidR="00DA0441">
              <w:rPr>
                <w:rFonts w:ascii="Times New Roman" w:hAnsi="Times New Roman"/>
                <w:sz w:val="20"/>
              </w:rPr>
              <w:t xml:space="preserve"> na rok 2021 budú zabezpečené </w:t>
            </w:r>
            <w:r w:rsidR="00A4026C" w:rsidRPr="00A4026C">
              <w:rPr>
                <w:rFonts w:ascii="Times New Roman" w:hAnsi="Times New Roman"/>
                <w:sz w:val="20"/>
              </w:rPr>
              <w:t>v rámci schváleného limitu kapitoly na rok 2021</w:t>
            </w:r>
            <w:r w:rsidR="00A4026C">
              <w:rPr>
                <w:rFonts w:ascii="Times New Roman" w:hAnsi="Times New Roman"/>
                <w:sz w:val="20"/>
              </w:rPr>
              <w:t xml:space="preserve"> pre</w:t>
            </w:r>
            <w:r w:rsidR="00DA0441">
              <w:rPr>
                <w:rFonts w:ascii="Times New Roman" w:hAnsi="Times New Roman"/>
                <w:sz w:val="20"/>
              </w:rPr>
              <w:t xml:space="preserve"> </w:t>
            </w:r>
            <w:r w:rsidR="00A4026C">
              <w:rPr>
                <w:rFonts w:ascii="Times New Roman" w:hAnsi="Times New Roman"/>
                <w:sz w:val="20"/>
              </w:rPr>
              <w:t>Ministerstvo</w:t>
            </w:r>
            <w:r w:rsidR="00DA0441">
              <w:rPr>
                <w:rFonts w:ascii="Times New Roman" w:hAnsi="Times New Roman"/>
                <w:sz w:val="20"/>
              </w:rPr>
              <w:t xml:space="preserve"> zahraničných vecí a európskych záležitostí SR a od roku 2022</w:t>
            </w:r>
            <w:r w:rsidR="0038758C">
              <w:rPr>
                <w:rFonts w:ascii="Times New Roman" w:hAnsi="Times New Roman"/>
                <w:sz w:val="20"/>
              </w:rPr>
              <w:t xml:space="preserve"> </w:t>
            </w:r>
            <w:r w:rsidR="00DA0441">
              <w:rPr>
                <w:rFonts w:ascii="Times New Roman" w:hAnsi="Times New Roman"/>
                <w:sz w:val="20"/>
              </w:rPr>
              <w:t>budú</w:t>
            </w:r>
            <w:r w:rsidR="0038758C">
              <w:rPr>
                <w:rFonts w:ascii="Times New Roman" w:hAnsi="Times New Roman"/>
                <w:sz w:val="20"/>
              </w:rPr>
              <w:t xml:space="preserve"> </w:t>
            </w:r>
            <w:r w:rsidR="00DA0441">
              <w:rPr>
                <w:rFonts w:ascii="Times New Roman" w:hAnsi="Times New Roman"/>
                <w:sz w:val="20"/>
              </w:rPr>
              <w:t>zabezpečené</w:t>
            </w:r>
            <w:r w:rsidR="0038758C" w:rsidRPr="0038758C">
              <w:rPr>
                <w:rFonts w:ascii="Times New Roman" w:hAnsi="Times New Roman"/>
                <w:sz w:val="20"/>
              </w:rPr>
              <w:t xml:space="preserve"> v rámci návrhu limitu počtu zamestnancov a výdavkov zabezpečených pre kapitolu Ministerstva zahraničných vecí a európskych záležitostí SR v súčasnom návrhu rozpočtu verejnej správy na roky 2022 až 2024.</w:t>
            </w:r>
          </w:p>
          <w:p w:rsidR="001B23B7" w:rsidRPr="00B043B4" w:rsidRDefault="001B23B7" w:rsidP="000800FC">
            <w:pPr>
              <w:ind w:left="426"/>
              <w:contextualSpacing/>
              <w:rPr>
                <w:rFonts w:ascii="Times New Roman" w:hAnsi="Times New Roman"/>
                <w:b/>
              </w:rPr>
            </w:pPr>
          </w:p>
        </w:tc>
      </w:tr>
      <w:tr w:rsidR="001B23B7" w:rsidRPr="00B043B4" w:rsidTr="000800FC">
        <w:tc>
          <w:tcPr>
            <w:tcW w:w="9176" w:type="dxa"/>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Kontakt na spracovateľa</w:t>
            </w:r>
          </w:p>
        </w:tc>
      </w:tr>
      <w:tr w:rsidR="001B23B7" w:rsidRPr="00B043B4" w:rsidTr="000800FC">
        <w:trPr>
          <w:trHeight w:val="586"/>
        </w:trPr>
        <w:tc>
          <w:tcPr>
            <w:tcW w:w="9176" w:type="dxa"/>
            <w:tcBorders>
              <w:top w:val="single" w:sz="4" w:space="0" w:color="FFFFFF"/>
            </w:tcBorders>
            <w:shd w:val="clear" w:color="auto" w:fill="FFFFFF"/>
          </w:tcPr>
          <w:p w:rsidR="001B23B7" w:rsidRDefault="001B23B7" w:rsidP="000800FC">
            <w:pPr>
              <w:rPr>
                <w:rFonts w:ascii="Times New Roman" w:hAnsi="Times New Roman"/>
                <w:i/>
                <w:sz w:val="20"/>
                <w:szCs w:val="20"/>
                <w:lang w:eastAsia="sk-SK"/>
              </w:rPr>
            </w:pPr>
            <w:r w:rsidRPr="00B043B4">
              <w:rPr>
                <w:rFonts w:ascii="Times New Roman" w:hAnsi="Times New Roman"/>
                <w:i/>
                <w:sz w:val="20"/>
                <w:szCs w:val="20"/>
                <w:lang w:eastAsia="sk-SK"/>
              </w:rPr>
              <w:t>Uveďte údaje na kontaktnú osobu, ktorú je možné kontaktovať v súvislosti s posúdením vybraných vplyvov.</w:t>
            </w:r>
          </w:p>
          <w:p w:rsidR="00150FFE" w:rsidRDefault="00150FFE" w:rsidP="000800FC">
            <w:pPr>
              <w:rPr>
                <w:rFonts w:ascii="Times New Roman" w:hAnsi="Times New Roman"/>
                <w:i/>
                <w:sz w:val="20"/>
                <w:szCs w:val="20"/>
                <w:lang w:eastAsia="sk-SK"/>
              </w:rPr>
            </w:pPr>
          </w:p>
          <w:p w:rsidR="00150FFE" w:rsidRPr="00150FFE" w:rsidRDefault="00150FFE" w:rsidP="000800FC">
            <w:pPr>
              <w:rPr>
                <w:rFonts w:ascii="Times New Roman" w:hAnsi="Times New Roman"/>
                <w:sz w:val="20"/>
                <w:szCs w:val="20"/>
                <w:lang w:eastAsia="sk-SK"/>
              </w:rPr>
            </w:pPr>
            <w:hyperlink r:id="rId9" w:history="1">
              <w:r w:rsidRPr="00A63C0F">
                <w:rPr>
                  <w:rStyle w:val="Hypertextovprepojenie"/>
                  <w:rFonts w:ascii="Times New Roman" w:hAnsi="Times New Roman"/>
                  <w:sz w:val="20"/>
                </w:rPr>
                <w:t>karol.jokl@employment.gov.sk</w:t>
              </w:r>
            </w:hyperlink>
            <w:r>
              <w:rPr>
                <w:rFonts w:ascii="Times New Roman" w:hAnsi="Times New Roman"/>
                <w:sz w:val="20"/>
              </w:rPr>
              <w:t xml:space="preserve"> </w:t>
            </w:r>
          </w:p>
        </w:tc>
      </w:tr>
      <w:tr w:rsidR="001B23B7" w:rsidRPr="00B043B4" w:rsidTr="000800FC">
        <w:tc>
          <w:tcPr>
            <w:tcW w:w="9176" w:type="dxa"/>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hAnsi="Times New Roman"/>
                <w:b/>
              </w:rPr>
            </w:pPr>
            <w:r w:rsidRPr="00B043B4">
              <w:rPr>
                <w:rFonts w:ascii="Times New Roman" w:hAnsi="Times New Roman"/>
                <w:b/>
              </w:rPr>
              <w:t>Zdroje</w:t>
            </w:r>
          </w:p>
        </w:tc>
      </w:tr>
      <w:tr w:rsidR="001B23B7" w:rsidRPr="00B043B4" w:rsidTr="000800FC">
        <w:trPr>
          <w:trHeight w:val="401"/>
        </w:trPr>
        <w:tc>
          <w:tcPr>
            <w:tcW w:w="9176" w:type="dxa"/>
            <w:tcBorders>
              <w:top w:val="single" w:sz="4" w:space="0" w:color="FFFFFF"/>
            </w:tcBorders>
            <w:shd w:val="clear" w:color="auto" w:fill="FFFFFF"/>
          </w:tcPr>
          <w:p w:rsidR="001B23B7" w:rsidRPr="00B043B4" w:rsidRDefault="001B23B7" w:rsidP="000800FC">
            <w:pPr>
              <w:jc w:val="both"/>
              <w:rPr>
                <w:rFonts w:ascii="Times New Roman" w:hAnsi="Times New Roman"/>
                <w:i/>
                <w:sz w:val="20"/>
                <w:szCs w:val="20"/>
                <w:lang w:eastAsia="sk-SK"/>
              </w:rPr>
            </w:pPr>
            <w:r w:rsidRPr="00B043B4">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hAnsi="Times New Roman"/>
                <w:sz w:val="24"/>
                <w:szCs w:val="24"/>
              </w:rPr>
              <w:t xml:space="preserve"> </w:t>
            </w:r>
          </w:p>
          <w:p w:rsidR="001B23B7" w:rsidRPr="00B043B4" w:rsidRDefault="001B23B7" w:rsidP="000800FC">
            <w:pPr>
              <w:rPr>
                <w:rFonts w:ascii="Times New Roman" w:hAnsi="Times New Roman"/>
                <w:i/>
                <w:sz w:val="20"/>
                <w:szCs w:val="20"/>
                <w:lang w:eastAsia="sk-SK"/>
              </w:rPr>
            </w:pPr>
          </w:p>
          <w:p w:rsidR="00150FFE" w:rsidRPr="00150FFE" w:rsidRDefault="00150FFE" w:rsidP="00150FFE">
            <w:pPr>
              <w:rPr>
                <w:rFonts w:ascii="Times New Roman" w:hAnsi="Times New Roman"/>
                <w:sz w:val="20"/>
              </w:rPr>
            </w:pPr>
            <w:r w:rsidRPr="00150FFE">
              <w:rPr>
                <w:rFonts w:ascii="Times New Roman" w:hAnsi="Times New Roman"/>
                <w:sz w:val="20"/>
              </w:rPr>
              <w:t>Návrh Zmluvy o sídle medzi vládou Slovenskej republiky a Európskym orgánom práce</w:t>
            </w:r>
          </w:p>
          <w:p w:rsidR="001B23B7" w:rsidRPr="00B043B4" w:rsidRDefault="001B23B7" w:rsidP="000800FC">
            <w:pPr>
              <w:rPr>
                <w:rFonts w:ascii="Times New Roman" w:hAnsi="Times New Roman"/>
                <w:b/>
                <w:sz w:val="20"/>
                <w:szCs w:val="20"/>
                <w:lang w:eastAsia="sk-SK"/>
              </w:rPr>
            </w:pPr>
          </w:p>
        </w:tc>
      </w:tr>
      <w:tr w:rsidR="001B23B7" w:rsidRPr="00B043B4" w:rsidTr="000800FC">
        <w:tc>
          <w:tcPr>
            <w:tcW w:w="9176" w:type="dxa"/>
            <w:tcBorders>
              <w:bottom w:val="single" w:sz="4" w:space="0" w:color="FFFFFF"/>
            </w:tcBorders>
            <w:shd w:val="clear" w:color="auto" w:fill="E2E2E2"/>
          </w:tcPr>
          <w:p w:rsidR="001B23B7" w:rsidRPr="002D5F06" w:rsidRDefault="001B23B7" w:rsidP="000800FC">
            <w:pPr>
              <w:numPr>
                <w:ilvl w:val="0"/>
                <w:numId w:val="1"/>
              </w:numPr>
              <w:ind w:left="447" w:hanging="425"/>
              <w:contextualSpacing/>
              <w:rPr>
                <w:rFonts w:ascii="Times New Roman" w:hAnsi="Times New Roman"/>
                <w:b/>
              </w:rPr>
            </w:pPr>
            <w:r w:rsidRPr="002D5F06">
              <w:rPr>
                <w:rFonts w:ascii="Times New Roman" w:hAnsi="Times New Roman"/>
                <w:b/>
              </w:rPr>
              <w:t>Stanovisko Komisie na posudzovanie vybraných vplyvov z PPK č. ..........</w:t>
            </w:r>
            <w:r w:rsidRPr="002D5F06">
              <w:rPr>
                <w:rFonts w:ascii="Calibri" w:hAnsi="Calibri"/>
              </w:rPr>
              <w:t xml:space="preserve"> </w:t>
            </w:r>
          </w:p>
          <w:p w:rsidR="001B23B7" w:rsidRPr="002D5F06" w:rsidRDefault="001B23B7" w:rsidP="000800FC">
            <w:pPr>
              <w:ind w:left="502"/>
              <w:rPr>
                <w:rFonts w:ascii="Times New Roman" w:hAnsi="Times New Roman"/>
                <w:b/>
                <w:sz w:val="20"/>
                <w:szCs w:val="20"/>
                <w:lang w:eastAsia="sk-SK"/>
              </w:rPr>
            </w:pPr>
            <w:r w:rsidRPr="002D5F06">
              <w:rPr>
                <w:rFonts w:ascii="Times New Roman" w:hAnsi="Times New Roman"/>
              </w:rPr>
              <w:t>(v prípade, ak sa uskutočnilo v zmysle bodu 8.1 Jednotnej metodiky)</w:t>
            </w:r>
          </w:p>
        </w:tc>
      </w:tr>
      <w:tr w:rsidR="001B23B7" w:rsidRPr="00B043B4" w:rsidTr="000800FC">
        <w:trPr>
          <w:trHeight w:val="1236"/>
        </w:trPr>
        <w:tc>
          <w:tcPr>
            <w:tcW w:w="9176" w:type="dxa"/>
            <w:tcBorders>
              <w:top w:val="single" w:sz="4" w:space="0" w:color="FFFFFF"/>
            </w:tcBorders>
            <w:shd w:val="clear" w:color="auto" w:fill="FFFFFF"/>
          </w:tcPr>
          <w:p w:rsidR="001B23B7" w:rsidRPr="002D5F06" w:rsidRDefault="001B23B7" w:rsidP="000800FC">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2D5F06" w:rsidTr="000800FC">
              <w:trPr>
                <w:trHeight w:val="396"/>
              </w:trPr>
              <w:tc>
                <w:tcPr>
                  <w:tcW w:w="2552" w:type="dxa"/>
                  <w:tcBorders>
                    <w:top w:val="nil"/>
                    <w:left w:val="nil"/>
                    <w:bottom w:val="nil"/>
                    <w:right w:val="nil"/>
                  </w:tcBorders>
                </w:tcPr>
                <w:p w:rsidR="001B23B7" w:rsidRPr="002D5F06" w:rsidRDefault="001B23B7" w:rsidP="000800FC">
                  <w:pPr>
                    <w:rPr>
                      <w:rFonts w:ascii="Times New Roman" w:hAnsi="Times New Roman"/>
                      <w:b/>
                      <w:sz w:val="20"/>
                      <w:szCs w:val="20"/>
                      <w:lang w:eastAsia="sk-SK"/>
                    </w:rPr>
                  </w:pPr>
                  <w:r w:rsidRPr="002D5F06">
                    <w:rPr>
                      <w:rFonts w:ascii="Segoe UI Symbol" w:hAnsi="Segoe UI Symbol" w:cs="Segoe UI Symbol"/>
                      <w:b/>
                      <w:sz w:val="20"/>
                      <w:szCs w:val="20"/>
                      <w:lang w:eastAsia="sk-SK"/>
                    </w:rPr>
                    <w:t>☐</w:t>
                  </w:r>
                  <w:r w:rsidRPr="002D5F06">
                    <w:rPr>
                      <w:rFonts w:ascii="Times New Roman" w:hAnsi="Times New Roman"/>
                      <w:b/>
                      <w:sz w:val="20"/>
                      <w:szCs w:val="20"/>
                      <w:lang w:eastAsia="sk-SK"/>
                    </w:rPr>
                    <w:t xml:space="preserve"> Súhlasné </w:t>
                  </w:r>
                </w:p>
              </w:tc>
              <w:tc>
                <w:tcPr>
                  <w:tcW w:w="3827" w:type="dxa"/>
                  <w:tcBorders>
                    <w:top w:val="nil"/>
                    <w:left w:val="nil"/>
                    <w:bottom w:val="nil"/>
                    <w:right w:val="nil"/>
                  </w:tcBorders>
                </w:tcPr>
                <w:p w:rsidR="001B23B7" w:rsidRPr="002D5F06" w:rsidRDefault="001B23B7" w:rsidP="000800FC">
                  <w:pPr>
                    <w:rPr>
                      <w:rFonts w:ascii="Times New Roman" w:hAnsi="Times New Roman"/>
                      <w:b/>
                      <w:sz w:val="20"/>
                      <w:szCs w:val="20"/>
                      <w:lang w:eastAsia="sk-SK"/>
                    </w:rPr>
                  </w:pPr>
                  <w:r w:rsidRPr="002D5F06">
                    <w:rPr>
                      <w:rFonts w:ascii="Segoe UI Symbol" w:hAnsi="Segoe UI Symbol" w:cs="Segoe UI Symbol"/>
                      <w:b/>
                      <w:sz w:val="20"/>
                      <w:szCs w:val="20"/>
                      <w:lang w:eastAsia="sk-SK"/>
                    </w:rPr>
                    <w:t>☐</w:t>
                  </w:r>
                  <w:r w:rsidRPr="002D5F06">
                    <w:rPr>
                      <w:rFonts w:ascii="Times New Roman" w:hAnsi="Times New Roman"/>
                      <w:b/>
                      <w:sz w:val="20"/>
                      <w:szCs w:val="20"/>
                      <w:lang w:eastAsia="sk-SK"/>
                    </w:rPr>
                    <w:t xml:space="preserve"> Súhlasné s návrhom na dopracovanie</w:t>
                  </w:r>
                </w:p>
              </w:tc>
              <w:tc>
                <w:tcPr>
                  <w:tcW w:w="2534" w:type="dxa"/>
                  <w:tcBorders>
                    <w:top w:val="nil"/>
                    <w:left w:val="nil"/>
                    <w:bottom w:val="nil"/>
                    <w:right w:val="nil"/>
                  </w:tcBorders>
                </w:tcPr>
                <w:p w:rsidR="001B23B7" w:rsidRPr="002D5F06" w:rsidRDefault="002D5F06" w:rsidP="000800FC">
                  <w:pPr>
                    <w:ind w:right="459"/>
                    <w:rPr>
                      <w:rFonts w:ascii="Times New Roman" w:hAnsi="Times New Roman"/>
                      <w:b/>
                      <w:sz w:val="20"/>
                      <w:szCs w:val="20"/>
                      <w:lang w:eastAsia="sk-SK"/>
                    </w:rPr>
                  </w:pPr>
                  <w:r w:rsidRPr="002D5F06">
                    <w:rPr>
                      <w:rFonts w:ascii="Segoe UI Symbol" w:eastAsia="MS Gothic" w:hAnsi="Segoe UI Symbol" w:cs="Segoe UI Symbol"/>
                      <w:b/>
                      <w:sz w:val="20"/>
                      <w:szCs w:val="20"/>
                    </w:rPr>
                    <w:t>☒</w:t>
                  </w:r>
                  <w:r w:rsidR="001B23B7" w:rsidRPr="002D5F06">
                    <w:rPr>
                      <w:rFonts w:ascii="Times New Roman" w:hAnsi="Times New Roman"/>
                      <w:b/>
                      <w:sz w:val="20"/>
                      <w:szCs w:val="20"/>
                      <w:lang w:eastAsia="sk-SK"/>
                    </w:rPr>
                    <w:t>Nesúhlasné</w:t>
                  </w:r>
                </w:p>
              </w:tc>
            </w:tr>
          </w:tbl>
          <w:p w:rsidR="001B23B7" w:rsidRPr="002D5F06" w:rsidRDefault="001B23B7" w:rsidP="000800FC">
            <w:pPr>
              <w:jc w:val="both"/>
              <w:rPr>
                <w:rFonts w:ascii="Times New Roman" w:hAnsi="Times New Roman"/>
                <w:b/>
                <w:sz w:val="20"/>
                <w:szCs w:val="20"/>
                <w:lang w:eastAsia="sk-SK"/>
              </w:rPr>
            </w:pPr>
            <w:r w:rsidRPr="002D5F06">
              <w:rPr>
                <w:rFonts w:ascii="Times New Roman" w:hAnsi="Times New Roman"/>
                <w:b/>
                <w:sz w:val="20"/>
                <w:szCs w:val="20"/>
                <w:lang w:eastAsia="sk-SK"/>
              </w:rPr>
              <w:t>Uveďte pripomienky zo stanoviska Komisie z časti II. spolu s Vaším vyhodnotením:</w:t>
            </w:r>
          </w:p>
          <w:p w:rsidR="001B23B7" w:rsidRPr="002D5F06" w:rsidRDefault="001B23B7" w:rsidP="000800FC">
            <w:pPr>
              <w:rPr>
                <w:rFonts w:ascii="Times New Roman" w:hAnsi="Times New Roman"/>
                <w:b/>
                <w:sz w:val="20"/>
                <w:szCs w:val="20"/>
                <w:lang w:eastAsia="sk-SK"/>
              </w:rPr>
            </w:pPr>
          </w:p>
          <w:p w:rsidR="002D5F06" w:rsidRPr="002D5F06" w:rsidRDefault="002D5F06" w:rsidP="002D5F06">
            <w:pPr>
              <w:jc w:val="both"/>
              <w:rPr>
                <w:rFonts w:ascii="Times New Roman" w:hAnsi="Times New Roman"/>
                <w:sz w:val="20"/>
                <w:szCs w:val="20"/>
              </w:rPr>
            </w:pPr>
            <w:r w:rsidRPr="002D5F06">
              <w:rPr>
                <w:rFonts w:ascii="Times New Roman" w:hAnsi="Times New Roman"/>
                <w:b/>
                <w:bCs/>
                <w:sz w:val="20"/>
                <w:szCs w:val="20"/>
              </w:rPr>
              <w:t>II. P</w:t>
            </w:r>
            <w:r w:rsidRPr="002D5F06">
              <w:rPr>
                <w:rFonts w:ascii="Times New Roman" w:hAnsi="Times New Roman"/>
                <w:b/>
                <w:sz w:val="20"/>
                <w:szCs w:val="20"/>
              </w:rPr>
              <w:t>r</w:t>
            </w:r>
            <w:r w:rsidRPr="002D5F06">
              <w:rPr>
                <w:rFonts w:ascii="Times New Roman" w:hAnsi="Times New Roman"/>
                <w:b/>
                <w:bCs/>
                <w:sz w:val="20"/>
                <w:szCs w:val="20"/>
              </w:rPr>
              <w:t>ipomienky a návrhy zm</w:t>
            </w:r>
            <w:r w:rsidRPr="002D5F06">
              <w:rPr>
                <w:rFonts w:ascii="Times New Roman" w:hAnsi="Times New Roman"/>
                <w:b/>
                <w:sz w:val="20"/>
                <w:szCs w:val="20"/>
              </w:rPr>
              <w:t>ie</w:t>
            </w:r>
            <w:r w:rsidRPr="002D5F06">
              <w:rPr>
                <w:rFonts w:ascii="Times New Roman" w:hAnsi="Times New Roman"/>
                <w:b/>
                <w:bCs/>
                <w:sz w:val="20"/>
                <w:szCs w:val="20"/>
              </w:rPr>
              <w:t xml:space="preserve">n: </w:t>
            </w:r>
            <w:r w:rsidRPr="002D5F06">
              <w:rPr>
                <w:rFonts w:ascii="Times New Roman" w:hAnsi="Times New Roman"/>
                <w:bCs/>
                <w:sz w:val="20"/>
                <w:szCs w:val="20"/>
              </w:rPr>
              <w:t>Komisia uplatňuje k materiálu nasledovné pripomienky a odporúčania:</w:t>
            </w:r>
          </w:p>
          <w:p w:rsidR="002D5F06" w:rsidRPr="002D5F06" w:rsidRDefault="002D5F06" w:rsidP="002D5F06">
            <w:pPr>
              <w:tabs>
                <w:tab w:val="center" w:pos="6379"/>
              </w:tabs>
              <w:ind w:right="-2"/>
              <w:jc w:val="both"/>
              <w:rPr>
                <w:rFonts w:ascii="Times New Roman" w:hAnsi="Times New Roman"/>
                <w:bCs/>
                <w:sz w:val="20"/>
                <w:szCs w:val="20"/>
              </w:rPr>
            </w:pPr>
          </w:p>
          <w:p w:rsidR="002D5F06" w:rsidRPr="002D5F06" w:rsidRDefault="002D5F06" w:rsidP="002D5F06">
            <w:pPr>
              <w:tabs>
                <w:tab w:val="center" w:pos="6379"/>
              </w:tabs>
              <w:ind w:right="-2"/>
              <w:jc w:val="both"/>
              <w:rPr>
                <w:rFonts w:ascii="Times New Roman" w:hAnsi="Times New Roman"/>
                <w:b/>
                <w:bCs/>
                <w:sz w:val="20"/>
                <w:szCs w:val="20"/>
              </w:rPr>
            </w:pPr>
            <w:r w:rsidRPr="002D5F06">
              <w:rPr>
                <w:rFonts w:ascii="Times New Roman" w:hAnsi="Times New Roman"/>
                <w:b/>
                <w:bCs/>
                <w:sz w:val="20"/>
                <w:szCs w:val="20"/>
              </w:rPr>
              <w:t>K Doložke vybraných vplyvov</w:t>
            </w:r>
          </w:p>
          <w:p w:rsidR="002D5F06" w:rsidRPr="002D5F06" w:rsidRDefault="002D5F06" w:rsidP="002D5F06">
            <w:pPr>
              <w:jc w:val="both"/>
              <w:rPr>
                <w:rFonts w:ascii="Times New Roman" w:hAnsi="Times New Roman"/>
                <w:sz w:val="20"/>
                <w:szCs w:val="20"/>
              </w:rPr>
            </w:pPr>
            <w:r w:rsidRPr="002D5F06">
              <w:rPr>
                <w:rFonts w:ascii="Times New Roman" w:hAnsi="Times New Roman"/>
                <w:sz w:val="20"/>
                <w:szCs w:val="20"/>
              </w:rPr>
              <w:t xml:space="preserve">Komisia odporúča predkladateľovi materiálu bližšie popísať bod 5. Alternatívne riešenia a uviesť nulový variant v zmysle aktualizovanej JM na posudzovanie vybraných vplyvov. </w:t>
            </w:r>
          </w:p>
          <w:p w:rsidR="002D5F06" w:rsidRPr="002D5F06" w:rsidRDefault="002D5F06" w:rsidP="002D5F06">
            <w:pPr>
              <w:jc w:val="both"/>
              <w:rPr>
                <w:rFonts w:ascii="Times New Roman" w:hAnsi="Times New Roman"/>
                <w:bCs/>
                <w:sz w:val="20"/>
                <w:szCs w:val="20"/>
              </w:rPr>
            </w:pPr>
          </w:p>
          <w:p w:rsidR="002D5F06" w:rsidRPr="002D5F06" w:rsidRDefault="002D5F06" w:rsidP="002D5F06">
            <w:pPr>
              <w:tabs>
                <w:tab w:val="center" w:pos="6379"/>
              </w:tabs>
              <w:ind w:right="-2"/>
              <w:jc w:val="both"/>
              <w:rPr>
                <w:rFonts w:ascii="Times New Roman" w:hAnsi="Times New Roman"/>
                <w:bCs/>
                <w:sz w:val="20"/>
                <w:szCs w:val="20"/>
              </w:rPr>
            </w:pPr>
            <w:r w:rsidRPr="002D5F06">
              <w:rPr>
                <w:rFonts w:ascii="Times New Roman" w:hAnsi="Times New Roman"/>
                <w:b/>
                <w:sz w:val="20"/>
                <w:szCs w:val="20"/>
              </w:rPr>
              <w:t>Vyhodnotenie predkladateľa:</w:t>
            </w:r>
            <w:r w:rsidRPr="002D5F06">
              <w:rPr>
                <w:rFonts w:ascii="Times New Roman" w:hAnsi="Times New Roman"/>
                <w:sz w:val="20"/>
                <w:szCs w:val="20"/>
              </w:rPr>
              <w:t xml:space="preserve"> Bod 5. Alternatívne riešenia bol bližšie popísaný, bol vyhodnotený nulový variant.</w:t>
            </w:r>
          </w:p>
          <w:p w:rsidR="002D5F06" w:rsidRPr="002D5F06" w:rsidRDefault="002D5F06" w:rsidP="002D5F06">
            <w:pPr>
              <w:tabs>
                <w:tab w:val="center" w:pos="6379"/>
              </w:tabs>
              <w:ind w:right="-2"/>
              <w:jc w:val="both"/>
              <w:rPr>
                <w:rFonts w:ascii="Times New Roman" w:hAnsi="Times New Roman"/>
                <w:b/>
                <w:bCs/>
                <w:sz w:val="20"/>
                <w:szCs w:val="20"/>
              </w:rPr>
            </w:pPr>
          </w:p>
          <w:p w:rsidR="002D5F06" w:rsidRPr="002D5F06" w:rsidRDefault="002D5F06" w:rsidP="002D5F06">
            <w:pPr>
              <w:tabs>
                <w:tab w:val="center" w:pos="6379"/>
              </w:tabs>
              <w:ind w:right="-2"/>
              <w:jc w:val="both"/>
              <w:rPr>
                <w:rFonts w:ascii="Times New Roman" w:hAnsi="Times New Roman"/>
                <w:b/>
                <w:bCs/>
                <w:sz w:val="20"/>
                <w:szCs w:val="20"/>
              </w:rPr>
            </w:pPr>
            <w:r w:rsidRPr="002D5F06">
              <w:rPr>
                <w:rFonts w:ascii="Times New Roman" w:hAnsi="Times New Roman"/>
                <w:b/>
                <w:bCs/>
                <w:sz w:val="20"/>
                <w:szCs w:val="20"/>
              </w:rPr>
              <w:t>K vplyvom na rozpočet verejnej správy</w:t>
            </w:r>
          </w:p>
          <w:p w:rsidR="002D5F06" w:rsidRPr="002D5F06" w:rsidRDefault="002D5F06" w:rsidP="002D5F06">
            <w:pPr>
              <w:autoSpaceDE w:val="0"/>
              <w:autoSpaceDN w:val="0"/>
              <w:adjustRightInd w:val="0"/>
              <w:jc w:val="both"/>
              <w:rPr>
                <w:rFonts w:ascii="Times New Roman" w:hAnsi="Times New Roman"/>
                <w:sz w:val="20"/>
                <w:szCs w:val="20"/>
                <w:lang w:eastAsia="sk-SK"/>
              </w:rPr>
            </w:pPr>
            <w:r w:rsidRPr="002D5F06">
              <w:rPr>
                <w:rFonts w:ascii="Times New Roman" w:hAnsi="Times New Roman"/>
                <w:sz w:val="20"/>
                <w:szCs w:val="20"/>
              </w:rPr>
              <w:t>V doložke vybraných vplyvov je označený negatívny, čiastočne zabezpečený vplyv na rozpočet verejnej správy. V analýze vplyvov je v tabuľke č. 1 kvantifikovaný úbytok príjmov v sume 26 000 eur v roku 2021, v sume 130 000 eur v roku 2022 a v sume 104 000 eur v roku 2023. Výdavky sú kvantifikované v sume 46 039 eur v roku 2021, v sume 1 318 312,11 eur v roku 2022, v sume 1 303 589,07 eur v roku 2023 a v sume 1 324 446,50 eur v roku 2024. Uvedené výdavky súvisia s pokrytím nájomného pre sídlo Európskeho orgánu práce (ELA) a asistenčnej služby pre jej zamestnancov. Nekrytý vplyv predkladateľ uvádza v sume 26 000 eur v roku 2021, v sume 1 413 060,11 eur v roku 2022, v sume 1 407 589,07 eur v roku 2023 a v sume 1 324 446,50 eur v roku 2024. V časti 2.1.1. je uvedené, že „Pokiaľ ide o finančné prostriedky potrebné na zastabilizovanie sídla ELA v SR v rozsahu vyplývajúcom z nájomnej zmluvy, v roku 2021 budú tieto zabezpečené zo zdrojov nájomcu a na nasledujúce roky budú uplatnené v priebehu rokovaní o štátnom rozpočte na roky 2022-2024, predpokladá sa, že príspevok na nájomné sa bude vyplácať z kapitoly MF SR.“.</w:t>
            </w:r>
          </w:p>
          <w:p w:rsidR="002D5F06" w:rsidRPr="002D5F06" w:rsidRDefault="002D5F06" w:rsidP="002D5F06">
            <w:pPr>
              <w:jc w:val="both"/>
              <w:rPr>
                <w:rFonts w:ascii="Times New Roman" w:hAnsi="Times New Roman"/>
                <w:sz w:val="20"/>
                <w:szCs w:val="20"/>
              </w:rPr>
            </w:pPr>
            <w:r w:rsidRPr="002D5F06">
              <w:rPr>
                <w:rFonts w:ascii="Times New Roman" w:hAnsi="Times New Roman"/>
                <w:sz w:val="20"/>
                <w:szCs w:val="20"/>
              </w:rPr>
              <w:t>V tejto súvislosti Komisia uvádza, že výdavky na zabezpečenie predmetných titulov neboli v čase spracovania prvého návrhu rozpočtu verejnej správy uplatnené. Takisto Komisia uvádza, že výdavky sú už v súčasnej fáze zahrnuté v návrhu rozpočtu verejnej správy na roky 2022 - 2024 v rámci výdavkov nájomcu, t. j. MH Invest, s. r. o. V nadväznosti na uvedené žiada Komisia upraviť doložku vybraných vplyvov a analýzu vplyvov tak, že z nich nebude vyplývať rozpočtovo nekrytý vplyv a taktiež Komisia žiada kapitolu MF SR z analýzy vplyvov a ostatných častí materiálu vypustiť.</w:t>
            </w:r>
          </w:p>
          <w:p w:rsidR="002D5F06" w:rsidRPr="002D5F06" w:rsidRDefault="002D5F06" w:rsidP="002D5F06">
            <w:pPr>
              <w:jc w:val="both"/>
              <w:rPr>
                <w:rFonts w:ascii="Times New Roman" w:hAnsi="Times New Roman"/>
                <w:sz w:val="20"/>
                <w:szCs w:val="20"/>
              </w:rPr>
            </w:pPr>
          </w:p>
          <w:p w:rsidR="002D5F06" w:rsidRPr="002D5F06" w:rsidRDefault="002D5F06" w:rsidP="002D5F06">
            <w:pPr>
              <w:jc w:val="both"/>
              <w:rPr>
                <w:rFonts w:ascii="Times New Roman" w:hAnsi="Times New Roman"/>
                <w:sz w:val="20"/>
                <w:szCs w:val="20"/>
              </w:rPr>
            </w:pPr>
            <w:r w:rsidRPr="002D5F06">
              <w:rPr>
                <w:rFonts w:ascii="Times New Roman" w:hAnsi="Times New Roman"/>
                <w:b/>
                <w:sz w:val="20"/>
                <w:szCs w:val="20"/>
              </w:rPr>
              <w:t>Vyhodnotenie predkladateľa:</w:t>
            </w:r>
            <w:r w:rsidRPr="002D5F06">
              <w:rPr>
                <w:rFonts w:ascii="Times New Roman" w:hAnsi="Times New Roman"/>
                <w:sz w:val="20"/>
                <w:szCs w:val="20"/>
              </w:rPr>
              <w:t xml:space="preserve"> Doložka vybraných vplyvov a analýza vplyvov bola upravená v súlade s pripomienkou.</w:t>
            </w:r>
          </w:p>
          <w:p w:rsidR="002D5F06" w:rsidRPr="002D5F06" w:rsidRDefault="002D5F06" w:rsidP="002D5F06">
            <w:pPr>
              <w:jc w:val="both"/>
              <w:rPr>
                <w:rFonts w:ascii="Times New Roman" w:hAnsi="Times New Roman"/>
                <w:sz w:val="20"/>
                <w:szCs w:val="20"/>
              </w:rPr>
            </w:pPr>
          </w:p>
          <w:p w:rsidR="002D5F06" w:rsidRPr="002D5F06" w:rsidRDefault="002D5F06" w:rsidP="002D5F06">
            <w:pPr>
              <w:jc w:val="both"/>
              <w:rPr>
                <w:rFonts w:ascii="Times New Roman" w:hAnsi="Times New Roman"/>
                <w:sz w:val="20"/>
                <w:szCs w:val="20"/>
              </w:rPr>
            </w:pPr>
            <w:r w:rsidRPr="002D5F06">
              <w:rPr>
                <w:rFonts w:ascii="Times New Roman" w:hAnsi="Times New Roman"/>
                <w:sz w:val="20"/>
                <w:szCs w:val="20"/>
              </w:rPr>
              <w:t>Z materiálu nie je zrejmé, prečo je v analýze vplyvov pri nekrytom vplyve uvedená kapitola MPSVR SR. Uvedené žiada Komisia jednoznačne zdôvodniť.</w:t>
            </w:r>
          </w:p>
          <w:p w:rsidR="002D5F06" w:rsidRPr="002D5F06" w:rsidRDefault="002D5F06" w:rsidP="002D5F06">
            <w:pPr>
              <w:jc w:val="both"/>
              <w:rPr>
                <w:rFonts w:ascii="Times New Roman" w:hAnsi="Times New Roman"/>
                <w:sz w:val="20"/>
                <w:szCs w:val="20"/>
              </w:rPr>
            </w:pPr>
          </w:p>
          <w:p w:rsidR="002D5F06" w:rsidRPr="002D5F06" w:rsidRDefault="002D5F06" w:rsidP="002D5F06">
            <w:pPr>
              <w:jc w:val="both"/>
              <w:rPr>
                <w:rFonts w:ascii="Times New Roman" w:hAnsi="Times New Roman"/>
                <w:sz w:val="20"/>
                <w:szCs w:val="20"/>
              </w:rPr>
            </w:pPr>
            <w:r w:rsidRPr="002D5F06">
              <w:rPr>
                <w:rFonts w:ascii="Times New Roman" w:hAnsi="Times New Roman"/>
                <w:b/>
                <w:sz w:val="20"/>
                <w:szCs w:val="20"/>
              </w:rPr>
              <w:t>Vyhodnotenie predkladateľa:</w:t>
            </w:r>
            <w:r w:rsidRPr="002D5F06">
              <w:rPr>
                <w:rFonts w:ascii="Times New Roman" w:hAnsi="Times New Roman"/>
                <w:sz w:val="20"/>
                <w:szCs w:val="20"/>
              </w:rPr>
              <w:t xml:space="preserve"> Nekrytý vplyv a kapitola MPSVR SR boli z analýzy vplyvov v súlade s touto a predchádzajúcou pripomienkou vypustené. </w:t>
            </w:r>
          </w:p>
          <w:p w:rsidR="002D5F06" w:rsidRPr="002D5F06" w:rsidRDefault="002D5F06" w:rsidP="002D5F06">
            <w:pPr>
              <w:autoSpaceDE w:val="0"/>
              <w:autoSpaceDN w:val="0"/>
              <w:adjustRightInd w:val="0"/>
              <w:jc w:val="both"/>
              <w:rPr>
                <w:rFonts w:ascii="Times New Roman" w:hAnsi="Times New Roman"/>
                <w:sz w:val="20"/>
                <w:szCs w:val="20"/>
                <w:lang w:eastAsia="sk-SK"/>
              </w:rPr>
            </w:pPr>
            <w:r w:rsidRPr="002D5F06">
              <w:rPr>
                <w:rFonts w:ascii="Times New Roman" w:hAnsi="Times New Roman"/>
                <w:sz w:val="20"/>
                <w:szCs w:val="20"/>
              </w:rPr>
              <w:t xml:space="preserve">V doložke vybraných vplyvov v bode 10. Poznámky je uvedené, že „Návratnosť finančného benefitu poskytnutého pre prvých 144 zamestnancov ELA a výkonného riaditeľa v podobe nároku na vrátenie DPH sa predpokladá po 42 mesiaci.“ V prvom rade považuje Komisia za potrebné bližšie upresniť indikovanú  predpokladanú návratnosť DPH benefitu. Ďalej je potrebné vysvetliť, na základe akého predpokladu dospel predkladateľ návrhu zmluvy k deklarovanej návratnosti DPH benefitu po 42 mesiaci (je potrebné spresniť od akého obdobia je potrebné počítať uvedenú lehotu a z akých východísk táto lehota vyplynula).   </w:t>
            </w:r>
          </w:p>
          <w:p w:rsidR="002D5F06" w:rsidRPr="002D5F06" w:rsidRDefault="002D5F06" w:rsidP="002D5F06">
            <w:pPr>
              <w:autoSpaceDE w:val="0"/>
              <w:autoSpaceDN w:val="0"/>
              <w:adjustRightInd w:val="0"/>
              <w:jc w:val="both"/>
              <w:rPr>
                <w:rFonts w:ascii="Times New Roman" w:hAnsi="Times New Roman"/>
                <w:sz w:val="20"/>
                <w:szCs w:val="20"/>
              </w:rPr>
            </w:pPr>
            <w:r w:rsidRPr="002D5F06">
              <w:rPr>
                <w:rFonts w:ascii="Times New Roman" w:hAnsi="Times New Roman"/>
                <w:sz w:val="20"/>
                <w:szCs w:val="20"/>
              </w:rPr>
              <w:t>Čl. 13 ods. 2 návrhu zmluvy ustanovuje, že prvých 144 zamestnancov, ktorí nie sú štátnymi príslušníkmi SR, resp. nemajú v SR trvalý pobyt sa priznáva nárok na vrátenie DPH kumulatívne najviac do výšky 10 000 EUR za zamestnanca z vnútroštátnych nákupov tovarov a služieb na osobnú spotrebu. Tento nárok si budú môcť relevantní zamestnanci uplatniť najneskôr do konca roka 2023 za podmienky, že cena za nákup tovarov a služieb na osobnú spotrebu bude vyššia ako 70 eur za jednu faktúru. Podľa čl. 20 ods. 2 sa zmluva predbežne vykonáva od jej podpisu zmluvnými stranami. Ak by sme vychádzali z predpokladu, že k jej podpisu dôjde v priebehu mesiaca august 2021, lehota plynúca do 31.12.2023, teda maximálna lehota, počas ktorej si predmetní zamestnanci môžu uplatniť DPH benefit, predstavuje 29 mesiacov.</w:t>
            </w:r>
          </w:p>
          <w:p w:rsidR="002D5F06" w:rsidRPr="002D5F06" w:rsidRDefault="002D5F06" w:rsidP="002D5F06">
            <w:pPr>
              <w:autoSpaceDE w:val="0"/>
              <w:autoSpaceDN w:val="0"/>
              <w:adjustRightInd w:val="0"/>
              <w:jc w:val="both"/>
              <w:rPr>
                <w:rFonts w:ascii="Times New Roman" w:hAnsi="Times New Roman"/>
                <w:sz w:val="20"/>
                <w:szCs w:val="20"/>
              </w:rPr>
            </w:pPr>
          </w:p>
          <w:p w:rsidR="002D5F06" w:rsidRPr="002D5F06" w:rsidRDefault="002D5F06" w:rsidP="002D5F06">
            <w:pPr>
              <w:autoSpaceDE w:val="0"/>
              <w:autoSpaceDN w:val="0"/>
              <w:adjustRightInd w:val="0"/>
              <w:jc w:val="both"/>
              <w:rPr>
                <w:rFonts w:ascii="Times New Roman" w:hAnsi="Times New Roman"/>
                <w:sz w:val="20"/>
                <w:szCs w:val="20"/>
              </w:rPr>
            </w:pPr>
            <w:r w:rsidRPr="002D5F06">
              <w:rPr>
                <w:rFonts w:ascii="Times New Roman" w:hAnsi="Times New Roman"/>
                <w:b/>
                <w:sz w:val="20"/>
                <w:szCs w:val="20"/>
              </w:rPr>
              <w:t>Vyhodnotenie predkladateľa:</w:t>
            </w:r>
            <w:r w:rsidRPr="002D5F06">
              <w:rPr>
                <w:rFonts w:ascii="Times New Roman" w:hAnsi="Times New Roman"/>
                <w:sz w:val="20"/>
                <w:szCs w:val="20"/>
              </w:rPr>
              <w:t xml:space="preserve"> Do doložky vybraných vplyvov a do analýzy vplyvov bolo doplnené bližšie vysvetlenie návratnosti finančného benefitu DPH, boli objasnené predpoklady a parametre, ktorá stoja za výpočtom.</w:t>
            </w:r>
          </w:p>
          <w:p w:rsidR="002D5F06" w:rsidRPr="002D5F06" w:rsidRDefault="002D5F06" w:rsidP="002D5F06">
            <w:pPr>
              <w:autoSpaceDE w:val="0"/>
              <w:autoSpaceDN w:val="0"/>
              <w:adjustRightInd w:val="0"/>
              <w:jc w:val="both"/>
              <w:rPr>
                <w:rFonts w:ascii="Times New Roman" w:hAnsi="Times New Roman"/>
                <w:sz w:val="20"/>
                <w:szCs w:val="20"/>
              </w:rPr>
            </w:pPr>
          </w:p>
          <w:p w:rsidR="002D5F06" w:rsidRPr="002D5F06" w:rsidRDefault="002D5F06" w:rsidP="002D5F06">
            <w:pPr>
              <w:autoSpaceDE w:val="0"/>
              <w:autoSpaceDN w:val="0"/>
              <w:adjustRightInd w:val="0"/>
              <w:jc w:val="both"/>
              <w:rPr>
                <w:rFonts w:ascii="Times New Roman" w:hAnsi="Times New Roman"/>
                <w:sz w:val="20"/>
                <w:szCs w:val="20"/>
              </w:rPr>
            </w:pPr>
            <w:r w:rsidRPr="002D5F06">
              <w:rPr>
                <w:rFonts w:ascii="Times New Roman" w:hAnsi="Times New Roman"/>
                <w:sz w:val="20"/>
                <w:szCs w:val="20"/>
              </w:rPr>
              <w:t xml:space="preserve">V analýze vplyvov v tabuľke č. 1 predkladateľ návrhu zmluvy deklaruje negatívne vplyvy na príjmovú časť </w:t>
            </w:r>
            <w:r w:rsidRPr="002D5F06">
              <w:rPr>
                <w:rFonts w:ascii="Times New Roman" w:hAnsi="Times New Roman"/>
                <w:sz w:val="20"/>
                <w:szCs w:val="20"/>
              </w:rPr>
              <w:lastRenderedPageBreak/>
              <w:t xml:space="preserve">štátneho rozpočtu. Komisia má za to, že suma DPH, ktorá bude na základe znenia čl. 13 ods. 2 zmluvy vrátená relevantným zamestnancom z vnútroštátnych nákupov tovarov a služieb na osobnú spotrebu, predstavuje sumu, ktorá definitívne nebude súčasťou príjmovej časti štátneho rozpočtu SR, pričom do konca roka 2023 je potrebné počítať s čiastkou približne 1 450 000 € (prvých 144 zamestnancov + výkonný riaditeľ ELA x 10 000 eur = 1 450 000 eur). Berúc na zreteľ uvedené, má Komisia za to, že v nadväznosti na predpoklady obsadzovania príslušných pracovných pozícií je potrebné sprecizovať deklarovaný negatívny vplyv uvedený v analýze. V analýze vplyvov v časti 2.1.1. nie je zmienený úbytok príjmov, ktorý súvisí s vrátením DPH pri nákupoch na osobnú spotrebu zamestnancov a výkonného riaditeľa ELA.  </w:t>
            </w:r>
          </w:p>
          <w:p w:rsidR="002D5F06" w:rsidRPr="002D5F06" w:rsidRDefault="002D5F06" w:rsidP="002D5F06">
            <w:pPr>
              <w:autoSpaceDE w:val="0"/>
              <w:autoSpaceDN w:val="0"/>
              <w:adjustRightInd w:val="0"/>
              <w:jc w:val="both"/>
              <w:rPr>
                <w:rFonts w:ascii="Times New Roman" w:hAnsi="Times New Roman"/>
                <w:sz w:val="20"/>
                <w:szCs w:val="20"/>
              </w:rPr>
            </w:pPr>
          </w:p>
          <w:p w:rsidR="002D5F06" w:rsidRPr="002D5F06" w:rsidRDefault="002D5F06" w:rsidP="002D5F06">
            <w:pPr>
              <w:autoSpaceDE w:val="0"/>
              <w:autoSpaceDN w:val="0"/>
              <w:adjustRightInd w:val="0"/>
              <w:jc w:val="both"/>
              <w:rPr>
                <w:rFonts w:ascii="Times New Roman" w:hAnsi="Times New Roman"/>
                <w:sz w:val="20"/>
                <w:szCs w:val="20"/>
              </w:rPr>
            </w:pPr>
            <w:r w:rsidRPr="002D5F06">
              <w:rPr>
                <w:rFonts w:ascii="Times New Roman" w:hAnsi="Times New Roman"/>
                <w:b/>
                <w:sz w:val="20"/>
                <w:szCs w:val="20"/>
              </w:rPr>
              <w:t>Vyhodnotenie predkladateľa:</w:t>
            </w:r>
            <w:r w:rsidRPr="002D5F06">
              <w:rPr>
                <w:rFonts w:ascii="Times New Roman" w:hAnsi="Times New Roman"/>
                <w:sz w:val="20"/>
                <w:szCs w:val="20"/>
              </w:rPr>
              <w:t xml:space="preserve"> Prepočet negatívneho vplyvu na príjmovú časť štátneho rozpočtu vyplývajúci z finančného benefitu DPH bol zmenený v súlade s pripomienkou a úbytok príjmov bol doplnený do časti 2.1.1. analýzy vplyvov.</w:t>
            </w:r>
          </w:p>
          <w:p w:rsidR="002D5F06" w:rsidRPr="002D5F06" w:rsidRDefault="002D5F06" w:rsidP="002D5F06">
            <w:pPr>
              <w:autoSpaceDE w:val="0"/>
              <w:autoSpaceDN w:val="0"/>
              <w:adjustRightInd w:val="0"/>
              <w:jc w:val="both"/>
              <w:rPr>
                <w:rFonts w:ascii="Times New Roman" w:hAnsi="Times New Roman"/>
                <w:sz w:val="20"/>
                <w:szCs w:val="20"/>
              </w:rPr>
            </w:pPr>
          </w:p>
          <w:p w:rsidR="002D5F06" w:rsidRPr="002D5F06" w:rsidRDefault="002D5F06" w:rsidP="002D5F06">
            <w:pPr>
              <w:autoSpaceDE w:val="0"/>
              <w:autoSpaceDN w:val="0"/>
              <w:adjustRightInd w:val="0"/>
              <w:jc w:val="both"/>
              <w:rPr>
                <w:rFonts w:ascii="Times New Roman" w:hAnsi="Times New Roman"/>
                <w:sz w:val="20"/>
                <w:szCs w:val="20"/>
              </w:rPr>
            </w:pPr>
            <w:r w:rsidRPr="002D5F06">
              <w:rPr>
                <w:rFonts w:ascii="Times New Roman" w:hAnsi="Times New Roman"/>
                <w:sz w:val="20"/>
                <w:szCs w:val="20"/>
              </w:rPr>
              <w:t>V časti 2.2.4. je v treťom odseku pod tabuľkou uvedené, že „Vo výpočte vplyvu bol zohľadnený expertný predpoklad, že 10 % zamestnancov budú príslušníci SR, ktorí nebudú mať nárok na vrátenie DPH.“, avšak treba poznamenať, že podľa informácií z MPSVR SR má ísť o prvých 144 zamestnancov, ktorí prídu zo zahraničia na Slovensko, čo, ako sa javí, tabuľka č. 3 nezohľadňuje (do konca roku 2023 by malo ísť o sumu max. 1 450 000 eur), teda v kontexte pripomienky k č. 3 je potrebné spresniť negatívny vplyv v nadväznosti na parametre DPH benefitu ustanovené v čl. 13 ods. 2 návrhu zmluvy.</w:t>
            </w:r>
          </w:p>
          <w:p w:rsidR="002D5F06" w:rsidRPr="002D5F06" w:rsidRDefault="002D5F06" w:rsidP="002D5F06">
            <w:pPr>
              <w:autoSpaceDE w:val="0"/>
              <w:autoSpaceDN w:val="0"/>
              <w:adjustRightInd w:val="0"/>
              <w:jc w:val="both"/>
              <w:rPr>
                <w:rFonts w:ascii="Times New Roman" w:hAnsi="Times New Roman"/>
                <w:sz w:val="20"/>
                <w:szCs w:val="20"/>
              </w:rPr>
            </w:pPr>
          </w:p>
          <w:p w:rsidR="002D5F06" w:rsidRPr="002D5F06" w:rsidRDefault="002D5F06" w:rsidP="002D5F06">
            <w:pPr>
              <w:autoSpaceDE w:val="0"/>
              <w:autoSpaceDN w:val="0"/>
              <w:adjustRightInd w:val="0"/>
              <w:jc w:val="both"/>
              <w:rPr>
                <w:rFonts w:ascii="Times New Roman" w:hAnsi="Times New Roman"/>
                <w:sz w:val="20"/>
                <w:szCs w:val="20"/>
                <w:lang w:eastAsia="sk-SK"/>
              </w:rPr>
            </w:pPr>
            <w:r w:rsidRPr="002D5F06">
              <w:rPr>
                <w:rFonts w:ascii="Times New Roman" w:hAnsi="Times New Roman"/>
                <w:b/>
                <w:sz w:val="20"/>
                <w:szCs w:val="20"/>
                <w:lang w:eastAsia="sk-SK"/>
              </w:rPr>
              <w:t>Vyhodnotenie predkladateľa:</w:t>
            </w:r>
            <w:r w:rsidRPr="002D5F06">
              <w:rPr>
                <w:rFonts w:ascii="Times New Roman" w:hAnsi="Times New Roman"/>
                <w:sz w:val="20"/>
                <w:szCs w:val="20"/>
                <w:lang w:eastAsia="sk-SK"/>
              </w:rPr>
              <w:t xml:space="preserve"> Prepočet negatívneho vplyvu vyplývajúci z finančného benefitu DPH bol zmenený v súlade s touto a predchádzajúcou pripomienkou.</w:t>
            </w:r>
          </w:p>
          <w:p w:rsidR="002D5F06" w:rsidRPr="002D5F06" w:rsidRDefault="002D5F06" w:rsidP="002D5F06">
            <w:pPr>
              <w:autoSpaceDE w:val="0"/>
              <w:autoSpaceDN w:val="0"/>
              <w:adjustRightInd w:val="0"/>
              <w:jc w:val="both"/>
              <w:rPr>
                <w:rFonts w:ascii="Times New Roman" w:hAnsi="Times New Roman"/>
                <w:sz w:val="20"/>
                <w:szCs w:val="20"/>
              </w:rPr>
            </w:pPr>
          </w:p>
          <w:p w:rsidR="002D5F06" w:rsidRPr="002D5F06" w:rsidRDefault="002D5F06" w:rsidP="002D5F06">
            <w:pPr>
              <w:autoSpaceDE w:val="0"/>
              <w:autoSpaceDN w:val="0"/>
              <w:adjustRightInd w:val="0"/>
              <w:jc w:val="both"/>
              <w:rPr>
                <w:rFonts w:ascii="Times New Roman" w:hAnsi="Times New Roman"/>
                <w:sz w:val="20"/>
                <w:szCs w:val="20"/>
              </w:rPr>
            </w:pPr>
            <w:r w:rsidRPr="002D5F06">
              <w:rPr>
                <w:rFonts w:ascii="Times New Roman" w:hAnsi="Times New Roman"/>
                <w:sz w:val="20"/>
                <w:szCs w:val="20"/>
              </w:rPr>
              <w:t>V poslednej vete predmetného odseku je uvedené, že „Predpokladá sa, že vracanie DPH bude realizovať MF SR.“, avšak tento predpoklad nevychádza zo znenia čl. 13 ods. 2 vlastného materiálu, kde sa navrhuje, že DPH bude vrátená Daňovým úradom Bratislava a žiadosti o vrátenie DPH spolu s priloženými faktúrami bude predkladať MPSVR SR. Túto skutočnosť je potrebné premietnuť v tejto časti analýzy vplyvov.</w:t>
            </w:r>
          </w:p>
          <w:p w:rsidR="002D5F06" w:rsidRPr="002D5F06" w:rsidRDefault="002D5F06" w:rsidP="002D5F06">
            <w:pPr>
              <w:autoSpaceDE w:val="0"/>
              <w:autoSpaceDN w:val="0"/>
              <w:adjustRightInd w:val="0"/>
              <w:jc w:val="both"/>
              <w:rPr>
                <w:rFonts w:ascii="Times New Roman" w:hAnsi="Times New Roman"/>
                <w:sz w:val="20"/>
                <w:szCs w:val="20"/>
              </w:rPr>
            </w:pPr>
          </w:p>
          <w:p w:rsidR="001B23B7" w:rsidRPr="002D5F06" w:rsidRDefault="002D5F06" w:rsidP="007B22C5">
            <w:pPr>
              <w:autoSpaceDE w:val="0"/>
              <w:autoSpaceDN w:val="0"/>
              <w:adjustRightInd w:val="0"/>
              <w:jc w:val="both"/>
              <w:rPr>
                <w:rFonts w:ascii="Times New Roman" w:hAnsi="Times New Roman"/>
                <w:b/>
                <w:sz w:val="20"/>
                <w:szCs w:val="20"/>
                <w:lang w:eastAsia="sk-SK"/>
              </w:rPr>
            </w:pPr>
            <w:r w:rsidRPr="002D5F06">
              <w:rPr>
                <w:rFonts w:ascii="Times New Roman" w:hAnsi="Times New Roman"/>
                <w:b/>
                <w:sz w:val="20"/>
                <w:szCs w:val="20"/>
                <w:lang w:eastAsia="sk-SK"/>
              </w:rPr>
              <w:t>Vyhodnotenie predkladateľa:</w:t>
            </w:r>
            <w:r w:rsidRPr="002D5F06">
              <w:rPr>
                <w:rFonts w:ascii="Times New Roman" w:hAnsi="Times New Roman"/>
                <w:sz w:val="20"/>
                <w:szCs w:val="20"/>
                <w:lang w:eastAsia="sk-SK"/>
              </w:rPr>
              <w:t xml:space="preserve"> Text bol upravený v súlade s pripomienkou.</w:t>
            </w:r>
          </w:p>
          <w:p w:rsidR="001B23B7" w:rsidRPr="002D5F06" w:rsidRDefault="001B23B7" w:rsidP="000800FC">
            <w:pPr>
              <w:rPr>
                <w:rFonts w:ascii="Times New Roman" w:hAnsi="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C456B4" w:rsidRDefault="001B23B7" w:rsidP="00B02BB4">
            <w:pPr>
              <w:numPr>
                <w:ilvl w:val="0"/>
                <w:numId w:val="1"/>
              </w:numPr>
              <w:contextualSpacing/>
              <w:jc w:val="both"/>
              <w:rPr>
                <w:rFonts w:ascii="Times New Roman" w:hAnsi="Times New Roman"/>
                <w:b/>
              </w:rPr>
            </w:pPr>
            <w:r w:rsidRPr="00C456B4">
              <w:rPr>
                <w:rFonts w:ascii="Times New Roman" w:hAnsi="Times New Roman"/>
                <w:b/>
              </w:rPr>
              <w:lastRenderedPageBreak/>
              <w:t xml:space="preserve">Stanovisko Komisie na posudzovanie vybraných vplyvov zo záverečného posúdenia č. </w:t>
            </w:r>
            <w:r w:rsidR="00B02BB4" w:rsidRPr="00B02BB4">
              <w:rPr>
                <w:rFonts w:ascii="Times New Roman" w:hAnsi="Times New Roman"/>
                <w:b/>
              </w:rPr>
              <w:t>128_2/2021</w:t>
            </w:r>
            <w:r w:rsidRPr="00C456B4">
              <w:rPr>
                <w:rFonts w:ascii="Times New Roman" w:hAnsi="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tcBorders>
              <w:bottom w:val="single" w:sz="4" w:space="0" w:color="auto"/>
            </w:tcBorders>
            <w:shd w:val="clear" w:color="auto" w:fill="FFFFFF"/>
          </w:tcPr>
          <w:p w:rsidR="001B23B7" w:rsidRPr="00C456B4" w:rsidRDefault="001B23B7" w:rsidP="000800FC">
            <w:pPr>
              <w:rPr>
                <w:rFonts w:ascii="Times New Roman" w:hAnsi="Times New Roman"/>
                <w:b/>
                <w:sz w:val="20"/>
                <w:szCs w:val="20"/>
                <w:lang w:eastAsia="sk-SK"/>
              </w:rPr>
            </w:pPr>
          </w:p>
          <w:tbl>
            <w:tblPr>
              <w:tblStyle w:val="Mriekatabuky1"/>
              <w:tblW w:w="114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gridCol w:w="2534"/>
            </w:tblGrid>
            <w:tr w:rsidR="00C456B4" w:rsidRPr="00C456B4" w:rsidTr="00C456B4">
              <w:trPr>
                <w:trHeight w:val="396"/>
              </w:trPr>
              <w:tc>
                <w:tcPr>
                  <w:tcW w:w="2552" w:type="dxa"/>
                  <w:tcBorders>
                    <w:top w:val="nil"/>
                    <w:left w:val="nil"/>
                    <w:bottom w:val="nil"/>
                    <w:right w:val="nil"/>
                  </w:tcBorders>
                </w:tcPr>
                <w:p w:rsidR="00C456B4" w:rsidRPr="00C456B4" w:rsidRDefault="00C456B4" w:rsidP="00C456B4">
                  <w:pPr>
                    <w:rPr>
                      <w:rFonts w:ascii="Times New Roman" w:hAnsi="Times New Roman"/>
                      <w:b/>
                      <w:sz w:val="20"/>
                      <w:szCs w:val="20"/>
                      <w:lang w:eastAsia="sk-SK"/>
                    </w:rPr>
                  </w:pPr>
                  <w:r w:rsidRPr="00C456B4">
                    <w:rPr>
                      <w:rFonts w:ascii="Segoe UI Symbol" w:hAnsi="Segoe UI Symbol" w:cs="Segoe UI Symbol"/>
                      <w:b/>
                      <w:sz w:val="20"/>
                      <w:szCs w:val="20"/>
                      <w:lang w:eastAsia="sk-SK"/>
                    </w:rPr>
                    <w:t>☐</w:t>
                  </w:r>
                  <w:r w:rsidRPr="00C456B4">
                    <w:rPr>
                      <w:rFonts w:ascii="Times New Roman" w:hAnsi="Times New Roman"/>
                      <w:b/>
                      <w:sz w:val="20"/>
                      <w:szCs w:val="20"/>
                      <w:lang w:eastAsia="sk-SK"/>
                    </w:rPr>
                    <w:t xml:space="preserve"> Súhlasné </w:t>
                  </w:r>
                </w:p>
              </w:tc>
              <w:tc>
                <w:tcPr>
                  <w:tcW w:w="3827" w:type="dxa"/>
                  <w:tcBorders>
                    <w:top w:val="nil"/>
                    <w:left w:val="nil"/>
                    <w:bottom w:val="nil"/>
                    <w:right w:val="nil"/>
                  </w:tcBorders>
                </w:tcPr>
                <w:p w:rsidR="00C456B4" w:rsidRPr="00C456B4" w:rsidRDefault="00C456B4" w:rsidP="00C456B4">
                  <w:pPr>
                    <w:rPr>
                      <w:rFonts w:ascii="Times New Roman" w:hAnsi="Times New Roman"/>
                      <w:b/>
                      <w:sz w:val="20"/>
                      <w:szCs w:val="20"/>
                      <w:lang w:eastAsia="sk-SK"/>
                    </w:rPr>
                  </w:pPr>
                  <w:r w:rsidRPr="00C456B4">
                    <w:rPr>
                      <w:rFonts w:ascii="Segoe UI Symbol" w:hAnsi="Segoe UI Symbol" w:cs="Segoe UI Symbol"/>
                      <w:b/>
                      <w:sz w:val="20"/>
                      <w:szCs w:val="20"/>
                      <w:lang w:eastAsia="sk-SK"/>
                    </w:rPr>
                    <w:t>☐</w:t>
                  </w:r>
                  <w:r w:rsidRPr="00C456B4">
                    <w:rPr>
                      <w:rFonts w:ascii="Times New Roman" w:hAnsi="Times New Roman"/>
                      <w:b/>
                      <w:sz w:val="20"/>
                      <w:szCs w:val="20"/>
                      <w:lang w:eastAsia="sk-SK"/>
                    </w:rPr>
                    <w:t xml:space="preserve"> Súhlasné s  návrhom na dopracovanie</w:t>
                  </w:r>
                </w:p>
              </w:tc>
              <w:tc>
                <w:tcPr>
                  <w:tcW w:w="2534" w:type="dxa"/>
                  <w:tcBorders>
                    <w:top w:val="nil"/>
                    <w:left w:val="nil"/>
                    <w:bottom w:val="nil"/>
                    <w:right w:val="nil"/>
                  </w:tcBorders>
                </w:tcPr>
                <w:p w:rsidR="00C456B4" w:rsidRPr="00C456B4" w:rsidRDefault="00C456B4" w:rsidP="00C456B4">
                  <w:pPr>
                    <w:ind w:right="459"/>
                    <w:rPr>
                      <w:rFonts w:ascii="Segoe UI Symbol" w:hAnsi="Segoe UI Symbol" w:cs="Segoe UI Symbol"/>
                      <w:b/>
                      <w:sz w:val="20"/>
                      <w:szCs w:val="20"/>
                      <w:lang w:eastAsia="sk-SK"/>
                    </w:rPr>
                  </w:pPr>
                  <w:r w:rsidRPr="002D5F06">
                    <w:rPr>
                      <w:rFonts w:ascii="Segoe UI Symbol" w:eastAsia="MS Gothic" w:hAnsi="Segoe UI Symbol" w:cs="Segoe UI Symbol"/>
                      <w:b/>
                      <w:sz w:val="20"/>
                      <w:szCs w:val="20"/>
                    </w:rPr>
                    <w:t>☒</w:t>
                  </w:r>
                  <w:r w:rsidRPr="002D5F06">
                    <w:rPr>
                      <w:rFonts w:ascii="Times New Roman" w:hAnsi="Times New Roman"/>
                      <w:b/>
                      <w:sz w:val="20"/>
                      <w:szCs w:val="20"/>
                      <w:lang w:eastAsia="sk-SK"/>
                    </w:rPr>
                    <w:t>Nesúhlasné</w:t>
                  </w:r>
                </w:p>
              </w:tc>
              <w:tc>
                <w:tcPr>
                  <w:tcW w:w="2534" w:type="dxa"/>
                  <w:tcBorders>
                    <w:top w:val="nil"/>
                    <w:left w:val="nil"/>
                    <w:bottom w:val="nil"/>
                    <w:right w:val="nil"/>
                  </w:tcBorders>
                </w:tcPr>
                <w:p w:rsidR="00C456B4" w:rsidRPr="00C456B4" w:rsidRDefault="00C456B4" w:rsidP="00C456B4">
                  <w:pPr>
                    <w:ind w:right="459"/>
                    <w:rPr>
                      <w:rFonts w:ascii="Times New Roman" w:hAnsi="Times New Roman"/>
                      <w:b/>
                      <w:sz w:val="20"/>
                      <w:szCs w:val="20"/>
                      <w:lang w:eastAsia="sk-SK"/>
                    </w:rPr>
                  </w:pPr>
                  <w:r w:rsidRPr="00C456B4">
                    <w:rPr>
                      <w:rFonts w:ascii="Segoe UI Symbol" w:hAnsi="Segoe UI Symbol" w:cs="Segoe UI Symbol"/>
                      <w:b/>
                      <w:sz w:val="20"/>
                      <w:szCs w:val="20"/>
                      <w:lang w:eastAsia="sk-SK"/>
                    </w:rPr>
                    <w:t>☐</w:t>
                  </w:r>
                  <w:r w:rsidRPr="00C456B4">
                    <w:rPr>
                      <w:rFonts w:ascii="Times New Roman" w:hAnsi="Times New Roman"/>
                      <w:b/>
                      <w:sz w:val="20"/>
                      <w:szCs w:val="20"/>
                      <w:lang w:eastAsia="sk-SK"/>
                    </w:rPr>
                    <w:t xml:space="preserve"> Nesúhlasné</w:t>
                  </w:r>
                </w:p>
              </w:tc>
            </w:tr>
          </w:tbl>
          <w:p w:rsidR="001B23B7" w:rsidRDefault="001B23B7" w:rsidP="000800FC">
            <w:pPr>
              <w:jc w:val="both"/>
              <w:rPr>
                <w:rFonts w:ascii="Times New Roman" w:hAnsi="Times New Roman"/>
                <w:b/>
                <w:sz w:val="20"/>
                <w:szCs w:val="20"/>
                <w:lang w:eastAsia="sk-SK"/>
              </w:rPr>
            </w:pPr>
            <w:r w:rsidRPr="00C456B4">
              <w:rPr>
                <w:rFonts w:ascii="Times New Roman" w:hAnsi="Times New Roman"/>
                <w:b/>
                <w:sz w:val="20"/>
                <w:szCs w:val="20"/>
                <w:lang w:eastAsia="sk-SK"/>
              </w:rPr>
              <w:t>Uveďte pripomienky zo stanoviska Komisie z časti II. spolu s Vaším vyhodnotením:</w:t>
            </w:r>
          </w:p>
          <w:p w:rsidR="00B02BB4" w:rsidRPr="00C456B4" w:rsidRDefault="00B02BB4" w:rsidP="000800FC">
            <w:pPr>
              <w:jc w:val="both"/>
              <w:rPr>
                <w:rFonts w:ascii="Times New Roman" w:hAnsi="Times New Roman"/>
                <w:b/>
                <w:sz w:val="20"/>
                <w:szCs w:val="20"/>
                <w:lang w:eastAsia="sk-SK"/>
              </w:rPr>
            </w:pPr>
          </w:p>
          <w:p w:rsidR="001B23B7" w:rsidRPr="00B02BB4" w:rsidRDefault="00B02BB4" w:rsidP="000800FC">
            <w:pPr>
              <w:rPr>
                <w:rFonts w:ascii="Times New Roman" w:hAnsi="Times New Roman"/>
                <w:b/>
                <w:sz w:val="20"/>
                <w:szCs w:val="20"/>
                <w:lang w:eastAsia="sk-SK"/>
              </w:rPr>
            </w:pPr>
            <w:r w:rsidRPr="00B02BB4">
              <w:rPr>
                <w:rFonts w:ascii="Times New Roman" w:hAnsi="Times New Roman"/>
                <w:b/>
                <w:sz w:val="20"/>
                <w:szCs w:val="20"/>
                <w:lang w:eastAsia="sk-SK"/>
              </w:rPr>
              <w:t>K vplyvom na rozpočet verejnej správy</w:t>
            </w:r>
          </w:p>
          <w:p w:rsidR="00B02BB4" w:rsidRPr="00B02BB4" w:rsidRDefault="00B02BB4" w:rsidP="000800FC">
            <w:pPr>
              <w:rPr>
                <w:rFonts w:ascii="Times New Roman" w:hAnsi="Times New Roman"/>
                <w:sz w:val="20"/>
                <w:szCs w:val="20"/>
                <w:lang w:eastAsia="sk-SK"/>
              </w:rPr>
            </w:pPr>
          </w:p>
          <w:p w:rsidR="00C456B4" w:rsidRPr="00B02BB4" w:rsidRDefault="00C456B4" w:rsidP="00C456B4">
            <w:pPr>
              <w:jc w:val="both"/>
              <w:rPr>
                <w:rFonts w:ascii="Times New Roman" w:hAnsi="Times New Roman"/>
                <w:sz w:val="20"/>
                <w:szCs w:val="20"/>
                <w:lang w:eastAsia="sk-SK"/>
              </w:rPr>
            </w:pPr>
            <w:r w:rsidRPr="00B02BB4">
              <w:rPr>
                <w:rFonts w:ascii="Times New Roman" w:hAnsi="Times New Roman"/>
                <w:sz w:val="20"/>
                <w:szCs w:val="20"/>
                <w:lang w:eastAsia="sk-SK"/>
              </w:rPr>
              <w:t xml:space="preserve">Požiadavka kapitoly na rok 2021 je v rozpore s uznesením vlády SR č. 649/2020 k návrhu rozpočtu verejnej správy na roky 2021 až 2023 nepredkladať v roku 2021 návrhy legislatívnych predpisov a iných materiálov, ktoré zakladajú nároky na zvýšenie počtu zamestnancov a zvýšenie výdavkov alebo úbytok príjmov schválených v štátnom rozpočte na rok 2021 s rozpočtovými dôsledkami na štátny rozpočet alebo na iné rozpočty tvoriace rozpočet verejnej správy. </w:t>
            </w:r>
            <w:r w:rsidR="000230FD" w:rsidRPr="00B02BB4">
              <w:rPr>
                <w:rFonts w:ascii="Times New Roman" w:hAnsi="Times New Roman"/>
                <w:sz w:val="20"/>
                <w:szCs w:val="20"/>
                <w:lang w:eastAsia="sk-SK"/>
              </w:rPr>
              <w:t xml:space="preserve"> </w:t>
            </w:r>
            <w:r w:rsidRPr="00B02BB4">
              <w:rPr>
                <w:rFonts w:ascii="Times New Roman" w:hAnsi="Times New Roman"/>
                <w:sz w:val="20"/>
                <w:szCs w:val="20"/>
                <w:lang w:eastAsia="sk-SK"/>
              </w:rPr>
              <w:t>Zvýšenie počtu zamestnancov MZVEZ SR o 1 osobu vrátane zabezpečenia osobných výdavkov nie je zapracované ani v súčasnom návrhu rozpočtu verejne</w:t>
            </w:r>
            <w:r w:rsidR="000230FD" w:rsidRPr="00B02BB4">
              <w:rPr>
                <w:rFonts w:ascii="Times New Roman" w:hAnsi="Times New Roman"/>
                <w:sz w:val="20"/>
                <w:szCs w:val="20"/>
                <w:lang w:eastAsia="sk-SK"/>
              </w:rPr>
              <w:t xml:space="preserve">j správy na roky 2022 až 2024. </w:t>
            </w:r>
            <w:r w:rsidRPr="00B02BB4">
              <w:rPr>
                <w:rFonts w:ascii="Times New Roman" w:hAnsi="Times New Roman"/>
                <w:sz w:val="20"/>
                <w:szCs w:val="20"/>
                <w:lang w:eastAsia="sk-SK"/>
              </w:rPr>
              <w:t>Komisia žiada, aby požiadavka na zvýšenie počtu zamestnancov a osobných výdavkov bola od roku 2021 zabezpečená v rámci schváleného limitu kapitoly na rok 2021, resp. návrhu limitu počtu zamestnancov a výdavkov zabezpečených pre kapitolu MZVEZ SR v súčasnom návrhu rozpočtu verejnej správy na roky 2022 až 2024.</w:t>
            </w:r>
          </w:p>
          <w:p w:rsidR="00C456B4" w:rsidRPr="00B02BB4" w:rsidRDefault="00C456B4" w:rsidP="00C456B4">
            <w:pPr>
              <w:jc w:val="both"/>
              <w:rPr>
                <w:rFonts w:ascii="Times New Roman" w:hAnsi="Times New Roman"/>
                <w:sz w:val="20"/>
                <w:szCs w:val="20"/>
                <w:lang w:eastAsia="sk-SK"/>
              </w:rPr>
            </w:pPr>
          </w:p>
          <w:p w:rsidR="00C456B4" w:rsidRPr="00B02BB4" w:rsidRDefault="00C456B4" w:rsidP="00C456B4">
            <w:pPr>
              <w:jc w:val="both"/>
              <w:rPr>
                <w:rFonts w:ascii="Times New Roman" w:hAnsi="Times New Roman"/>
                <w:sz w:val="20"/>
                <w:szCs w:val="20"/>
                <w:lang w:eastAsia="sk-SK"/>
              </w:rPr>
            </w:pPr>
            <w:r w:rsidRPr="00B02BB4">
              <w:rPr>
                <w:rFonts w:ascii="Times New Roman" w:hAnsi="Times New Roman"/>
                <w:b/>
                <w:sz w:val="20"/>
                <w:szCs w:val="20"/>
                <w:lang w:eastAsia="sk-SK"/>
              </w:rPr>
              <w:t>Vyhodnotenie predkladateľa:</w:t>
            </w:r>
            <w:r w:rsidRPr="00B02BB4">
              <w:rPr>
                <w:rFonts w:ascii="Times New Roman" w:hAnsi="Times New Roman"/>
                <w:sz w:val="20"/>
                <w:szCs w:val="20"/>
                <w:lang w:eastAsia="sk-SK"/>
              </w:rPr>
              <w:t xml:space="preserve"> Pripomienku nie je možné akceptovať z dôvodu, že Európsky orgán práce začína s presťahovaním zamestnancov na územie Slovenskej republiky </w:t>
            </w:r>
            <w:r w:rsidR="000230FD" w:rsidRPr="00B02BB4">
              <w:rPr>
                <w:rFonts w:ascii="Times New Roman" w:hAnsi="Times New Roman"/>
                <w:sz w:val="20"/>
                <w:szCs w:val="20"/>
                <w:lang w:eastAsia="sk-SK"/>
              </w:rPr>
              <w:t>pravdepodobne</w:t>
            </w:r>
            <w:r w:rsidRPr="00B02BB4">
              <w:rPr>
                <w:rFonts w:ascii="Times New Roman" w:hAnsi="Times New Roman"/>
                <w:sz w:val="20"/>
                <w:szCs w:val="20"/>
                <w:lang w:eastAsia="sk-SK"/>
              </w:rPr>
              <w:t xml:space="preserve"> </w:t>
            </w:r>
            <w:r w:rsidR="000230FD" w:rsidRPr="00B02BB4">
              <w:rPr>
                <w:rFonts w:ascii="Times New Roman" w:hAnsi="Times New Roman"/>
                <w:sz w:val="20"/>
                <w:szCs w:val="20"/>
                <w:lang w:eastAsia="sk-SK"/>
              </w:rPr>
              <w:t>od</w:t>
            </w:r>
            <w:r w:rsidRPr="00B02BB4">
              <w:rPr>
                <w:rFonts w:ascii="Times New Roman" w:hAnsi="Times New Roman"/>
                <w:sz w:val="20"/>
                <w:szCs w:val="20"/>
                <w:lang w:eastAsia="sk-SK"/>
              </w:rPr>
              <w:t xml:space="preserve"> septembra 2021. Oficiálne odovzdávanie priestorov na Landererovej </w:t>
            </w:r>
            <w:r w:rsidR="006713A0" w:rsidRPr="00B02BB4">
              <w:rPr>
                <w:rFonts w:ascii="Times New Roman" w:hAnsi="Times New Roman"/>
                <w:sz w:val="20"/>
                <w:szCs w:val="20"/>
                <w:lang w:eastAsia="sk-SK"/>
              </w:rPr>
              <w:t xml:space="preserve">ul. č. </w:t>
            </w:r>
            <w:r w:rsidRPr="00B02BB4">
              <w:rPr>
                <w:rFonts w:ascii="Times New Roman" w:hAnsi="Times New Roman"/>
                <w:sz w:val="20"/>
                <w:szCs w:val="20"/>
                <w:lang w:eastAsia="sk-SK"/>
              </w:rPr>
              <w:t>12 sa koná 27. augusta 2021. Na základe uvedeného bude musieť Ministerstvo zahraničných vecí a európskych záležitostí Slovenskej republiky</w:t>
            </w:r>
            <w:r w:rsidR="00C47F63" w:rsidRPr="00B02BB4">
              <w:rPr>
                <w:rFonts w:ascii="Times New Roman" w:hAnsi="Times New Roman"/>
                <w:sz w:val="20"/>
                <w:szCs w:val="20"/>
                <w:lang w:eastAsia="sk-SK"/>
              </w:rPr>
              <w:t xml:space="preserve"> už od</w:t>
            </w:r>
            <w:r w:rsidRPr="00B02BB4">
              <w:rPr>
                <w:rFonts w:ascii="Times New Roman" w:hAnsi="Times New Roman"/>
                <w:sz w:val="20"/>
                <w:szCs w:val="20"/>
                <w:lang w:eastAsia="sk-SK"/>
              </w:rPr>
              <w:t xml:space="preserve"> septembra zabezpečovať, v rámci svojej pôsobnosti, pre</w:t>
            </w:r>
            <w:r w:rsidR="00C47F63" w:rsidRPr="00B02BB4">
              <w:rPr>
                <w:rFonts w:ascii="Times New Roman" w:hAnsi="Times New Roman"/>
                <w:sz w:val="20"/>
                <w:szCs w:val="20"/>
                <w:lang w:eastAsia="sk-SK"/>
              </w:rPr>
              <w:t xml:space="preserve"> </w:t>
            </w:r>
            <w:r w:rsidRPr="00B02BB4">
              <w:rPr>
                <w:rFonts w:ascii="Times New Roman" w:hAnsi="Times New Roman"/>
                <w:sz w:val="20"/>
                <w:szCs w:val="20"/>
                <w:lang w:eastAsia="sk-SK"/>
              </w:rPr>
              <w:t>všetkých zamestnancov ELA evidenciu a vydávanie identifikačných preukazov</w:t>
            </w:r>
            <w:r w:rsidR="006713A0" w:rsidRPr="00B02BB4">
              <w:rPr>
                <w:rFonts w:ascii="Times New Roman" w:hAnsi="Times New Roman"/>
                <w:sz w:val="20"/>
                <w:szCs w:val="20"/>
                <w:lang w:eastAsia="sk-SK"/>
              </w:rPr>
              <w:t>.</w:t>
            </w:r>
            <w:r w:rsidRPr="00B02BB4">
              <w:rPr>
                <w:rFonts w:ascii="Times New Roman" w:hAnsi="Times New Roman"/>
                <w:sz w:val="20"/>
                <w:szCs w:val="20"/>
                <w:lang w:eastAsia="sk-SK"/>
              </w:rPr>
              <w:t xml:space="preserve"> Začiatok činnosti Európskeho orgánu práce so sídlom v Bratislave predstavuje podstatný nárast práce a administratívnej záťaže v agende vystavovania identifikačných preukazov, registrácie vozidiel, potvrdzovania tlačív o postavení úradníkov ELA k daňovému oslobodeniu, ako aj inú administratívu vo vzťahu k výsadám a imunitám. Finančné prostriedky v rámci kapitoly MZVEZ SR, podľa aktuálnych údajov </w:t>
            </w:r>
            <w:r w:rsidR="006D6C28" w:rsidRPr="00B02BB4">
              <w:rPr>
                <w:rFonts w:ascii="Times New Roman" w:hAnsi="Times New Roman"/>
                <w:sz w:val="20"/>
                <w:szCs w:val="20"/>
                <w:lang w:eastAsia="sk-SK"/>
              </w:rPr>
              <w:t xml:space="preserve">MZVaEZ SR </w:t>
            </w:r>
            <w:r w:rsidRPr="00B02BB4">
              <w:rPr>
                <w:rFonts w:ascii="Times New Roman" w:hAnsi="Times New Roman"/>
                <w:sz w:val="20"/>
                <w:szCs w:val="20"/>
                <w:lang w:eastAsia="sk-SK"/>
              </w:rPr>
              <w:t>nie sú zabezpečené</w:t>
            </w:r>
            <w:r w:rsidR="006D6C28" w:rsidRPr="00B02BB4">
              <w:rPr>
                <w:rFonts w:ascii="Times New Roman" w:hAnsi="Times New Roman"/>
                <w:sz w:val="20"/>
                <w:szCs w:val="20"/>
                <w:lang w:eastAsia="sk-SK"/>
              </w:rPr>
              <w:t>.</w:t>
            </w:r>
          </w:p>
          <w:p w:rsidR="00C456B4" w:rsidRPr="00B02BB4" w:rsidRDefault="00C456B4" w:rsidP="00C456B4">
            <w:pPr>
              <w:jc w:val="both"/>
              <w:rPr>
                <w:rFonts w:ascii="Times New Roman" w:hAnsi="Times New Roman"/>
                <w:sz w:val="20"/>
                <w:szCs w:val="20"/>
                <w:lang w:eastAsia="sk-SK"/>
              </w:rPr>
            </w:pPr>
          </w:p>
          <w:p w:rsidR="00C456B4" w:rsidRPr="00B02BB4" w:rsidRDefault="00C456B4" w:rsidP="00C456B4">
            <w:pPr>
              <w:jc w:val="both"/>
              <w:rPr>
                <w:rFonts w:ascii="Times New Roman" w:hAnsi="Times New Roman"/>
                <w:sz w:val="20"/>
                <w:szCs w:val="20"/>
                <w:lang w:eastAsia="sk-SK"/>
              </w:rPr>
            </w:pPr>
            <w:r w:rsidRPr="00B02BB4">
              <w:rPr>
                <w:rFonts w:ascii="Times New Roman" w:hAnsi="Times New Roman"/>
                <w:sz w:val="20"/>
                <w:szCs w:val="20"/>
                <w:lang w:eastAsia="sk-SK"/>
              </w:rPr>
              <w:t xml:space="preserve">V tabuľke č. 1 analýzy vplyvov na rozpočet verejnej správy nie sú v riadku „Vplyv na počet zamestnancov“ a v riadku „Vplyv na mzdové výdavky“ uvedené žiadne údaje. Údaje za oblasť zamestnanosti sú vykvantifikované iba v tabuľke č. 4. Komisia žiada zosúladiť údaje za oblasť zamestnanosti vo všetkých dotknutých tabuľkách (tabuľka č.1, tabuľka č.  4 a tabuľka č. 5.) a zároveň tabuľku č. 4 a tabuľku č. 5 Komisia žiada za kapitolu MZVEZ SR vypracovať samostatne. </w:t>
            </w:r>
          </w:p>
          <w:p w:rsidR="00C456B4" w:rsidRPr="00B02BB4" w:rsidRDefault="00C456B4" w:rsidP="00C456B4">
            <w:pPr>
              <w:jc w:val="both"/>
              <w:rPr>
                <w:rFonts w:ascii="Times New Roman" w:hAnsi="Times New Roman"/>
                <w:sz w:val="20"/>
                <w:szCs w:val="20"/>
                <w:lang w:eastAsia="sk-SK"/>
              </w:rPr>
            </w:pPr>
            <w:r w:rsidRPr="00B02BB4">
              <w:rPr>
                <w:rFonts w:ascii="Times New Roman" w:hAnsi="Times New Roman"/>
                <w:sz w:val="20"/>
                <w:szCs w:val="20"/>
                <w:lang w:eastAsia="sk-SK"/>
              </w:rPr>
              <w:t>V tabuľke č. 1 Komisia žiada údaje za oblasť zamestnanosti uvádzať ako rozpočtovo zabezpečené.</w:t>
            </w:r>
          </w:p>
          <w:p w:rsidR="00C456B4" w:rsidRPr="00B02BB4" w:rsidRDefault="00C456B4" w:rsidP="00C456B4">
            <w:pPr>
              <w:jc w:val="both"/>
              <w:rPr>
                <w:rFonts w:ascii="Times New Roman" w:hAnsi="Times New Roman"/>
                <w:sz w:val="20"/>
                <w:szCs w:val="20"/>
                <w:lang w:eastAsia="sk-SK"/>
              </w:rPr>
            </w:pPr>
          </w:p>
          <w:p w:rsidR="00C456B4" w:rsidRPr="00C456B4" w:rsidRDefault="00C456B4" w:rsidP="00C456B4">
            <w:pPr>
              <w:jc w:val="both"/>
              <w:rPr>
                <w:rFonts w:ascii="Times New Roman" w:hAnsi="Times New Roman"/>
                <w:b/>
                <w:sz w:val="20"/>
                <w:szCs w:val="20"/>
                <w:lang w:eastAsia="sk-SK"/>
              </w:rPr>
            </w:pPr>
            <w:r w:rsidRPr="00B02BB4">
              <w:rPr>
                <w:rFonts w:ascii="Times New Roman" w:hAnsi="Times New Roman"/>
                <w:b/>
                <w:sz w:val="20"/>
                <w:szCs w:val="20"/>
                <w:lang w:eastAsia="sk-SK"/>
              </w:rPr>
              <w:t>Vyhodnotenie predkladateľa:</w:t>
            </w:r>
            <w:r w:rsidRPr="00B02BB4">
              <w:rPr>
                <w:rFonts w:ascii="Times New Roman" w:hAnsi="Times New Roman"/>
                <w:sz w:val="20"/>
                <w:szCs w:val="20"/>
                <w:lang w:eastAsia="sk-SK"/>
              </w:rPr>
              <w:t xml:space="preserve"> Tabuľka č. 1</w:t>
            </w:r>
            <w:r w:rsidR="00B02BB4" w:rsidRPr="00B02BB4">
              <w:rPr>
                <w:rFonts w:ascii="Times New Roman" w:hAnsi="Times New Roman"/>
                <w:sz w:val="20"/>
                <w:szCs w:val="20"/>
                <w:lang w:eastAsia="sk-SK"/>
              </w:rPr>
              <w:t>, 4</w:t>
            </w:r>
            <w:r w:rsidRPr="00B02BB4">
              <w:rPr>
                <w:rFonts w:ascii="Times New Roman" w:hAnsi="Times New Roman"/>
                <w:sz w:val="20"/>
                <w:szCs w:val="20"/>
                <w:lang w:eastAsia="sk-SK"/>
              </w:rPr>
              <w:t xml:space="preserve"> a 5 sú zosúladené v súlade s pripomienkou.</w:t>
            </w:r>
            <w:r w:rsidR="00AC12DA" w:rsidRPr="00B02BB4">
              <w:rPr>
                <w:rFonts w:ascii="Times New Roman" w:hAnsi="Times New Roman"/>
                <w:sz w:val="20"/>
                <w:szCs w:val="20"/>
                <w:lang w:eastAsia="sk-SK"/>
              </w:rPr>
              <w:t xml:space="preserve"> </w:t>
            </w:r>
            <w:r w:rsidR="009855F8" w:rsidRPr="00B02BB4">
              <w:rPr>
                <w:rFonts w:ascii="Times New Roman" w:hAnsi="Times New Roman"/>
                <w:sz w:val="20"/>
                <w:szCs w:val="20"/>
                <w:lang w:eastAsia="sk-SK"/>
              </w:rPr>
              <w:t>Požiadavku</w:t>
            </w:r>
            <w:r w:rsidR="00291716" w:rsidRPr="00B02BB4">
              <w:rPr>
                <w:rFonts w:ascii="Times New Roman" w:hAnsi="Times New Roman"/>
                <w:sz w:val="20"/>
                <w:szCs w:val="20"/>
                <w:lang w:eastAsia="sk-SK"/>
              </w:rPr>
              <w:t xml:space="preserve"> Komisie ohľadne zmeny na rozpočtovo zabezpečené</w:t>
            </w:r>
            <w:r w:rsidR="009855F8" w:rsidRPr="00B02BB4">
              <w:rPr>
                <w:rFonts w:ascii="Times New Roman" w:hAnsi="Times New Roman"/>
                <w:sz w:val="20"/>
                <w:szCs w:val="20"/>
                <w:lang w:eastAsia="sk-SK"/>
              </w:rPr>
              <w:t xml:space="preserve"> výdavky nie je </w:t>
            </w:r>
            <w:r w:rsidR="006713A0" w:rsidRPr="00B02BB4">
              <w:rPr>
                <w:rFonts w:ascii="Times New Roman" w:hAnsi="Times New Roman"/>
                <w:sz w:val="20"/>
                <w:szCs w:val="20"/>
                <w:lang w:eastAsia="sk-SK"/>
              </w:rPr>
              <w:t>možné</w:t>
            </w:r>
            <w:r w:rsidR="009855F8" w:rsidRPr="00B02BB4">
              <w:rPr>
                <w:rFonts w:ascii="Times New Roman" w:hAnsi="Times New Roman"/>
                <w:sz w:val="20"/>
                <w:szCs w:val="20"/>
                <w:lang w:eastAsia="sk-SK"/>
              </w:rPr>
              <w:t xml:space="preserve"> plne akceptovať z dôvodov uvedených vyššie.</w:t>
            </w:r>
          </w:p>
          <w:p w:rsidR="001B23B7" w:rsidRPr="00C456B4" w:rsidRDefault="001B23B7" w:rsidP="000800FC">
            <w:pPr>
              <w:rPr>
                <w:rFonts w:ascii="Times New Roman" w:hAnsi="Times New Roman"/>
                <w:b/>
                <w:sz w:val="20"/>
                <w:szCs w:val="20"/>
                <w:lang w:eastAsia="sk-SK"/>
              </w:rPr>
            </w:pPr>
          </w:p>
        </w:tc>
      </w:tr>
    </w:tbl>
    <w:p w:rsidR="00274130" w:rsidRDefault="00274130"/>
    <w:sectPr w:rsidR="00274130" w:rsidSect="001E35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CD2" w:rsidRDefault="00A44CD2" w:rsidP="001B23B7">
      <w:pPr>
        <w:spacing w:after="0" w:line="240" w:lineRule="auto"/>
      </w:pPr>
      <w:r>
        <w:separator/>
      </w:r>
    </w:p>
  </w:endnote>
  <w:endnote w:type="continuationSeparator" w:id="0">
    <w:p w:rsidR="00A44CD2" w:rsidRDefault="00A44CD2"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pStyle w:val="Pta"/>
      <w:jc w:val="right"/>
      <w:rPr>
        <w:rFonts w:ascii="Times New Roman" w:hAnsi="Times New Roman"/>
        <w:sz w:val="24"/>
        <w:szCs w:val="24"/>
      </w:rPr>
    </w:pPr>
    <w:r w:rsidRPr="006045CB">
      <w:rPr>
        <w:rFonts w:ascii="Times New Roman" w:hAnsi="Times New Roman"/>
        <w:sz w:val="24"/>
        <w:szCs w:val="24"/>
      </w:rPr>
      <w:fldChar w:fldCharType="begin"/>
    </w:r>
    <w:r w:rsidRPr="006045CB">
      <w:rPr>
        <w:rFonts w:ascii="Times New Roman" w:hAnsi="Times New Roman"/>
        <w:sz w:val="24"/>
        <w:szCs w:val="24"/>
      </w:rPr>
      <w:instrText>PAGE   \* MERGEFORMAT</w:instrText>
    </w:r>
    <w:r w:rsidRPr="006045CB">
      <w:rPr>
        <w:rFonts w:ascii="Times New Roman" w:hAnsi="Times New Roman"/>
        <w:sz w:val="24"/>
        <w:szCs w:val="24"/>
      </w:rPr>
      <w:fldChar w:fldCharType="separate"/>
    </w:r>
    <w:r w:rsidR="008B62C9">
      <w:rPr>
        <w:rFonts w:ascii="Times New Roman" w:hAnsi="Times New Roman"/>
        <w:noProof/>
        <w:sz w:val="24"/>
        <w:szCs w:val="24"/>
      </w:rPr>
      <w:t>1</w:t>
    </w:r>
    <w:r w:rsidRPr="006045CB">
      <w:rPr>
        <w:rFonts w:ascii="Times New Roman" w:hAnsi="Times New Roman"/>
        <w:sz w:val="24"/>
        <w:szCs w:val="24"/>
      </w:rPr>
      <w:fldChar w:fldCharType="end"/>
    </w:r>
  </w:p>
  <w:p w:rsidR="001B23B7" w:rsidRDefault="001B23B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CD2" w:rsidRDefault="00A44CD2" w:rsidP="001B23B7">
      <w:pPr>
        <w:spacing w:after="0" w:line="240" w:lineRule="auto"/>
      </w:pPr>
      <w:r>
        <w:separator/>
      </w:r>
    </w:p>
  </w:footnote>
  <w:footnote w:type="continuationSeparator" w:id="0">
    <w:p w:rsidR="00A44CD2" w:rsidRDefault="00A44CD2"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B7" w:rsidRPr="006045CB" w:rsidRDefault="001B23B7" w:rsidP="001B23B7">
    <w:pPr>
      <w:tabs>
        <w:tab w:val="center" w:pos="4536"/>
        <w:tab w:val="right" w:pos="9072"/>
      </w:tabs>
      <w:spacing w:after="0" w:line="240" w:lineRule="auto"/>
      <w:jc w:val="right"/>
      <w:rPr>
        <w:rFonts w:ascii="Times New Roman" w:hAnsi="Times New Roman"/>
        <w:sz w:val="24"/>
        <w:szCs w:val="24"/>
        <w:lang w:eastAsia="sk-SK"/>
      </w:rPr>
    </w:pPr>
    <w:r w:rsidRPr="006045CB">
      <w:rPr>
        <w:rFonts w:ascii="Times New Roman" w:hAnsi="Times New Roman"/>
        <w:sz w:val="24"/>
        <w:szCs w:val="24"/>
        <w:lang w:eastAsia="sk-SK"/>
      </w:rPr>
      <w:t xml:space="preserve">Príloha č. </w:t>
    </w:r>
    <w:r>
      <w:rPr>
        <w:rFonts w:ascii="Times New Roman" w:hAnsi="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230FD"/>
    <w:rsid w:val="00043706"/>
    <w:rsid w:val="00047D92"/>
    <w:rsid w:val="00052E46"/>
    <w:rsid w:val="000800FC"/>
    <w:rsid w:val="0009632C"/>
    <w:rsid w:val="00097069"/>
    <w:rsid w:val="000B5ECB"/>
    <w:rsid w:val="000F2BE9"/>
    <w:rsid w:val="00121CF7"/>
    <w:rsid w:val="001326B1"/>
    <w:rsid w:val="00150FFE"/>
    <w:rsid w:val="00152600"/>
    <w:rsid w:val="00190529"/>
    <w:rsid w:val="001920B3"/>
    <w:rsid w:val="001B23B7"/>
    <w:rsid w:val="001D241C"/>
    <w:rsid w:val="001E3562"/>
    <w:rsid w:val="001F306C"/>
    <w:rsid w:val="00214C8D"/>
    <w:rsid w:val="00234DD0"/>
    <w:rsid w:val="00243652"/>
    <w:rsid w:val="00274130"/>
    <w:rsid w:val="00275F92"/>
    <w:rsid w:val="00291716"/>
    <w:rsid w:val="002D5F06"/>
    <w:rsid w:val="002E40A9"/>
    <w:rsid w:val="00306CDF"/>
    <w:rsid w:val="0038758C"/>
    <w:rsid w:val="003A057B"/>
    <w:rsid w:val="003E3A8A"/>
    <w:rsid w:val="00400FCB"/>
    <w:rsid w:val="0047276D"/>
    <w:rsid w:val="0049476D"/>
    <w:rsid w:val="004A4383"/>
    <w:rsid w:val="00513797"/>
    <w:rsid w:val="00591EC6"/>
    <w:rsid w:val="006045CB"/>
    <w:rsid w:val="00631BAB"/>
    <w:rsid w:val="006411EE"/>
    <w:rsid w:val="00665242"/>
    <w:rsid w:val="006713A0"/>
    <w:rsid w:val="006733CD"/>
    <w:rsid w:val="006A1E94"/>
    <w:rsid w:val="006D6C28"/>
    <w:rsid w:val="006F6FBF"/>
    <w:rsid w:val="00720322"/>
    <w:rsid w:val="00775D53"/>
    <w:rsid w:val="007B22C5"/>
    <w:rsid w:val="007B40C1"/>
    <w:rsid w:val="007E2405"/>
    <w:rsid w:val="00851EE9"/>
    <w:rsid w:val="00865E81"/>
    <w:rsid w:val="008801B5"/>
    <w:rsid w:val="008B222D"/>
    <w:rsid w:val="008B62C9"/>
    <w:rsid w:val="008C79B7"/>
    <w:rsid w:val="008D5FC6"/>
    <w:rsid w:val="0090796A"/>
    <w:rsid w:val="009431E3"/>
    <w:rsid w:val="009475F5"/>
    <w:rsid w:val="009717F5"/>
    <w:rsid w:val="009855F8"/>
    <w:rsid w:val="009C424C"/>
    <w:rsid w:val="009E09F7"/>
    <w:rsid w:val="009E54D6"/>
    <w:rsid w:val="009E729E"/>
    <w:rsid w:val="009F4832"/>
    <w:rsid w:val="00A340BB"/>
    <w:rsid w:val="00A4026C"/>
    <w:rsid w:val="00A44CD2"/>
    <w:rsid w:val="00A63C0F"/>
    <w:rsid w:val="00A73EE0"/>
    <w:rsid w:val="00A74272"/>
    <w:rsid w:val="00AA592B"/>
    <w:rsid w:val="00AC12DA"/>
    <w:rsid w:val="00B02BB4"/>
    <w:rsid w:val="00B043B4"/>
    <w:rsid w:val="00B84F87"/>
    <w:rsid w:val="00B95E61"/>
    <w:rsid w:val="00BA2BF4"/>
    <w:rsid w:val="00BE0B50"/>
    <w:rsid w:val="00C456B4"/>
    <w:rsid w:val="00C47F63"/>
    <w:rsid w:val="00C63B05"/>
    <w:rsid w:val="00C64D0C"/>
    <w:rsid w:val="00C8789B"/>
    <w:rsid w:val="00CE6AAE"/>
    <w:rsid w:val="00CF1A25"/>
    <w:rsid w:val="00D2313B"/>
    <w:rsid w:val="00DA0441"/>
    <w:rsid w:val="00DF357C"/>
    <w:rsid w:val="00E57BA2"/>
    <w:rsid w:val="00E77887"/>
    <w:rsid w:val="00EE029C"/>
    <w:rsid w:val="00F319D9"/>
    <w:rsid w:val="00F87681"/>
    <w:rsid w:val="00FB64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56D387-C4E3-4D1F-A3C7-40B0A5CD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1B23B7"/>
    <w:rPr>
      <w:rFonts w:cs="Times New Roman"/>
    </w:rPr>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locked/>
    <w:rsid w:val="001B23B7"/>
    <w:rPr>
      <w:rFonts w:cs="Times New Roman"/>
    </w:rPr>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B40C1"/>
    <w:rPr>
      <w:rFonts w:ascii="Tahoma" w:hAnsi="Tahoma" w:cs="Tahoma"/>
      <w:sz w:val="16"/>
      <w:szCs w:val="16"/>
    </w:rPr>
  </w:style>
  <w:style w:type="character" w:styleId="Hypertextovprepojenie">
    <w:name w:val="Hyperlink"/>
    <w:basedOn w:val="Predvolenpsmoodseku"/>
    <w:uiPriority w:val="99"/>
    <w:unhideWhenUsed/>
    <w:rsid w:val="00150FFE"/>
    <w:rPr>
      <w:rFonts w:cs="Times New Roman"/>
      <w:color w:val="0563C1" w:themeColor="hyperlink"/>
      <w:u w:val="single"/>
    </w:rPr>
  </w:style>
  <w:style w:type="character" w:styleId="Odkaznakomentr">
    <w:name w:val="annotation reference"/>
    <w:basedOn w:val="Predvolenpsmoodseku"/>
    <w:uiPriority w:val="99"/>
    <w:semiHidden/>
    <w:unhideWhenUsed/>
    <w:rsid w:val="006733CD"/>
    <w:rPr>
      <w:rFonts w:cs="Times New Roman"/>
      <w:sz w:val="16"/>
      <w:szCs w:val="16"/>
    </w:rPr>
  </w:style>
  <w:style w:type="paragraph" w:styleId="Textkomentra">
    <w:name w:val="annotation text"/>
    <w:basedOn w:val="Normlny"/>
    <w:link w:val="TextkomentraChar"/>
    <w:uiPriority w:val="99"/>
    <w:semiHidden/>
    <w:unhideWhenUsed/>
    <w:rsid w:val="006733CD"/>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6733CD"/>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6733CD"/>
    <w:rPr>
      <w:b/>
      <w:bCs/>
    </w:rPr>
  </w:style>
  <w:style w:type="character" w:customStyle="1" w:styleId="PredmetkomentraChar">
    <w:name w:val="Predmet komentára Char"/>
    <w:basedOn w:val="TextkomentraChar"/>
    <w:link w:val="Predmetkomentra"/>
    <w:uiPriority w:val="99"/>
    <w:semiHidden/>
    <w:locked/>
    <w:rsid w:val="006733C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rol.jokl@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769F1FF-5F99-40FE-9F15-EF3D5C16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2905</Words>
  <Characters>16559</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Vuckovska Katarina</cp:lastModifiedBy>
  <cp:revision>2</cp:revision>
  <cp:lastPrinted>2021-08-17T14:39:00Z</cp:lastPrinted>
  <dcterms:created xsi:type="dcterms:W3CDTF">2021-10-14T07:32:00Z</dcterms:created>
  <dcterms:modified xsi:type="dcterms:W3CDTF">2021-10-14T07:32:00Z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32/2018_x000d__x000d_Programové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_x000d__x000d_členovia vlády_x000d__x000d_predsedovia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Sulík_x000d__x000d_minister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